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197C74">
      <w:pPr>
        <w:spacing w:line="360" w:lineRule="auto"/>
        <w:ind w:firstLine="260" w:firstLineChars="50"/>
        <w:jc w:val="center"/>
        <w:rPr>
          <w:rFonts w:hint="eastAsia" w:ascii="仿宋" w:hAnsi="仿宋" w:eastAsia="仿宋" w:cs="仿宋"/>
          <w:b/>
          <w:sz w:val="52"/>
          <w:szCs w:val="52"/>
        </w:rPr>
      </w:pPr>
    </w:p>
    <w:p w14:paraId="018E8F33">
      <w:pPr>
        <w:spacing w:line="360" w:lineRule="auto"/>
        <w:ind w:firstLine="260" w:firstLineChars="50"/>
        <w:jc w:val="center"/>
        <w:rPr>
          <w:rFonts w:hint="eastAsia" w:ascii="仿宋" w:hAnsi="仿宋" w:eastAsia="仿宋" w:cs="仿宋"/>
          <w:b/>
          <w:sz w:val="52"/>
          <w:szCs w:val="52"/>
        </w:rPr>
      </w:pPr>
    </w:p>
    <w:p w14:paraId="7BACA3FD">
      <w:pPr>
        <w:spacing w:line="360" w:lineRule="auto"/>
        <w:ind w:firstLine="260" w:firstLineChars="50"/>
        <w:jc w:val="center"/>
        <w:rPr>
          <w:rFonts w:hint="eastAsia" w:ascii="仿宋" w:hAnsi="仿宋" w:eastAsia="仿宋" w:cs="仿宋"/>
          <w:b/>
          <w:sz w:val="52"/>
          <w:szCs w:val="52"/>
        </w:rPr>
      </w:pPr>
    </w:p>
    <w:p w14:paraId="05CEF8B4">
      <w:pPr>
        <w:spacing w:line="360" w:lineRule="auto"/>
        <w:ind w:firstLine="110" w:firstLineChars="50"/>
        <w:jc w:val="center"/>
        <w:rPr>
          <w:rFonts w:hint="eastAsia" w:ascii="仿宋" w:hAnsi="仿宋" w:eastAsia="仿宋" w:cs="仿宋"/>
          <w:b/>
          <w:sz w:val="22"/>
          <w:szCs w:val="22"/>
        </w:rPr>
      </w:pPr>
    </w:p>
    <w:p w14:paraId="11AF73E0">
      <w:pPr>
        <w:spacing w:line="360" w:lineRule="auto"/>
        <w:ind w:firstLine="260" w:firstLineChars="50"/>
        <w:jc w:val="center"/>
        <w:rPr>
          <w:rFonts w:hint="eastAsia" w:ascii="仿宋" w:hAnsi="仿宋" w:cs="仿宋"/>
          <w:b/>
          <w:color w:val="auto"/>
          <w:sz w:val="52"/>
          <w:szCs w:val="52"/>
          <w:lang w:val="en-US" w:eastAsia="zh-CN"/>
        </w:rPr>
      </w:pPr>
      <w:r>
        <w:rPr>
          <w:rFonts w:hint="eastAsia" w:ascii="仿宋" w:hAnsi="仿宋" w:cs="仿宋"/>
          <w:b/>
          <w:color w:val="auto"/>
          <w:sz w:val="52"/>
          <w:szCs w:val="52"/>
          <w:lang w:val="en-US" w:eastAsia="zh-CN"/>
        </w:rPr>
        <w:t>辽宁政府采购项目</w:t>
      </w:r>
    </w:p>
    <w:p w14:paraId="45C0E39B">
      <w:pPr>
        <w:spacing w:line="360" w:lineRule="auto"/>
        <w:ind w:firstLine="260" w:firstLineChars="50"/>
        <w:jc w:val="center"/>
        <w:rPr>
          <w:rFonts w:hint="eastAsia" w:ascii="仿宋" w:hAnsi="仿宋" w:eastAsia="仿宋" w:cs="仿宋"/>
          <w:b/>
          <w:sz w:val="52"/>
          <w:szCs w:val="52"/>
        </w:rPr>
      </w:pPr>
      <w:r>
        <w:rPr>
          <w:rFonts w:hint="eastAsia" w:ascii="仿宋" w:hAnsi="仿宋" w:eastAsia="仿宋" w:cs="仿宋"/>
          <w:b/>
          <w:sz w:val="52"/>
          <w:szCs w:val="52"/>
        </w:rPr>
        <w:t>服务类公开招标</w:t>
      </w:r>
    </w:p>
    <w:p w14:paraId="6FB3B96C">
      <w:pPr>
        <w:spacing w:line="360" w:lineRule="auto"/>
        <w:ind w:firstLine="260" w:firstLineChars="50"/>
        <w:jc w:val="center"/>
        <w:rPr>
          <w:rFonts w:hint="eastAsia" w:ascii="仿宋" w:hAnsi="仿宋" w:eastAsia="仿宋" w:cs="仿宋"/>
          <w:b/>
          <w:sz w:val="52"/>
          <w:szCs w:val="52"/>
        </w:rPr>
      </w:pPr>
      <w:r>
        <w:rPr>
          <w:rFonts w:hint="eastAsia" w:ascii="仿宋" w:hAnsi="仿宋" w:eastAsia="仿宋" w:cs="仿宋"/>
          <w:b/>
          <w:sz w:val="52"/>
          <w:szCs w:val="52"/>
        </w:rPr>
        <w:t>招标文件</w:t>
      </w:r>
    </w:p>
    <w:p w14:paraId="1A5D3633">
      <w:pPr>
        <w:spacing w:line="480" w:lineRule="exact"/>
        <w:jc w:val="center"/>
        <w:rPr>
          <w:rFonts w:hint="eastAsia" w:ascii="仿宋" w:hAnsi="仿宋" w:eastAsia="仿宋" w:cs="仿宋"/>
          <w:b/>
          <w:sz w:val="52"/>
          <w:szCs w:val="52"/>
        </w:rPr>
      </w:pPr>
    </w:p>
    <w:p w14:paraId="5C10E270">
      <w:pPr>
        <w:spacing w:line="480" w:lineRule="exact"/>
        <w:jc w:val="both"/>
        <w:rPr>
          <w:rFonts w:hint="eastAsia" w:ascii="仿宋" w:hAnsi="仿宋" w:eastAsia="仿宋" w:cs="仿宋"/>
          <w:b/>
          <w:sz w:val="24"/>
        </w:rPr>
      </w:pPr>
    </w:p>
    <w:p w14:paraId="17D0C2A5">
      <w:pPr>
        <w:spacing w:line="480" w:lineRule="exact"/>
        <w:jc w:val="center"/>
        <w:rPr>
          <w:rFonts w:hint="eastAsia" w:ascii="仿宋" w:hAnsi="仿宋" w:eastAsia="仿宋" w:cs="仿宋"/>
          <w:b/>
          <w:sz w:val="24"/>
        </w:rPr>
      </w:pPr>
    </w:p>
    <w:p w14:paraId="63BD7A2D">
      <w:pPr>
        <w:spacing w:line="480" w:lineRule="exact"/>
        <w:jc w:val="center"/>
        <w:rPr>
          <w:rFonts w:hint="eastAsia" w:ascii="仿宋" w:hAnsi="仿宋" w:eastAsia="仿宋" w:cs="仿宋"/>
          <w:b/>
          <w:sz w:val="24"/>
        </w:rPr>
      </w:pPr>
    </w:p>
    <w:p w14:paraId="26421CB2">
      <w:pPr>
        <w:spacing w:line="480" w:lineRule="exact"/>
        <w:jc w:val="center"/>
        <w:rPr>
          <w:rFonts w:hint="eastAsia" w:ascii="仿宋" w:hAnsi="仿宋" w:eastAsia="仿宋" w:cs="仿宋"/>
          <w:b/>
          <w:sz w:val="24"/>
        </w:rPr>
      </w:pPr>
    </w:p>
    <w:p w14:paraId="44313188">
      <w:pPr>
        <w:spacing w:line="480" w:lineRule="exact"/>
        <w:jc w:val="center"/>
        <w:rPr>
          <w:rFonts w:hint="eastAsia" w:ascii="仿宋" w:hAnsi="仿宋" w:eastAsia="仿宋" w:cs="仿宋"/>
          <w:b/>
          <w:sz w:val="24"/>
        </w:rPr>
      </w:pPr>
    </w:p>
    <w:p w14:paraId="4BAFC7BA">
      <w:pPr>
        <w:spacing w:line="480" w:lineRule="exact"/>
        <w:jc w:val="center"/>
        <w:rPr>
          <w:rFonts w:hint="eastAsia" w:ascii="仿宋" w:hAnsi="仿宋" w:eastAsia="仿宋" w:cs="仿宋"/>
          <w:b/>
          <w:sz w:val="24"/>
        </w:rPr>
      </w:pPr>
    </w:p>
    <w:p w14:paraId="79C407A2">
      <w:pPr>
        <w:spacing w:line="360" w:lineRule="auto"/>
        <w:ind w:firstLine="320" w:firstLineChars="100"/>
        <w:rPr>
          <w:rFonts w:hint="eastAsia" w:ascii="仿宋" w:hAnsi="仿宋" w:eastAsia="仿宋" w:cs="仿宋"/>
          <w:b/>
          <w:sz w:val="32"/>
          <w:szCs w:val="32"/>
          <w:lang w:eastAsia="zh-CN"/>
        </w:rPr>
      </w:pPr>
      <w:r>
        <w:rPr>
          <w:rFonts w:hint="eastAsia" w:ascii="仿宋" w:hAnsi="仿宋" w:eastAsia="仿宋" w:cs="仿宋"/>
          <w:b/>
          <w:sz w:val="32"/>
          <w:szCs w:val="32"/>
        </w:rPr>
        <w:t>项目名称：</w:t>
      </w:r>
      <w:r>
        <w:rPr>
          <w:rFonts w:hint="eastAsia" w:ascii="仿宋" w:hAnsi="仿宋" w:eastAsia="仿宋" w:cs="仿宋"/>
          <w:b/>
          <w:sz w:val="32"/>
          <w:szCs w:val="32"/>
          <w:lang w:eastAsia="zh-CN"/>
        </w:rPr>
        <w:t>义县县域医共体与第三方医学检验机构联合建设区域检验与病理中心项目</w:t>
      </w:r>
    </w:p>
    <w:p w14:paraId="46E328B0">
      <w:pPr>
        <w:spacing w:line="360" w:lineRule="auto"/>
        <w:ind w:firstLine="320" w:firstLineChars="100"/>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rPr>
        <w:t>项目编号：JH25-210727-00058</w:t>
      </w:r>
    </w:p>
    <w:p w14:paraId="0E3020EA">
      <w:pPr>
        <w:spacing w:line="360" w:lineRule="auto"/>
        <w:ind w:firstLine="320" w:firstLineChars="100"/>
        <w:rPr>
          <w:rFonts w:hint="eastAsia" w:ascii="仿宋" w:hAnsi="仿宋" w:eastAsia="仿宋" w:cs="仿宋"/>
          <w:b/>
          <w:sz w:val="32"/>
          <w:szCs w:val="32"/>
        </w:rPr>
      </w:pPr>
      <w:r>
        <w:rPr>
          <w:rFonts w:hint="eastAsia" w:ascii="仿宋" w:hAnsi="仿宋" w:eastAsia="仿宋" w:cs="仿宋"/>
          <w:b/>
          <w:sz w:val="32"/>
          <w:szCs w:val="32"/>
        </w:rPr>
        <w:t xml:space="preserve">编制单位：锦州华隆项目管理有限公司  </w:t>
      </w:r>
    </w:p>
    <w:p w14:paraId="3A6C2912">
      <w:pPr>
        <w:ind w:firstLine="846" w:firstLineChars="235"/>
        <w:jc w:val="center"/>
        <w:rPr>
          <w:rFonts w:hint="eastAsia" w:ascii="仿宋" w:hAnsi="仿宋" w:eastAsia="仿宋" w:cs="仿宋"/>
          <w:b/>
          <w:bCs/>
          <w:sz w:val="36"/>
          <w:szCs w:val="44"/>
        </w:rPr>
        <w:sectPr>
          <w:footerReference r:id="rId3" w:type="default"/>
          <w:pgSz w:w="11906" w:h="16838"/>
          <w:pgMar w:top="1440" w:right="1080" w:bottom="1440" w:left="1080" w:header="851" w:footer="992" w:gutter="0"/>
          <w:pgNumType w:fmt="numberInDash"/>
          <w:cols w:space="720" w:num="1"/>
          <w:docGrid w:type="linesAndChars" w:linePitch="312" w:charSpace="0"/>
        </w:sectPr>
      </w:pPr>
    </w:p>
    <w:p w14:paraId="53A386FA">
      <w:pPr>
        <w:jc w:val="center"/>
        <w:rPr>
          <w:rFonts w:hint="eastAsia" w:ascii="仿宋" w:hAnsi="仿宋" w:eastAsia="仿宋" w:cs="仿宋"/>
          <w:b/>
          <w:bCs/>
          <w:sz w:val="44"/>
          <w:szCs w:val="44"/>
        </w:rPr>
      </w:pPr>
      <w:r>
        <w:rPr>
          <w:rFonts w:hint="eastAsia" w:ascii="仿宋" w:hAnsi="仿宋" w:eastAsia="仿宋" w:cs="仿宋"/>
          <w:b/>
          <w:bCs/>
          <w:sz w:val="44"/>
          <w:szCs w:val="44"/>
        </w:rPr>
        <w:t>目  录</w:t>
      </w:r>
    </w:p>
    <w:p w14:paraId="0F8F4C69">
      <w:pPr>
        <w:jc w:val="center"/>
        <w:rPr>
          <w:rFonts w:hint="eastAsia" w:ascii="仿宋" w:hAnsi="仿宋" w:eastAsia="仿宋" w:cs="仿宋"/>
          <w:b/>
          <w:bCs/>
          <w:sz w:val="44"/>
          <w:szCs w:val="44"/>
        </w:rPr>
      </w:pPr>
    </w:p>
    <w:p w14:paraId="06C39963">
      <w:pPr>
        <w:pStyle w:val="12"/>
        <w:tabs>
          <w:tab w:val="right" w:leader="dot" w:pos="9736"/>
        </w:tabs>
        <w:rPr>
          <w:rFonts w:hint="eastAsia" w:ascii="仿宋" w:hAnsi="仿宋" w:eastAsia="仿宋" w:cs="仿宋"/>
          <w:b/>
          <w:bCs/>
          <w:szCs w:val="22"/>
          <w:lang w:val="en-US" w:eastAsia="zh-CN"/>
        </w:rPr>
      </w:pPr>
      <w:r>
        <w:rPr>
          <w:rFonts w:hint="eastAsia" w:ascii="仿宋" w:hAnsi="仿宋" w:eastAsia="仿宋" w:cs="仿宋"/>
          <w:b/>
          <w:bCs/>
          <w:sz w:val="24"/>
        </w:rPr>
        <w:fldChar w:fldCharType="begin"/>
      </w:r>
      <w:r>
        <w:rPr>
          <w:rFonts w:hint="eastAsia" w:ascii="仿宋" w:hAnsi="仿宋" w:eastAsia="仿宋" w:cs="仿宋"/>
          <w:b/>
          <w:bCs/>
          <w:sz w:val="24"/>
        </w:rPr>
        <w:instrText xml:space="preserve">TOC \o "1-1" \h \u </w:instrText>
      </w:r>
      <w:r>
        <w:rPr>
          <w:rFonts w:hint="eastAsia" w:ascii="仿宋" w:hAnsi="仿宋" w:eastAsia="仿宋" w:cs="仿宋"/>
          <w:b/>
          <w:bCs/>
          <w:sz w:val="24"/>
        </w:rPr>
        <w:fldChar w:fldCharType="separate"/>
      </w:r>
      <w:r>
        <w:rPr>
          <w:rFonts w:hint="eastAsia" w:ascii="仿宋" w:hAnsi="仿宋" w:eastAsia="仿宋" w:cs="仿宋"/>
          <w:b/>
          <w:bCs/>
        </w:rPr>
        <w:fldChar w:fldCharType="begin"/>
      </w:r>
      <w:r>
        <w:rPr>
          <w:rStyle w:val="19"/>
          <w:rFonts w:hint="eastAsia" w:ascii="仿宋" w:hAnsi="仿宋" w:eastAsia="仿宋" w:cs="仿宋"/>
          <w:b/>
          <w:bCs/>
        </w:rPr>
        <w:instrText xml:space="preserve"> </w:instrText>
      </w:r>
      <w:r>
        <w:rPr>
          <w:rFonts w:hint="eastAsia" w:ascii="仿宋" w:hAnsi="仿宋" w:eastAsia="仿宋" w:cs="仿宋"/>
          <w:b/>
          <w:bCs/>
        </w:rPr>
        <w:instrText xml:space="preserve">HYPERLINK \l "_Toc61118386"</w:instrText>
      </w:r>
      <w:r>
        <w:rPr>
          <w:rStyle w:val="19"/>
          <w:rFonts w:hint="eastAsia" w:ascii="仿宋" w:hAnsi="仿宋" w:eastAsia="仿宋" w:cs="仿宋"/>
          <w:b/>
          <w:bCs/>
        </w:rPr>
        <w:instrText xml:space="preserve"> </w:instrText>
      </w:r>
      <w:r>
        <w:rPr>
          <w:rFonts w:hint="eastAsia" w:ascii="仿宋" w:hAnsi="仿宋" w:eastAsia="仿宋" w:cs="仿宋"/>
          <w:b/>
          <w:bCs/>
        </w:rPr>
        <w:fldChar w:fldCharType="separate"/>
      </w:r>
      <w:r>
        <w:rPr>
          <w:rStyle w:val="19"/>
          <w:rFonts w:hint="eastAsia" w:ascii="仿宋" w:hAnsi="仿宋" w:eastAsia="仿宋" w:cs="仿宋"/>
          <w:b/>
          <w:bCs/>
        </w:rPr>
        <w:t>招标公告</w:t>
      </w:r>
      <w:r>
        <w:rPr>
          <w:rFonts w:hint="eastAsia" w:ascii="仿宋" w:hAnsi="仿宋" w:eastAsia="仿宋" w:cs="仿宋"/>
          <w:b/>
          <w:bCs/>
        </w:rPr>
        <w:tab/>
      </w:r>
      <w:r>
        <w:rPr>
          <w:rFonts w:hint="eastAsia" w:ascii="仿宋" w:hAnsi="仿宋" w:cs="仿宋"/>
          <w:b/>
          <w:bCs/>
          <w:lang w:val="en-US" w:eastAsia="zh-CN"/>
        </w:rPr>
        <w:t>.............-1</w:t>
      </w:r>
      <w:r>
        <w:rPr>
          <w:rFonts w:hint="eastAsia" w:ascii="仿宋" w:hAnsi="仿宋" w:eastAsia="仿宋" w:cs="仿宋"/>
          <w:b/>
          <w:bCs/>
        </w:rPr>
        <w:fldChar w:fldCharType="end"/>
      </w:r>
      <w:r>
        <w:rPr>
          <w:rFonts w:hint="eastAsia" w:ascii="仿宋" w:hAnsi="仿宋" w:cs="仿宋"/>
          <w:b/>
          <w:bCs/>
          <w:lang w:val="en-US" w:eastAsia="zh-CN"/>
        </w:rPr>
        <w:t>-</w:t>
      </w:r>
    </w:p>
    <w:p w14:paraId="771F1300">
      <w:pPr>
        <w:pStyle w:val="12"/>
        <w:tabs>
          <w:tab w:val="right" w:leader="dot" w:pos="9736"/>
        </w:tabs>
        <w:rPr>
          <w:rFonts w:hint="eastAsia" w:ascii="仿宋" w:hAnsi="仿宋" w:eastAsia="仿宋" w:cs="仿宋"/>
          <w:b/>
          <w:bCs/>
          <w:szCs w:val="22"/>
          <w:lang w:val="en-US" w:eastAsia="zh-CN"/>
        </w:rPr>
      </w:pPr>
      <w:r>
        <w:rPr>
          <w:rFonts w:hint="eastAsia" w:ascii="仿宋" w:hAnsi="仿宋" w:eastAsia="仿宋" w:cs="仿宋"/>
          <w:b/>
          <w:bCs/>
        </w:rPr>
        <w:fldChar w:fldCharType="begin"/>
      </w:r>
      <w:r>
        <w:rPr>
          <w:rStyle w:val="19"/>
          <w:rFonts w:hint="eastAsia" w:ascii="仿宋" w:hAnsi="仿宋" w:eastAsia="仿宋" w:cs="仿宋"/>
          <w:b/>
          <w:bCs/>
        </w:rPr>
        <w:instrText xml:space="preserve"> </w:instrText>
      </w:r>
      <w:r>
        <w:rPr>
          <w:rFonts w:hint="eastAsia" w:ascii="仿宋" w:hAnsi="仿宋" w:eastAsia="仿宋" w:cs="仿宋"/>
          <w:b/>
          <w:bCs/>
        </w:rPr>
        <w:instrText xml:space="preserve">HYPERLINK \l "_Toc61118387"</w:instrText>
      </w:r>
      <w:r>
        <w:rPr>
          <w:rStyle w:val="19"/>
          <w:rFonts w:hint="eastAsia" w:ascii="仿宋" w:hAnsi="仿宋" w:eastAsia="仿宋" w:cs="仿宋"/>
          <w:b/>
          <w:bCs/>
        </w:rPr>
        <w:instrText xml:space="preserve"> </w:instrText>
      </w:r>
      <w:r>
        <w:rPr>
          <w:rFonts w:hint="eastAsia" w:ascii="仿宋" w:hAnsi="仿宋" w:eastAsia="仿宋" w:cs="仿宋"/>
          <w:b/>
          <w:bCs/>
        </w:rPr>
        <w:fldChar w:fldCharType="separate"/>
      </w:r>
      <w:r>
        <w:rPr>
          <w:rStyle w:val="19"/>
          <w:rFonts w:hint="eastAsia" w:ascii="仿宋" w:hAnsi="仿宋" w:eastAsia="仿宋" w:cs="仿宋"/>
          <w:b/>
          <w:bCs/>
        </w:rPr>
        <w:t>第一章 投标人须知</w:t>
      </w:r>
      <w:r>
        <w:rPr>
          <w:rFonts w:hint="eastAsia" w:ascii="仿宋" w:hAnsi="仿宋" w:eastAsia="仿宋" w:cs="仿宋"/>
          <w:b/>
          <w:bCs/>
        </w:rPr>
        <w:tab/>
      </w:r>
      <w:r>
        <w:rPr>
          <w:rFonts w:hint="eastAsia" w:ascii="仿宋" w:hAnsi="仿宋" w:eastAsia="仿宋" w:cs="仿宋"/>
          <w:b/>
          <w:bCs/>
        </w:rPr>
        <w:fldChar w:fldCharType="begin"/>
      </w:r>
      <w:r>
        <w:rPr>
          <w:rFonts w:hint="eastAsia" w:ascii="仿宋" w:hAnsi="仿宋" w:eastAsia="仿宋" w:cs="仿宋"/>
          <w:b/>
          <w:bCs/>
        </w:rPr>
        <w:instrText xml:space="preserve"> PAGEREF _Toc61118387 \h </w:instrText>
      </w:r>
      <w:r>
        <w:rPr>
          <w:rFonts w:hint="eastAsia" w:ascii="仿宋" w:hAnsi="仿宋" w:eastAsia="仿宋" w:cs="仿宋"/>
          <w:b/>
          <w:bCs/>
        </w:rPr>
        <w:fldChar w:fldCharType="separate"/>
      </w:r>
      <w:r>
        <w:rPr>
          <w:rFonts w:hint="eastAsia" w:ascii="仿宋" w:hAnsi="仿宋" w:eastAsia="仿宋" w:cs="仿宋"/>
          <w:b/>
          <w:bCs/>
        </w:rPr>
        <w:t>-4-</w:t>
      </w:r>
      <w:r>
        <w:rPr>
          <w:rFonts w:hint="eastAsia" w:ascii="仿宋" w:hAnsi="仿宋" w:eastAsia="仿宋" w:cs="仿宋"/>
          <w:b/>
          <w:bCs/>
        </w:rPr>
        <w:fldChar w:fldCharType="end"/>
      </w:r>
      <w:r>
        <w:rPr>
          <w:rFonts w:hint="eastAsia" w:ascii="仿宋" w:hAnsi="仿宋" w:eastAsia="仿宋" w:cs="仿宋"/>
          <w:b/>
          <w:bCs/>
        </w:rPr>
        <w:fldChar w:fldCharType="end"/>
      </w:r>
    </w:p>
    <w:p w14:paraId="6DBF91D6">
      <w:pPr>
        <w:pStyle w:val="12"/>
        <w:tabs>
          <w:tab w:val="right" w:leader="dot" w:pos="9736"/>
        </w:tabs>
        <w:rPr>
          <w:rFonts w:hint="eastAsia" w:ascii="仿宋" w:hAnsi="仿宋" w:eastAsia="仿宋" w:cs="仿宋"/>
          <w:b/>
          <w:bCs/>
          <w:szCs w:val="22"/>
          <w:lang w:val="en-US" w:eastAsia="zh-CN"/>
        </w:rPr>
      </w:pPr>
      <w:r>
        <w:rPr>
          <w:rFonts w:hint="eastAsia" w:ascii="仿宋" w:hAnsi="仿宋" w:eastAsia="仿宋" w:cs="仿宋"/>
          <w:b/>
          <w:bCs/>
        </w:rPr>
        <w:fldChar w:fldCharType="begin"/>
      </w:r>
      <w:r>
        <w:rPr>
          <w:rStyle w:val="19"/>
          <w:rFonts w:hint="eastAsia" w:ascii="仿宋" w:hAnsi="仿宋" w:eastAsia="仿宋" w:cs="仿宋"/>
          <w:b/>
          <w:bCs/>
        </w:rPr>
        <w:instrText xml:space="preserve"> </w:instrText>
      </w:r>
      <w:r>
        <w:rPr>
          <w:rFonts w:hint="eastAsia" w:ascii="仿宋" w:hAnsi="仿宋" w:eastAsia="仿宋" w:cs="仿宋"/>
          <w:b/>
          <w:bCs/>
        </w:rPr>
        <w:instrText xml:space="preserve">HYPERLINK \l "_Toc61118388"</w:instrText>
      </w:r>
      <w:r>
        <w:rPr>
          <w:rStyle w:val="19"/>
          <w:rFonts w:hint="eastAsia" w:ascii="仿宋" w:hAnsi="仿宋" w:eastAsia="仿宋" w:cs="仿宋"/>
          <w:b/>
          <w:bCs/>
        </w:rPr>
        <w:instrText xml:space="preserve"> </w:instrText>
      </w:r>
      <w:r>
        <w:rPr>
          <w:rFonts w:hint="eastAsia" w:ascii="仿宋" w:hAnsi="仿宋" w:eastAsia="仿宋" w:cs="仿宋"/>
          <w:b/>
          <w:bCs/>
        </w:rPr>
        <w:fldChar w:fldCharType="separate"/>
      </w:r>
      <w:r>
        <w:rPr>
          <w:rStyle w:val="19"/>
          <w:rFonts w:hint="eastAsia" w:ascii="仿宋" w:hAnsi="仿宋" w:eastAsia="仿宋" w:cs="仿宋"/>
          <w:b/>
          <w:bCs/>
        </w:rPr>
        <w:t>第二章 投标文件内容及格式</w:t>
      </w:r>
      <w:r>
        <w:rPr>
          <w:rFonts w:hint="eastAsia" w:ascii="仿宋" w:hAnsi="仿宋" w:eastAsia="仿宋" w:cs="仿宋"/>
          <w:b/>
          <w:bCs/>
        </w:rPr>
        <w:tab/>
      </w:r>
      <w:r>
        <w:rPr>
          <w:rFonts w:hint="eastAsia" w:ascii="仿宋" w:hAnsi="仿宋" w:eastAsia="仿宋" w:cs="仿宋"/>
          <w:b/>
          <w:bCs/>
        </w:rPr>
        <w:fldChar w:fldCharType="begin"/>
      </w:r>
      <w:r>
        <w:rPr>
          <w:rFonts w:hint="eastAsia" w:ascii="仿宋" w:hAnsi="仿宋" w:eastAsia="仿宋" w:cs="仿宋"/>
          <w:b/>
          <w:bCs/>
        </w:rPr>
        <w:instrText xml:space="preserve"> PAGEREF _Toc61118388 \h </w:instrText>
      </w:r>
      <w:r>
        <w:rPr>
          <w:rFonts w:hint="eastAsia" w:ascii="仿宋" w:hAnsi="仿宋" w:eastAsia="仿宋" w:cs="仿宋"/>
          <w:b/>
          <w:bCs/>
        </w:rPr>
        <w:fldChar w:fldCharType="separate"/>
      </w:r>
      <w:r>
        <w:rPr>
          <w:rFonts w:hint="eastAsia" w:ascii="仿宋" w:hAnsi="仿宋" w:eastAsia="仿宋" w:cs="仿宋"/>
          <w:b/>
          <w:bCs/>
        </w:rPr>
        <w:t>-23-</w:t>
      </w:r>
      <w:r>
        <w:rPr>
          <w:rFonts w:hint="eastAsia" w:ascii="仿宋" w:hAnsi="仿宋" w:eastAsia="仿宋" w:cs="仿宋"/>
          <w:b/>
          <w:bCs/>
        </w:rPr>
        <w:fldChar w:fldCharType="end"/>
      </w:r>
      <w:r>
        <w:rPr>
          <w:rFonts w:hint="eastAsia" w:ascii="仿宋" w:hAnsi="仿宋" w:eastAsia="仿宋" w:cs="仿宋"/>
          <w:b/>
          <w:bCs/>
        </w:rPr>
        <w:fldChar w:fldCharType="end"/>
      </w:r>
    </w:p>
    <w:p w14:paraId="1D6FE95D">
      <w:pPr>
        <w:pStyle w:val="12"/>
        <w:tabs>
          <w:tab w:val="right" w:leader="dot" w:pos="9736"/>
        </w:tabs>
        <w:rPr>
          <w:rFonts w:hint="eastAsia" w:ascii="仿宋" w:hAnsi="仿宋" w:eastAsia="仿宋" w:cs="仿宋"/>
          <w:b/>
          <w:bCs/>
          <w:szCs w:val="22"/>
          <w:lang w:val="en-US" w:eastAsia="zh-CN"/>
        </w:rPr>
      </w:pPr>
      <w:r>
        <w:rPr>
          <w:rFonts w:hint="eastAsia" w:ascii="仿宋" w:hAnsi="仿宋" w:eastAsia="仿宋" w:cs="仿宋"/>
          <w:b/>
          <w:bCs/>
        </w:rPr>
        <w:fldChar w:fldCharType="begin"/>
      </w:r>
      <w:r>
        <w:rPr>
          <w:rStyle w:val="19"/>
          <w:rFonts w:hint="eastAsia" w:ascii="仿宋" w:hAnsi="仿宋" w:eastAsia="仿宋" w:cs="仿宋"/>
          <w:b/>
          <w:bCs/>
        </w:rPr>
        <w:instrText xml:space="preserve"> </w:instrText>
      </w:r>
      <w:r>
        <w:rPr>
          <w:rFonts w:hint="eastAsia" w:ascii="仿宋" w:hAnsi="仿宋" w:eastAsia="仿宋" w:cs="仿宋"/>
          <w:b/>
          <w:bCs/>
        </w:rPr>
        <w:instrText xml:space="preserve">HYPERLINK \l "_Toc61118393"</w:instrText>
      </w:r>
      <w:r>
        <w:rPr>
          <w:rStyle w:val="19"/>
          <w:rFonts w:hint="eastAsia" w:ascii="仿宋" w:hAnsi="仿宋" w:eastAsia="仿宋" w:cs="仿宋"/>
          <w:b/>
          <w:bCs/>
        </w:rPr>
        <w:instrText xml:space="preserve"> </w:instrText>
      </w:r>
      <w:r>
        <w:rPr>
          <w:rFonts w:hint="eastAsia" w:ascii="仿宋" w:hAnsi="仿宋" w:eastAsia="仿宋" w:cs="仿宋"/>
          <w:b/>
          <w:bCs/>
        </w:rPr>
        <w:fldChar w:fldCharType="separate"/>
      </w:r>
      <w:r>
        <w:rPr>
          <w:rStyle w:val="19"/>
          <w:rFonts w:hint="eastAsia" w:ascii="仿宋" w:hAnsi="仿宋" w:eastAsia="仿宋" w:cs="仿宋"/>
          <w:b/>
          <w:bCs/>
        </w:rPr>
        <w:t xml:space="preserve">第三章 </w:t>
      </w:r>
      <w:r>
        <w:rPr>
          <w:rStyle w:val="19"/>
          <w:rFonts w:hint="eastAsia" w:ascii="仿宋" w:hAnsi="仿宋" w:cs="仿宋"/>
          <w:b/>
          <w:bCs/>
          <w:lang w:val="en-US" w:eastAsia="zh-CN"/>
        </w:rPr>
        <w:t>服务</w:t>
      </w:r>
      <w:r>
        <w:rPr>
          <w:rStyle w:val="19"/>
          <w:rFonts w:hint="eastAsia" w:ascii="仿宋" w:hAnsi="仿宋" w:eastAsia="仿宋" w:cs="仿宋"/>
          <w:b/>
          <w:bCs/>
        </w:rPr>
        <w:t>需求</w:t>
      </w:r>
      <w:r>
        <w:rPr>
          <w:rFonts w:hint="eastAsia" w:ascii="仿宋" w:hAnsi="仿宋" w:eastAsia="仿宋" w:cs="仿宋"/>
          <w:b/>
          <w:bCs/>
        </w:rPr>
        <w:tab/>
      </w:r>
      <w:r>
        <w:rPr>
          <w:rFonts w:hint="eastAsia" w:ascii="仿宋" w:hAnsi="仿宋" w:eastAsia="仿宋" w:cs="仿宋"/>
          <w:b/>
          <w:bCs/>
        </w:rPr>
        <w:fldChar w:fldCharType="begin"/>
      </w:r>
      <w:r>
        <w:rPr>
          <w:rFonts w:hint="eastAsia" w:ascii="仿宋" w:hAnsi="仿宋" w:eastAsia="仿宋" w:cs="仿宋"/>
          <w:b/>
          <w:bCs/>
        </w:rPr>
        <w:instrText xml:space="preserve"> PAGEREF _Toc61118393 \h </w:instrText>
      </w:r>
      <w:r>
        <w:rPr>
          <w:rFonts w:hint="eastAsia" w:ascii="仿宋" w:hAnsi="仿宋" w:eastAsia="仿宋" w:cs="仿宋"/>
          <w:b/>
          <w:bCs/>
        </w:rPr>
        <w:fldChar w:fldCharType="separate"/>
      </w:r>
      <w:r>
        <w:rPr>
          <w:rFonts w:hint="eastAsia" w:ascii="仿宋" w:hAnsi="仿宋" w:eastAsia="仿宋" w:cs="仿宋"/>
          <w:b/>
          <w:bCs/>
        </w:rPr>
        <w:t>-28-</w:t>
      </w:r>
      <w:r>
        <w:rPr>
          <w:rFonts w:hint="eastAsia" w:ascii="仿宋" w:hAnsi="仿宋" w:eastAsia="仿宋" w:cs="仿宋"/>
          <w:b/>
          <w:bCs/>
        </w:rPr>
        <w:fldChar w:fldCharType="end"/>
      </w:r>
      <w:r>
        <w:rPr>
          <w:rFonts w:hint="eastAsia" w:ascii="仿宋" w:hAnsi="仿宋" w:eastAsia="仿宋" w:cs="仿宋"/>
          <w:b/>
          <w:bCs/>
        </w:rPr>
        <w:fldChar w:fldCharType="end"/>
      </w:r>
    </w:p>
    <w:p w14:paraId="70363D52">
      <w:pPr>
        <w:pStyle w:val="12"/>
        <w:tabs>
          <w:tab w:val="right" w:leader="dot" w:pos="9736"/>
        </w:tabs>
        <w:rPr>
          <w:rFonts w:hint="eastAsia" w:ascii="仿宋" w:hAnsi="仿宋" w:eastAsia="仿宋" w:cs="仿宋"/>
          <w:b/>
          <w:bCs/>
          <w:szCs w:val="22"/>
          <w:lang w:val="en-US" w:eastAsia="zh-CN"/>
        </w:rPr>
      </w:pPr>
      <w:r>
        <w:rPr>
          <w:rFonts w:hint="eastAsia" w:ascii="仿宋" w:hAnsi="仿宋" w:eastAsia="仿宋" w:cs="仿宋"/>
          <w:b/>
          <w:bCs/>
        </w:rPr>
        <w:fldChar w:fldCharType="begin"/>
      </w:r>
      <w:r>
        <w:rPr>
          <w:rStyle w:val="19"/>
          <w:rFonts w:hint="eastAsia" w:ascii="仿宋" w:hAnsi="仿宋" w:eastAsia="仿宋" w:cs="仿宋"/>
          <w:b/>
          <w:bCs/>
        </w:rPr>
        <w:instrText xml:space="preserve"> </w:instrText>
      </w:r>
      <w:r>
        <w:rPr>
          <w:rFonts w:hint="eastAsia" w:ascii="仿宋" w:hAnsi="仿宋" w:eastAsia="仿宋" w:cs="仿宋"/>
          <w:b/>
          <w:bCs/>
        </w:rPr>
        <w:instrText xml:space="preserve">HYPERLINK \l "_Toc61118394"</w:instrText>
      </w:r>
      <w:r>
        <w:rPr>
          <w:rStyle w:val="19"/>
          <w:rFonts w:hint="eastAsia" w:ascii="仿宋" w:hAnsi="仿宋" w:eastAsia="仿宋" w:cs="仿宋"/>
          <w:b/>
          <w:bCs/>
        </w:rPr>
        <w:instrText xml:space="preserve"> </w:instrText>
      </w:r>
      <w:r>
        <w:rPr>
          <w:rFonts w:hint="eastAsia" w:ascii="仿宋" w:hAnsi="仿宋" w:eastAsia="仿宋" w:cs="仿宋"/>
          <w:b/>
          <w:bCs/>
        </w:rPr>
        <w:fldChar w:fldCharType="separate"/>
      </w:r>
      <w:r>
        <w:rPr>
          <w:rStyle w:val="19"/>
          <w:rFonts w:hint="eastAsia" w:ascii="仿宋" w:hAnsi="仿宋" w:eastAsia="仿宋" w:cs="仿宋"/>
          <w:b/>
          <w:bCs/>
        </w:rPr>
        <w:t>第四章 评标方法</w:t>
      </w:r>
      <w:r>
        <w:rPr>
          <w:rFonts w:hint="eastAsia" w:ascii="仿宋" w:hAnsi="仿宋" w:eastAsia="仿宋" w:cs="仿宋"/>
          <w:b/>
          <w:bCs/>
        </w:rPr>
        <w:tab/>
      </w:r>
      <w:r>
        <w:rPr>
          <w:rFonts w:hint="eastAsia" w:ascii="仿宋" w:hAnsi="仿宋" w:cs="仿宋"/>
          <w:b/>
          <w:bCs/>
          <w:lang w:val="en-US" w:eastAsia="zh-CN"/>
        </w:rPr>
        <w:t>-7</w:t>
      </w:r>
      <w:r>
        <w:rPr>
          <w:rFonts w:hint="eastAsia" w:ascii="仿宋" w:hAnsi="仿宋" w:eastAsia="仿宋" w:cs="仿宋"/>
          <w:b/>
          <w:bCs/>
        </w:rPr>
        <w:fldChar w:fldCharType="end"/>
      </w:r>
      <w:r>
        <w:rPr>
          <w:rFonts w:hint="eastAsia" w:ascii="仿宋" w:hAnsi="仿宋" w:cs="仿宋"/>
          <w:b/>
          <w:bCs/>
          <w:lang w:val="en-US" w:eastAsia="zh-CN"/>
        </w:rPr>
        <w:t>4-</w:t>
      </w:r>
    </w:p>
    <w:p w14:paraId="3EEAFB87">
      <w:pPr>
        <w:pStyle w:val="12"/>
        <w:tabs>
          <w:tab w:val="right" w:leader="dot" w:pos="9736"/>
        </w:tabs>
        <w:rPr>
          <w:rFonts w:hint="eastAsia" w:ascii="仿宋" w:hAnsi="仿宋" w:eastAsia="仿宋" w:cs="仿宋"/>
          <w:szCs w:val="22"/>
          <w:lang w:val="en-US" w:eastAsia="zh-CN"/>
        </w:rPr>
      </w:pPr>
      <w:r>
        <w:rPr>
          <w:rFonts w:hint="eastAsia" w:ascii="仿宋" w:hAnsi="仿宋" w:eastAsia="仿宋" w:cs="仿宋"/>
          <w:b/>
          <w:bCs/>
        </w:rPr>
        <w:fldChar w:fldCharType="begin"/>
      </w:r>
      <w:r>
        <w:rPr>
          <w:rStyle w:val="19"/>
          <w:rFonts w:hint="eastAsia" w:ascii="仿宋" w:hAnsi="仿宋" w:eastAsia="仿宋" w:cs="仿宋"/>
          <w:b/>
          <w:bCs/>
        </w:rPr>
        <w:instrText xml:space="preserve"> </w:instrText>
      </w:r>
      <w:r>
        <w:rPr>
          <w:rFonts w:hint="eastAsia" w:ascii="仿宋" w:hAnsi="仿宋" w:eastAsia="仿宋" w:cs="仿宋"/>
          <w:b/>
          <w:bCs/>
        </w:rPr>
        <w:instrText xml:space="preserve">HYPERLINK \l "_Toc61118395"</w:instrText>
      </w:r>
      <w:r>
        <w:rPr>
          <w:rStyle w:val="19"/>
          <w:rFonts w:hint="eastAsia" w:ascii="仿宋" w:hAnsi="仿宋" w:eastAsia="仿宋" w:cs="仿宋"/>
          <w:b/>
          <w:bCs/>
        </w:rPr>
        <w:instrText xml:space="preserve"> </w:instrText>
      </w:r>
      <w:r>
        <w:rPr>
          <w:rFonts w:hint="eastAsia" w:ascii="仿宋" w:hAnsi="仿宋" w:eastAsia="仿宋" w:cs="仿宋"/>
          <w:b/>
          <w:bCs/>
        </w:rPr>
        <w:fldChar w:fldCharType="separate"/>
      </w:r>
      <w:r>
        <w:rPr>
          <w:rStyle w:val="19"/>
          <w:rFonts w:hint="eastAsia" w:ascii="仿宋" w:hAnsi="仿宋" w:eastAsia="仿宋" w:cs="仿宋"/>
          <w:b/>
          <w:bCs/>
        </w:rPr>
        <w:t>第五章 政府采购合同条款及格式</w:t>
      </w:r>
      <w:r>
        <w:rPr>
          <w:rFonts w:hint="eastAsia" w:ascii="仿宋" w:hAnsi="仿宋" w:eastAsia="仿宋" w:cs="仿宋"/>
          <w:b/>
          <w:bCs/>
        </w:rPr>
        <w:tab/>
      </w:r>
      <w:r>
        <w:rPr>
          <w:rFonts w:hint="eastAsia" w:ascii="仿宋" w:hAnsi="仿宋" w:cs="仿宋"/>
          <w:b/>
          <w:bCs/>
          <w:lang w:val="en-US" w:eastAsia="zh-CN"/>
        </w:rPr>
        <w:t>-</w:t>
      </w:r>
      <w:r>
        <w:rPr>
          <w:rFonts w:hint="eastAsia" w:ascii="仿宋" w:hAnsi="仿宋" w:eastAsia="仿宋" w:cs="仿宋"/>
          <w:b/>
          <w:bCs/>
        </w:rPr>
        <w:fldChar w:fldCharType="begin"/>
      </w:r>
      <w:r>
        <w:rPr>
          <w:rFonts w:hint="eastAsia" w:ascii="仿宋" w:hAnsi="仿宋" w:eastAsia="仿宋" w:cs="仿宋"/>
          <w:b/>
          <w:bCs/>
        </w:rPr>
        <w:instrText xml:space="preserve"> PAGEREF _Toc61118395 \h </w:instrText>
      </w:r>
      <w:r>
        <w:rPr>
          <w:rFonts w:hint="eastAsia" w:ascii="仿宋" w:hAnsi="仿宋" w:eastAsia="仿宋" w:cs="仿宋"/>
          <w:b/>
          <w:bCs/>
        </w:rPr>
        <w:fldChar w:fldCharType="separate"/>
      </w:r>
      <w:r>
        <w:rPr>
          <w:rFonts w:hint="eastAsia" w:ascii="仿宋" w:hAnsi="仿宋" w:eastAsia="仿宋" w:cs="仿宋"/>
          <w:b/>
          <w:bCs/>
        </w:rPr>
        <w:t>83-</w:t>
      </w:r>
      <w:r>
        <w:rPr>
          <w:rFonts w:hint="eastAsia" w:ascii="仿宋" w:hAnsi="仿宋" w:eastAsia="仿宋" w:cs="仿宋"/>
          <w:b/>
          <w:bCs/>
        </w:rPr>
        <w:fldChar w:fldCharType="end"/>
      </w:r>
      <w:r>
        <w:rPr>
          <w:rFonts w:hint="eastAsia" w:ascii="仿宋" w:hAnsi="仿宋" w:eastAsia="仿宋" w:cs="仿宋"/>
          <w:b/>
          <w:bCs/>
        </w:rPr>
        <w:fldChar w:fldCharType="end"/>
      </w:r>
    </w:p>
    <w:p w14:paraId="5FD9BDC3">
      <w:pPr>
        <w:spacing w:line="480" w:lineRule="auto"/>
        <w:rPr>
          <w:rFonts w:hint="eastAsia" w:ascii="仿宋" w:hAnsi="仿宋" w:eastAsia="仿宋" w:cs="仿宋"/>
        </w:rPr>
      </w:pPr>
      <w:r>
        <w:rPr>
          <w:rFonts w:hint="eastAsia" w:ascii="仿宋" w:hAnsi="仿宋" w:eastAsia="仿宋" w:cs="仿宋"/>
          <w:bCs/>
        </w:rPr>
        <w:fldChar w:fldCharType="end"/>
      </w:r>
    </w:p>
    <w:p w14:paraId="0D7EF92A">
      <w:pPr>
        <w:pStyle w:val="2"/>
        <w:rPr>
          <w:rFonts w:hint="eastAsia" w:ascii="仿宋" w:hAnsi="仿宋" w:eastAsia="仿宋" w:cs="仿宋"/>
        </w:rPr>
        <w:sectPr>
          <w:headerReference r:id="rId4" w:type="default"/>
          <w:footerReference r:id="rId5" w:type="default"/>
          <w:pgSz w:w="11906" w:h="16838"/>
          <w:pgMar w:top="1440" w:right="1080" w:bottom="1440" w:left="1080" w:header="851" w:footer="992" w:gutter="0"/>
          <w:pgNumType w:fmt="numberInDash" w:start="1"/>
          <w:cols w:space="720" w:num="1"/>
          <w:docGrid w:type="linesAndChars" w:linePitch="312" w:charSpace="0"/>
        </w:sectPr>
      </w:pPr>
      <w:bookmarkStart w:id="0" w:name="_Toc1124_WPSOffice_Level1"/>
    </w:p>
    <w:bookmarkEnd w:id="0"/>
    <w:p w14:paraId="16E73663">
      <w:pPr>
        <w:rPr>
          <w:rFonts w:hint="eastAsia" w:ascii="仿宋" w:hAnsi="仿宋" w:eastAsia="仿宋" w:cs="仿宋"/>
        </w:rPr>
      </w:pPr>
      <w:bookmarkStart w:id="1" w:name="_Toc26518_WPSOffice_Level1"/>
    </w:p>
    <w:p w14:paraId="64919119">
      <w:pPr>
        <w:pStyle w:val="2"/>
        <w:spacing w:line="500" w:lineRule="exact"/>
        <w:ind w:left="138"/>
        <w:rPr>
          <w:rFonts w:hint="eastAsia" w:ascii="仿宋" w:hAnsi="仿宋" w:cs="仿宋"/>
          <w:sz w:val="40"/>
          <w:szCs w:val="22"/>
        </w:rPr>
      </w:pPr>
      <w:bookmarkStart w:id="2" w:name="_Toc61118386"/>
      <w:bookmarkStart w:id="3" w:name="_Toc61118387"/>
      <w:r>
        <w:rPr>
          <w:rFonts w:hint="eastAsia" w:ascii="仿宋" w:hAnsi="仿宋" w:cs="仿宋"/>
          <w:sz w:val="40"/>
          <w:szCs w:val="22"/>
          <w:lang w:eastAsia="zh-CN"/>
        </w:rPr>
        <w:t>义县县域医共体与第三方医学检验机构联合建设区域检验与病理中心项目</w:t>
      </w:r>
      <w:r>
        <w:rPr>
          <w:rFonts w:hint="eastAsia" w:ascii="仿宋" w:hAnsi="仿宋" w:cs="仿宋"/>
          <w:sz w:val="40"/>
          <w:szCs w:val="22"/>
        </w:rPr>
        <w:t>招标公告</w:t>
      </w:r>
      <w:bookmarkEnd w:id="2"/>
    </w:p>
    <w:p w14:paraId="3B716D78">
      <w:pPr>
        <w:pBdr>
          <w:top w:val="single" w:color="auto" w:sz="4" w:space="0"/>
          <w:left w:val="single" w:color="auto" w:sz="4" w:space="0"/>
          <w:bottom w:val="single" w:color="auto" w:sz="4" w:space="0"/>
          <w:right w:val="single" w:color="auto" w:sz="4" w:space="0"/>
        </w:pBdr>
        <w:spacing w:line="360" w:lineRule="auto"/>
        <w:ind w:firstLine="432" w:firstLineChars="200"/>
        <w:jc w:val="left"/>
        <w:rPr>
          <w:rFonts w:hint="eastAsia" w:ascii="仿宋" w:hAnsi="仿宋" w:cs="仿宋"/>
          <w:color w:val="auto"/>
          <w:spacing w:val="3"/>
          <w:szCs w:val="21"/>
          <w:lang w:bidi="zh-CN"/>
        </w:rPr>
      </w:pPr>
      <w:r>
        <w:rPr>
          <w:rFonts w:hint="eastAsia" w:ascii="仿宋" w:hAnsi="仿宋" w:cs="仿宋"/>
          <w:spacing w:val="3"/>
          <w:szCs w:val="21"/>
          <w:lang w:bidi="zh-CN"/>
        </w:rPr>
        <w:t>项目概况</w:t>
      </w:r>
    </w:p>
    <w:p w14:paraId="1CCEB421">
      <w:pPr>
        <w:pBdr>
          <w:top w:val="single" w:color="auto" w:sz="4" w:space="0"/>
          <w:left w:val="single" w:color="auto" w:sz="4" w:space="0"/>
          <w:bottom w:val="single" w:color="auto" w:sz="4" w:space="0"/>
          <w:right w:val="single" w:color="auto" w:sz="4" w:space="0"/>
        </w:pBdr>
        <w:spacing w:line="360" w:lineRule="auto"/>
        <w:ind w:firstLine="432" w:firstLineChars="200"/>
        <w:jc w:val="left"/>
        <w:rPr>
          <w:rFonts w:hint="eastAsia" w:ascii="仿宋" w:hAnsi="仿宋" w:cs="仿宋"/>
          <w:color w:val="auto"/>
          <w:spacing w:val="3"/>
          <w:szCs w:val="21"/>
          <w:lang w:bidi="zh-CN"/>
        </w:rPr>
      </w:pPr>
      <w:r>
        <w:rPr>
          <w:rFonts w:hint="eastAsia" w:ascii="仿宋" w:hAnsi="仿宋" w:cs="仿宋"/>
          <w:color w:val="auto"/>
          <w:spacing w:val="3"/>
          <w:szCs w:val="21"/>
          <w:u w:val="single"/>
          <w:lang w:bidi="zh-CN"/>
        </w:rPr>
        <w:t>义县县域医共体与第三方医学检验机构联合建设区域检验与病理中心项目</w:t>
      </w:r>
      <w:r>
        <w:rPr>
          <w:rFonts w:hint="eastAsia" w:ascii="仿宋" w:hAnsi="仿宋" w:cs="仿宋"/>
          <w:color w:val="auto"/>
          <w:spacing w:val="3"/>
          <w:szCs w:val="21"/>
          <w:lang w:bidi="zh-CN"/>
        </w:rPr>
        <w:t>的潜在投标单位应在</w:t>
      </w:r>
      <w:r>
        <w:rPr>
          <w:rFonts w:hint="eastAsia" w:ascii="仿宋" w:hAnsi="仿宋" w:cs="仿宋"/>
          <w:color w:val="auto"/>
          <w:spacing w:val="3"/>
          <w:szCs w:val="21"/>
          <w:u w:val="single"/>
          <w:lang w:bidi="zh-CN"/>
        </w:rPr>
        <w:t>线上</w:t>
      </w:r>
      <w:r>
        <w:rPr>
          <w:rFonts w:hint="eastAsia" w:ascii="仿宋" w:hAnsi="仿宋" w:cs="仿宋"/>
          <w:color w:val="auto"/>
          <w:spacing w:val="3"/>
          <w:szCs w:val="21"/>
          <w:lang w:bidi="zh-CN"/>
        </w:rPr>
        <w:t>获取招标文件并于</w:t>
      </w:r>
      <w:r>
        <w:rPr>
          <w:rFonts w:hint="eastAsia" w:ascii="仿宋" w:hAnsi="仿宋" w:cs="仿宋"/>
          <w:color w:val="auto"/>
          <w:spacing w:val="3"/>
          <w:szCs w:val="21"/>
          <w:u w:val="single"/>
          <w:lang w:val="en-US" w:bidi="zh-CN"/>
        </w:rPr>
        <w:t>2025年10</w:t>
      </w:r>
      <w:r>
        <w:rPr>
          <w:rFonts w:hint="eastAsia" w:ascii="仿宋" w:hAnsi="仿宋" w:cs="仿宋"/>
          <w:color w:val="auto"/>
          <w:spacing w:val="3"/>
          <w:szCs w:val="21"/>
          <w:u w:val="single"/>
          <w:lang w:bidi="zh-CN"/>
        </w:rPr>
        <w:t>月</w:t>
      </w:r>
      <w:r>
        <w:rPr>
          <w:rFonts w:hint="eastAsia" w:ascii="仿宋" w:hAnsi="仿宋" w:cs="仿宋"/>
          <w:color w:val="auto"/>
          <w:spacing w:val="3"/>
          <w:szCs w:val="21"/>
          <w:u w:val="single"/>
          <w:lang w:val="en-US" w:bidi="zh-CN"/>
        </w:rPr>
        <w:t>14</w:t>
      </w:r>
      <w:r>
        <w:rPr>
          <w:rFonts w:hint="eastAsia" w:ascii="仿宋" w:hAnsi="仿宋" w:cs="仿宋"/>
          <w:color w:val="auto"/>
          <w:spacing w:val="3"/>
          <w:szCs w:val="21"/>
          <w:u w:val="single"/>
          <w:lang w:bidi="zh-CN"/>
        </w:rPr>
        <w:t>日</w:t>
      </w:r>
      <w:r>
        <w:rPr>
          <w:rFonts w:hint="eastAsia" w:ascii="仿宋" w:hAnsi="仿宋" w:cs="仿宋"/>
          <w:color w:val="auto"/>
          <w:spacing w:val="3"/>
          <w:szCs w:val="21"/>
          <w:u w:val="single"/>
          <w:lang w:val="en-US" w:bidi="zh-CN"/>
        </w:rPr>
        <w:t>09</w:t>
      </w:r>
      <w:r>
        <w:rPr>
          <w:rFonts w:hint="eastAsia" w:ascii="仿宋" w:hAnsi="仿宋" w:cs="仿宋"/>
          <w:color w:val="auto"/>
          <w:spacing w:val="3"/>
          <w:szCs w:val="21"/>
          <w:u w:val="single"/>
          <w:lang w:bidi="zh-CN"/>
        </w:rPr>
        <w:t>时00分</w:t>
      </w:r>
      <w:r>
        <w:rPr>
          <w:rFonts w:hint="eastAsia" w:ascii="仿宋" w:hAnsi="仿宋" w:cs="仿宋"/>
          <w:color w:val="auto"/>
          <w:spacing w:val="3"/>
          <w:szCs w:val="21"/>
          <w:lang w:bidi="zh-CN"/>
        </w:rPr>
        <w:t>（北京时间）前递交投标文件。</w:t>
      </w:r>
    </w:p>
    <w:p w14:paraId="39030F4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rPr>
        <w:t>一、项目基本情况</w:t>
      </w:r>
    </w:p>
    <w:p w14:paraId="71A816DC">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项目编号：</w:t>
      </w:r>
      <w:r>
        <w:rPr>
          <w:rFonts w:hint="eastAsia" w:ascii="仿宋" w:hAnsi="仿宋" w:cs="仿宋"/>
          <w:color w:val="auto"/>
          <w:spacing w:val="3"/>
          <w:szCs w:val="21"/>
          <w:u w:val="single"/>
          <w:lang w:bidi="zh-CN"/>
        </w:rPr>
        <w:t xml:space="preserve">JH25-210727-00058  </w:t>
      </w:r>
      <w:r>
        <w:rPr>
          <w:rFonts w:hint="eastAsia" w:ascii="仿宋" w:hAnsi="仿宋" w:cs="仿宋"/>
          <w:color w:val="auto"/>
          <w:spacing w:val="3"/>
          <w:szCs w:val="21"/>
          <w:lang w:bidi="zh-CN"/>
        </w:rPr>
        <w:t xml:space="preserve">  </w:t>
      </w:r>
    </w:p>
    <w:p w14:paraId="31757ECA">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项目名称：</w:t>
      </w:r>
      <w:r>
        <w:rPr>
          <w:rFonts w:hint="eastAsia" w:ascii="仿宋" w:hAnsi="仿宋" w:cs="仿宋"/>
          <w:color w:val="auto"/>
          <w:spacing w:val="3"/>
          <w:szCs w:val="21"/>
          <w:u w:val="single"/>
          <w:lang w:bidi="zh-CN"/>
        </w:rPr>
        <w:t>义县县域医共体与第三方医学检验机构联合建设区域检验与病理中心项目</w:t>
      </w:r>
    </w:p>
    <w:p w14:paraId="37521A70">
      <w:pPr>
        <w:keepNext w:val="0"/>
        <w:keepLines w:val="0"/>
        <w:pageBreakBefore w:val="0"/>
        <w:widowControl w:val="0"/>
        <w:kinsoku/>
        <w:wordWrap/>
        <w:overflowPunct/>
        <w:topLinePunct w:val="0"/>
        <w:autoSpaceDE/>
        <w:autoSpaceDN/>
        <w:bidi w:val="0"/>
        <w:adjustRightInd/>
        <w:snapToGrid/>
        <w:spacing w:line="360" w:lineRule="auto"/>
        <w:ind w:firstLine="434" w:firstLineChars="200"/>
        <w:jc w:val="left"/>
        <w:textAlignment w:val="auto"/>
        <w:rPr>
          <w:rFonts w:hint="eastAsia" w:ascii="仿宋" w:hAnsi="仿宋" w:cs="仿宋"/>
          <w:b/>
          <w:color w:val="auto"/>
          <w:spacing w:val="3"/>
          <w:szCs w:val="21"/>
          <w:lang w:bidi="zh-CN"/>
        </w:rPr>
      </w:pPr>
      <w:r>
        <w:rPr>
          <w:rFonts w:hint="eastAsia" w:ascii="仿宋" w:hAnsi="仿宋" w:cs="仿宋"/>
          <w:b/>
          <w:color w:val="auto"/>
          <w:spacing w:val="3"/>
          <w:szCs w:val="21"/>
          <w:lang w:bidi="zh-CN"/>
        </w:rPr>
        <w:t>包组编号：0</w:t>
      </w:r>
      <w:r>
        <w:rPr>
          <w:rFonts w:hint="eastAsia" w:ascii="仿宋" w:hAnsi="仿宋" w:cs="仿宋"/>
          <w:b/>
          <w:color w:val="auto"/>
          <w:spacing w:val="3"/>
          <w:szCs w:val="21"/>
          <w:lang w:val="en-US" w:bidi="zh-CN"/>
        </w:rPr>
        <w:t>0</w:t>
      </w:r>
      <w:r>
        <w:rPr>
          <w:rFonts w:hint="eastAsia" w:ascii="仿宋" w:hAnsi="仿宋" w:cs="仿宋"/>
          <w:b/>
          <w:color w:val="auto"/>
          <w:spacing w:val="3"/>
          <w:szCs w:val="21"/>
          <w:lang w:bidi="zh-CN"/>
        </w:rPr>
        <w:t>1</w:t>
      </w:r>
    </w:p>
    <w:p w14:paraId="4D040871">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default" w:ascii="仿宋" w:hAnsi="仿宋" w:cs="仿宋"/>
          <w:color w:val="auto"/>
          <w:spacing w:val="3"/>
          <w:szCs w:val="21"/>
          <w:lang w:val="en-US" w:bidi="zh-CN"/>
        </w:rPr>
      </w:pPr>
      <w:r>
        <w:rPr>
          <w:rFonts w:hint="eastAsia" w:ascii="仿宋" w:hAnsi="仿宋" w:cs="仿宋"/>
          <w:color w:val="auto"/>
          <w:spacing w:val="3"/>
          <w:szCs w:val="21"/>
          <w:lang w:bidi="zh-CN"/>
        </w:rPr>
        <w:t>预算金额（元）：</w:t>
      </w:r>
      <w:r>
        <w:rPr>
          <w:rFonts w:hint="eastAsia" w:ascii="仿宋" w:hAnsi="仿宋" w:cs="仿宋"/>
          <w:color w:val="auto"/>
          <w:spacing w:val="3"/>
          <w:szCs w:val="21"/>
          <w:lang w:val="en-US" w:bidi="zh-CN"/>
        </w:rPr>
        <w:t>3,520,000.00</w:t>
      </w:r>
    </w:p>
    <w:p w14:paraId="0DA7AD05">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b/>
          <w:bCs/>
          <w:color w:val="auto"/>
          <w:spacing w:val="3"/>
          <w:szCs w:val="21"/>
          <w:lang w:bidi="zh-CN"/>
        </w:rPr>
      </w:pPr>
      <w:r>
        <w:rPr>
          <w:rFonts w:hint="eastAsia" w:ascii="仿宋" w:hAnsi="仿宋" w:cs="仿宋"/>
          <w:color w:val="auto"/>
          <w:spacing w:val="3"/>
          <w:szCs w:val="21"/>
          <w:lang w:bidi="zh-CN"/>
        </w:rPr>
        <w:t>最高限价（</w:t>
      </w:r>
      <w:r>
        <w:rPr>
          <w:rFonts w:hint="eastAsia" w:ascii="仿宋" w:hAnsi="仿宋" w:cs="仿宋"/>
          <w:color w:val="auto"/>
          <w:spacing w:val="3"/>
          <w:szCs w:val="21"/>
          <w:lang w:val="en-US" w:bidi="zh-CN"/>
        </w:rPr>
        <w:t>%</w:t>
      </w:r>
      <w:r>
        <w:rPr>
          <w:rFonts w:hint="eastAsia" w:ascii="仿宋" w:hAnsi="仿宋" w:cs="仿宋"/>
          <w:color w:val="auto"/>
          <w:spacing w:val="3"/>
          <w:szCs w:val="21"/>
          <w:lang w:bidi="zh-CN"/>
        </w:rPr>
        <w:t>）：检验项目外送服务收费最高限价为辽宁省政府相关规定的收费标准的55%</w:t>
      </w:r>
    </w:p>
    <w:p w14:paraId="004C284D">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采</w:t>
      </w:r>
      <w:r>
        <w:rPr>
          <w:rFonts w:hint="eastAsia" w:ascii="仿宋" w:hAnsi="仿宋" w:cs="仿宋"/>
          <w:color w:val="auto"/>
          <w:spacing w:val="3"/>
          <w:szCs w:val="21"/>
          <w:highlight w:val="none"/>
          <w:lang w:bidi="zh-CN"/>
        </w:rPr>
        <w:t>购需求：在义县医共体检验、病理中心基础上由中标方负责投资建设高标准的区域检验及病理中心，打造区域检验共享平台、远程病理会诊平台。按照检验结果互认规则，推行义县区域检验中心内所有医疗机构间检验结果互认。检验中心将由中标方与采购人利用双方各自优势，以IS015 189</w:t>
      </w:r>
      <w:r>
        <w:rPr>
          <w:rFonts w:hint="eastAsia" w:ascii="仿宋" w:hAnsi="仿宋" w:cs="仿宋"/>
          <w:color w:val="auto"/>
          <w:spacing w:val="3"/>
          <w:szCs w:val="21"/>
          <w:lang w:bidi="zh-CN"/>
        </w:rPr>
        <w:t>标准规划建设。</w:t>
      </w:r>
    </w:p>
    <w:p w14:paraId="2B40564A">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合同履行期限：</w:t>
      </w:r>
      <w:r>
        <w:rPr>
          <w:rFonts w:hint="eastAsia" w:ascii="仿宋" w:hAnsi="仿宋" w:eastAsia="仿宋" w:cs="仿宋"/>
          <w:szCs w:val="21"/>
          <w:highlight w:val="none"/>
        </w:rPr>
        <w:t>5年。合同期届满后双方无异议，可续签合同，续签期不超过3年。</w:t>
      </w:r>
    </w:p>
    <w:p w14:paraId="5B2441C8">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需落实的政府采购政策内容：落实政策为促进中小企业、促进残疾人就业、支持监狱企业、支持脱贫攻坚等相关政策。</w:t>
      </w:r>
    </w:p>
    <w:p w14:paraId="77094825">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本项目（否）接受联合体投标</w:t>
      </w:r>
    </w:p>
    <w:p w14:paraId="50996BD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rPr>
        <w:t>二、投标单位的资格要求：</w:t>
      </w:r>
    </w:p>
    <w:p w14:paraId="54BC6E96">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1.满足《中华人民共和国政府采购法》第二十二条规定；</w:t>
      </w:r>
    </w:p>
    <w:p w14:paraId="2DC1B047">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2.落实政府采购政策需满足的资格要求：根据《财政部 工业和信息化部关于印发&lt;政府采购促进中小企业发展管理办法&gt;的通知》（财库〔2020〕46号）第六条（三）按照本办法规定预留采购份额无法确保充分供应、充分竞争，或者存在可能影响政府采购目标实现的情形规定，本项不专门面向中小企业采购。</w:t>
      </w:r>
    </w:p>
    <w:p w14:paraId="71546F57">
      <w:pPr>
        <w:keepNext w:val="0"/>
        <w:keepLines w:val="0"/>
        <w:pageBreakBefore w:val="0"/>
        <w:widowControl w:val="0"/>
        <w:kinsoku/>
        <w:wordWrap w:val="0"/>
        <w:overflowPunct/>
        <w:topLinePunct w:val="0"/>
        <w:autoSpaceDE/>
        <w:autoSpaceDN/>
        <w:bidi w:val="0"/>
        <w:adjustRightInd w:val="0"/>
        <w:snapToGrid w:val="0"/>
        <w:spacing w:line="360" w:lineRule="auto"/>
        <w:ind w:firstLine="432" w:firstLineChars="200"/>
        <w:textAlignment w:val="auto"/>
        <w:rPr>
          <w:rFonts w:hint="eastAsia" w:ascii="仿宋" w:hAnsi="仿宋" w:eastAsia="仿宋" w:cs="仿宋"/>
          <w:color w:val="auto"/>
          <w:spacing w:val="3"/>
          <w:szCs w:val="21"/>
          <w:lang w:eastAsia="zh-CN" w:bidi="zh-CN"/>
        </w:rPr>
      </w:pPr>
      <w:r>
        <w:rPr>
          <w:rFonts w:hint="eastAsia" w:ascii="仿宋" w:hAnsi="仿宋" w:cs="仿宋"/>
          <w:color w:val="auto"/>
          <w:spacing w:val="3"/>
          <w:szCs w:val="21"/>
          <w:lang w:bidi="zh-CN"/>
        </w:rPr>
        <w:t>3.</w:t>
      </w:r>
      <w:r>
        <w:rPr>
          <w:rFonts w:hint="eastAsia" w:ascii="仿宋" w:hAnsi="仿宋" w:cs="仿宋"/>
          <w:color w:val="auto"/>
          <w:spacing w:val="0"/>
          <w:sz w:val="21"/>
          <w:szCs w:val="21"/>
          <w:lang w:bidi="zh-CN"/>
        </w:rPr>
        <w:t>本项目的特定资格要求：</w:t>
      </w:r>
      <w:r>
        <w:rPr>
          <w:rFonts w:hint="eastAsia" w:ascii="仿宋" w:hAnsi="仿宋" w:eastAsia="仿宋" w:cs="仿宋"/>
          <w:color w:val="auto"/>
          <w:spacing w:val="0"/>
          <w:sz w:val="21"/>
          <w:szCs w:val="21"/>
          <w:highlight w:val="none"/>
        </w:rPr>
        <w:t>截至递交</w:t>
      </w:r>
      <w:r>
        <w:rPr>
          <w:rFonts w:hint="eastAsia" w:ascii="仿宋" w:hAnsi="仿宋" w:cs="仿宋"/>
          <w:color w:val="auto"/>
          <w:spacing w:val="0"/>
          <w:sz w:val="21"/>
          <w:szCs w:val="21"/>
          <w:highlight w:val="none"/>
          <w:lang w:eastAsia="zh-CN"/>
        </w:rPr>
        <w:t>投标</w:t>
      </w:r>
      <w:r>
        <w:rPr>
          <w:rFonts w:hint="eastAsia" w:ascii="仿宋" w:hAnsi="仿宋" w:eastAsia="仿宋" w:cs="仿宋"/>
          <w:color w:val="auto"/>
          <w:spacing w:val="0"/>
          <w:sz w:val="21"/>
          <w:szCs w:val="21"/>
          <w:highlight w:val="none"/>
        </w:rPr>
        <w:t>文件截止时间止，“信用中国”网(www.creditchina.gov.cn) 、“中国政府采购网”(www.ccgp.gov.cn)被列入失信被执行人、重大税收违法案件当事人名单、政府采购严重违法失信行为记录名单的不得参加本采购项目</w:t>
      </w:r>
      <w:r>
        <w:rPr>
          <w:rFonts w:hint="eastAsia" w:ascii="仿宋" w:hAnsi="仿宋" w:eastAsia="仿宋" w:cs="仿宋"/>
          <w:color w:val="auto"/>
          <w:spacing w:val="0"/>
          <w:sz w:val="21"/>
          <w:highlight w:val="none"/>
        </w:rPr>
        <w:t>；</w:t>
      </w:r>
      <w:r>
        <w:rPr>
          <w:rFonts w:hint="eastAsia" w:ascii="仿宋" w:hAnsi="仿宋" w:eastAsia="仿宋" w:cs="仿宋"/>
          <w:kern w:val="0"/>
          <w:szCs w:val="21"/>
        </w:rPr>
        <w:t>参加采购活动前三年内，在经营活动中存在重大违法记录且被裁判文书网载入行贿判决的不得参加本采购项目。</w:t>
      </w:r>
    </w:p>
    <w:p w14:paraId="0E99BF2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rPr>
        <w:t>三、政府采购投标单位入库须知</w:t>
      </w:r>
    </w:p>
    <w:p w14:paraId="72CC3E90">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参加辽宁省政府采购活动的投标单位未进入辽宁省政府采购投标单位库的，请详阅辽宁政府采购网 “首页—政策法规”中公布的“政府采购投标单位入库”的相关规定，及时办理入库登记手续。填写单位名称、统一社会信用代码和联系人等简要信息，由系统自动开通账号后，即可参与政府采购活动。具体规定详见《关于进一步优化辽宁省政府采购投标单位入库程序的通知》（辽财采函〔2020〕198 号）。</w:t>
      </w:r>
    </w:p>
    <w:p w14:paraId="7D708C7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rPr>
        <w:t>四、获取招标文件</w:t>
      </w:r>
    </w:p>
    <w:p w14:paraId="4DADEB13">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时</w:t>
      </w:r>
      <w:r>
        <w:rPr>
          <w:rFonts w:hint="eastAsia" w:ascii="仿宋" w:hAnsi="仿宋" w:cs="仿宋"/>
          <w:color w:val="auto"/>
          <w:spacing w:val="3"/>
          <w:szCs w:val="21"/>
          <w:lang w:val="en-US" w:eastAsia="zh-CN" w:bidi="zh-CN"/>
        </w:rPr>
        <w:t>间：2025年09月18日 00时00分至2025年09月26日 00时00分（北京时间，法定节假日除外）</w:t>
      </w:r>
    </w:p>
    <w:p w14:paraId="00CECA34">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地点：辽宁政府采购网</w:t>
      </w:r>
    </w:p>
    <w:p w14:paraId="3F21CD9B">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bidi="zh-CN"/>
        </w:rPr>
      </w:pPr>
      <w:r>
        <w:rPr>
          <w:rFonts w:hint="eastAsia" w:ascii="仿宋" w:hAnsi="仿宋" w:cs="仿宋"/>
          <w:color w:val="auto"/>
          <w:spacing w:val="3"/>
          <w:szCs w:val="21"/>
          <w:lang w:bidi="zh-CN"/>
        </w:rPr>
        <w:t>方式：线上</w:t>
      </w:r>
      <w:bookmarkStart w:id="233" w:name="_GoBack"/>
      <w:bookmarkEnd w:id="233"/>
    </w:p>
    <w:p w14:paraId="518D5365">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val="en-US" w:bidi="zh-CN"/>
        </w:rPr>
      </w:pPr>
      <w:r>
        <w:rPr>
          <w:rFonts w:hint="eastAsia" w:ascii="仿宋" w:hAnsi="仿宋" w:cs="仿宋"/>
          <w:color w:val="auto"/>
          <w:spacing w:val="3"/>
          <w:szCs w:val="21"/>
          <w:lang w:bidi="zh-CN"/>
        </w:rPr>
        <w:t>售价：</w:t>
      </w:r>
      <w:r>
        <w:rPr>
          <w:rFonts w:hint="eastAsia" w:ascii="仿宋" w:hAnsi="仿宋" w:cs="仿宋"/>
          <w:color w:val="auto"/>
          <w:spacing w:val="3"/>
          <w:szCs w:val="21"/>
          <w:lang w:val="en-US" w:bidi="zh-CN"/>
        </w:rPr>
        <w:t>免费</w:t>
      </w:r>
    </w:p>
    <w:p w14:paraId="68701F6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rPr>
        <w:t>五、提交投标文件截止时间、开标时间和地点</w:t>
      </w:r>
    </w:p>
    <w:p w14:paraId="1EB2F4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时间：</w:t>
      </w:r>
      <w:r>
        <w:rPr>
          <w:rFonts w:hint="eastAsia" w:ascii="仿宋" w:hAnsi="仿宋" w:eastAsia="仿宋" w:cs="仿宋"/>
          <w:color w:val="auto"/>
          <w:highlight w:val="none"/>
          <w:u w:val="single"/>
          <w:lang w:val="en-US" w:eastAsia="zh-CN"/>
        </w:rPr>
        <w:t>2025年</w:t>
      </w:r>
      <w:r>
        <w:rPr>
          <w:rFonts w:hint="eastAsia" w:ascii="仿宋" w:hAnsi="仿宋" w:cs="仿宋"/>
          <w:color w:val="auto"/>
          <w:highlight w:val="none"/>
          <w:u w:val="single"/>
          <w:lang w:val="en-US" w:eastAsia="zh-CN"/>
        </w:rPr>
        <w:t>10</w:t>
      </w:r>
      <w:r>
        <w:rPr>
          <w:rFonts w:hint="eastAsia" w:ascii="仿宋" w:hAnsi="仿宋" w:eastAsia="仿宋" w:cs="仿宋"/>
          <w:color w:val="auto"/>
          <w:highlight w:val="none"/>
          <w:u w:val="single"/>
          <w:lang w:val="en-US" w:eastAsia="zh-CN"/>
        </w:rPr>
        <w:t>月</w:t>
      </w:r>
      <w:r>
        <w:rPr>
          <w:rFonts w:hint="eastAsia" w:ascii="仿宋" w:hAnsi="仿宋" w:cs="仿宋"/>
          <w:color w:val="auto"/>
          <w:highlight w:val="none"/>
          <w:u w:val="single"/>
          <w:lang w:val="en-US" w:eastAsia="zh-CN"/>
        </w:rPr>
        <w:t>14</w:t>
      </w:r>
      <w:r>
        <w:rPr>
          <w:rFonts w:hint="eastAsia" w:ascii="仿宋" w:hAnsi="仿宋" w:eastAsia="仿宋" w:cs="仿宋"/>
          <w:color w:val="auto"/>
          <w:highlight w:val="none"/>
          <w:u w:val="single"/>
          <w:lang w:val="en-US" w:eastAsia="zh-CN"/>
        </w:rPr>
        <w:t>日</w:t>
      </w:r>
      <w:r>
        <w:rPr>
          <w:rFonts w:hint="eastAsia" w:ascii="仿宋" w:hAnsi="仿宋" w:cs="仿宋"/>
          <w:color w:val="auto"/>
          <w:highlight w:val="none"/>
          <w:u w:val="single"/>
          <w:lang w:val="en-US" w:eastAsia="zh-CN"/>
        </w:rPr>
        <w:t>09</w:t>
      </w:r>
      <w:r>
        <w:rPr>
          <w:rFonts w:hint="eastAsia" w:ascii="仿宋" w:hAnsi="仿宋" w:eastAsia="仿宋" w:cs="仿宋"/>
          <w:color w:val="auto"/>
          <w:highlight w:val="none"/>
          <w:u w:val="single"/>
          <w:lang w:val="en-US" w:eastAsia="zh-CN"/>
        </w:rPr>
        <w:t>时00分</w:t>
      </w:r>
      <w:r>
        <w:rPr>
          <w:rFonts w:hint="eastAsia" w:ascii="仿宋" w:hAnsi="仿宋" w:eastAsia="仿宋" w:cs="仿宋"/>
          <w:color w:val="auto"/>
          <w:highlight w:val="none"/>
          <w:lang w:val="en-US" w:eastAsia="zh-CN"/>
        </w:rPr>
        <w:t>（北京时间）</w:t>
      </w:r>
    </w:p>
    <w:p w14:paraId="29892F7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color w:val="auto"/>
          <w:highlight w:val="none"/>
          <w:lang w:val="en-US" w:eastAsia="zh-CN"/>
        </w:rPr>
        <w:t xml:space="preserve">    </w:t>
      </w:r>
      <w:r>
        <w:rPr>
          <w:rFonts w:hint="eastAsia" w:ascii="仿宋" w:hAnsi="仿宋" w:eastAsia="仿宋" w:cs="仿宋"/>
          <w:color w:val="auto"/>
          <w:highlight w:val="none"/>
          <w:lang w:val="en-US" w:eastAsia="zh-CN"/>
        </w:rPr>
        <w:t>地点：</w:t>
      </w:r>
      <w:r>
        <w:rPr>
          <w:rFonts w:hint="eastAsia" w:ascii="仿宋" w:hAnsi="仿宋" w:eastAsia="仿宋" w:cs="仿宋"/>
          <w:color w:val="auto"/>
          <w:highlight w:val="none"/>
          <w:u w:val="single"/>
          <w:lang w:val="en-US" w:eastAsia="zh-CN"/>
        </w:rPr>
        <w:t>电子</w:t>
      </w:r>
      <w:r>
        <w:rPr>
          <w:rFonts w:hint="eastAsia" w:ascii="仿宋" w:hAnsi="仿宋" w:cs="仿宋"/>
          <w:color w:val="auto"/>
          <w:highlight w:val="none"/>
          <w:u w:val="single"/>
          <w:lang w:val="en-US" w:eastAsia="zh-CN"/>
        </w:rPr>
        <w:t>投标文件</w:t>
      </w:r>
      <w:r>
        <w:rPr>
          <w:rFonts w:hint="eastAsia" w:ascii="仿宋" w:hAnsi="仿宋" w:eastAsia="仿宋" w:cs="仿宋"/>
          <w:color w:val="auto"/>
          <w:highlight w:val="none"/>
          <w:u w:val="single"/>
          <w:lang w:val="en-US" w:eastAsia="zh-CN"/>
        </w:rPr>
        <w:t>上传至辽宁政府采购网，电子备份文件递交至锦州市公共资源交易中心（锦州市凌河区胜河里150号）</w:t>
      </w:r>
    </w:p>
    <w:p w14:paraId="0B8EADE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lang w:eastAsia="zh-CN"/>
        </w:rPr>
        <w:t>六</w:t>
      </w:r>
      <w:r>
        <w:rPr>
          <w:rFonts w:hint="eastAsia" w:ascii="仿宋" w:hAnsi="仿宋" w:cs="仿宋"/>
          <w:b/>
          <w:bCs/>
          <w:color w:val="auto"/>
          <w:spacing w:val="-10"/>
          <w:szCs w:val="21"/>
        </w:rPr>
        <w:t>、公告期限</w:t>
      </w:r>
    </w:p>
    <w:p w14:paraId="6FB74CE6">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val="en-US" w:bidi="zh-CN"/>
        </w:rPr>
      </w:pPr>
      <w:r>
        <w:rPr>
          <w:rFonts w:hint="eastAsia" w:ascii="仿宋" w:hAnsi="仿宋" w:cs="仿宋"/>
          <w:color w:val="auto"/>
          <w:spacing w:val="3"/>
          <w:szCs w:val="21"/>
          <w:lang w:val="en-US" w:bidi="zh-CN"/>
        </w:rPr>
        <w:t>自本公告发布之日起 5 个工作日。</w:t>
      </w:r>
      <w:bookmarkStart w:id="4" w:name="八、其他补充事宜"/>
      <w:bookmarkEnd w:id="4"/>
      <w:bookmarkStart w:id="5" w:name="九、对本次招标提出询问，请按以下方式联系。"/>
      <w:bookmarkEnd w:id="5"/>
    </w:p>
    <w:p w14:paraId="5F63365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lang w:eastAsia="zh-CN"/>
        </w:rPr>
        <w:t>七</w:t>
      </w:r>
      <w:r>
        <w:rPr>
          <w:rFonts w:hint="eastAsia" w:ascii="仿宋" w:hAnsi="仿宋" w:cs="仿宋"/>
          <w:b/>
          <w:bCs/>
          <w:color w:val="auto"/>
          <w:spacing w:val="-10"/>
          <w:szCs w:val="21"/>
        </w:rPr>
        <w:t>、质疑与投诉</w:t>
      </w:r>
    </w:p>
    <w:p w14:paraId="63FA706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highlight w:val="none"/>
          <w:lang w:val="en-US" w:eastAsia="zh-CN"/>
        </w:rPr>
      </w:pPr>
      <w:r>
        <w:rPr>
          <w:rFonts w:hint="eastAsia" w:ascii="仿宋" w:hAnsi="仿宋" w:cs="仿宋"/>
          <w:color w:val="auto"/>
          <w:highlight w:val="none"/>
          <w:lang w:val="en-US" w:eastAsia="zh-CN"/>
        </w:rPr>
        <w:t>投标人</w:t>
      </w:r>
      <w:r>
        <w:rPr>
          <w:rFonts w:hint="eastAsia" w:ascii="仿宋" w:hAnsi="仿宋" w:eastAsia="仿宋" w:cs="仿宋"/>
          <w:color w:val="auto"/>
          <w:highlight w:val="none"/>
          <w:lang w:val="en-US" w:eastAsia="zh-CN"/>
        </w:rPr>
        <w:t>认为自己的权益受到损害的，可以在知道或者应知其权益受到损害之日起七个工作日内，向采购代理机构或采购人提出质疑。</w:t>
      </w:r>
    </w:p>
    <w:p w14:paraId="5F69D6E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1、接收质疑函方式：线上或书面纸质质疑函</w:t>
      </w:r>
    </w:p>
    <w:p w14:paraId="46662D7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cs="仿宋"/>
          <w:color w:val="auto"/>
          <w:spacing w:val="3"/>
          <w:szCs w:val="21"/>
          <w:lang w:val="en-US" w:bidi="zh-CN"/>
        </w:rPr>
      </w:pPr>
      <w:r>
        <w:rPr>
          <w:rFonts w:hint="eastAsia" w:ascii="仿宋" w:hAnsi="仿宋" w:eastAsia="仿宋" w:cs="仿宋"/>
          <w:color w:val="auto"/>
          <w:highlight w:val="none"/>
          <w:lang w:val="en-US" w:eastAsia="zh-CN"/>
        </w:rPr>
        <w:t>2、质疑函内容、格式：应符合《政府采购质疑和投诉办法》相关规定和财政部制定的《政府采购质疑函范本》格式，详见辽宁政府采购网。</w:t>
      </w:r>
      <w:r>
        <w:rPr>
          <w:rFonts w:hint="eastAsia" w:ascii="仿宋" w:hAnsi="仿宋" w:eastAsia="仿宋" w:cs="仿宋"/>
          <w:color w:val="auto"/>
          <w:highlight w:val="none"/>
        </w:rPr>
        <w:t>质疑</w:t>
      </w:r>
      <w:r>
        <w:rPr>
          <w:rFonts w:hint="eastAsia" w:ascii="仿宋" w:hAnsi="仿宋" w:cs="仿宋"/>
          <w:color w:val="auto"/>
          <w:highlight w:val="none"/>
          <w:lang w:eastAsia="zh-CN"/>
        </w:rPr>
        <w:t>投标人</w:t>
      </w:r>
      <w:r>
        <w:rPr>
          <w:rFonts w:hint="eastAsia" w:ascii="仿宋" w:hAnsi="仿宋" w:eastAsia="仿宋" w:cs="仿宋"/>
          <w:color w:val="auto"/>
          <w:highlight w:val="none"/>
        </w:rPr>
        <w:t>对采购人、采购代理机构的答复不满意，或者采购人、采购代理机构未在规定时间内作出答复的，可以在答复期满后 15 个工作日内向本级财政部门提起投诉。</w:t>
      </w:r>
    </w:p>
    <w:p w14:paraId="2B6E3FE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lang w:eastAsia="zh-CN"/>
        </w:rPr>
        <w:t>八</w:t>
      </w:r>
      <w:r>
        <w:rPr>
          <w:rFonts w:hint="eastAsia" w:ascii="仿宋" w:hAnsi="仿宋" w:cs="仿宋"/>
          <w:b/>
          <w:bCs/>
          <w:color w:val="auto"/>
          <w:spacing w:val="-10"/>
          <w:szCs w:val="21"/>
        </w:rPr>
        <w:t>、其他补充事宜</w:t>
      </w:r>
    </w:p>
    <w:p w14:paraId="3AEE38CC">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1、本项目在“辽宁政府采购网”、“全国公共资源交易平台（辽宁省·锦州市）”同时发布招标公告。 供应商应随时关注网上关于本项目的更正信息，如因自身未及时知悉更正公告相关内容而产生的任何问题，由供应商自行负责。</w:t>
      </w:r>
    </w:p>
    <w:p w14:paraId="0A540D39">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投标文件同时采用辽宁政府采购网线上递交电子投标文件及现场递交U盘形式存储的可加密备份文件两种方式，并承诺备份文件与电子评审系统中上传的投标（响应）文件内容、格式一致，备系统突发故障使用。投标单位仅提交备份文件的，投标（响应）无效。</w:t>
      </w:r>
    </w:p>
    <w:p w14:paraId="28B47E20">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3、投标人在电子评审活动中出现以下情形的，应按如下规定进行处理：</w:t>
      </w:r>
    </w:p>
    <w:p w14:paraId="765F5A50">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（1）因投标人原因造成投标（响应）文件未解密的；</w:t>
      </w:r>
    </w:p>
    <w:p w14:paraId="20FEDDFE">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（2）因投标人自用设备原因造成的未在规定时间内解密【解密时限为30分钟】、上传文件或投标（响应）报价等问题影响电子评审的；</w:t>
      </w:r>
    </w:p>
    <w:p w14:paraId="35233D95">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（3）因投标人原因未对文件校验造成信息缺失、文件内容或格式不正确以及备份文件不符合要求等问题影响评审的。</w:t>
      </w:r>
    </w:p>
    <w:p w14:paraId="4A8DA6D8">
      <w:pPr>
        <w:adjustRightInd w:val="0"/>
        <w:snapToGrid w:val="0"/>
        <w:spacing w:line="360" w:lineRule="auto"/>
        <w:ind w:firstLine="420" w:firstLineChars="200"/>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出现前款（1）（2）情形的，视为放弃投标（响应）；出现前款（3）情形的，由投标人自行承担相应责任。</w:t>
      </w:r>
    </w:p>
    <w:p w14:paraId="7E846CA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仿宋" w:hAnsi="仿宋" w:cs="仿宋"/>
          <w:color w:val="auto"/>
          <w:spacing w:val="3"/>
          <w:szCs w:val="21"/>
          <w:lang w:val="en-US" w:bidi="zh-CN"/>
        </w:rPr>
      </w:pPr>
      <w:r>
        <w:rPr>
          <w:rFonts w:hint="eastAsia" w:ascii="仿宋_GB2312" w:hAnsi="仿宋_GB2312" w:eastAsia="仿宋_GB2312" w:cs="仿宋_GB2312"/>
          <w:szCs w:val="21"/>
          <w:lang w:val="en-US" w:eastAsia="zh-CN"/>
        </w:rPr>
        <w:t>4、参与本项目的投标单位须自行办理好CA锁，具体操作流程请详阅辽宁政府采购网“首页-办事指南”中公布的“辽宁政府采购网关于办理CA数字证书的操作手册”和“辽宁政府采购网新版系统投标单位操作手册”，具体规定详见《关于启用政府采购数字认证和电子招投标业务有关事宜的通知》（辽财采〔2020〕298号）及相关通知，请按照相关规定，及时办理相关手续，因未办理相关手续造成的所有后果，由投标单位自行承担。投标单位应自行准备好CA锁及可以登录辽宁政府采购网并成功进入账号的电脑。</w:t>
      </w:r>
    </w:p>
    <w:p w14:paraId="719867A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cs="仿宋"/>
          <w:b/>
          <w:bCs/>
          <w:color w:val="auto"/>
          <w:spacing w:val="-10"/>
          <w:szCs w:val="21"/>
        </w:rPr>
      </w:pPr>
      <w:r>
        <w:rPr>
          <w:rFonts w:hint="eastAsia" w:ascii="仿宋" w:hAnsi="仿宋" w:cs="仿宋"/>
          <w:b/>
          <w:bCs/>
          <w:color w:val="auto"/>
          <w:spacing w:val="-10"/>
          <w:szCs w:val="21"/>
        </w:rPr>
        <w:t>九、对本次招标提出询问，请按以下方式联系。</w:t>
      </w:r>
    </w:p>
    <w:p w14:paraId="7738D731">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val="en-US" w:bidi="zh-CN"/>
        </w:rPr>
      </w:pPr>
      <w:r>
        <w:rPr>
          <w:rFonts w:hint="eastAsia" w:ascii="仿宋" w:hAnsi="仿宋" w:cs="仿宋"/>
          <w:color w:val="auto"/>
          <w:spacing w:val="3"/>
          <w:szCs w:val="21"/>
          <w:lang w:val="en-US" w:bidi="zh-CN"/>
        </w:rPr>
        <w:t>1.采购人信息</w:t>
      </w:r>
    </w:p>
    <w:p w14:paraId="399C54CF">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u w:val="single"/>
          <w:lang w:val="en-US" w:bidi="zh-CN"/>
        </w:rPr>
      </w:pPr>
      <w:r>
        <w:rPr>
          <w:rFonts w:hint="eastAsia" w:ascii="仿宋" w:hAnsi="仿宋" w:cs="仿宋"/>
          <w:color w:val="auto"/>
          <w:spacing w:val="3"/>
          <w:szCs w:val="21"/>
          <w:lang w:val="en-US" w:bidi="zh-CN"/>
        </w:rPr>
        <w:t>名</w:t>
      </w:r>
      <w:r>
        <w:rPr>
          <w:rFonts w:hint="eastAsia" w:ascii="仿宋" w:hAnsi="仿宋" w:cs="仿宋"/>
          <w:color w:val="auto"/>
          <w:spacing w:val="3"/>
          <w:szCs w:val="21"/>
          <w:lang w:val="en-US" w:bidi="zh-CN"/>
        </w:rPr>
        <w:tab/>
      </w:r>
      <w:r>
        <w:rPr>
          <w:rFonts w:hint="eastAsia" w:ascii="仿宋" w:hAnsi="仿宋" w:cs="仿宋"/>
          <w:color w:val="auto"/>
          <w:spacing w:val="3"/>
          <w:szCs w:val="21"/>
          <w:lang w:val="en-US" w:bidi="zh-CN"/>
        </w:rPr>
        <w:t>称：</w:t>
      </w:r>
      <w:r>
        <w:rPr>
          <w:rFonts w:hint="eastAsia" w:ascii="仿宋" w:hAnsi="仿宋" w:cs="仿宋"/>
          <w:color w:val="auto"/>
          <w:spacing w:val="3"/>
          <w:szCs w:val="21"/>
          <w:u w:val="single"/>
          <w:lang w:val="en-US" w:bidi="zh-CN"/>
        </w:rPr>
        <w:t>义县卫生健康局</w:t>
      </w:r>
    </w:p>
    <w:p w14:paraId="3FB69143">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val="en-US" w:bidi="zh-CN"/>
        </w:rPr>
      </w:pPr>
      <w:r>
        <w:rPr>
          <w:rFonts w:hint="eastAsia" w:ascii="仿宋" w:hAnsi="仿宋" w:cs="仿宋"/>
          <w:color w:val="auto"/>
          <w:spacing w:val="3"/>
          <w:szCs w:val="21"/>
          <w:lang w:val="en-US" w:bidi="zh-CN"/>
        </w:rPr>
        <w:t>地</w:t>
      </w:r>
      <w:r>
        <w:rPr>
          <w:rFonts w:hint="eastAsia" w:ascii="仿宋" w:hAnsi="仿宋" w:cs="仿宋"/>
          <w:color w:val="auto"/>
          <w:spacing w:val="3"/>
          <w:szCs w:val="21"/>
          <w:lang w:val="en-US" w:bidi="zh-CN"/>
        </w:rPr>
        <w:tab/>
      </w:r>
      <w:r>
        <w:rPr>
          <w:rFonts w:hint="eastAsia" w:ascii="仿宋" w:hAnsi="仿宋" w:cs="仿宋"/>
          <w:color w:val="auto"/>
          <w:spacing w:val="3"/>
          <w:szCs w:val="21"/>
          <w:lang w:val="en-US" w:bidi="zh-CN"/>
        </w:rPr>
        <w:t>址：</w:t>
      </w:r>
      <w:r>
        <w:rPr>
          <w:rFonts w:hint="eastAsia" w:ascii="仿宋" w:hAnsi="仿宋" w:cs="仿宋"/>
          <w:color w:val="auto"/>
          <w:spacing w:val="3"/>
          <w:szCs w:val="21"/>
          <w:u w:val="single"/>
          <w:lang w:val="en-US" w:bidi="zh-CN"/>
        </w:rPr>
        <w:t>锦州市义县迎宾路32-19号</w:t>
      </w:r>
    </w:p>
    <w:p w14:paraId="37329034">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default" w:ascii="仿宋" w:hAnsi="仿宋" w:cs="仿宋"/>
          <w:color w:val="auto"/>
          <w:spacing w:val="3"/>
          <w:szCs w:val="21"/>
          <w:lang w:val="en-US" w:bidi="zh-CN"/>
        </w:rPr>
      </w:pPr>
      <w:r>
        <w:rPr>
          <w:rFonts w:hint="eastAsia" w:ascii="仿宋" w:hAnsi="仿宋" w:cs="仿宋"/>
          <w:color w:val="auto"/>
          <w:spacing w:val="3"/>
          <w:szCs w:val="21"/>
          <w:lang w:val="en-US" w:bidi="zh-CN"/>
        </w:rPr>
        <w:t>联系方式：</w:t>
      </w:r>
      <w:r>
        <w:rPr>
          <w:rFonts w:hint="eastAsia" w:ascii="仿宋" w:hAnsi="仿宋" w:eastAsia="仿宋" w:cs="仿宋"/>
          <w:kern w:val="0"/>
          <w:szCs w:val="21"/>
          <w:u w:val="single"/>
          <w:lang w:val="en-US" w:eastAsia="zh-CN"/>
        </w:rPr>
        <w:t>0416-7799011</w:t>
      </w:r>
    </w:p>
    <w:p w14:paraId="51CF9426">
      <w:pPr>
        <w:keepNext w:val="0"/>
        <w:keepLines w:val="0"/>
        <w:pageBreakBefore w:val="0"/>
        <w:widowControl w:val="0"/>
        <w:kinsoku/>
        <w:wordWrap/>
        <w:overflowPunct/>
        <w:topLinePunct w:val="0"/>
        <w:autoSpaceDE/>
        <w:autoSpaceDN/>
        <w:bidi w:val="0"/>
        <w:adjustRightInd/>
        <w:snapToGrid/>
        <w:spacing w:line="360" w:lineRule="auto"/>
        <w:ind w:firstLine="432" w:firstLineChars="200"/>
        <w:jc w:val="left"/>
        <w:textAlignment w:val="auto"/>
        <w:rPr>
          <w:rFonts w:hint="eastAsia" w:ascii="仿宋" w:hAnsi="仿宋" w:cs="仿宋"/>
          <w:color w:val="auto"/>
          <w:spacing w:val="3"/>
          <w:szCs w:val="21"/>
          <w:lang w:val="en-US" w:bidi="zh-CN"/>
        </w:rPr>
      </w:pPr>
      <w:r>
        <w:rPr>
          <w:rFonts w:hint="eastAsia" w:ascii="仿宋" w:hAnsi="仿宋" w:cs="仿宋"/>
          <w:color w:val="auto"/>
          <w:spacing w:val="3"/>
          <w:szCs w:val="21"/>
          <w:lang w:val="en-US" w:bidi="zh-CN"/>
        </w:rPr>
        <w:t>2.采购代理机构信息</w:t>
      </w:r>
    </w:p>
    <w:p w14:paraId="03F8F103">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名</w:t>
      </w:r>
      <w:r>
        <w:rPr>
          <w:rFonts w:hint="eastAsia" w:ascii="仿宋" w:hAnsi="仿宋" w:eastAsia="仿宋" w:cs="仿宋"/>
          <w:color w:val="auto"/>
          <w:spacing w:val="3"/>
          <w:sz w:val="21"/>
          <w:szCs w:val="21"/>
          <w:lang w:val="en-US"/>
        </w:rPr>
        <w:tab/>
      </w:r>
      <w:r>
        <w:rPr>
          <w:rFonts w:hint="eastAsia" w:ascii="仿宋" w:hAnsi="仿宋" w:eastAsia="仿宋" w:cs="仿宋"/>
          <w:color w:val="auto"/>
          <w:spacing w:val="3"/>
          <w:sz w:val="21"/>
          <w:szCs w:val="21"/>
          <w:lang w:val="en-US"/>
        </w:rPr>
        <w:t>称：</w:t>
      </w:r>
      <w:r>
        <w:rPr>
          <w:rFonts w:hint="eastAsia" w:ascii="仿宋" w:hAnsi="仿宋" w:eastAsia="仿宋" w:cs="仿宋"/>
          <w:color w:val="auto"/>
          <w:spacing w:val="3"/>
          <w:sz w:val="21"/>
          <w:szCs w:val="21"/>
          <w:u w:val="single"/>
          <w:lang w:val="en-US"/>
        </w:rPr>
        <w:t>锦州华隆项目管理有限公司</w:t>
      </w:r>
      <w:r>
        <w:rPr>
          <w:rFonts w:hint="eastAsia" w:ascii="仿宋" w:hAnsi="仿宋" w:eastAsia="仿宋" w:cs="仿宋"/>
          <w:color w:val="auto"/>
          <w:spacing w:val="3"/>
          <w:sz w:val="21"/>
          <w:szCs w:val="21"/>
          <w:lang w:val="en-US"/>
        </w:rPr>
        <w:t xml:space="preserve"> </w:t>
      </w:r>
      <w:r>
        <w:rPr>
          <w:rFonts w:hint="eastAsia" w:ascii="仿宋" w:hAnsi="仿宋" w:eastAsia="仿宋" w:cs="仿宋"/>
          <w:color w:val="auto"/>
          <w:spacing w:val="3"/>
          <w:sz w:val="21"/>
          <w:szCs w:val="21"/>
          <w:lang w:val="en-US"/>
        </w:rPr>
        <w:tab/>
      </w:r>
    </w:p>
    <w:p w14:paraId="6B60C0BA">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地</w:t>
      </w:r>
      <w:r>
        <w:rPr>
          <w:rFonts w:hint="eastAsia" w:ascii="仿宋" w:hAnsi="仿宋" w:eastAsia="仿宋" w:cs="仿宋"/>
          <w:color w:val="auto"/>
          <w:spacing w:val="3"/>
          <w:sz w:val="21"/>
          <w:szCs w:val="21"/>
          <w:lang w:val="en-US"/>
        </w:rPr>
        <w:tab/>
      </w:r>
      <w:r>
        <w:rPr>
          <w:rFonts w:hint="eastAsia" w:ascii="仿宋" w:hAnsi="仿宋" w:eastAsia="仿宋" w:cs="仿宋"/>
          <w:color w:val="auto"/>
          <w:spacing w:val="3"/>
          <w:sz w:val="21"/>
          <w:szCs w:val="21"/>
          <w:lang w:val="en-US"/>
        </w:rPr>
        <w:t>址：</w:t>
      </w:r>
      <w:r>
        <w:rPr>
          <w:rFonts w:hint="eastAsia" w:ascii="仿宋" w:hAnsi="仿宋" w:eastAsia="仿宋" w:cs="仿宋"/>
          <w:color w:val="auto"/>
          <w:spacing w:val="3"/>
          <w:sz w:val="21"/>
          <w:szCs w:val="21"/>
          <w:u w:val="single"/>
          <w:lang w:val="en-US"/>
        </w:rPr>
        <w:t>锦州经济技术开发区锦港大街二段大港莱茵华庭19-甲</w:t>
      </w:r>
    </w:p>
    <w:p w14:paraId="1A4B25E8">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联系方式：</w:t>
      </w:r>
      <w:r>
        <w:rPr>
          <w:rFonts w:hint="eastAsia" w:ascii="仿宋" w:hAnsi="仿宋" w:eastAsia="仿宋" w:cs="仿宋"/>
          <w:color w:val="auto"/>
          <w:spacing w:val="3"/>
          <w:sz w:val="21"/>
          <w:szCs w:val="21"/>
          <w:u w:val="single"/>
          <w:lang w:val="en-US" w:eastAsia="zh-CN"/>
        </w:rPr>
        <w:t>杨雪</w:t>
      </w:r>
      <w:r>
        <w:rPr>
          <w:rFonts w:hint="eastAsia" w:ascii="仿宋" w:hAnsi="仿宋" w:eastAsia="仿宋" w:cs="仿宋"/>
          <w:color w:val="auto"/>
          <w:spacing w:val="3"/>
          <w:sz w:val="21"/>
          <w:szCs w:val="21"/>
          <w:u w:val="single"/>
          <w:lang w:val="en-US"/>
        </w:rPr>
        <w:t xml:space="preserve">  </w:t>
      </w:r>
      <w:r>
        <w:rPr>
          <w:rFonts w:hint="eastAsia" w:ascii="仿宋" w:hAnsi="仿宋" w:eastAsia="仿宋" w:cs="仿宋"/>
          <w:color w:val="auto"/>
          <w:spacing w:val="3"/>
          <w:sz w:val="21"/>
          <w:szCs w:val="21"/>
          <w:u w:val="single"/>
          <w:lang w:val="en-US" w:eastAsia="zh-CN"/>
        </w:rPr>
        <w:t>0416-3566667</w:t>
      </w:r>
      <w:r>
        <w:rPr>
          <w:rFonts w:hint="eastAsia" w:ascii="仿宋" w:hAnsi="仿宋" w:eastAsia="仿宋" w:cs="仿宋"/>
          <w:color w:val="auto"/>
          <w:spacing w:val="3"/>
          <w:sz w:val="21"/>
          <w:szCs w:val="21"/>
          <w:lang w:val="en-US"/>
        </w:rPr>
        <w:t xml:space="preserve"> </w:t>
      </w:r>
      <w:r>
        <w:rPr>
          <w:rFonts w:hint="eastAsia" w:ascii="仿宋" w:hAnsi="仿宋" w:eastAsia="仿宋" w:cs="仿宋"/>
          <w:color w:val="auto"/>
          <w:spacing w:val="3"/>
          <w:sz w:val="21"/>
          <w:szCs w:val="21"/>
          <w:lang w:val="en-US"/>
        </w:rPr>
        <w:tab/>
      </w:r>
    </w:p>
    <w:p w14:paraId="06EBEF50">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邮箱地址：</w:t>
      </w:r>
      <w:r>
        <w:rPr>
          <w:rFonts w:hint="eastAsia" w:ascii="仿宋" w:hAnsi="仿宋" w:eastAsia="仿宋" w:cs="仿宋"/>
          <w:color w:val="auto"/>
          <w:spacing w:val="3"/>
          <w:sz w:val="21"/>
          <w:szCs w:val="21"/>
          <w:u w:val="single"/>
          <w:lang w:val="en-US"/>
        </w:rPr>
        <w:t>hualong88518@163.com</w:t>
      </w:r>
      <w:r>
        <w:rPr>
          <w:rFonts w:hint="eastAsia" w:ascii="仿宋" w:hAnsi="仿宋" w:eastAsia="仿宋" w:cs="仿宋"/>
          <w:color w:val="auto"/>
          <w:spacing w:val="3"/>
          <w:sz w:val="21"/>
          <w:szCs w:val="21"/>
          <w:lang w:val="en-US"/>
        </w:rPr>
        <w:t xml:space="preserve"> </w:t>
      </w:r>
      <w:r>
        <w:rPr>
          <w:rFonts w:hint="eastAsia" w:ascii="仿宋" w:hAnsi="仿宋" w:eastAsia="仿宋" w:cs="仿宋"/>
          <w:color w:val="auto"/>
          <w:spacing w:val="3"/>
          <w:sz w:val="21"/>
          <w:szCs w:val="21"/>
          <w:lang w:val="en-US"/>
        </w:rPr>
        <w:tab/>
      </w:r>
    </w:p>
    <w:p w14:paraId="25F7B919">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开户行：</w:t>
      </w:r>
      <w:r>
        <w:rPr>
          <w:rFonts w:hint="eastAsia" w:ascii="仿宋" w:hAnsi="仿宋" w:eastAsia="仿宋" w:cs="仿宋"/>
          <w:color w:val="auto"/>
          <w:spacing w:val="3"/>
          <w:sz w:val="21"/>
          <w:szCs w:val="21"/>
          <w:u w:val="single"/>
          <w:lang w:val="en-US"/>
        </w:rPr>
        <w:t>锦州银行天桥支行</w:t>
      </w:r>
      <w:r>
        <w:rPr>
          <w:rFonts w:hint="eastAsia" w:ascii="仿宋" w:hAnsi="仿宋" w:eastAsia="仿宋" w:cs="仿宋"/>
          <w:color w:val="auto"/>
          <w:spacing w:val="3"/>
          <w:sz w:val="21"/>
          <w:szCs w:val="21"/>
          <w:lang w:val="en-US"/>
        </w:rPr>
        <w:t xml:space="preserve">  </w:t>
      </w:r>
      <w:r>
        <w:rPr>
          <w:rFonts w:hint="eastAsia" w:ascii="仿宋" w:hAnsi="仿宋" w:eastAsia="仿宋" w:cs="仿宋"/>
          <w:color w:val="auto"/>
          <w:spacing w:val="3"/>
          <w:sz w:val="21"/>
          <w:szCs w:val="21"/>
          <w:lang w:val="en-US"/>
        </w:rPr>
        <w:tab/>
      </w:r>
    </w:p>
    <w:p w14:paraId="5D45270A">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账户名称：</w:t>
      </w:r>
      <w:r>
        <w:rPr>
          <w:rFonts w:hint="eastAsia" w:ascii="仿宋" w:hAnsi="仿宋" w:eastAsia="仿宋" w:cs="仿宋"/>
          <w:color w:val="auto"/>
          <w:spacing w:val="3"/>
          <w:sz w:val="21"/>
          <w:szCs w:val="21"/>
          <w:u w:val="single"/>
          <w:lang w:val="en-US"/>
        </w:rPr>
        <w:t>锦州华隆项目管理有限公司</w:t>
      </w:r>
      <w:r>
        <w:rPr>
          <w:rFonts w:hint="eastAsia" w:ascii="仿宋" w:hAnsi="仿宋" w:eastAsia="仿宋" w:cs="仿宋"/>
          <w:color w:val="auto"/>
          <w:spacing w:val="3"/>
          <w:sz w:val="21"/>
          <w:szCs w:val="21"/>
          <w:lang w:val="en-US"/>
        </w:rPr>
        <w:t xml:space="preserve"> </w:t>
      </w:r>
      <w:r>
        <w:rPr>
          <w:rFonts w:hint="eastAsia" w:ascii="仿宋" w:hAnsi="仿宋" w:eastAsia="仿宋" w:cs="仿宋"/>
          <w:color w:val="auto"/>
          <w:spacing w:val="3"/>
          <w:sz w:val="21"/>
          <w:szCs w:val="21"/>
          <w:lang w:val="en-US"/>
        </w:rPr>
        <w:tab/>
      </w:r>
    </w:p>
    <w:p w14:paraId="193BCB98">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账号：</w:t>
      </w:r>
      <w:r>
        <w:rPr>
          <w:rFonts w:hint="eastAsia" w:ascii="仿宋" w:hAnsi="仿宋" w:eastAsia="仿宋" w:cs="仿宋"/>
          <w:color w:val="auto"/>
          <w:spacing w:val="3"/>
          <w:sz w:val="21"/>
          <w:szCs w:val="21"/>
          <w:u w:val="single"/>
          <w:lang w:val="en-US"/>
        </w:rPr>
        <w:t>410100682005158</w:t>
      </w:r>
      <w:r>
        <w:rPr>
          <w:rFonts w:hint="eastAsia" w:ascii="仿宋" w:hAnsi="仿宋" w:eastAsia="仿宋" w:cs="仿宋"/>
          <w:color w:val="auto"/>
          <w:spacing w:val="3"/>
          <w:sz w:val="21"/>
          <w:szCs w:val="21"/>
          <w:lang w:val="en-US"/>
        </w:rPr>
        <w:t xml:space="preserve"> </w:t>
      </w:r>
      <w:r>
        <w:rPr>
          <w:rFonts w:hint="eastAsia" w:ascii="仿宋" w:hAnsi="仿宋" w:eastAsia="仿宋" w:cs="仿宋"/>
          <w:color w:val="auto"/>
          <w:spacing w:val="3"/>
          <w:sz w:val="21"/>
          <w:szCs w:val="21"/>
          <w:lang w:val="en-US"/>
        </w:rPr>
        <w:tab/>
      </w:r>
    </w:p>
    <w:p w14:paraId="44FCD012">
      <w:pPr>
        <w:pStyle w:val="5"/>
        <w:spacing w:line="360" w:lineRule="auto"/>
        <w:ind w:left="0" w:firstLine="432" w:firstLineChars="200"/>
        <w:rPr>
          <w:rFonts w:hint="eastAsia" w:ascii="仿宋" w:hAnsi="仿宋" w:eastAsia="仿宋" w:cs="仿宋"/>
          <w:color w:val="auto"/>
          <w:spacing w:val="3"/>
          <w:sz w:val="21"/>
          <w:szCs w:val="21"/>
          <w:lang w:val="en-US"/>
        </w:rPr>
      </w:pPr>
      <w:r>
        <w:rPr>
          <w:rFonts w:hint="eastAsia" w:ascii="仿宋" w:hAnsi="仿宋" w:eastAsia="仿宋" w:cs="仿宋"/>
          <w:color w:val="auto"/>
          <w:spacing w:val="3"/>
          <w:sz w:val="21"/>
          <w:szCs w:val="21"/>
          <w:lang w:val="en-US"/>
        </w:rPr>
        <w:t>3.项目联系方式</w:t>
      </w:r>
    </w:p>
    <w:p w14:paraId="46779388">
      <w:pPr>
        <w:pStyle w:val="5"/>
        <w:spacing w:line="360" w:lineRule="auto"/>
        <w:ind w:left="0" w:firstLine="432" w:firstLineChars="200"/>
        <w:rPr>
          <w:rFonts w:hint="eastAsia" w:ascii="仿宋" w:hAnsi="仿宋" w:eastAsia="仿宋" w:cs="仿宋"/>
          <w:color w:val="auto"/>
          <w:spacing w:val="3"/>
          <w:sz w:val="21"/>
          <w:szCs w:val="21"/>
          <w:lang w:val="en-US" w:eastAsia="zh-CN"/>
        </w:rPr>
      </w:pPr>
      <w:r>
        <w:rPr>
          <w:rFonts w:hint="eastAsia" w:ascii="仿宋" w:hAnsi="仿宋" w:eastAsia="仿宋" w:cs="仿宋"/>
          <w:color w:val="auto"/>
          <w:spacing w:val="3"/>
          <w:sz w:val="21"/>
          <w:szCs w:val="21"/>
          <w:lang w:val="en-US"/>
        </w:rPr>
        <w:t>项目联系人：</w:t>
      </w:r>
      <w:r>
        <w:rPr>
          <w:rFonts w:hint="eastAsia" w:ascii="仿宋" w:hAnsi="仿宋" w:eastAsia="仿宋" w:cs="仿宋"/>
          <w:color w:val="auto"/>
          <w:spacing w:val="3"/>
          <w:sz w:val="21"/>
          <w:szCs w:val="21"/>
          <w:u w:val="single"/>
          <w:lang w:val="en-US" w:eastAsia="zh-CN"/>
        </w:rPr>
        <w:t>杨雪</w:t>
      </w:r>
    </w:p>
    <w:p w14:paraId="1C8AC8D8">
      <w:pPr>
        <w:pStyle w:val="5"/>
        <w:spacing w:line="360" w:lineRule="auto"/>
        <w:ind w:left="0" w:firstLine="432" w:firstLineChars="200"/>
        <w:rPr>
          <w:rFonts w:hint="eastAsia" w:ascii="仿宋" w:hAnsi="仿宋" w:eastAsia="仿宋" w:cs="仿宋"/>
          <w:color w:val="auto"/>
          <w:spacing w:val="3"/>
          <w:sz w:val="21"/>
          <w:szCs w:val="21"/>
          <w:lang w:val="en-US" w:eastAsia="zh-CN"/>
        </w:rPr>
      </w:pPr>
      <w:r>
        <w:rPr>
          <w:rFonts w:hint="eastAsia" w:ascii="仿宋" w:hAnsi="仿宋" w:eastAsia="仿宋" w:cs="仿宋"/>
          <w:color w:val="auto"/>
          <w:spacing w:val="3"/>
          <w:sz w:val="21"/>
          <w:szCs w:val="21"/>
          <w:lang w:val="en-US"/>
        </w:rPr>
        <w:t>电话：</w:t>
      </w:r>
      <w:r>
        <w:rPr>
          <w:rFonts w:hint="eastAsia" w:ascii="仿宋" w:hAnsi="仿宋" w:eastAsia="仿宋" w:cs="仿宋"/>
          <w:color w:val="auto"/>
          <w:spacing w:val="3"/>
          <w:sz w:val="21"/>
          <w:szCs w:val="21"/>
          <w:u w:val="single"/>
          <w:lang w:val="en-US" w:eastAsia="zh-CN"/>
        </w:rPr>
        <w:t>0416-3566667</w:t>
      </w:r>
    </w:p>
    <w:p w14:paraId="41B6533D">
      <w:pPr>
        <w:spacing w:line="500" w:lineRule="exact"/>
        <w:ind w:firstLine="432" w:firstLineChars="200"/>
        <w:jc w:val="right"/>
        <w:rPr>
          <w:rFonts w:hint="eastAsia" w:ascii="仿宋" w:hAnsi="仿宋" w:cs="仿宋"/>
          <w:color w:val="auto"/>
          <w:spacing w:val="3"/>
          <w:szCs w:val="21"/>
          <w:lang w:val="en-US" w:bidi="zh-CN"/>
        </w:rPr>
      </w:pPr>
      <w:r>
        <w:rPr>
          <w:rFonts w:hint="eastAsia" w:ascii="仿宋" w:hAnsi="仿宋" w:cs="仿宋"/>
          <w:color w:val="auto"/>
          <w:spacing w:val="3"/>
          <w:szCs w:val="21"/>
          <w:lang w:val="en-US" w:bidi="zh-CN"/>
        </w:rPr>
        <w:t>锦州华隆项目管理有限公司</w:t>
      </w:r>
    </w:p>
    <w:p w14:paraId="16CE6261">
      <w:pPr>
        <w:spacing w:line="500" w:lineRule="exact"/>
        <w:ind w:firstLine="432" w:firstLineChars="200"/>
        <w:jc w:val="right"/>
        <w:rPr>
          <w:rFonts w:hint="eastAsia" w:ascii="仿宋" w:hAnsi="仿宋" w:cs="仿宋"/>
          <w:color w:val="auto"/>
          <w:spacing w:val="3"/>
          <w:szCs w:val="21"/>
          <w:lang w:val="en-US" w:bidi="zh-CN"/>
        </w:rPr>
      </w:pPr>
      <w:r>
        <w:rPr>
          <w:rFonts w:hint="eastAsia" w:ascii="仿宋" w:hAnsi="仿宋" w:cs="仿宋"/>
          <w:color w:val="auto"/>
          <w:spacing w:val="3"/>
          <w:szCs w:val="21"/>
          <w:lang w:val="en-US" w:eastAsia="zh-CN" w:bidi="zh-CN"/>
        </w:rPr>
        <w:t>2025年09</w:t>
      </w:r>
      <w:r>
        <w:rPr>
          <w:rFonts w:hint="eastAsia" w:ascii="仿宋" w:hAnsi="仿宋" w:cs="仿宋"/>
          <w:color w:val="auto"/>
          <w:spacing w:val="3"/>
          <w:szCs w:val="21"/>
          <w:lang w:val="en-US" w:bidi="zh-CN"/>
        </w:rPr>
        <w:t>月</w:t>
      </w:r>
      <w:r>
        <w:rPr>
          <w:rFonts w:hint="eastAsia" w:ascii="仿宋" w:hAnsi="仿宋" w:cs="仿宋"/>
          <w:color w:val="auto"/>
          <w:spacing w:val="3"/>
          <w:szCs w:val="21"/>
          <w:lang w:val="en-US" w:eastAsia="zh-CN" w:bidi="zh-CN"/>
        </w:rPr>
        <w:t>17</w:t>
      </w:r>
      <w:r>
        <w:rPr>
          <w:rFonts w:hint="eastAsia" w:ascii="仿宋" w:hAnsi="仿宋" w:cs="仿宋"/>
          <w:color w:val="auto"/>
          <w:spacing w:val="3"/>
          <w:szCs w:val="21"/>
          <w:lang w:val="en-US" w:bidi="zh-CN"/>
        </w:rPr>
        <w:t>日</w:t>
      </w:r>
    </w:p>
    <w:p w14:paraId="18BD63A7">
      <w:pPr>
        <w:pStyle w:val="2"/>
        <w:snapToGrid w:val="0"/>
        <w:spacing w:before="319" w:beforeLines="100" w:after="319" w:afterLines="100" w:line="360" w:lineRule="auto"/>
        <w:rPr>
          <w:rFonts w:hint="eastAsia" w:ascii="仿宋" w:hAnsi="仿宋" w:eastAsia="仿宋" w:cs="仿宋"/>
        </w:rPr>
      </w:pPr>
      <w:r>
        <w:rPr>
          <w:rFonts w:hint="eastAsia" w:ascii="仿宋" w:hAnsi="仿宋" w:eastAsia="仿宋" w:cs="仿宋"/>
        </w:rPr>
        <w:br w:type="page"/>
      </w:r>
      <w:r>
        <w:rPr>
          <w:rFonts w:hint="eastAsia" w:ascii="仿宋" w:hAnsi="仿宋" w:eastAsia="仿宋" w:cs="仿宋"/>
        </w:rPr>
        <w:t>第一章 投标人须知</w:t>
      </w:r>
      <w:bookmarkEnd w:id="1"/>
      <w:bookmarkEnd w:id="3"/>
    </w:p>
    <w:p w14:paraId="1A7E1F84">
      <w:pPr>
        <w:pStyle w:val="3"/>
        <w:adjustRightInd w:val="0"/>
        <w:snapToGrid w:val="0"/>
        <w:spacing w:before="0" w:after="0" w:line="360" w:lineRule="auto"/>
        <w:rPr>
          <w:rFonts w:hint="eastAsia" w:ascii="仿宋" w:hAnsi="仿宋" w:eastAsia="仿宋" w:cs="仿宋"/>
          <w:sz w:val="32"/>
          <w:szCs w:val="36"/>
        </w:rPr>
      </w:pPr>
      <w:bookmarkStart w:id="6" w:name="_Toc18613_WPSOffice_Level2"/>
      <w:r>
        <w:rPr>
          <w:rFonts w:hint="eastAsia" w:ascii="仿宋" w:hAnsi="仿宋" w:eastAsia="仿宋" w:cs="仿宋"/>
          <w:sz w:val="32"/>
          <w:szCs w:val="36"/>
        </w:rPr>
        <w:t>一 投标人须知表</w:t>
      </w:r>
      <w:bookmarkEnd w:id="6"/>
    </w:p>
    <w:tbl>
      <w:tblPr>
        <w:tblStyle w:val="16"/>
        <w:tblW w:w="9723" w:type="dxa"/>
        <w:jc w:val="center"/>
        <w:tblLayout w:type="fixed"/>
        <w:tblCellMar>
          <w:top w:w="0" w:type="dxa"/>
          <w:left w:w="108" w:type="dxa"/>
          <w:bottom w:w="0" w:type="dxa"/>
          <w:right w:w="108" w:type="dxa"/>
        </w:tblCellMar>
      </w:tblPr>
      <w:tblGrid>
        <w:gridCol w:w="852"/>
        <w:gridCol w:w="2051"/>
        <w:gridCol w:w="6820"/>
      </w:tblGrid>
      <w:tr w14:paraId="44718CFB">
        <w:tblPrEx>
          <w:tblCellMar>
            <w:top w:w="0" w:type="dxa"/>
            <w:left w:w="108" w:type="dxa"/>
            <w:bottom w:w="0" w:type="dxa"/>
            <w:right w:w="108" w:type="dxa"/>
          </w:tblCellMar>
        </w:tblPrEx>
        <w:trPr>
          <w:trHeight w:val="497" w:hRule="atLeast"/>
          <w:tblHeader/>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1611135D">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bookmarkStart w:id="7" w:name="sys_招标项目基本内容及要求：Block"/>
            <w:bookmarkEnd w:id="7"/>
            <w:bookmarkStart w:id="8" w:name="sys_招标项目基本内容及要求其他：Block"/>
            <w:bookmarkEnd w:id="8"/>
            <w:bookmarkStart w:id="9" w:name="招标项目基本内容及要求：Block"/>
            <w:bookmarkEnd w:id="9"/>
            <w:bookmarkStart w:id="10" w:name="招标项目基本内容及要求其他：Block"/>
            <w:bookmarkEnd w:id="10"/>
            <w:r>
              <w:rPr>
                <w:rFonts w:hint="eastAsia" w:ascii="仿宋" w:hAnsi="仿宋" w:eastAsia="仿宋" w:cs="仿宋"/>
                <w:kern w:val="0"/>
                <w:szCs w:val="21"/>
              </w:rPr>
              <w:t>条款号</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3ED7D598">
            <w:pPr>
              <w:pageBreakBefore w:val="0"/>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项   目</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28C7DD9B">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内     容</w:t>
            </w:r>
          </w:p>
        </w:tc>
      </w:tr>
      <w:tr w14:paraId="0B24D7C9">
        <w:tblPrEx>
          <w:tblCellMar>
            <w:top w:w="0" w:type="dxa"/>
            <w:left w:w="108" w:type="dxa"/>
            <w:bottom w:w="0" w:type="dxa"/>
            <w:right w:w="108" w:type="dxa"/>
          </w:tblCellMar>
        </w:tblPrEx>
        <w:trPr>
          <w:trHeight w:val="1252"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7FB51479">
            <w:pPr>
              <w:pageBreakBefore w:val="0"/>
              <w:widowControl/>
              <w:kinsoku/>
              <w:wordWrap/>
              <w:overflowPunct/>
              <w:topLinePunct w:val="0"/>
              <w:autoSpaceDE/>
              <w:autoSpaceDN/>
              <w:bidi w:val="0"/>
              <w:spacing w:line="36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1.1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5EB252A7">
            <w:pPr>
              <w:pageBreakBefore w:val="0"/>
              <w:kinsoku/>
              <w:wordWrap/>
              <w:overflowPunct/>
              <w:topLinePunct w:val="0"/>
              <w:autoSpaceDE/>
              <w:autoSpaceDN/>
              <w:bidi w:val="0"/>
              <w:spacing w:line="36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采购人</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7777C447">
            <w:pPr>
              <w:pageBreakBefore w:val="0"/>
              <w:widowControl/>
              <w:kinsoku/>
              <w:wordWrap/>
              <w:overflowPunct/>
              <w:topLinePunct w:val="0"/>
              <w:autoSpaceDE/>
              <w:autoSpaceDN/>
              <w:bidi w:val="0"/>
              <w:spacing w:line="360" w:lineRule="exact"/>
              <w:jc w:val="left"/>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采购人：</w:t>
            </w:r>
            <w:r>
              <w:rPr>
                <w:rFonts w:hint="eastAsia" w:ascii="仿宋" w:hAnsi="仿宋" w:eastAsia="仿宋" w:cs="仿宋"/>
                <w:kern w:val="0"/>
                <w:szCs w:val="21"/>
                <w:u w:val="single"/>
                <w:lang w:val="en-US" w:eastAsia="zh-CN"/>
              </w:rPr>
              <w:t>义县卫生健康局</w:t>
            </w:r>
          </w:p>
          <w:p w14:paraId="1DF739D4">
            <w:pPr>
              <w:pageBreakBefore w:val="0"/>
              <w:widowControl/>
              <w:kinsoku/>
              <w:wordWrap/>
              <w:overflowPunct/>
              <w:topLinePunct w:val="0"/>
              <w:autoSpaceDE/>
              <w:autoSpaceDN/>
              <w:bidi w:val="0"/>
              <w:spacing w:line="360" w:lineRule="exact"/>
              <w:jc w:val="left"/>
              <w:rPr>
                <w:rFonts w:hint="eastAsia" w:ascii="仿宋" w:hAnsi="仿宋" w:eastAsia="仿宋" w:cs="仿宋"/>
                <w:kern w:val="0"/>
                <w:szCs w:val="21"/>
                <w:lang w:val="en-US"/>
              </w:rPr>
            </w:pPr>
            <w:r>
              <w:rPr>
                <w:rFonts w:hint="eastAsia" w:ascii="仿宋" w:hAnsi="仿宋" w:eastAsia="仿宋" w:cs="仿宋"/>
                <w:kern w:val="0"/>
                <w:szCs w:val="21"/>
                <w:lang w:val="en-US"/>
              </w:rPr>
              <w:t>地</w:t>
            </w:r>
            <w:r>
              <w:rPr>
                <w:rFonts w:hint="eastAsia" w:ascii="仿宋" w:hAnsi="仿宋" w:eastAsia="仿宋" w:cs="仿宋"/>
                <w:kern w:val="0"/>
                <w:szCs w:val="21"/>
                <w:lang w:val="en-US" w:eastAsia="zh-CN"/>
              </w:rPr>
              <w:t xml:space="preserve"> </w:t>
            </w:r>
            <w:r>
              <w:rPr>
                <w:rFonts w:hint="eastAsia" w:ascii="仿宋" w:hAnsi="仿宋" w:eastAsia="仿宋" w:cs="仿宋"/>
                <w:kern w:val="0"/>
                <w:szCs w:val="21"/>
                <w:lang w:val="en-US"/>
              </w:rPr>
              <w:t>址：</w:t>
            </w:r>
            <w:r>
              <w:rPr>
                <w:rFonts w:hint="eastAsia" w:ascii="仿宋" w:hAnsi="仿宋" w:eastAsia="仿宋" w:cs="仿宋"/>
                <w:kern w:val="0"/>
                <w:szCs w:val="21"/>
                <w:u w:val="single"/>
                <w:lang w:val="en-US"/>
              </w:rPr>
              <w:t xml:space="preserve">锦州市义县 </w:t>
            </w:r>
          </w:p>
          <w:p w14:paraId="596B13BF">
            <w:pPr>
              <w:pageBreakBefore w:val="0"/>
              <w:widowControl/>
              <w:kinsoku/>
              <w:wordWrap/>
              <w:overflowPunct/>
              <w:topLinePunct w:val="0"/>
              <w:autoSpaceDE/>
              <w:autoSpaceDN/>
              <w:bidi w:val="0"/>
              <w:spacing w:line="360" w:lineRule="exact"/>
              <w:jc w:val="left"/>
              <w:rPr>
                <w:rFonts w:hint="eastAsia" w:ascii="仿宋" w:hAnsi="仿宋" w:eastAsia="仿宋" w:cs="仿宋"/>
                <w:kern w:val="0"/>
                <w:szCs w:val="21"/>
                <w:lang w:val="en-US"/>
              </w:rPr>
            </w:pPr>
            <w:r>
              <w:rPr>
                <w:rFonts w:hint="eastAsia" w:ascii="仿宋" w:hAnsi="仿宋" w:eastAsia="仿宋" w:cs="仿宋"/>
                <w:kern w:val="0"/>
                <w:szCs w:val="21"/>
                <w:lang w:val="en-US"/>
              </w:rPr>
              <w:t>项目联系人：</w:t>
            </w:r>
            <w:r>
              <w:rPr>
                <w:rFonts w:hint="eastAsia" w:ascii="仿宋" w:hAnsi="仿宋" w:eastAsia="仿宋" w:cs="仿宋"/>
                <w:kern w:val="0"/>
                <w:szCs w:val="21"/>
                <w:u w:val="single"/>
                <w:lang w:val="en-US" w:eastAsia="zh-CN"/>
              </w:rPr>
              <w:t>荣先生</w:t>
            </w:r>
            <w:r>
              <w:rPr>
                <w:rFonts w:hint="eastAsia" w:ascii="仿宋" w:hAnsi="仿宋" w:eastAsia="仿宋" w:cs="仿宋"/>
                <w:kern w:val="0"/>
                <w:szCs w:val="21"/>
                <w:lang w:val="en-US"/>
              </w:rPr>
              <w:t xml:space="preserve">               </w:t>
            </w:r>
          </w:p>
          <w:p w14:paraId="020A446E">
            <w:pPr>
              <w:pageBreakBefore w:val="0"/>
              <w:widowControl/>
              <w:kinsoku/>
              <w:wordWrap/>
              <w:overflowPunct/>
              <w:topLinePunct w:val="0"/>
              <w:autoSpaceDE/>
              <w:autoSpaceDN/>
              <w:bidi w:val="0"/>
              <w:spacing w:line="360" w:lineRule="exact"/>
              <w:jc w:val="left"/>
              <w:rPr>
                <w:rFonts w:hint="eastAsia" w:ascii="仿宋" w:hAnsi="仿宋" w:eastAsia="仿宋" w:cs="仿宋"/>
                <w:color w:val="0000FF"/>
                <w:kern w:val="0"/>
                <w:szCs w:val="21"/>
                <w:lang w:val="en-US"/>
              </w:rPr>
            </w:pPr>
            <w:r>
              <w:rPr>
                <w:rFonts w:hint="eastAsia" w:ascii="仿宋" w:hAnsi="仿宋" w:eastAsia="仿宋" w:cs="仿宋"/>
                <w:kern w:val="0"/>
                <w:szCs w:val="21"/>
                <w:lang w:val="en-US"/>
              </w:rPr>
              <w:t>联系电话：</w:t>
            </w:r>
            <w:r>
              <w:rPr>
                <w:rFonts w:hint="eastAsia" w:ascii="仿宋" w:hAnsi="仿宋" w:eastAsia="仿宋" w:cs="仿宋"/>
                <w:kern w:val="0"/>
                <w:szCs w:val="21"/>
                <w:u w:val="single"/>
                <w:lang w:val="en-US" w:eastAsia="zh-CN"/>
              </w:rPr>
              <w:t>0416-7799011</w:t>
            </w:r>
          </w:p>
        </w:tc>
      </w:tr>
      <w:tr w14:paraId="3F3C46D6">
        <w:tblPrEx>
          <w:tblCellMar>
            <w:top w:w="0" w:type="dxa"/>
            <w:left w:w="108" w:type="dxa"/>
            <w:bottom w:w="0" w:type="dxa"/>
            <w:right w:w="108" w:type="dxa"/>
          </w:tblCellMar>
        </w:tblPrEx>
        <w:trPr>
          <w:trHeight w:val="1252"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57E775C0">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1.2</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6999217B">
            <w:pPr>
              <w:pageBreakBefore w:val="0"/>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采购代理机构</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54B64718">
            <w:pPr>
              <w:pageBreakBefore w:val="0"/>
              <w:widowControl/>
              <w:kinsoku/>
              <w:wordWrap/>
              <w:overflowPunct/>
              <w:topLinePunct w:val="0"/>
              <w:autoSpaceDE/>
              <w:autoSpaceDN/>
              <w:bidi w:val="0"/>
              <w:spacing w:line="360" w:lineRule="exact"/>
              <w:jc w:val="left"/>
              <w:rPr>
                <w:rFonts w:hint="eastAsia" w:ascii="仿宋" w:hAnsi="仿宋" w:eastAsia="仿宋" w:cs="仿宋"/>
                <w:kern w:val="0"/>
                <w:szCs w:val="21"/>
              </w:rPr>
            </w:pPr>
            <w:r>
              <w:rPr>
                <w:rFonts w:hint="eastAsia" w:ascii="仿宋" w:hAnsi="仿宋" w:eastAsia="仿宋" w:cs="仿宋"/>
                <w:kern w:val="0"/>
                <w:szCs w:val="21"/>
              </w:rPr>
              <w:t>名称：</w:t>
            </w:r>
            <w:r>
              <w:rPr>
                <w:rFonts w:hint="eastAsia" w:ascii="仿宋" w:hAnsi="仿宋" w:eastAsia="仿宋" w:cs="仿宋"/>
                <w:kern w:val="0"/>
                <w:szCs w:val="21"/>
                <w:u w:val="single"/>
              </w:rPr>
              <w:t>锦州华隆项目管理有限公司</w:t>
            </w:r>
          </w:p>
          <w:p w14:paraId="7BDB9133">
            <w:pPr>
              <w:pageBreakBefore w:val="0"/>
              <w:widowControl/>
              <w:kinsoku/>
              <w:wordWrap/>
              <w:overflowPunct/>
              <w:topLinePunct w:val="0"/>
              <w:autoSpaceDE/>
              <w:autoSpaceDN/>
              <w:bidi w:val="0"/>
              <w:spacing w:line="360" w:lineRule="exact"/>
              <w:jc w:val="left"/>
              <w:rPr>
                <w:rFonts w:hint="eastAsia" w:ascii="仿宋" w:hAnsi="仿宋" w:eastAsia="仿宋" w:cs="仿宋"/>
                <w:kern w:val="0"/>
                <w:szCs w:val="21"/>
              </w:rPr>
            </w:pPr>
            <w:r>
              <w:rPr>
                <w:rFonts w:hint="eastAsia" w:ascii="仿宋" w:hAnsi="仿宋" w:eastAsia="仿宋" w:cs="仿宋"/>
                <w:kern w:val="0"/>
                <w:szCs w:val="21"/>
              </w:rPr>
              <w:t>级别：</w:t>
            </w:r>
            <w:r>
              <w:rPr>
                <w:rFonts w:hint="eastAsia" w:ascii="仿宋" w:hAnsi="仿宋" w:eastAsia="仿宋" w:cs="仿宋"/>
                <w:kern w:val="0"/>
                <w:szCs w:val="21"/>
                <w:u w:val="single"/>
              </w:rPr>
              <w:t>中华人民共和国政府采购代理机构甲级(现备案制)</w:t>
            </w:r>
          </w:p>
          <w:p w14:paraId="591E69A1">
            <w:pPr>
              <w:pageBreakBefore w:val="0"/>
              <w:widowControl/>
              <w:kinsoku/>
              <w:wordWrap/>
              <w:overflowPunct/>
              <w:topLinePunct w:val="0"/>
              <w:autoSpaceDE/>
              <w:autoSpaceDN/>
              <w:bidi w:val="0"/>
              <w:spacing w:line="360" w:lineRule="exact"/>
              <w:jc w:val="left"/>
              <w:rPr>
                <w:rFonts w:hint="eastAsia" w:ascii="仿宋" w:hAnsi="仿宋" w:eastAsia="仿宋" w:cs="仿宋"/>
                <w:kern w:val="0"/>
                <w:szCs w:val="21"/>
              </w:rPr>
            </w:pPr>
            <w:r>
              <w:rPr>
                <w:rFonts w:hint="eastAsia" w:ascii="仿宋" w:hAnsi="仿宋" w:eastAsia="仿宋" w:cs="仿宋"/>
                <w:kern w:val="0"/>
                <w:szCs w:val="21"/>
              </w:rPr>
              <w:t xml:space="preserve">地 址: </w:t>
            </w:r>
            <w:r>
              <w:rPr>
                <w:rFonts w:hint="eastAsia" w:ascii="仿宋" w:hAnsi="仿宋" w:eastAsia="仿宋" w:cs="仿宋"/>
                <w:kern w:val="0"/>
                <w:szCs w:val="21"/>
                <w:u w:val="single"/>
              </w:rPr>
              <w:t>锦州经济技术开发区锦港大街二段大港莱茵华庭19-甲</w:t>
            </w:r>
          </w:p>
          <w:p w14:paraId="0677E7BE">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本项目代理负责人员：</w:t>
            </w:r>
            <w:r>
              <w:rPr>
                <w:rFonts w:hint="eastAsia" w:ascii="仿宋" w:hAnsi="仿宋" w:eastAsia="仿宋" w:cs="仿宋"/>
                <w:color w:val="auto"/>
                <w:kern w:val="0"/>
                <w:szCs w:val="21"/>
                <w:highlight w:val="none"/>
                <w:u w:val="single"/>
                <w:lang w:val="en-US" w:eastAsia="zh-CN"/>
              </w:rPr>
              <w:t>杨雪</w:t>
            </w:r>
            <w:r>
              <w:rPr>
                <w:rFonts w:hint="eastAsia" w:ascii="仿宋" w:hAnsi="仿宋" w:eastAsia="仿宋" w:cs="仿宋"/>
                <w:color w:val="auto"/>
                <w:kern w:val="0"/>
                <w:szCs w:val="21"/>
                <w:highlight w:val="none"/>
              </w:rPr>
              <w:t xml:space="preserve"> 职务：</w:t>
            </w:r>
            <w:r>
              <w:rPr>
                <w:rFonts w:hint="eastAsia" w:ascii="仿宋" w:hAnsi="仿宋" w:eastAsia="仿宋" w:cs="仿宋"/>
                <w:color w:val="auto"/>
                <w:kern w:val="0"/>
                <w:szCs w:val="21"/>
                <w:highlight w:val="none"/>
                <w:u w:val="single"/>
              </w:rPr>
              <w:t>部长</w:t>
            </w:r>
            <w:r>
              <w:rPr>
                <w:rFonts w:hint="eastAsia" w:ascii="仿宋" w:hAnsi="仿宋" w:eastAsia="仿宋" w:cs="仿宋"/>
                <w:color w:val="auto"/>
                <w:kern w:val="0"/>
                <w:szCs w:val="21"/>
                <w:highlight w:val="none"/>
              </w:rPr>
              <w:t xml:space="preserve">  </w:t>
            </w:r>
          </w:p>
          <w:p w14:paraId="3F511F6B">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其他代理人员名单：</w:t>
            </w:r>
          </w:p>
          <w:p w14:paraId="768BBAD0">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u w:val="single"/>
              </w:rPr>
            </w:pPr>
            <w:r>
              <w:rPr>
                <w:rFonts w:hint="eastAsia" w:ascii="仿宋" w:hAnsi="仿宋" w:eastAsia="仿宋" w:cs="仿宋"/>
                <w:color w:val="auto"/>
                <w:kern w:val="0"/>
                <w:szCs w:val="21"/>
              </w:rPr>
              <w:t>姓名：</w:t>
            </w:r>
            <w:r>
              <w:rPr>
                <w:rFonts w:hint="eastAsia" w:ascii="仿宋" w:hAnsi="仿宋" w:eastAsia="仿宋" w:cs="仿宋"/>
                <w:color w:val="auto"/>
                <w:kern w:val="0"/>
                <w:szCs w:val="21"/>
                <w:u w:val="single"/>
                <w:lang w:val="en-US" w:eastAsia="zh-CN"/>
              </w:rPr>
              <w:t>邵晶晶</w:t>
            </w:r>
            <w:r>
              <w:rPr>
                <w:rFonts w:hint="eastAsia" w:ascii="仿宋" w:hAnsi="仿宋" w:eastAsia="仿宋" w:cs="仿宋"/>
                <w:color w:val="auto"/>
                <w:kern w:val="0"/>
                <w:szCs w:val="21"/>
                <w:u w:val="single"/>
              </w:rPr>
              <w:t xml:space="preserve">  </w:t>
            </w:r>
            <w:r>
              <w:rPr>
                <w:rFonts w:hint="eastAsia" w:ascii="仿宋" w:hAnsi="仿宋" w:eastAsia="仿宋" w:cs="仿宋"/>
                <w:color w:val="auto"/>
                <w:kern w:val="0"/>
                <w:szCs w:val="21"/>
              </w:rPr>
              <w:t>职务：</w:t>
            </w:r>
            <w:r>
              <w:rPr>
                <w:rFonts w:hint="eastAsia" w:ascii="仿宋" w:hAnsi="仿宋" w:eastAsia="仿宋" w:cs="仿宋"/>
                <w:color w:val="auto"/>
                <w:kern w:val="0"/>
                <w:szCs w:val="21"/>
                <w:u w:val="single"/>
              </w:rPr>
              <w:t>工作人员</w:t>
            </w:r>
            <w:r>
              <w:rPr>
                <w:rFonts w:hint="eastAsia" w:ascii="仿宋" w:hAnsi="仿宋" w:eastAsia="仿宋" w:cs="仿宋"/>
                <w:color w:val="auto"/>
                <w:kern w:val="0"/>
                <w:szCs w:val="21"/>
              </w:rPr>
              <w:t xml:space="preserve">    </w:t>
            </w:r>
          </w:p>
          <w:p w14:paraId="66FA2146">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u w:val="none"/>
                <w:lang w:val="en-US" w:eastAsia="zh-CN"/>
              </w:rPr>
              <w:t>姓名：</w:t>
            </w:r>
            <w:r>
              <w:rPr>
                <w:rFonts w:hint="eastAsia" w:ascii="仿宋" w:hAnsi="仿宋" w:eastAsia="仿宋" w:cs="仿宋"/>
                <w:color w:val="auto"/>
                <w:kern w:val="0"/>
                <w:szCs w:val="21"/>
                <w:u w:val="single"/>
                <w:lang w:val="en-US" w:eastAsia="zh-CN"/>
              </w:rPr>
              <w:t xml:space="preserve">高天晴  </w:t>
            </w:r>
            <w:r>
              <w:rPr>
                <w:rFonts w:hint="eastAsia" w:ascii="仿宋" w:hAnsi="仿宋" w:eastAsia="仿宋" w:cs="仿宋"/>
                <w:color w:val="auto"/>
                <w:kern w:val="0"/>
                <w:szCs w:val="21"/>
              </w:rPr>
              <w:t>职务：</w:t>
            </w:r>
            <w:r>
              <w:rPr>
                <w:rFonts w:hint="eastAsia" w:ascii="仿宋" w:hAnsi="仿宋" w:eastAsia="仿宋" w:cs="仿宋"/>
                <w:color w:val="auto"/>
                <w:kern w:val="0"/>
                <w:szCs w:val="21"/>
                <w:u w:val="single"/>
              </w:rPr>
              <w:t>工作人员</w:t>
            </w:r>
            <w:r>
              <w:rPr>
                <w:rFonts w:hint="eastAsia" w:ascii="仿宋" w:hAnsi="仿宋" w:eastAsia="仿宋" w:cs="仿宋"/>
                <w:color w:val="auto"/>
                <w:kern w:val="0"/>
                <w:szCs w:val="21"/>
                <w:highlight w:val="none"/>
              </w:rPr>
              <w:t xml:space="preserve"> </w:t>
            </w:r>
          </w:p>
          <w:p w14:paraId="0D0D862D">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姓名：</w:t>
            </w:r>
            <w:r>
              <w:rPr>
                <w:rFonts w:hint="eastAsia" w:ascii="仿宋" w:hAnsi="仿宋" w:eastAsia="仿宋" w:cs="仿宋"/>
                <w:color w:val="auto"/>
                <w:kern w:val="0"/>
                <w:szCs w:val="21"/>
                <w:highlight w:val="none"/>
                <w:u w:val="single"/>
              </w:rPr>
              <w:t xml:space="preserve">关婧涵  </w:t>
            </w:r>
            <w:r>
              <w:rPr>
                <w:rFonts w:hint="eastAsia" w:ascii="仿宋" w:hAnsi="仿宋" w:eastAsia="仿宋" w:cs="仿宋"/>
                <w:color w:val="auto"/>
                <w:kern w:val="0"/>
                <w:szCs w:val="21"/>
                <w:highlight w:val="none"/>
              </w:rPr>
              <w:t>职务：</w:t>
            </w:r>
            <w:r>
              <w:rPr>
                <w:rFonts w:hint="eastAsia" w:ascii="仿宋" w:hAnsi="仿宋" w:eastAsia="仿宋" w:cs="仿宋"/>
                <w:color w:val="auto"/>
                <w:kern w:val="0"/>
                <w:szCs w:val="21"/>
                <w:highlight w:val="none"/>
                <w:u w:val="single"/>
              </w:rPr>
              <w:t>工作人员</w:t>
            </w:r>
          </w:p>
          <w:p w14:paraId="559A5AE1">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联系人：</w:t>
            </w:r>
            <w:r>
              <w:rPr>
                <w:rFonts w:hint="eastAsia" w:ascii="仿宋" w:hAnsi="仿宋" w:eastAsia="仿宋" w:cs="仿宋"/>
                <w:color w:val="auto"/>
                <w:kern w:val="0"/>
                <w:szCs w:val="21"/>
                <w:highlight w:val="none"/>
                <w:u w:val="single"/>
                <w:lang w:val="en-US" w:eastAsia="zh-CN"/>
              </w:rPr>
              <w:t>杨雪</w:t>
            </w:r>
          </w:p>
          <w:p w14:paraId="79A83AF8">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电  话：</w:t>
            </w:r>
            <w:r>
              <w:rPr>
                <w:rFonts w:hint="eastAsia" w:ascii="仿宋" w:hAnsi="仿宋" w:eastAsia="仿宋" w:cs="仿宋"/>
                <w:color w:val="auto"/>
                <w:kern w:val="0"/>
                <w:szCs w:val="21"/>
                <w:highlight w:val="none"/>
                <w:u w:val="single"/>
              </w:rPr>
              <w:t>0416-3566667</w:t>
            </w:r>
          </w:p>
          <w:p w14:paraId="45B6BB27">
            <w:pPr>
              <w:pageBreakBefore w:val="0"/>
              <w:widowControl/>
              <w:kinsoku/>
              <w:wordWrap/>
              <w:overflowPunct/>
              <w:topLinePunct w:val="0"/>
              <w:autoSpaceDE/>
              <w:autoSpaceDN/>
              <w:bidi w:val="0"/>
              <w:spacing w:line="360" w:lineRule="exact"/>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传  真：</w:t>
            </w:r>
            <w:r>
              <w:rPr>
                <w:rFonts w:hint="eastAsia" w:ascii="仿宋" w:hAnsi="仿宋" w:eastAsia="仿宋" w:cs="仿宋"/>
                <w:color w:val="auto"/>
                <w:kern w:val="0"/>
                <w:szCs w:val="21"/>
                <w:highlight w:val="none"/>
                <w:u w:val="single"/>
              </w:rPr>
              <w:t>0416-3596622</w:t>
            </w:r>
          </w:p>
          <w:p w14:paraId="5BF8CE72">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color w:val="auto"/>
                <w:kern w:val="0"/>
                <w:szCs w:val="21"/>
                <w:highlight w:val="none"/>
              </w:rPr>
              <w:t>电子邮件：</w:t>
            </w:r>
            <w:r>
              <w:rPr>
                <w:rFonts w:hint="eastAsia" w:ascii="仿宋" w:hAnsi="仿宋" w:eastAsia="仿宋" w:cs="仿宋"/>
                <w:color w:val="auto"/>
                <w:kern w:val="0"/>
                <w:szCs w:val="21"/>
                <w:highlight w:val="none"/>
                <w:u w:val="single"/>
              </w:rPr>
              <w:t>hualong88518@163.com</w:t>
            </w:r>
          </w:p>
        </w:tc>
      </w:tr>
      <w:tr w14:paraId="0FED03F9">
        <w:tblPrEx>
          <w:tblCellMar>
            <w:top w:w="0" w:type="dxa"/>
            <w:left w:w="108" w:type="dxa"/>
            <w:bottom w:w="0" w:type="dxa"/>
            <w:right w:w="108" w:type="dxa"/>
          </w:tblCellMar>
        </w:tblPrEx>
        <w:trPr>
          <w:trHeight w:val="90"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7ED8FBAC">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1.3.4</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0DBF3DC1">
            <w:pPr>
              <w:pageBreakBefore w:val="0"/>
              <w:kinsoku/>
              <w:wordWrap/>
              <w:overflowPunct/>
              <w:topLinePunct w:val="0"/>
              <w:autoSpaceDE/>
              <w:autoSpaceDN/>
              <w:bidi w:val="0"/>
              <w:spacing w:line="360" w:lineRule="exact"/>
              <w:jc w:val="center"/>
              <w:rPr>
                <w:rFonts w:hint="eastAsia" w:ascii="仿宋" w:hAnsi="仿宋" w:eastAsia="仿宋" w:cs="仿宋"/>
              </w:rPr>
            </w:pPr>
            <w:r>
              <w:rPr>
                <w:rFonts w:hint="eastAsia" w:ascii="仿宋" w:hAnsi="仿宋" w:eastAsia="仿宋" w:cs="仿宋"/>
              </w:rPr>
              <w:t>合格投标</w:t>
            </w:r>
            <w:r>
              <w:rPr>
                <w:rFonts w:hint="eastAsia" w:ascii="仿宋" w:hAnsi="仿宋" w:cs="仿宋"/>
                <w:lang w:val="en-US" w:eastAsia="zh-CN"/>
              </w:rPr>
              <w:t>人</w:t>
            </w:r>
            <w:r>
              <w:rPr>
                <w:rFonts w:hint="eastAsia" w:ascii="仿宋" w:hAnsi="仿宋" w:eastAsia="仿宋" w:cs="仿宋"/>
              </w:rPr>
              <w:t>还要满足的其它资格条件</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38662CF2">
            <w:pPr>
              <w:pageBreakBefore w:val="0"/>
              <w:kinsoku/>
              <w:wordWrap/>
              <w:overflowPunct/>
              <w:topLinePunct w:val="0"/>
              <w:autoSpaceDE/>
              <w:autoSpaceDN/>
              <w:bidi w:val="0"/>
              <w:spacing w:line="360" w:lineRule="exact"/>
              <w:rPr>
                <w:rFonts w:hint="eastAsia" w:ascii="仿宋" w:hAnsi="仿宋" w:eastAsia="仿宋" w:cs="仿宋"/>
                <w:lang w:eastAsia="zh-CN"/>
              </w:rPr>
            </w:pPr>
            <w:r>
              <w:rPr>
                <w:rFonts w:hint="eastAsia" w:ascii="仿宋" w:hAnsi="仿宋" w:eastAsia="仿宋" w:cs="仿宋"/>
                <w:lang w:eastAsia="zh-CN"/>
              </w:rPr>
              <w:t>详见公告</w:t>
            </w:r>
          </w:p>
        </w:tc>
      </w:tr>
      <w:tr w14:paraId="14279069">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71675F86">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rPr>
              <w:t>1.3.</w:t>
            </w:r>
            <w:r>
              <w:rPr>
                <w:rFonts w:hint="eastAsia" w:ascii="仿宋" w:hAnsi="仿宋" w:eastAsia="仿宋" w:cs="仿宋"/>
                <w:kern w:val="0"/>
                <w:szCs w:val="21"/>
                <w:lang w:val="en-US" w:eastAsia="zh-CN"/>
              </w:rPr>
              <w:t>5</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2FA4DD06">
            <w:pPr>
              <w:pageBreakBefore w:val="0"/>
              <w:tabs>
                <w:tab w:val="left" w:pos="1425"/>
              </w:tabs>
              <w:kinsoku/>
              <w:wordWrap/>
              <w:overflowPunct/>
              <w:topLinePunct w:val="0"/>
              <w:autoSpaceDE/>
              <w:autoSpaceDN/>
              <w:bidi w:val="0"/>
              <w:spacing w:line="360" w:lineRule="exact"/>
              <w:jc w:val="center"/>
              <w:rPr>
                <w:rFonts w:hint="eastAsia" w:ascii="仿宋" w:hAnsi="仿宋" w:eastAsia="仿宋" w:cs="仿宋"/>
                <w:bCs/>
                <w:color w:val="auto"/>
                <w:kern w:val="0"/>
                <w:szCs w:val="21"/>
              </w:rPr>
            </w:pPr>
            <w:r>
              <w:rPr>
                <w:rFonts w:hint="eastAsia" w:ascii="仿宋" w:hAnsi="仿宋" w:eastAsia="仿宋" w:cs="仿宋"/>
                <w:color w:val="auto"/>
                <w:kern w:val="0"/>
                <w:szCs w:val="21"/>
              </w:rPr>
              <w:t>是否为专门面向</w:t>
            </w:r>
            <w:r>
              <w:rPr>
                <w:rFonts w:hint="eastAsia" w:ascii="仿宋" w:hAnsi="仿宋" w:eastAsia="仿宋" w:cs="仿宋"/>
                <w:color w:val="auto"/>
                <w:szCs w:val="21"/>
              </w:rPr>
              <w:t>中小企业</w:t>
            </w:r>
            <w:r>
              <w:rPr>
                <w:rFonts w:hint="eastAsia" w:ascii="仿宋" w:hAnsi="仿宋" w:eastAsia="仿宋" w:cs="仿宋"/>
                <w:color w:val="auto"/>
                <w:kern w:val="0"/>
                <w:szCs w:val="21"/>
              </w:rPr>
              <w:t>采购</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7FDAA78F">
            <w:pPr>
              <w:pageBreakBefore w:val="0"/>
              <w:kinsoku/>
              <w:wordWrap/>
              <w:overflowPunct/>
              <w:topLinePunct w:val="0"/>
              <w:autoSpaceDE/>
              <w:autoSpaceDN/>
              <w:bidi w:val="0"/>
              <w:spacing w:line="360" w:lineRule="exact"/>
              <w:rPr>
                <w:rFonts w:hint="eastAsia" w:ascii="仿宋" w:hAnsi="仿宋" w:eastAsia="仿宋" w:cs="仿宋"/>
                <w:color w:val="auto"/>
                <w:highlight w:val="none"/>
              </w:rPr>
            </w:pPr>
            <w:r>
              <w:rPr>
                <w:rFonts w:hint="eastAsia" w:ascii="仿宋" w:hAnsi="仿宋" w:eastAsia="仿宋" w:cs="仿宋"/>
                <w:color w:val="auto"/>
                <w:highlight w:val="none"/>
              </w:rPr>
              <w:t>一、</w:t>
            </w:r>
            <w:r>
              <w:rPr>
                <w:rFonts w:hint="eastAsia" w:ascii="仿宋" w:hAnsi="仿宋" w:eastAsia="仿宋" w:cs="仿宋"/>
                <w:color w:val="auto"/>
                <w:kern w:val="0"/>
                <w:szCs w:val="21"/>
                <w:highlight w:val="none"/>
              </w:rPr>
              <w:t>是否为专门面向</w:t>
            </w:r>
            <w:r>
              <w:rPr>
                <w:rFonts w:hint="eastAsia" w:ascii="仿宋" w:hAnsi="仿宋" w:eastAsia="仿宋" w:cs="仿宋"/>
                <w:color w:val="auto"/>
                <w:szCs w:val="21"/>
                <w:highlight w:val="none"/>
              </w:rPr>
              <w:t>中小企业</w:t>
            </w:r>
            <w:r>
              <w:rPr>
                <w:rFonts w:hint="eastAsia" w:ascii="仿宋" w:hAnsi="仿宋" w:eastAsia="仿宋" w:cs="仿宋"/>
                <w:color w:val="auto"/>
                <w:kern w:val="0"/>
                <w:szCs w:val="21"/>
                <w:highlight w:val="none"/>
              </w:rPr>
              <w:t>采购</w:t>
            </w:r>
          </w:p>
          <w:p w14:paraId="3596EC60">
            <w:pPr>
              <w:pageBreakBefore w:val="0"/>
              <w:kinsoku/>
              <w:wordWrap/>
              <w:overflowPunct/>
              <w:topLinePunct w:val="0"/>
              <w:autoSpaceDE/>
              <w:autoSpaceDN/>
              <w:bidi w:val="0"/>
              <w:spacing w:line="360" w:lineRule="exact"/>
              <w:ind w:firstLine="630" w:firstLineChars="300"/>
              <w:rPr>
                <w:rFonts w:hint="eastAsia" w:ascii="仿宋" w:hAnsi="仿宋" w:eastAsia="仿宋" w:cs="仿宋"/>
                <w:color w:val="auto"/>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highlight w:val="none"/>
              </w:rPr>
              <w:t>是</w:t>
            </w:r>
          </w:p>
          <w:p w14:paraId="308BC9DA">
            <w:pPr>
              <w:pageBreakBefore w:val="0"/>
              <w:kinsoku/>
              <w:wordWrap/>
              <w:overflowPunct/>
              <w:topLinePunct w:val="0"/>
              <w:autoSpaceDE/>
              <w:autoSpaceDN/>
              <w:bidi w:val="0"/>
              <w:spacing w:line="360" w:lineRule="exact"/>
              <w:ind w:firstLine="630" w:firstLineChars="300"/>
              <w:rPr>
                <w:rFonts w:hint="eastAsia" w:ascii="仿宋" w:hAnsi="仿宋" w:eastAsia="仿宋" w:cs="仿宋"/>
                <w:color w:val="auto"/>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highlight w:val="none"/>
              </w:rPr>
              <w:t>否</w:t>
            </w:r>
          </w:p>
          <w:p w14:paraId="1F3C8A60">
            <w:pPr>
              <w:pStyle w:val="4"/>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b/>
                <w:color w:val="auto"/>
                <w:sz w:val="21"/>
                <w:szCs w:val="21"/>
                <w:highlight w:val="none"/>
              </w:rPr>
              <w:t>二、采购标的对应的中小企业划分标准所属行业：</w:t>
            </w:r>
            <w:r>
              <w:rPr>
                <w:rFonts w:hint="eastAsia" w:ascii="仿宋" w:hAnsi="仿宋" w:eastAsia="仿宋" w:cs="仿宋"/>
                <w:b/>
                <w:color w:val="auto"/>
                <w:sz w:val="21"/>
                <w:szCs w:val="21"/>
                <w:highlight w:val="none"/>
                <w:u w:val="single"/>
                <w:lang w:eastAsia="zh-CN"/>
              </w:rPr>
              <w:t>其他未列明</w:t>
            </w:r>
            <w:r>
              <w:rPr>
                <w:rFonts w:hint="eastAsia" w:ascii="仿宋" w:hAnsi="仿宋" w:eastAsia="仿宋" w:cs="仿宋"/>
                <w:b/>
                <w:color w:val="auto"/>
                <w:sz w:val="21"/>
                <w:szCs w:val="21"/>
                <w:highlight w:val="none"/>
                <w:u w:val="single"/>
              </w:rPr>
              <w:t>行业；</w:t>
            </w:r>
          </w:p>
        </w:tc>
      </w:tr>
      <w:tr w14:paraId="55EA4FDE">
        <w:tblPrEx>
          <w:tblCellMar>
            <w:top w:w="0" w:type="dxa"/>
            <w:left w:w="108" w:type="dxa"/>
            <w:bottom w:w="0" w:type="dxa"/>
            <w:right w:w="108" w:type="dxa"/>
          </w:tblCellMar>
        </w:tblPrEx>
        <w:trPr>
          <w:trHeight w:val="83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31960D40">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rPr>
              <w:t>1.3.</w:t>
            </w:r>
            <w:r>
              <w:rPr>
                <w:rFonts w:hint="eastAsia" w:ascii="仿宋" w:hAnsi="仿宋" w:eastAsia="仿宋" w:cs="仿宋"/>
                <w:kern w:val="0"/>
                <w:szCs w:val="21"/>
                <w:lang w:val="en-US" w:eastAsia="zh-CN"/>
              </w:rPr>
              <w:t>6</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7DFA7BF7">
            <w:pPr>
              <w:pageBreakBefore w:val="0"/>
              <w:tabs>
                <w:tab w:val="left" w:pos="1425"/>
              </w:tabs>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是否有政府强制采购的节能产品</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4B78BF8E">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sym w:font="Wingdings" w:char="00A8"/>
            </w:r>
            <w:r>
              <w:rPr>
                <w:rFonts w:hint="eastAsia" w:ascii="仿宋" w:hAnsi="仿宋" w:eastAsia="仿宋" w:cs="仿宋"/>
                <w:szCs w:val="21"/>
              </w:rPr>
              <w:t>有</w:t>
            </w:r>
          </w:p>
          <w:p w14:paraId="1003C73F">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sym w:font="Wingdings" w:char="00FE"/>
            </w:r>
            <w:r>
              <w:rPr>
                <w:rFonts w:hint="eastAsia" w:ascii="仿宋" w:hAnsi="仿宋" w:eastAsia="仿宋" w:cs="仿宋"/>
                <w:szCs w:val="21"/>
              </w:rPr>
              <w:t>没有</w:t>
            </w:r>
          </w:p>
        </w:tc>
      </w:tr>
      <w:tr w14:paraId="6A9DF1F1">
        <w:tblPrEx>
          <w:tblCellMar>
            <w:top w:w="0" w:type="dxa"/>
            <w:left w:w="108" w:type="dxa"/>
            <w:bottom w:w="0" w:type="dxa"/>
            <w:right w:w="108" w:type="dxa"/>
          </w:tblCellMar>
        </w:tblPrEx>
        <w:trPr>
          <w:trHeight w:val="83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6B1AE758">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rPr>
              <w:t>1.3.</w:t>
            </w:r>
            <w:r>
              <w:rPr>
                <w:rFonts w:hint="eastAsia" w:ascii="仿宋" w:hAnsi="仿宋" w:eastAsia="仿宋" w:cs="仿宋"/>
                <w:kern w:val="0"/>
                <w:szCs w:val="21"/>
                <w:lang w:val="en-US" w:eastAsia="zh-CN"/>
              </w:rPr>
              <w:t>7</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5D8B1CF4">
            <w:pPr>
              <w:pageBreakBefore w:val="0"/>
              <w:tabs>
                <w:tab w:val="left" w:pos="1425"/>
              </w:tabs>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是否有《辽宁省创新产品和服务目录》内的产品、服务</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7389A8B3">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sym w:font="Wingdings" w:char="00A8"/>
            </w:r>
            <w:r>
              <w:rPr>
                <w:rFonts w:hint="eastAsia" w:ascii="仿宋" w:hAnsi="仿宋" w:eastAsia="仿宋" w:cs="仿宋"/>
                <w:szCs w:val="21"/>
              </w:rPr>
              <w:t>有</w:t>
            </w:r>
          </w:p>
          <w:p w14:paraId="68360324">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sym w:font="Wingdings" w:char="00FE"/>
            </w:r>
            <w:r>
              <w:rPr>
                <w:rFonts w:hint="eastAsia" w:ascii="仿宋" w:hAnsi="仿宋" w:eastAsia="仿宋" w:cs="仿宋"/>
                <w:szCs w:val="21"/>
              </w:rPr>
              <w:t>没有</w:t>
            </w:r>
          </w:p>
        </w:tc>
      </w:tr>
      <w:tr w14:paraId="000D5BD1">
        <w:tblPrEx>
          <w:tblCellMar>
            <w:top w:w="0" w:type="dxa"/>
            <w:left w:w="108" w:type="dxa"/>
            <w:bottom w:w="0" w:type="dxa"/>
            <w:right w:w="108" w:type="dxa"/>
          </w:tblCellMar>
        </w:tblPrEx>
        <w:trPr>
          <w:trHeight w:val="410"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580BFD49">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1.4</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2A03A353">
            <w:pPr>
              <w:pageBreakBefore w:val="0"/>
              <w:tabs>
                <w:tab w:val="left" w:pos="1425"/>
              </w:tabs>
              <w:kinsoku/>
              <w:wordWrap/>
              <w:overflowPunct/>
              <w:topLinePunct w:val="0"/>
              <w:autoSpaceDE/>
              <w:autoSpaceDN/>
              <w:bidi w:val="0"/>
              <w:spacing w:line="360" w:lineRule="exact"/>
              <w:jc w:val="center"/>
              <w:rPr>
                <w:rFonts w:hint="eastAsia" w:ascii="仿宋" w:hAnsi="仿宋" w:eastAsia="仿宋" w:cs="仿宋"/>
                <w:bCs/>
                <w:kern w:val="0"/>
                <w:szCs w:val="21"/>
              </w:rPr>
            </w:pPr>
            <w:r>
              <w:rPr>
                <w:rFonts w:hint="eastAsia" w:ascii="仿宋" w:hAnsi="仿宋" w:eastAsia="仿宋" w:cs="仿宋"/>
                <w:bCs/>
                <w:kern w:val="0"/>
                <w:szCs w:val="21"/>
              </w:rPr>
              <w:t>是否允许</w:t>
            </w:r>
          </w:p>
          <w:p w14:paraId="7E298A28">
            <w:pPr>
              <w:pageBreakBefore w:val="0"/>
              <w:tabs>
                <w:tab w:val="left" w:pos="1425"/>
              </w:tabs>
              <w:kinsoku/>
              <w:wordWrap/>
              <w:overflowPunct/>
              <w:topLinePunct w:val="0"/>
              <w:autoSpaceDE/>
              <w:autoSpaceDN/>
              <w:bidi w:val="0"/>
              <w:spacing w:line="360" w:lineRule="exact"/>
              <w:jc w:val="center"/>
              <w:rPr>
                <w:rFonts w:hint="eastAsia" w:ascii="仿宋" w:hAnsi="仿宋" w:eastAsia="仿宋" w:cs="仿宋"/>
                <w:b/>
                <w:kern w:val="0"/>
                <w:szCs w:val="21"/>
              </w:rPr>
            </w:pPr>
            <w:r>
              <w:rPr>
                <w:rFonts w:hint="eastAsia" w:ascii="仿宋" w:hAnsi="仿宋" w:eastAsia="仿宋" w:cs="仿宋"/>
                <w:bCs/>
                <w:kern w:val="0"/>
                <w:szCs w:val="21"/>
              </w:rPr>
              <w:t>联合体投标</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682E22EC">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sym w:font="Wingdings" w:char="00A8"/>
            </w:r>
            <w:r>
              <w:rPr>
                <w:rFonts w:hint="eastAsia" w:ascii="仿宋" w:hAnsi="仿宋" w:eastAsia="仿宋" w:cs="仿宋"/>
                <w:kern w:val="0"/>
                <w:szCs w:val="21"/>
              </w:rPr>
              <w:t>是</w:t>
            </w:r>
          </w:p>
          <w:p w14:paraId="39B17F6E">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sym w:font="Wingdings" w:char="00FE"/>
            </w:r>
            <w:r>
              <w:rPr>
                <w:rFonts w:hint="eastAsia" w:ascii="仿宋" w:hAnsi="仿宋" w:eastAsia="仿宋" w:cs="仿宋"/>
                <w:kern w:val="0"/>
                <w:szCs w:val="21"/>
              </w:rPr>
              <w:t>否</w:t>
            </w:r>
          </w:p>
        </w:tc>
      </w:tr>
      <w:tr w14:paraId="3AE10EA3">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5FEBDB4B">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1.4.8</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27F31466">
            <w:pPr>
              <w:pageBreakBefore w:val="0"/>
              <w:tabs>
                <w:tab w:val="left" w:pos="1425"/>
              </w:tabs>
              <w:kinsoku/>
              <w:wordWrap/>
              <w:overflowPunct/>
              <w:topLinePunct w:val="0"/>
              <w:autoSpaceDE/>
              <w:autoSpaceDN/>
              <w:bidi w:val="0"/>
              <w:spacing w:line="360" w:lineRule="exact"/>
              <w:jc w:val="center"/>
              <w:rPr>
                <w:rFonts w:hint="eastAsia" w:ascii="仿宋" w:hAnsi="仿宋" w:eastAsia="仿宋" w:cs="仿宋"/>
                <w:bCs/>
                <w:kern w:val="0"/>
                <w:szCs w:val="21"/>
              </w:rPr>
            </w:pPr>
            <w:r>
              <w:rPr>
                <w:rFonts w:hint="eastAsia" w:ascii="仿宋" w:hAnsi="仿宋" w:eastAsia="仿宋" w:cs="仿宋"/>
                <w:bCs/>
                <w:kern w:val="0"/>
                <w:szCs w:val="21"/>
              </w:rPr>
              <w:t>联合体投标的其他资格要求</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510D4517">
            <w:pPr>
              <w:pageBreakBefore w:val="0"/>
              <w:kinsoku/>
              <w:wordWrap/>
              <w:overflowPunct/>
              <w:topLinePunct w:val="0"/>
              <w:autoSpaceDE/>
              <w:autoSpaceDN/>
              <w:bidi w:val="0"/>
              <w:spacing w:line="360" w:lineRule="exact"/>
              <w:rPr>
                <w:rFonts w:hint="eastAsia" w:ascii="仿宋" w:hAnsi="仿宋" w:eastAsia="仿宋" w:cs="仿宋"/>
                <w:bCs/>
                <w:kern w:val="0"/>
                <w:szCs w:val="21"/>
              </w:rPr>
            </w:pPr>
            <w:r>
              <w:rPr>
                <w:rFonts w:hint="eastAsia" w:ascii="仿宋" w:hAnsi="仿宋" w:eastAsia="仿宋" w:cs="仿宋"/>
                <w:bCs/>
                <w:kern w:val="0"/>
                <w:szCs w:val="21"/>
              </w:rPr>
              <w:t>无</w:t>
            </w:r>
          </w:p>
        </w:tc>
      </w:tr>
      <w:tr w14:paraId="48687B8F">
        <w:tblPrEx>
          <w:tblCellMar>
            <w:top w:w="0" w:type="dxa"/>
            <w:left w:w="108" w:type="dxa"/>
            <w:bottom w:w="0" w:type="dxa"/>
            <w:right w:w="108" w:type="dxa"/>
          </w:tblCellMar>
        </w:tblPrEx>
        <w:trPr>
          <w:trHeight w:val="942"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55D9BCAC">
            <w:pPr>
              <w:pageBreakBefore w:val="0"/>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2.2</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03DDC253">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项目预算金额、</w:t>
            </w:r>
          </w:p>
          <w:p w14:paraId="33015D35">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bCs/>
                <w:color w:val="auto"/>
                <w:kern w:val="0"/>
                <w:szCs w:val="21"/>
              </w:rPr>
            </w:pPr>
            <w:r>
              <w:rPr>
                <w:rFonts w:hint="eastAsia" w:ascii="仿宋" w:hAnsi="仿宋" w:eastAsia="仿宋" w:cs="仿宋"/>
                <w:color w:val="auto"/>
                <w:kern w:val="0"/>
                <w:szCs w:val="21"/>
              </w:rPr>
              <w:t>最高限价</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2F6DA452">
            <w:pPr>
              <w:pageBreakBefore w:val="0"/>
              <w:kinsoku/>
              <w:wordWrap/>
              <w:overflowPunct/>
              <w:topLinePunct w:val="0"/>
              <w:autoSpaceDE/>
              <w:autoSpaceDN/>
              <w:bidi w:val="0"/>
              <w:spacing w:line="360" w:lineRule="exact"/>
              <w:rPr>
                <w:rFonts w:hint="eastAsia" w:ascii="仿宋" w:hAnsi="仿宋" w:eastAsia="仿宋" w:cs="仿宋"/>
                <w:color w:val="auto"/>
                <w:spacing w:val="3"/>
                <w:szCs w:val="21"/>
                <w:u w:val="single"/>
                <w:lang w:val="en-US" w:bidi="zh-CN"/>
              </w:rPr>
            </w:pPr>
            <w:r>
              <w:rPr>
                <w:rFonts w:hint="eastAsia" w:ascii="仿宋" w:hAnsi="仿宋" w:eastAsia="仿宋" w:cs="仿宋"/>
                <w:color w:val="auto"/>
                <w:spacing w:val="3"/>
                <w:szCs w:val="21"/>
                <w:u w:val="none"/>
                <w:lang w:val="en-US" w:bidi="zh-CN"/>
              </w:rPr>
              <w:t>预算金额：</w:t>
            </w:r>
            <w:r>
              <w:rPr>
                <w:rFonts w:hint="eastAsia" w:ascii="仿宋" w:hAnsi="仿宋" w:cs="仿宋"/>
                <w:color w:val="auto"/>
                <w:spacing w:val="3"/>
                <w:szCs w:val="21"/>
                <w:u w:val="single"/>
                <w:lang w:val="en-US" w:bidi="zh-CN"/>
              </w:rPr>
              <w:t>3</w:t>
            </w:r>
            <w:r>
              <w:rPr>
                <w:rFonts w:hint="eastAsia" w:ascii="仿宋" w:hAnsi="仿宋" w:eastAsia="仿宋" w:cs="仿宋"/>
                <w:color w:val="auto"/>
                <w:spacing w:val="3"/>
                <w:szCs w:val="21"/>
                <w:u w:val="single"/>
                <w:lang w:val="en-US" w:bidi="zh-CN"/>
              </w:rPr>
              <w:t>,</w:t>
            </w:r>
            <w:r>
              <w:rPr>
                <w:rFonts w:hint="eastAsia" w:ascii="仿宋" w:hAnsi="仿宋" w:cs="仿宋"/>
                <w:color w:val="auto"/>
                <w:spacing w:val="3"/>
                <w:szCs w:val="21"/>
                <w:u w:val="single"/>
                <w:lang w:val="en-US" w:bidi="zh-CN"/>
              </w:rPr>
              <w:t>52</w:t>
            </w:r>
            <w:r>
              <w:rPr>
                <w:rFonts w:hint="eastAsia" w:ascii="仿宋" w:hAnsi="仿宋" w:eastAsia="仿宋" w:cs="仿宋"/>
                <w:color w:val="auto"/>
                <w:spacing w:val="3"/>
                <w:szCs w:val="21"/>
                <w:u w:val="single"/>
                <w:lang w:val="en-US" w:bidi="zh-CN"/>
              </w:rPr>
              <w:t>0,000.00元</w:t>
            </w:r>
          </w:p>
          <w:p w14:paraId="468A7E8D">
            <w:pPr>
              <w:pageBreakBefore w:val="0"/>
              <w:kinsoku/>
              <w:wordWrap/>
              <w:overflowPunct/>
              <w:topLinePunct w:val="0"/>
              <w:autoSpaceDE/>
              <w:autoSpaceDN/>
              <w:bidi w:val="0"/>
              <w:spacing w:line="360" w:lineRule="exact"/>
              <w:rPr>
                <w:rFonts w:hint="eastAsia" w:ascii="仿宋" w:hAnsi="仿宋" w:eastAsia="仿宋" w:cs="仿宋"/>
                <w:color w:val="auto"/>
                <w:spacing w:val="3"/>
                <w:szCs w:val="21"/>
                <w:u w:val="single"/>
                <w:lang w:val="en-US" w:bidi="zh-CN"/>
              </w:rPr>
            </w:pPr>
            <w:r>
              <w:rPr>
                <w:rFonts w:hint="eastAsia" w:ascii="仿宋" w:hAnsi="仿宋" w:eastAsia="仿宋" w:cs="仿宋"/>
                <w:color w:val="auto"/>
                <w:spacing w:val="3"/>
                <w:szCs w:val="21"/>
                <w:u w:val="none"/>
                <w:lang w:val="en-US" w:bidi="zh-CN"/>
              </w:rPr>
              <w:t>最高限价：</w:t>
            </w:r>
            <w:r>
              <w:rPr>
                <w:rFonts w:hint="eastAsia" w:ascii="仿宋" w:hAnsi="仿宋" w:cs="仿宋"/>
                <w:color w:val="auto"/>
                <w:spacing w:val="3"/>
                <w:szCs w:val="21"/>
                <w:u w:val="single"/>
                <w:lang w:val="en-US" w:bidi="zh-CN"/>
              </w:rPr>
              <w:t>检验项目外送服务收费最高限价为辽宁省政府相关规定的收费标准的55%</w:t>
            </w:r>
          </w:p>
        </w:tc>
      </w:tr>
      <w:tr w14:paraId="46999FB8">
        <w:tblPrEx>
          <w:tblCellMar>
            <w:top w:w="0" w:type="dxa"/>
            <w:left w:w="108" w:type="dxa"/>
            <w:bottom w:w="0" w:type="dxa"/>
            <w:right w:w="108" w:type="dxa"/>
          </w:tblCellMar>
        </w:tblPrEx>
        <w:trPr>
          <w:trHeight w:val="51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6320B97E">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4</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7F788BB3">
            <w:pPr>
              <w:pageBreakBefore w:val="0"/>
              <w:tabs>
                <w:tab w:val="left" w:pos="1425"/>
              </w:tabs>
              <w:kinsoku/>
              <w:wordWrap/>
              <w:overflowPunct/>
              <w:topLinePunct w:val="0"/>
              <w:autoSpaceDE/>
              <w:autoSpaceDN/>
              <w:bidi w:val="0"/>
              <w:spacing w:line="360" w:lineRule="exact"/>
              <w:jc w:val="center"/>
              <w:rPr>
                <w:rFonts w:hint="eastAsia" w:ascii="仿宋" w:hAnsi="仿宋" w:eastAsia="仿宋" w:cs="仿宋"/>
                <w:bCs/>
                <w:kern w:val="0"/>
                <w:szCs w:val="21"/>
              </w:rPr>
            </w:pPr>
            <w:r>
              <w:rPr>
                <w:rFonts w:hint="eastAsia" w:ascii="仿宋" w:hAnsi="仿宋" w:eastAsia="仿宋" w:cs="仿宋"/>
                <w:bCs/>
                <w:kern w:val="0"/>
                <w:szCs w:val="21"/>
              </w:rPr>
              <w:t>计量单位</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617C3B4E">
            <w:pPr>
              <w:pageBreakBefore w:val="0"/>
              <w:kinsoku/>
              <w:wordWrap/>
              <w:overflowPunct/>
              <w:topLinePunct w:val="0"/>
              <w:autoSpaceDE/>
              <w:autoSpaceDN/>
              <w:bidi w:val="0"/>
              <w:spacing w:line="360" w:lineRule="exact"/>
              <w:rPr>
                <w:rFonts w:hint="eastAsia" w:ascii="仿宋" w:hAnsi="仿宋" w:eastAsia="仿宋" w:cs="仿宋"/>
                <w:bCs/>
                <w:kern w:val="0"/>
                <w:szCs w:val="21"/>
              </w:rPr>
            </w:pPr>
            <w:r>
              <w:rPr>
                <w:rFonts w:hint="eastAsia" w:ascii="仿宋" w:hAnsi="仿宋" w:eastAsia="仿宋" w:cs="仿宋"/>
                <w:bCs/>
                <w:kern w:val="0"/>
                <w:szCs w:val="21"/>
              </w:rPr>
              <w:t>中华人民共和国法定计量单位</w:t>
            </w:r>
          </w:p>
        </w:tc>
      </w:tr>
      <w:tr w14:paraId="5FA82B3D">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6D6B4E24">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5</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57E6A67E">
            <w:pPr>
              <w:pageBreakBefore w:val="0"/>
              <w:kinsoku/>
              <w:wordWrap/>
              <w:overflowPunct/>
              <w:topLinePunct w:val="0"/>
              <w:autoSpaceDE/>
              <w:autoSpaceDN/>
              <w:bidi w:val="0"/>
              <w:spacing w:line="360" w:lineRule="exact"/>
              <w:jc w:val="center"/>
              <w:rPr>
                <w:rFonts w:hint="eastAsia" w:ascii="仿宋" w:hAnsi="仿宋" w:eastAsia="仿宋" w:cs="仿宋"/>
                <w:bCs/>
                <w:kern w:val="0"/>
                <w:szCs w:val="21"/>
              </w:rPr>
            </w:pPr>
            <w:r>
              <w:rPr>
                <w:rFonts w:hint="eastAsia" w:ascii="仿宋" w:hAnsi="仿宋" w:eastAsia="仿宋" w:cs="仿宋"/>
                <w:szCs w:val="21"/>
                <w:lang w:val="zh-CN"/>
              </w:rPr>
              <w:t>费用承担方式</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055F68CB">
            <w:pPr>
              <w:pageBreakBefore w:val="0"/>
              <w:kinsoku/>
              <w:wordWrap/>
              <w:overflowPunct/>
              <w:topLinePunct w:val="0"/>
              <w:autoSpaceDE/>
              <w:autoSpaceDN/>
              <w:bidi w:val="0"/>
              <w:spacing w:line="360" w:lineRule="exact"/>
              <w:rPr>
                <w:rFonts w:hint="eastAsia" w:ascii="仿宋" w:hAnsi="仿宋" w:eastAsia="仿宋" w:cs="仿宋"/>
                <w:bCs/>
                <w:kern w:val="0"/>
                <w:szCs w:val="21"/>
              </w:rPr>
            </w:pPr>
            <w:r>
              <w:rPr>
                <w:rFonts w:hint="eastAsia" w:ascii="仿宋" w:hAnsi="仿宋" w:eastAsia="仿宋" w:cs="仿宋"/>
                <w:szCs w:val="21"/>
                <w:lang w:val="zh-CN"/>
              </w:rPr>
              <w:t>投标人应自行承担所有与参加本次招标有关的费用。不论结果如何，采购代理机构在任何情况下均无义务和责任承担这些费用。</w:t>
            </w:r>
          </w:p>
        </w:tc>
      </w:tr>
      <w:tr w14:paraId="3ECF2523">
        <w:tblPrEx>
          <w:tblCellMar>
            <w:top w:w="0" w:type="dxa"/>
            <w:left w:w="108" w:type="dxa"/>
            <w:bottom w:w="0" w:type="dxa"/>
            <w:right w:w="108" w:type="dxa"/>
          </w:tblCellMar>
        </w:tblPrEx>
        <w:trPr>
          <w:trHeight w:val="22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6214CED3">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6.1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69A09E70">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现场考察、</w:t>
            </w:r>
          </w:p>
          <w:p w14:paraId="65618168">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szCs w:val="21"/>
                <w:highlight w:val="none"/>
              </w:rPr>
            </w:pPr>
            <w:r>
              <w:rPr>
                <w:rFonts w:hint="eastAsia" w:ascii="仿宋" w:hAnsi="仿宋" w:eastAsia="仿宋" w:cs="仿宋"/>
                <w:kern w:val="0"/>
                <w:szCs w:val="21"/>
              </w:rPr>
              <w:t>开标前答疑会</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31CFB403">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sym w:font="Wingdings" w:char="00FE"/>
            </w:r>
            <w:r>
              <w:rPr>
                <w:rFonts w:hint="eastAsia" w:ascii="仿宋" w:hAnsi="仿宋" w:eastAsia="仿宋" w:cs="仿宋"/>
                <w:szCs w:val="21"/>
              </w:rPr>
              <w:t>不</w:t>
            </w:r>
            <w:r>
              <w:rPr>
                <w:rFonts w:hint="eastAsia" w:ascii="仿宋" w:hAnsi="仿宋" w:eastAsia="仿宋" w:cs="仿宋"/>
                <w:kern w:val="0"/>
                <w:szCs w:val="21"/>
              </w:rPr>
              <w:t>组织</w:t>
            </w:r>
          </w:p>
          <w:p w14:paraId="0C1BFC66">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sym w:font="Wingdings" w:char="00A8"/>
            </w:r>
            <w:r>
              <w:rPr>
                <w:rFonts w:hint="eastAsia" w:ascii="仿宋" w:hAnsi="仿宋" w:eastAsia="仿宋" w:cs="仿宋"/>
                <w:kern w:val="0"/>
                <w:szCs w:val="21"/>
              </w:rPr>
              <w:t xml:space="preserve">组织， 时  间：   </w:t>
            </w:r>
          </w:p>
          <w:p w14:paraId="415BE8E8">
            <w:pPr>
              <w:pageBreakBefore w:val="0"/>
              <w:widowControl/>
              <w:kinsoku/>
              <w:wordWrap/>
              <w:overflowPunct/>
              <w:topLinePunct w:val="0"/>
              <w:autoSpaceDE/>
              <w:autoSpaceDN/>
              <w:bidi w:val="0"/>
              <w:spacing w:line="360" w:lineRule="exact"/>
              <w:ind w:firstLine="949" w:firstLineChars="452"/>
              <w:rPr>
                <w:rFonts w:hint="eastAsia" w:ascii="仿宋" w:hAnsi="仿宋" w:eastAsia="仿宋" w:cs="仿宋"/>
                <w:kern w:val="0"/>
                <w:szCs w:val="21"/>
              </w:rPr>
            </w:pPr>
            <w:r>
              <w:rPr>
                <w:rFonts w:hint="eastAsia" w:ascii="仿宋" w:hAnsi="仿宋" w:eastAsia="仿宋" w:cs="仿宋"/>
                <w:kern w:val="0"/>
                <w:szCs w:val="21"/>
              </w:rPr>
              <w:t xml:space="preserve">地  点： </w:t>
            </w:r>
          </w:p>
          <w:p w14:paraId="42106BAE">
            <w:pPr>
              <w:pageBreakBefore w:val="0"/>
              <w:kinsoku/>
              <w:wordWrap/>
              <w:overflowPunct/>
              <w:topLinePunct w:val="0"/>
              <w:autoSpaceDE/>
              <w:autoSpaceDN/>
              <w:bidi w:val="0"/>
              <w:spacing w:line="360" w:lineRule="exact"/>
              <w:ind w:firstLine="949" w:firstLineChars="452"/>
              <w:rPr>
                <w:rFonts w:hint="eastAsia" w:ascii="仿宋" w:hAnsi="仿宋" w:eastAsia="仿宋" w:cs="仿宋"/>
                <w:kern w:val="0"/>
                <w:szCs w:val="21"/>
              </w:rPr>
            </w:pPr>
            <w:r>
              <w:rPr>
                <w:rFonts w:hint="eastAsia" w:ascii="仿宋" w:hAnsi="仿宋" w:eastAsia="仿宋" w:cs="仿宋"/>
                <w:kern w:val="0"/>
                <w:szCs w:val="21"/>
              </w:rPr>
              <w:t>联系人：</w:t>
            </w:r>
          </w:p>
          <w:p w14:paraId="7576A259">
            <w:pPr>
              <w:pageBreakBefore w:val="0"/>
              <w:kinsoku/>
              <w:wordWrap/>
              <w:overflowPunct/>
              <w:topLinePunct w:val="0"/>
              <w:autoSpaceDE/>
              <w:autoSpaceDN/>
              <w:bidi w:val="0"/>
              <w:spacing w:line="360" w:lineRule="exact"/>
              <w:ind w:firstLine="949" w:firstLineChars="452"/>
              <w:rPr>
                <w:rFonts w:hint="eastAsia" w:ascii="仿宋" w:hAnsi="仿宋" w:eastAsia="仿宋" w:cs="仿宋"/>
                <w:kern w:val="0"/>
                <w:szCs w:val="21"/>
              </w:rPr>
            </w:pPr>
            <w:r>
              <w:rPr>
                <w:rFonts w:hint="eastAsia" w:ascii="仿宋" w:hAnsi="仿宋" w:eastAsia="仿宋" w:cs="仿宋"/>
                <w:kern w:val="0"/>
                <w:szCs w:val="21"/>
              </w:rPr>
              <w:t xml:space="preserve">电  话： </w:t>
            </w:r>
          </w:p>
          <w:p w14:paraId="09429EB9">
            <w:pPr>
              <w:pageBreakBefore w:val="0"/>
              <w:kinsoku/>
              <w:wordWrap/>
              <w:overflowPunct/>
              <w:topLinePunct w:val="0"/>
              <w:autoSpaceDE/>
              <w:autoSpaceDN/>
              <w:bidi w:val="0"/>
              <w:spacing w:line="360" w:lineRule="exact"/>
              <w:rPr>
                <w:rFonts w:hint="eastAsia" w:ascii="仿宋" w:hAnsi="仿宋" w:eastAsia="仿宋" w:cs="仿宋"/>
                <w:kern w:val="0"/>
                <w:szCs w:val="21"/>
                <w:highlight w:val="none"/>
              </w:rPr>
            </w:pPr>
            <w:r>
              <w:rPr>
                <w:rFonts w:hint="eastAsia" w:ascii="仿宋" w:hAnsi="仿宋" w:eastAsia="仿宋" w:cs="仿宋"/>
                <w:szCs w:val="21"/>
              </w:rPr>
              <w:sym w:font="Wingdings" w:char="00A8"/>
            </w:r>
            <w:r>
              <w:rPr>
                <w:rFonts w:hint="eastAsia" w:ascii="仿宋" w:hAnsi="仿宋" w:eastAsia="仿宋" w:cs="仿宋"/>
                <w:kern w:val="0"/>
                <w:szCs w:val="21"/>
              </w:rPr>
              <w:t>组织，采购文件提供期限截止后以书面形式通知。</w:t>
            </w:r>
          </w:p>
        </w:tc>
      </w:tr>
      <w:tr w14:paraId="47EE082E">
        <w:tblPrEx>
          <w:tblCellMar>
            <w:top w:w="0" w:type="dxa"/>
            <w:left w:w="108" w:type="dxa"/>
            <w:bottom w:w="0" w:type="dxa"/>
            <w:right w:w="108" w:type="dxa"/>
          </w:tblCellMar>
        </w:tblPrEx>
        <w:trPr>
          <w:trHeight w:val="90"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5316C464">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9.2</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2D6ECA67">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招标文件</w:t>
            </w:r>
          </w:p>
          <w:p w14:paraId="715F246F">
            <w:pPr>
              <w:pageBreakBefore w:val="0"/>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szCs w:val="21"/>
              </w:rPr>
              <w:t>完整性检查</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6ECB585A">
            <w:pPr>
              <w:pageBreakBefore w:val="0"/>
              <w:kinsoku/>
              <w:wordWrap/>
              <w:overflowPunct/>
              <w:topLinePunct w:val="0"/>
              <w:autoSpaceDE/>
              <w:autoSpaceDN/>
              <w:bidi w:val="0"/>
              <w:spacing w:line="360" w:lineRule="exact"/>
              <w:rPr>
                <w:rFonts w:hint="eastAsia" w:ascii="仿宋" w:hAnsi="仿宋" w:eastAsia="仿宋" w:cs="仿宋"/>
                <w:b/>
                <w:bCs/>
                <w:szCs w:val="21"/>
              </w:rPr>
            </w:pPr>
            <w:r>
              <w:rPr>
                <w:rFonts w:hint="eastAsia" w:ascii="仿宋" w:hAnsi="仿宋" w:eastAsia="仿宋" w:cs="仿宋"/>
                <w:szCs w:val="21"/>
              </w:rPr>
              <w:t>投标人应仔细阅读和检查招标文件的全部内容。如发现缺页或附件不全，应及时向采购人提出，以便补齐。</w:t>
            </w:r>
          </w:p>
        </w:tc>
      </w:tr>
      <w:tr w14:paraId="62672557">
        <w:tblPrEx>
          <w:tblCellMar>
            <w:top w:w="0" w:type="dxa"/>
            <w:left w:w="108" w:type="dxa"/>
            <w:bottom w:w="0" w:type="dxa"/>
            <w:right w:w="108" w:type="dxa"/>
          </w:tblCellMar>
        </w:tblPrEx>
        <w:trPr>
          <w:trHeight w:val="402"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01D53E71">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11.3</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34C6560F">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kern w:val="0"/>
                <w:szCs w:val="21"/>
                <w:highlight w:val="yellow"/>
              </w:rPr>
            </w:pPr>
            <w:r>
              <w:rPr>
                <w:rFonts w:hint="eastAsia" w:ascii="仿宋" w:hAnsi="仿宋" w:eastAsia="仿宋" w:cs="仿宋"/>
                <w:bCs/>
                <w:kern w:val="0"/>
                <w:szCs w:val="21"/>
              </w:rPr>
              <w:t>样品或演示</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39AFFB59">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w:t>
            </w:r>
            <w:r>
              <w:rPr>
                <w:rFonts w:hint="eastAsia" w:ascii="仿宋" w:hAnsi="仿宋" w:eastAsia="仿宋" w:cs="仿宋"/>
                <w:bCs/>
                <w:kern w:val="0"/>
                <w:szCs w:val="21"/>
              </w:rPr>
              <w:t>需要提供样品</w:t>
            </w:r>
          </w:p>
          <w:p w14:paraId="1B9D975A">
            <w:pPr>
              <w:pageBreakBefore w:val="0"/>
              <w:kinsoku/>
              <w:wordWrap/>
              <w:overflowPunct/>
              <w:topLinePunct w:val="0"/>
              <w:autoSpaceDE/>
              <w:autoSpaceDN/>
              <w:bidi w:val="0"/>
              <w:spacing w:line="360" w:lineRule="exact"/>
              <w:rPr>
                <w:rFonts w:hint="eastAsia" w:ascii="仿宋" w:hAnsi="仿宋" w:eastAsia="仿宋" w:cs="仿宋"/>
                <w:bCs/>
                <w:kern w:val="0"/>
                <w:szCs w:val="21"/>
              </w:rPr>
            </w:pPr>
            <w:r>
              <w:rPr>
                <w:rFonts w:hint="eastAsia" w:ascii="仿宋" w:hAnsi="仿宋" w:eastAsia="仿宋" w:cs="仿宋"/>
                <w:kern w:val="0"/>
                <w:szCs w:val="21"/>
              </w:rPr>
              <w:sym w:font="Wingdings 2" w:char="00A3"/>
            </w:r>
            <w:r>
              <w:rPr>
                <w:rFonts w:hint="eastAsia" w:ascii="仿宋" w:hAnsi="仿宋" w:eastAsia="仿宋" w:cs="仿宋"/>
                <w:bCs/>
                <w:kern w:val="0"/>
                <w:szCs w:val="21"/>
              </w:rPr>
              <w:t>需要提供样品</w:t>
            </w:r>
          </w:p>
          <w:p w14:paraId="04D992C4">
            <w:pPr>
              <w:pageBreakBefore w:val="0"/>
              <w:kinsoku/>
              <w:wordWrap/>
              <w:overflowPunct/>
              <w:topLinePunct w:val="0"/>
              <w:autoSpaceDE/>
              <w:autoSpaceDN/>
              <w:bidi w:val="0"/>
              <w:spacing w:line="360" w:lineRule="exact"/>
              <w:ind w:firstLine="210" w:firstLineChars="100"/>
              <w:rPr>
                <w:rFonts w:hint="eastAsia" w:ascii="仿宋" w:hAnsi="仿宋" w:eastAsia="仿宋" w:cs="仿宋"/>
                <w:bCs/>
                <w:kern w:val="0"/>
                <w:szCs w:val="21"/>
              </w:rPr>
            </w:pPr>
            <w:r>
              <w:rPr>
                <w:rFonts w:hint="eastAsia" w:ascii="仿宋" w:hAnsi="仿宋" w:eastAsia="仿宋" w:cs="仿宋"/>
                <w:kern w:val="0"/>
                <w:szCs w:val="21"/>
              </w:rPr>
              <w:t>1、递交</w:t>
            </w:r>
            <w:r>
              <w:rPr>
                <w:rFonts w:hint="eastAsia" w:ascii="仿宋" w:hAnsi="仿宋" w:eastAsia="仿宋" w:cs="仿宋"/>
                <w:bCs/>
                <w:kern w:val="0"/>
                <w:szCs w:val="21"/>
              </w:rPr>
              <w:t>样品的截止时间：</w:t>
            </w:r>
            <w:r>
              <w:rPr>
                <w:rFonts w:hint="eastAsia" w:ascii="仿宋" w:hAnsi="仿宋" w:eastAsia="仿宋" w:cs="仿宋"/>
                <w:kern w:val="0"/>
                <w:szCs w:val="21"/>
                <w:u w:val="single"/>
              </w:rPr>
              <w:t xml:space="preserve">   </w:t>
            </w:r>
            <w:r>
              <w:rPr>
                <w:rFonts w:hint="eastAsia" w:ascii="仿宋" w:hAnsi="仿宋" w:eastAsia="仿宋" w:cs="仿宋"/>
                <w:kern w:val="0"/>
                <w:szCs w:val="21"/>
              </w:rPr>
              <w:t>年</w:t>
            </w:r>
            <w:r>
              <w:rPr>
                <w:rFonts w:hint="eastAsia" w:ascii="仿宋" w:hAnsi="仿宋" w:eastAsia="仿宋" w:cs="仿宋"/>
                <w:kern w:val="0"/>
                <w:szCs w:val="21"/>
                <w:u w:val="single"/>
              </w:rPr>
              <w:t xml:space="preserve">  </w:t>
            </w:r>
            <w:r>
              <w:rPr>
                <w:rFonts w:hint="eastAsia" w:ascii="仿宋" w:hAnsi="仿宋" w:eastAsia="仿宋" w:cs="仿宋"/>
                <w:kern w:val="0"/>
                <w:szCs w:val="21"/>
              </w:rPr>
              <w:t>月</w:t>
            </w:r>
            <w:r>
              <w:rPr>
                <w:rFonts w:hint="eastAsia" w:ascii="仿宋" w:hAnsi="仿宋" w:eastAsia="仿宋" w:cs="仿宋"/>
                <w:kern w:val="0"/>
                <w:szCs w:val="21"/>
                <w:u w:val="single"/>
              </w:rPr>
              <w:t xml:space="preserve">  </w:t>
            </w:r>
            <w:r>
              <w:rPr>
                <w:rFonts w:hint="eastAsia" w:ascii="仿宋" w:hAnsi="仿宋" w:eastAsia="仿宋" w:cs="仿宋"/>
                <w:kern w:val="0"/>
                <w:szCs w:val="21"/>
              </w:rPr>
              <w:t>日</w:t>
            </w:r>
            <w:r>
              <w:rPr>
                <w:rFonts w:hint="eastAsia" w:ascii="仿宋" w:hAnsi="仿宋" w:eastAsia="仿宋" w:cs="仿宋"/>
                <w:kern w:val="0"/>
                <w:szCs w:val="21"/>
                <w:u w:val="single"/>
              </w:rPr>
              <w:t xml:space="preserve">  </w:t>
            </w:r>
            <w:r>
              <w:rPr>
                <w:rFonts w:hint="eastAsia" w:ascii="仿宋" w:hAnsi="仿宋" w:eastAsia="仿宋" w:cs="仿宋"/>
                <w:kern w:val="0"/>
                <w:szCs w:val="21"/>
              </w:rPr>
              <w:t>时</w:t>
            </w:r>
            <w:r>
              <w:rPr>
                <w:rFonts w:hint="eastAsia" w:ascii="仿宋" w:hAnsi="仿宋" w:eastAsia="仿宋" w:cs="仿宋"/>
                <w:bCs/>
                <w:kern w:val="0"/>
                <w:szCs w:val="21"/>
              </w:rPr>
              <w:t>（北京时间）</w:t>
            </w:r>
          </w:p>
          <w:p w14:paraId="6DAB32E8">
            <w:pPr>
              <w:pageBreakBefore w:val="0"/>
              <w:kinsoku/>
              <w:wordWrap/>
              <w:overflowPunct/>
              <w:topLinePunct w:val="0"/>
              <w:autoSpaceDE/>
              <w:autoSpaceDN/>
              <w:bidi w:val="0"/>
              <w:spacing w:line="360" w:lineRule="exact"/>
              <w:ind w:firstLine="525" w:firstLineChars="250"/>
              <w:rPr>
                <w:rFonts w:hint="eastAsia" w:ascii="仿宋" w:hAnsi="仿宋" w:eastAsia="仿宋" w:cs="仿宋"/>
                <w:kern w:val="0"/>
                <w:szCs w:val="21"/>
                <w:u w:val="single"/>
              </w:rPr>
            </w:pPr>
            <w:r>
              <w:rPr>
                <w:rFonts w:hint="eastAsia" w:ascii="仿宋" w:hAnsi="仿宋" w:eastAsia="仿宋" w:cs="仿宋"/>
                <w:kern w:val="0"/>
                <w:szCs w:val="21"/>
              </w:rPr>
              <w:t>递交样品地点：</w:t>
            </w:r>
            <w:r>
              <w:rPr>
                <w:rFonts w:hint="eastAsia" w:ascii="仿宋" w:hAnsi="仿宋" w:eastAsia="仿宋" w:cs="仿宋"/>
                <w:kern w:val="0"/>
                <w:szCs w:val="21"/>
                <w:u w:val="single"/>
              </w:rPr>
              <w:t xml:space="preserve">                     </w:t>
            </w:r>
          </w:p>
          <w:p w14:paraId="05383C6F">
            <w:pPr>
              <w:pageBreakBefore w:val="0"/>
              <w:kinsoku/>
              <w:wordWrap/>
              <w:overflowPunct/>
              <w:topLinePunct w:val="0"/>
              <w:autoSpaceDE/>
              <w:autoSpaceDN/>
              <w:bidi w:val="0"/>
              <w:spacing w:line="360" w:lineRule="exact"/>
              <w:ind w:firstLine="525" w:firstLineChars="250"/>
              <w:rPr>
                <w:rFonts w:hint="eastAsia" w:ascii="仿宋" w:hAnsi="仿宋" w:eastAsia="仿宋" w:cs="仿宋"/>
                <w:kern w:val="0"/>
                <w:szCs w:val="21"/>
                <w:u w:val="single"/>
              </w:rPr>
            </w:pPr>
            <w:r>
              <w:rPr>
                <w:rFonts w:hint="eastAsia" w:ascii="仿宋" w:hAnsi="仿宋" w:eastAsia="仿宋" w:cs="仿宋"/>
                <w:kern w:val="0"/>
                <w:szCs w:val="21"/>
              </w:rPr>
              <w:t>递交样品联系人：</w:t>
            </w:r>
            <w:r>
              <w:rPr>
                <w:rFonts w:hint="eastAsia" w:ascii="仿宋" w:hAnsi="仿宋" w:eastAsia="仿宋" w:cs="仿宋"/>
                <w:kern w:val="0"/>
                <w:szCs w:val="21"/>
                <w:u w:val="single"/>
              </w:rPr>
              <w:t xml:space="preserve">                   </w:t>
            </w:r>
          </w:p>
          <w:p w14:paraId="6FEF2BE6">
            <w:pPr>
              <w:pageBreakBefore w:val="0"/>
              <w:kinsoku/>
              <w:wordWrap/>
              <w:overflowPunct/>
              <w:topLinePunct w:val="0"/>
              <w:autoSpaceDE/>
              <w:autoSpaceDN/>
              <w:bidi w:val="0"/>
              <w:spacing w:line="360" w:lineRule="exact"/>
              <w:ind w:firstLine="525" w:firstLineChars="250"/>
              <w:rPr>
                <w:rFonts w:hint="eastAsia" w:ascii="仿宋" w:hAnsi="仿宋" w:eastAsia="仿宋" w:cs="仿宋"/>
                <w:kern w:val="0"/>
                <w:szCs w:val="21"/>
                <w:u w:val="single"/>
              </w:rPr>
            </w:pPr>
            <w:r>
              <w:rPr>
                <w:rFonts w:hint="eastAsia" w:ascii="仿宋" w:hAnsi="仿宋" w:eastAsia="仿宋" w:cs="仿宋"/>
                <w:kern w:val="0"/>
                <w:szCs w:val="21"/>
              </w:rPr>
              <w:t>递交样品联系电话：</w:t>
            </w:r>
            <w:r>
              <w:rPr>
                <w:rFonts w:hint="eastAsia" w:ascii="仿宋" w:hAnsi="仿宋" w:eastAsia="仿宋" w:cs="仿宋"/>
                <w:kern w:val="0"/>
                <w:szCs w:val="21"/>
                <w:u w:val="single"/>
              </w:rPr>
              <w:t xml:space="preserve">                 </w:t>
            </w:r>
          </w:p>
          <w:p w14:paraId="14BFBC74">
            <w:pPr>
              <w:pageBreakBefore w:val="0"/>
              <w:kinsoku/>
              <w:wordWrap/>
              <w:overflowPunct/>
              <w:topLinePunct w:val="0"/>
              <w:autoSpaceDE/>
              <w:autoSpaceDN/>
              <w:bidi w:val="0"/>
              <w:spacing w:line="360" w:lineRule="exact"/>
              <w:ind w:firstLine="210" w:firstLineChars="100"/>
              <w:rPr>
                <w:rFonts w:hint="eastAsia" w:ascii="仿宋" w:hAnsi="仿宋" w:eastAsia="仿宋" w:cs="仿宋"/>
                <w:kern w:val="0"/>
                <w:szCs w:val="21"/>
              </w:rPr>
            </w:pPr>
            <w:r>
              <w:rPr>
                <w:rFonts w:hint="eastAsia" w:ascii="仿宋" w:hAnsi="仿宋" w:eastAsia="仿宋" w:cs="仿宋"/>
                <w:kern w:val="0"/>
                <w:szCs w:val="21"/>
              </w:rPr>
              <w:t>2、样品制作的标准和要求：</w:t>
            </w:r>
          </w:p>
          <w:p w14:paraId="0B65CCDB">
            <w:pPr>
              <w:pageBreakBefore w:val="0"/>
              <w:kinsoku/>
              <w:wordWrap/>
              <w:overflowPunct/>
              <w:topLinePunct w:val="0"/>
              <w:autoSpaceDE/>
              <w:autoSpaceDN/>
              <w:bidi w:val="0"/>
              <w:spacing w:line="360" w:lineRule="exact"/>
              <w:ind w:firstLine="210" w:firstLineChars="100"/>
              <w:rPr>
                <w:rFonts w:hint="eastAsia" w:ascii="仿宋" w:hAnsi="仿宋" w:eastAsia="仿宋" w:cs="仿宋"/>
                <w:kern w:val="0"/>
                <w:szCs w:val="21"/>
              </w:rPr>
            </w:pPr>
            <w:r>
              <w:rPr>
                <w:rFonts w:hint="eastAsia" w:ascii="仿宋" w:hAnsi="仿宋" w:eastAsia="仿宋" w:cs="仿宋"/>
                <w:kern w:val="0"/>
                <w:szCs w:val="21"/>
              </w:rPr>
              <w:t>3、随样品提交相关检测报告要求：</w:t>
            </w:r>
          </w:p>
          <w:p w14:paraId="29429704">
            <w:pPr>
              <w:pageBreakBefore w:val="0"/>
              <w:kinsoku/>
              <w:wordWrap/>
              <w:overflowPunct/>
              <w:topLinePunct w:val="0"/>
              <w:autoSpaceDE/>
              <w:autoSpaceDN/>
              <w:bidi w:val="0"/>
              <w:spacing w:line="360" w:lineRule="exact"/>
              <w:ind w:firstLine="420" w:firstLineChars="200"/>
              <w:rPr>
                <w:rFonts w:hint="eastAsia" w:ascii="仿宋" w:hAnsi="仿宋" w:eastAsia="仿宋" w:cs="仿宋"/>
                <w:kern w:val="0"/>
                <w:szCs w:val="21"/>
              </w:rPr>
            </w:pPr>
            <w:r>
              <w:rPr>
                <w:rFonts w:hint="eastAsia" w:ascii="仿宋" w:hAnsi="仿宋" w:eastAsia="仿宋" w:cs="仿宋"/>
                <w:kern w:val="0"/>
                <w:szCs w:val="21"/>
              </w:rPr>
              <w:t>（包含是否要求提供、检测机构要求、检测内容等）</w:t>
            </w:r>
          </w:p>
          <w:p w14:paraId="44802943">
            <w:pPr>
              <w:pageBreakBefore w:val="0"/>
              <w:numPr>
                <w:ilvl w:val="0"/>
                <w:numId w:val="1"/>
              </w:numPr>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样品的封存及退回：成交</w:t>
            </w:r>
            <w:r>
              <w:rPr>
                <w:rFonts w:hint="eastAsia" w:ascii="仿宋" w:hAnsi="仿宋" w:eastAsia="仿宋" w:cs="仿宋"/>
                <w:kern w:val="0"/>
                <w:szCs w:val="21"/>
                <w:lang w:eastAsia="zh-CN"/>
              </w:rPr>
              <w:t>投标人</w:t>
            </w:r>
            <w:r>
              <w:rPr>
                <w:rFonts w:hint="eastAsia" w:ascii="仿宋" w:hAnsi="仿宋" w:eastAsia="仿宋" w:cs="仿宋"/>
                <w:kern w:val="0"/>
                <w:szCs w:val="21"/>
              </w:rPr>
              <w:t>的样品将由采购人进行保管、封存，并作为履约验收的参考。未成交的</w:t>
            </w:r>
            <w:r>
              <w:rPr>
                <w:rFonts w:hint="eastAsia" w:ascii="仿宋" w:hAnsi="仿宋" w:eastAsia="仿宋" w:cs="仿宋"/>
                <w:kern w:val="0"/>
                <w:szCs w:val="21"/>
                <w:lang w:eastAsia="zh-CN"/>
              </w:rPr>
              <w:t>投标人</w:t>
            </w:r>
            <w:r>
              <w:rPr>
                <w:rFonts w:hint="eastAsia" w:ascii="仿宋" w:hAnsi="仿宋" w:eastAsia="仿宋" w:cs="仿宋"/>
                <w:kern w:val="0"/>
                <w:szCs w:val="21"/>
              </w:rPr>
              <w:t>提供的样品，应当由采购人进行保管、封存，成交结果公告之日起七个工作日后，由未成交</w:t>
            </w:r>
            <w:r>
              <w:rPr>
                <w:rFonts w:hint="eastAsia" w:ascii="仿宋" w:hAnsi="仿宋" w:eastAsia="仿宋" w:cs="仿宋"/>
                <w:kern w:val="0"/>
                <w:szCs w:val="21"/>
                <w:lang w:eastAsia="zh-CN"/>
              </w:rPr>
              <w:t>投标人</w:t>
            </w:r>
            <w:r>
              <w:rPr>
                <w:rFonts w:hint="eastAsia" w:ascii="仿宋" w:hAnsi="仿宋" w:eastAsia="仿宋" w:cs="仿宋"/>
                <w:kern w:val="0"/>
                <w:szCs w:val="21"/>
              </w:rPr>
              <w:t>自行领回或经未成交</w:t>
            </w:r>
            <w:r>
              <w:rPr>
                <w:rFonts w:hint="eastAsia" w:ascii="仿宋" w:hAnsi="仿宋" w:eastAsia="仿宋" w:cs="仿宋"/>
                <w:kern w:val="0"/>
                <w:szCs w:val="21"/>
                <w:lang w:eastAsia="zh-CN"/>
              </w:rPr>
              <w:t>投标人</w:t>
            </w:r>
            <w:r>
              <w:rPr>
                <w:rFonts w:hint="eastAsia" w:ascii="仿宋" w:hAnsi="仿宋" w:eastAsia="仿宋" w:cs="仿宋"/>
                <w:kern w:val="0"/>
                <w:szCs w:val="21"/>
              </w:rPr>
              <w:t>同意后自行处理。</w:t>
            </w:r>
          </w:p>
          <w:p w14:paraId="671ABA2B">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sym w:font="Wingdings 2" w:char="0052"/>
            </w:r>
            <w:r>
              <w:rPr>
                <w:rFonts w:hint="eastAsia" w:ascii="仿宋" w:hAnsi="仿宋" w:eastAsia="仿宋" w:cs="仿宋"/>
                <w:kern w:val="0"/>
                <w:szCs w:val="21"/>
              </w:rPr>
              <w:t>不</w:t>
            </w:r>
            <w:r>
              <w:rPr>
                <w:rFonts w:hint="eastAsia" w:ascii="仿宋" w:hAnsi="仿宋" w:eastAsia="仿宋" w:cs="仿宋"/>
                <w:bCs/>
                <w:kern w:val="0"/>
                <w:szCs w:val="21"/>
              </w:rPr>
              <w:t>需要提供演示</w:t>
            </w:r>
          </w:p>
          <w:p w14:paraId="0FEDE24E">
            <w:pPr>
              <w:pageBreakBefore w:val="0"/>
              <w:kinsoku/>
              <w:wordWrap/>
              <w:overflowPunct/>
              <w:topLinePunct w:val="0"/>
              <w:autoSpaceDE/>
              <w:autoSpaceDN/>
              <w:bidi w:val="0"/>
              <w:spacing w:line="360" w:lineRule="exact"/>
              <w:rPr>
                <w:rFonts w:hint="eastAsia" w:ascii="仿宋" w:hAnsi="仿宋" w:eastAsia="仿宋" w:cs="仿宋"/>
                <w:bCs/>
                <w:kern w:val="0"/>
                <w:szCs w:val="21"/>
              </w:rPr>
            </w:pPr>
            <w:r>
              <w:rPr>
                <w:rFonts w:hint="eastAsia" w:ascii="仿宋" w:hAnsi="仿宋" w:eastAsia="仿宋" w:cs="仿宋"/>
                <w:kern w:val="0"/>
                <w:szCs w:val="21"/>
              </w:rPr>
              <w:sym w:font="Wingdings 2" w:char="00A3"/>
            </w:r>
            <w:r>
              <w:rPr>
                <w:rFonts w:hint="eastAsia" w:ascii="仿宋" w:hAnsi="仿宋" w:eastAsia="仿宋" w:cs="仿宋"/>
                <w:kern w:val="0"/>
                <w:szCs w:val="21"/>
              </w:rPr>
              <w:t>需要</w:t>
            </w:r>
            <w:r>
              <w:rPr>
                <w:rFonts w:hint="eastAsia" w:ascii="仿宋" w:hAnsi="仿宋" w:eastAsia="仿宋" w:cs="仿宋"/>
                <w:bCs/>
                <w:kern w:val="0"/>
                <w:szCs w:val="21"/>
              </w:rPr>
              <w:t>提供演示</w:t>
            </w:r>
          </w:p>
          <w:p w14:paraId="6D95BFC2">
            <w:pPr>
              <w:pageBreakBefore w:val="0"/>
              <w:kinsoku/>
              <w:wordWrap/>
              <w:overflowPunct/>
              <w:topLinePunct w:val="0"/>
              <w:autoSpaceDE/>
              <w:autoSpaceDN/>
              <w:bidi w:val="0"/>
              <w:spacing w:line="360" w:lineRule="exact"/>
              <w:ind w:firstLine="210" w:firstLineChars="100"/>
              <w:rPr>
                <w:rFonts w:hint="eastAsia" w:ascii="仿宋" w:hAnsi="仿宋" w:eastAsia="仿宋" w:cs="仿宋"/>
                <w:kern w:val="0"/>
                <w:szCs w:val="21"/>
              </w:rPr>
            </w:pPr>
            <w:r>
              <w:rPr>
                <w:rFonts w:hint="eastAsia" w:ascii="仿宋" w:hAnsi="仿宋" w:eastAsia="仿宋" w:cs="仿宋"/>
                <w:kern w:val="0"/>
                <w:szCs w:val="21"/>
              </w:rPr>
              <w:t>1、演示时间：</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u w:val="single"/>
              </w:rPr>
              <w:t xml:space="preserve">  </w:t>
            </w:r>
          </w:p>
          <w:p w14:paraId="389C32E6">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 xml:space="preserve">     演示地点：</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u w:val="single"/>
              </w:rPr>
              <w:t xml:space="preserve">  </w:t>
            </w:r>
          </w:p>
          <w:p w14:paraId="2DDF9E41">
            <w:pPr>
              <w:pageBreakBefore w:val="0"/>
              <w:kinsoku/>
              <w:wordWrap/>
              <w:overflowPunct/>
              <w:topLinePunct w:val="0"/>
              <w:autoSpaceDE/>
              <w:autoSpaceDN/>
              <w:bidi w:val="0"/>
              <w:spacing w:line="360" w:lineRule="exact"/>
              <w:ind w:firstLine="210" w:firstLineChars="100"/>
              <w:rPr>
                <w:rFonts w:hint="eastAsia" w:ascii="仿宋" w:hAnsi="仿宋" w:eastAsia="仿宋" w:cs="仿宋"/>
                <w:kern w:val="0"/>
                <w:szCs w:val="21"/>
              </w:rPr>
            </w:pPr>
            <w:r>
              <w:rPr>
                <w:rFonts w:hint="eastAsia" w:ascii="仿宋" w:hAnsi="仿宋" w:eastAsia="仿宋" w:cs="仿宋"/>
                <w:kern w:val="0"/>
                <w:szCs w:val="21"/>
              </w:rPr>
              <w:t xml:space="preserve">   演示顺序：</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u w:val="single"/>
              </w:rPr>
              <w:t xml:space="preserve"> </w:t>
            </w:r>
          </w:p>
          <w:p w14:paraId="6F7CF2FE">
            <w:pPr>
              <w:pageBreakBefore w:val="0"/>
              <w:kinsoku/>
              <w:wordWrap/>
              <w:overflowPunct/>
              <w:topLinePunct w:val="0"/>
              <w:autoSpaceDE/>
              <w:autoSpaceDN/>
              <w:bidi w:val="0"/>
              <w:spacing w:line="360" w:lineRule="exact"/>
              <w:ind w:firstLine="210" w:firstLineChars="100"/>
              <w:rPr>
                <w:rFonts w:hint="eastAsia" w:ascii="仿宋" w:hAnsi="仿宋" w:eastAsia="仿宋" w:cs="仿宋"/>
              </w:rPr>
            </w:pPr>
            <w:r>
              <w:rPr>
                <w:rFonts w:hint="eastAsia" w:ascii="仿宋" w:hAnsi="仿宋" w:eastAsia="仿宋" w:cs="仿宋"/>
                <w:kern w:val="0"/>
                <w:szCs w:val="21"/>
              </w:rPr>
              <w:t>2、演示要求：</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u w:val="single"/>
              </w:rPr>
              <w:t xml:space="preserve"> </w:t>
            </w:r>
            <w:r>
              <w:rPr>
                <w:rFonts w:hint="eastAsia" w:ascii="仿宋" w:hAnsi="仿宋" w:eastAsia="仿宋" w:cs="仿宋"/>
                <w:kern w:val="0"/>
                <w:szCs w:val="21"/>
              </w:rPr>
              <w:t>（内容、设备等要求）</w:t>
            </w:r>
          </w:p>
        </w:tc>
      </w:tr>
      <w:tr w14:paraId="7FD74C52">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1E017E21">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12.1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05D18573">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投标报价货币要求</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1A06D3AA">
            <w:pPr>
              <w:pageBreakBefore w:val="0"/>
              <w:kinsoku/>
              <w:wordWrap/>
              <w:overflowPunct/>
              <w:topLinePunct w:val="0"/>
              <w:autoSpaceDE/>
              <w:autoSpaceDN/>
              <w:bidi w:val="0"/>
              <w:spacing w:line="360" w:lineRule="exact"/>
              <w:rPr>
                <w:rFonts w:hint="eastAsia" w:ascii="仿宋" w:hAnsi="仿宋" w:eastAsia="仿宋" w:cs="仿宋"/>
                <w:kern w:val="0"/>
                <w:szCs w:val="21"/>
                <w:u w:val="single"/>
              </w:rPr>
            </w:pPr>
            <w:r>
              <w:rPr>
                <w:rFonts w:hint="eastAsia" w:ascii="仿宋" w:hAnsi="仿宋" w:eastAsia="仿宋" w:cs="仿宋"/>
                <w:kern w:val="0"/>
                <w:szCs w:val="21"/>
              </w:rPr>
              <w:t>所有投标均按</w:t>
            </w:r>
            <w:r>
              <w:rPr>
                <w:rFonts w:hint="eastAsia" w:ascii="仿宋" w:hAnsi="仿宋" w:eastAsia="仿宋" w:cs="仿宋"/>
                <w:kern w:val="0"/>
                <w:szCs w:val="21"/>
                <w:u w:val="single"/>
              </w:rPr>
              <w:t xml:space="preserve">  人民币  </w:t>
            </w:r>
            <w:r>
              <w:rPr>
                <w:rFonts w:hint="eastAsia" w:ascii="仿宋" w:hAnsi="仿宋" w:eastAsia="仿宋" w:cs="仿宋"/>
                <w:kern w:val="0"/>
                <w:szCs w:val="21"/>
              </w:rPr>
              <w:t>货币进行报价</w:t>
            </w:r>
          </w:p>
        </w:tc>
      </w:tr>
      <w:tr w14:paraId="50ACA691">
        <w:tblPrEx>
          <w:tblCellMar>
            <w:top w:w="0" w:type="dxa"/>
            <w:left w:w="108" w:type="dxa"/>
            <w:bottom w:w="0" w:type="dxa"/>
            <w:right w:w="108" w:type="dxa"/>
          </w:tblCellMar>
        </w:tblPrEx>
        <w:trPr>
          <w:trHeight w:val="594" w:hRule="atLeast"/>
          <w:jc w:val="center"/>
        </w:trPr>
        <w:tc>
          <w:tcPr>
            <w:tcW w:w="852" w:type="dxa"/>
            <w:tcBorders>
              <w:top w:val="single" w:color="auto" w:sz="4" w:space="0"/>
              <w:left w:val="single" w:color="auto" w:sz="8" w:space="0"/>
              <w:bottom w:val="single" w:color="auto" w:sz="8" w:space="0"/>
              <w:right w:val="single" w:color="auto" w:sz="4" w:space="0"/>
            </w:tcBorders>
            <w:noWrap w:val="0"/>
            <w:vAlign w:val="center"/>
          </w:tcPr>
          <w:p w14:paraId="00012D90">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13.1</w:t>
            </w:r>
          </w:p>
        </w:tc>
        <w:tc>
          <w:tcPr>
            <w:tcW w:w="2051" w:type="dxa"/>
            <w:tcBorders>
              <w:top w:val="single" w:color="auto" w:sz="4" w:space="0"/>
              <w:left w:val="single" w:color="auto" w:sz="4" w:space="0"/>
              <w:bottom w:val="single" w:color="auto" w:sz="8" w:space="0"/>
              <w:right w:val="single" w:color="auto" w:sz="8" w:space="0"/>
            </w:tcBorders>
            <w:noWrap w:val="0"/>
            <w:vAlign w:val="center"/>
          </w:tcPr>
          <w:p w14:paraId="467303E4">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投标保证金</w:t>
            </w:r>
          </w:p>
        </w:tc>
        <w:tc>
          <w:tcPr>
            <w:tcW w:w="6820" w:type="dxa"/>
            <w:tcBorders>
              <w:top w:val="single" w:color="auto" w:sz="4" w:space="0"/>
              <w:left w:val="nil"/>
              <w:bottom w:val="single" w:color="auto" w:sz="8" w:space="0"/>
              <w:right w:val="single" w:color="auto" w:sz="8" w:space="0"/>
            </w:tcBorders>
            <w:noWrap w:val="0"/>
            <w:vAlign w:val="center"/>
          </w:tcPr>
          <w:p w14:paraId="54A41AA8">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本项目不收取投标保证金</w:t>
            </w:r>
          </w:p>
        </w:tc>
      </w:tr>
      <w:tr w14:paraId="5A7FDBFD">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8" w:space="0"/>
              <w:bottom w:val="single" w:color="auto" w:sz="8" w:space="0"/>
              <w:right w:val="single" w:color="auto" w:sz="4" w:space="0"/>
            </w:tcBorders>
            <w:noWrap w:val="0"/>
            <w:vAlign w:val="center"/>
          </w:tcPr>
          <w:p w14:paraId="66470DD8">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15.1</w:t>
            </w:r>
          </w:p>
        </w:tc>
        <w:tc>
          <w:tcPr>
            <w:tcW w:w="2051" w:type="dxa"/>
            <w:tcBorders>
              <w:top w:val="single" w:color="auto" w:sz="4" w:space="0"/>
              <w:left w:val="single" w:color="auto" w:sz="4" w:space="0"/>
              <w:bottom w:val="single" w:color="auto" w:sz="8" w:space="0"/>
              <w:right w:val="single" w:color="auto" w:sz="8" w:space="0"/>
            </w:tcBorders>
            <w:noWrap w:val="0"/>
            <w:vAlign w:val="center"/>
          </w:tcPr>
          <w:p w14:paraId="6D925536">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投标有效期</w:t>
            </w:r>
          </w:p>
        </w:tc>
        <w:tc>
          <w:tcPr>
            <w:tcW w:w="6820" w:type="dxa"/>
            <w:tcBorders>
              <w:top w:val="single" w:color="auto" w:sz="4" w:space="0"/>
              <w:left w:val="nil"/>
              <w:bottom w:val="single" w:color="auto" w:sz="8" w:space="0"/>
              <w:right w:val="single" w:color="auto" w:sz="8" w:space="0"/>
            </w:tcBorders>
            <w:noWrap w:val="0"/>
            <w:vAlign w:val="center"/>
          </w:tcPr>
          <w:p w14:paraId="2ED4B21C">
            <w:pPr>
              <w:pStyle w:val="6"/>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u w:val="single"/>
              </w:rPr>
              <w:t xml:space="preserve">  90  </w:t>
            </w:r>
            <w:r>
              <w:rPr>
                <w:rFonts w:hint="eastAsia" w:ascii="仿宋" w:hAnsi="仿宋" w:eastAsia="仿宋" w:cs="仿宋"/>
                <w:kern w:val="0"/>
                <w:szCs w:val="21"/>
              </w:rPr>
              <w:t>日历日</w:t>
            </w:r>
          </w:p>
        </w:tc>
      </w:tr>
      <w:tr w14:paraId="7617AABE">
        <w:tblPrEx>
          <w:tblCellMar>
            <w:top w:w="0" w:type="dxa"/>
            <w:left w:w="108" w:type="dxa"/>
            <w:bottom w:w="0" w:type="dxa"/>
            <w:right w:w="108" w:type="dxa"/>
          </w:tblCellMar>
        </w:tblPrEx>
        <w:trPr>
          <w:trHeight w:val="641" w:hRule="atLeast"/>
          <w:jc w:val="center"/>
        </w:trPr>
        <w:tc>
          <w:tcPr>
            <w:tcW w:w="852" w:type="dxa"/>
            <w:tcBorders>
              <w:top w:val="nil"/>
              <w:left w:val="single" w:color="auto" w:sz="8" w:space="0"/>
              <w:bottom w:val="single" w:color="auto" w:sz="4" w:space="0"/>
              <w:right w:val="single" w:color="auto" w:sz="4" w:space="0"/>
            </w:tcBorders>
            <w:noWrap w:val="0"/>
            <w:vAlign w:val="center"/>
          </w:tcPr>
          <w:p w14:paraId="5DFEE1C0">
            <w:pPr>
              <w:pageBreakBefore w:val="0"/>
              <w:widowControl/>
              <w:kinsoku/>
              <w:wordWrap/>
              <w:overflowPunct/>
              <w:autoSpaceDE/>
              <w:autoSpaceDN/>
              <w:bidi w:val="0"/>
              <w:spacing w:line="360" w:lineRule="exact"/>
              <w:jc w:val="center"/>
              <w:rPr>
                <w:rFonts w:hint="eastAsia" w:ascii="仿宋" w:hAnsi="仿宋" w:eastAsia="仿宋" w:cs="仿宋"/>
                <w:kern w:val="0"/>
                <w:szCs w:val="21"/>
              </w:rPr>
            </w:pPr>
            <w:r>
              <w:rPr>
                <w:rFonts w:hint="eastAsia" w:ascii="仿宋_GB2312" w:hAnsi="仿宋_GB2312" w:eastAsia="仿宋_GB2312" w:cs="仿宋_GB2312"/>
                <w:color w:val="auto"/>
                <w:kern w:val="0"/>
                <w:szCs w:val="21"/>
                <w:highlight w:val="none"/>
              </w:rPr>
              <w:t>16.1</w:t>
            </w:r>
          </w:p>
        </w:tc>
        <w:tc>
          <w:tcPr>
            <w:tcW w:w="2051" w:type="dxa"/>
            <w:tcBorders>
              <w:top w:val="nil"/>
              <w:left w:val="single" w:color="auto" w:sz="4" w:space="0"/>
              <w:bottom w:val="single" w:color="auto" w:sz="4" w:space="0"/>
              <w:right w:val="single" w:color="auto" w:sz="8" w:space="0"/>
            </w:tcBorders>
            <w:noWrap w:val="0"/>
            <w:vAlign w:val="center"/>
          </w:tcPr>
          <w:p w14:paraId="1DA08EA0">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szCs w:val="21"/>
              </w:rPr>
              <w:t>投标文件及电子文档份数</w:t>
            </w:r>
            <w:r>
              <w:rPr>
                <w:rFonts w:hint="eastAsia" w:ascii="仿宋" w:hAnsi="仿宋" w:eastAsia="仿宋" w:cs="仿宋"/>
                <w:kern w:val="0"/>
                <w:szCs w:val="21"/>
              </w:rPr>
              <w:t>及要求</w:t>
            </w:r>
          </w:p>
        </w:tc>
        <w:tc>
          <w:tcPr>
            <w:tcW w:w="6820" w:type="dxa"/>
            <w:tcBorders>
              <w:top w:val="nil"/>
              <w:left w:val="nil"/>
              <w:bottom w:val="single" w:color="auto" w:sz="4" w:space="0"/>
              <w:right w:val="single" w:color="auto" w:sz="8" w:space="0"/>
            </w:tcBorders>
            <w:noWrap w:val="0"/>
            <w:vAlign w:val="center"/>
          </w:tcPr>
          <w:p w14:paraId="35972649">
            <w:pPr>
              <w:pageBreakBefore w:val="0"/>
              <w:widowControl/>
              <w:kinsoku/>
              <w:wordWrap/>
              <w:overflowPunct/>
              <w:topLinePunct w:val="0"/>
              <w:autoSpaceDE/>
              <w:autoSpaceDN/>
              <w:bidi w:val="0"/>
              <w:spacing w:line="360" w:lineRule="exact"/>
              <w:rPr>
                <w:rFonts w:hint="eastAsia" w:ascii="仿宋" w:hAnsi="仿宋" w:cs="仿宋"/>
                <w:b/>
                <w:bCs/>
                <w:kern w:val="0"/>
                <w:szCs w:val="21"/>
                <w:lang w:val="en-US" w:eastAsia="zh-CN"/>
              </w:rPr>
            </w:pPr>
            <w:r>
              <w:rPr>
                <w:rFonts w:hint="eastAsia" w:ascii="仿宋" w:hAnsi="仿宋" w:cs="仿宋"/>
                <w:b/>
                <w:bCs/>
                <w:kern w:val="0"/>
                <w:szCs w:val="21"/>
                <w:lang w:val="en-US" w:eastAsia="zh-CN"/>
              </w:rPr>
              <w:t>一、备份文件递交方式：</w:t>
            </w:r>
          </w:p>
          <w:p w14:paraId="14130DDE">
            <w:pPr>
              <w:pageBreakBefore w:val="0"/>
              <w:widowControl/>
              <w:kinsoku/>
              <w:wordWrap/>
              <w:overflowPunct/>
              <w:topLinePunct w:val="0"/>
              <w:autoSpaceDE/>
              <w:autoSpaceDN/>
              <w:bidi w:val="0"/>
              <w:spacing w:line="360" w:lineRule="exact"/>
              <w:rPr>
                <w:rFonts w:hint="eastAsia" w:ascii="仿宋" w:hAnsi="仿宋" w:cs="仿宋"/>
                <w:kern w:val="0"/>
                <w:szCs w:val="21"/>
                <w:lang w:val="en-US" w:eastAsia="zh-CN"/>
              </w:rPr>
            </w:pPr>
            <w:r>
              <w:rPr>
                <w:rFonts w:hint="eastAsia" w:ascii="仿宋" w:hAnsi="仿宋" w:cs="仿宋"/>
                <w:kern w:val="0"/>
                <w:szCs w:val="21"/>
                <w:lang w:val="en-US" w:eastAsia="zh-CN"/>
              </w:rPr>
              <w:t>1.纸质备份投标文件：</w:t>
            </w:r>
          </w:p>
          <w:p w14:paraId="6BE3A619">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正本</w:t>
            </w:r>
            <w:r>
              <w:rPr>
                <w:rFonts w:hint="eastAsia" w:ascii="仿宋" w:hAnsi="仿宋" w:eastAsia="仿宋" w:cs="仿宋"/>
                <w:kern w:val="0"/>
                <w:szCs w:val="21"/>
                <w:u w:val="single"/>
              </w:rPr>
              <w:t xml:space="preserve">  2  </w:t>
            </w:r>
            <w:r>
              <w:rPr>
                <w:rFonts w:hint="eastAsia" w:ascii="仿宋" w:hAnsi="仿宋" w:eastAsia="仿宋" w:cs="仿宋"/>
                <w:kern w:val="0"/>
                <w:szCs w:val="21"/>
              </w:rPr>
              <w:t>份,副本</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3</w:t>
            </w:r>
            <w:r>
              <w:rPr>
                <w:rFonts w:hint="eastAsia" w:ascii="仿宋" w:hAnsi="仿宋" w:eastAsia="仿宋" w:cs="仿宋"/>
                <w:kern w:val="0"/>
                <w:szCs w:val="21"/>
                <w:u w:val="single"/>
              </w:rPr>
              <w:t xml:space="preserve"> </w:t>
            </w:r>
            <w:r>
              <w:rPr>
                <w:rFonts w:hint="eastAsia" w:ascii="仿宋" w:hAnsi="仿宋" w:eastAsia="仿宋" w:cs="仿宋"/>
                <w:kern w:val="0"/>
                <w:szCs w:val="21"/>
              </w:rPr>
              <w:t>份（现场递交仅限备案使用）</w:t>
            </w:r>
          </w:p>
          <w:p w14:paraId="31562E3E">
            <w:pPr>
              <w:pageBreakBefore w:val="0"/>
              <w:widowControl/>
              <w:kinsoku/>
              <w:wordWrap/>
              <w:overflowPunct/>
              <w:topLinePunct w:val="0"/>
              <w:autoSpaceDE/>
              <w:autoSpaceDN/>
              <w:bidi w:val="0"/>
              <w:spacing w:line="360" w:lineRule="exact"/>
              <w:rPr>
                <w:rFonts w:hint="default" w:ascii="仿宋" w:hAnsi="仿宋" w:eastAsia="仿宋" w:cs="仿宋"/>
                <w:kern w:val="0"/>
                <w:szCs w:val="21"/>
                <w:lang w:val="en-US" w:eastAsia="zh-CN"/>
              </w:rPr>
            </w:pPr>
            <w:r>
              <w:rPr>
                <w:rFonts w:hint="eastAsia" w:ascii="仿宋" w:hAnsi="仿宋" w:eastAsia="仿宋" w:cs="仿宋"/>
                <w:kern w:val="0"/>
                <w:szCs w:val="21"/>
              </w:rPr>
              <w:t>报价一览表</w:t>
            </w:r>
            <w:r>
              <w:rPr>
                <w:rFonts w:hint="eastAsia" w:ascii="仿宋" w:hAnsi="仿宋" w:eastAsia="仿宋" w:cs="仿宋"/>
                <w:kern w:val="0"/>
                <w:szCs w:val="21"/>
                <w:u w:val="single"/>
              </w:rPr>
              <w:t xml:space="preserve">  1  </w:t>
            </w:r>
            <w:r>
              <w:rPr>
                <w:rFonts w:hint="eastAsia" w:ascii="仿宋" w:hAnsi="仿宋" w:eastAsia="仿宋" w:cs="仿宋"/>
                <w:kern w:val="0"/>
                <w:szCs w:val="21"/>
              </w:rPr>
              <w:t>份（单独与正本密封）</w:t>
            </w:r>
          </w:p>
          <w:p w14:paraId="0E229D84">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cs="仿宋"/>
                <w:kern w:val="0"/>
                <w:szCs w:val="21"/>
                <w:lang w:val="en-US" w:eastAsia="zh-CN"/>
              </w:rPr>
              <w:t>2.</w:t>
            </w:r>
            <w:r>
              <w:rPr>
                <w:rFonts w:hint="eastAsia" w:ascii="仿宋" w:hAnsi="仿宋" w:eastAsia="仿宋" w:cs="仿宋"/>
                <w:kern w:val="0"/>
                <w:szCs w:val="21"/>
              </w:rPr>
              <w:t>电子备份文档</w:t>
            </w:r>
            <w:r>
              <w:rPr>
                <w:rFonts w:hint="eastAsia" w:ascii="仿宋" w:hAnsi="仿宋" w:eastAsia="仿宋" w:cs="仿宋"/>
                <w:kern w:val="0"/>
                <w:szCs w:val="21"/>
                <w:u w:val="single"/>
              </w:rPr>
              <w:t xml:space="preserve"> 1 </w:t>
            </w:r>
            <w:r>
              <w:rPr>
                <w:rFonts w:hint="eastAsia" w:ascii="仿宋" w:hAnsi="仿宋" w:eastAsia="仿宋" w:cs="仿宋"/>
                <w:kern w:val="0"/>
                <w:szCs w:val="21"/>
              </w:rPr>
              <w:t>份（与辽宁政府采购网线上递交的投标（响应）文件内容一致的U盘）</w:t>
            </w:r>
          </w:p>
          <w:p w14:paraId="2CC60DFD">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cs="仿宋"/>
                <w:kern w:val="0"/>
                <w:szCs w:val="21"/>
                <w:lang w:val="en-US" w:eastAsia="zh-CN"/>
              </w:rPr>
              <w:t>3.</w:t>
            </w:r>
            <w:r>
              <w:rPr>
                <w:rFonts w:hint="eastAsia" w:ascii="仿宋" w:hAnsi="仿宋" w:eastAsia="仿宋" w:cs="仿宋"/>
                <w:kern w:val="0"/>
                <w:szCs w:val="21"/>
              </w:rPr>
              <w:t>电子备份文档加密后于提交</w:t>
            </w:r>
            <w:r>
              <w:rPr>
                <w:rFonts w:hint="eastAsia" w:ascii="仿宋" w:hAnsi="仿宋" w:eastAsia="仿宋" w:cs="仿宋"/>
                <w:kern w:val="0"/>
                <w:szCs w:val="21"/>
                <w:lang w:val="en-US" w:eastAsia="zh-CN"/>
              </w:rPr>
              <w:t>投标文件</w:t>
            </w:r>
            <w:r>
              <w:rPr>
                <w:rFonts w:hint="eastAsia" w:ascii="仿宋" w:hAnsi="仿宋" w:eastAsia="仿宋" w:cs="仿宋"/>
                <w:kern w:val="0"/>
                <w:szCs w:val="21"/>
              </w:rPr>
              <w:t>截止时间前递交至指定地点，如未递交电子备份文档的按照响应无效处理，</w:t>
            </w:r>
            <w:r>
              <w:rPr>
                <w:rFonts w:hint="eastAsia" w:ascii="仿宋" w:hAnsi="仿宋" w:eastAsia="仿宋" w:cs="仿宋"/>
                <w:kern w:val="0"/>
                <w:szCs w:val="21"/>
                <w:lang w:val="en-US" w:eastAsia="zh-CN"/>
              </w:rPr>
              <w:t>投标人</w:t>
            </w:r>
            <w:r>
              <w:rPr>
                <w:rFonts w:hint="eastAsia" w:ascii="仿宋" w:hAnsi="仿宋" w:eastAsia="仿宋" w:cs="仿宋"/>
                <w:kern w:val="0"/>
                <w:szCs w:val="21"/>
              </w:rPr>
              <w:t>仅提交电子备份文档而没有进行网上递交</w:t>
            </w:r>
            <w:r>
              <w:rPr>
                <w:rFonts w:hint="eastAsia" w:ascii="仿宋" w:hAnsi="仿宋" w:eastAsia="仿宋" w:cs="仿宋"/>
                <w:kern w:val="0"/>
                <w:szCs w:val="21"/>
                <w:lang w:eastAsia="zh-CN"/>
              </w:rPr>
              <w:t>投标文件</w:t>
            </w:r>
            <w:r>
              <w:rPr>
                <w:rFonts w:hint="eastAsia" w:ascii="仿宋" w:hAnsi="仿宋" w:eastAsia="仿宋" w:cs="仿宋"/>
                <w:kern w:val="0"/>
                <w:szCs w:val="21"/>
              </w:rPr>
              <w:t>的，响应无效。</w:t>
            </w:r>
          </w:p>
          <w:p w14:paraId="1148E2A2">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注：⑴</w:t>
            </w:r>
            <w:r>
              <w:rPr>
                <w:rFonts w:hint="eastAsia" w:ascii="仿宋" w:hAnsi="仿宋" w:eastAsia="仿宋" w:cs="仿宋"/>
                <w:kern w:val="0"/>
                <w:szCs w:val="21"/>
                <w:lang w:val="en-US" w:eastAsia="zh-CN"/>
              </w:rPr>
              <w:t>投标人</w:t>
            </w:r>
            <w:r>
              <w:rPr>
                <w:rFonts w:hint="eastAsia" w:ascii="仿宋" w:hAnsi="仿宋" w:eastAsia="仿宋" w:cs="仿宋"/>
                <w:kern w:val="0"/>
                <w:szCs w:val="21"/>
              </w:rPr>
              <w:t>上传于辽宁政府采购网的投标（响应）文件正常解密的且采购活动正常进行的，备份文件自动失效。</w:t>
            </w:r>
          </w:p>
          <w:p w14:paraId="4BDB32B5">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⑵上传的电子</w:t>
            </w:r>
            <w:r>
              <w:rPr>
                <w:rFonts w:hint="eastAsia" w:ascii="仿宋" w:hAnsi="仿宋" w:eastAsia="仿宋" w:cs="仿宋"/>
                <w:kern w:val="0"/>
                <w:szCs w:val="21"/>
                <w:lang w:val="en-US" w:eastAsia="zh-CN"/>
              </w:rPr>
              <w:t>投标文件</w:t>
            </w:r>
            <w:r>
              <w:rPr>
                <w:rFonts w:hint="eastAsia" w:ascii="仿宋" w:hAnsi="仿宋" w:eastAsia="仿宋" w:cs="仿宋"/>
                <w:kern w:val="0"/>
                <w:szCs w:val="21"/>
              </w:rPr>
              <w:t>中存在图片较多或内存较大等情况，需使用特殊工具对电子文件进行调整的，应在系统中认真核对调整后的电子</w:t>
            </w:r>
            <w:r>
              <w:rPr>
                <w:rFonts w:hint="eastAsia" w:ascii="仿宋" w:hAnsi="仿宋" w:eastAsia="仿宋" w:cs="仿宋"/>
                <w:kern w:val="0"/>
                <w:szCs w:val="21"/>
                <w:lang w:val="en-US" w:eastAsia="zh-CN"/>
              </w:rPr>
              <w:t>投标文件</w:t>
            </w:r>
            <w:r>
              <w:rPr>
                <w:rFonts w:hint="eastAsia" w:ascii="仿宋" w:hAnsi="仿宋" w:eastAsia="仿宋" w:cs="仿宋"/>
                <w:kern w:val="0"/>
                <w:szCs w:val="21"/>
              </w:rPr>
              <w:t>，确保文件真实有效，清晰可辨，避免影响</w:t>
            </w:r>
            <w:r>
              <w:rPr>
                <w:rFonts w:hint="eastAsia" w:ascii="仿宋" w:hAnsi="仿宋" w:eastAsia="仿宋" w:cs="仿宋"/>
                <w:kern w:val="0"/>
                <w:szCs w:val="21"/>
                <w:lang w:val="en-US" w:eastAsia="zh-CN"/>
              </w:rPr>
              <w:t>评标</w:t>
            </w:r>
            <w:r>
              <w:rPr>
                <w:rFonts w:hint="eastAsia" w:ascii="仿宋" w:hAnsi="仿宋" w:eastAsia="仿宋" w:cs="仿宋"/>
                <w:kern w:val="0"/>
                <w:szCs w:val="21"/>
              </w:rPr>
              <w:t>活动。</w:t>
            </w:r>
          </w:p>
          <w:p w14:paraId="23489E95">
            <w:pPr>
              <w:pageBreakBefore w:val="0"/>
              <w:widowControl/>
              <w:kinsoku/>
              <w:wordWrap/>
              <w:overflowPunct/>
              <w:topLinePunct w:val="0"/>
              <w:autoSpaceDE/>
              <w:autoSpaceDN/>
              <w:bidi w:val="0"/>
              <w:spacing w:line="360" w:lineRule="exact"/>
              <w:rPr>
                <w:rFonts w:hint="eastAsia" w:ascii="仿宋" w:hAnsi="仿宋" w:eastAsia="仿宋" w:cs="仿宋"/>
                <w:b/>
                <w:bCs/>
                <w:kern w:val="0"/>
                <w:szCs w:val="21"/>
              </w:rPr>
            </w:pPr>
            <w:r>
              <w:rPr>
                <w:rFonts w:hint="eastAsia" w:ascii="仿宋" w:hAnsi="仿宋" w:eastAsia="仿宋" w:cs="仿宋"/>
                <w:b/>
                <w:bCs/>
                <w:kern w:val="0"/>
                <w:szCs w:val="21"/>
              </w:rPr>
              <w:t>二、参加会议方式：</w:t>
            </w:r>
          </w:p>
          <w:p w14:paraId="288AB35F">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⑴现场参加：法定代表人或授权委托人携带备份文件及授权委托书到锦州市公共资源交易中心（锦州市凌河区胜河里150号）参加</w:t>
            </w:r>
            <w:r>
              <w:rPr>
                <w:rFonts w:hint="eastAsia" w:ascii="仿宋" w:hAnsi="仿宋" w:cs="仿宋"/>
                <w:kern w:val="0"/>
                <w:szCs w:val="21"/>
                <w:lang w:val="en-US" w:eastAsia="zh-CN"/>
              </w:rPr>
              <w:t>开标</w:t>
            </w:r>
            <w:r>
              <w:rPr>
                <w:rFonts w:hint="eastAsia" w:ascii="仿宋" w:hAnsi="仿宋" w:eastAsia="仿宋" w:cs="仿宋"/>
                <w:kern w:val="0"/>
                <w:szCs w:val="21"/>
              </w:rPr>
              <w:t>会，开标室详见一楼大屏幕。</w:t>
            </w:r>
          </w:p>
          <w:p w14:paraId="40B8299C">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⑵网络会议参加：如供应商采取网络会议参加的，请自行下载“觅讯”视频会议APP，或从网页/微信小程序复制以下链接直接加入会议：https://www.mixlink.com/meet/ZnJvbT1lem10JnJtaWQ9NDYxZmQ4NGZkZGU2NDgxYzhkMWJmZjkwZGNlZGExMjcmdWlkPTMxMzhjNjhiNDM0NDQwOTVhYWYzY2E5MzI3NTdkNmE2。会议号：</w:t>
            </w:r>
            <w:r>
              <w:rPr>
                <w:rFonts w:hint="eastAsia" w:ascii="仿宋" w:hAnsi="仿宋" w:cs="仿宋"/>
                <w:kern w:val="0"/>
                <w:szCs w:val="21"/>
                <w:u w:val="single"/>
                <w:lang w:val="en-US" w:eastAsia="zh-CN"/>
              </w:rPr>
              <w:t>92833214</w:t>
            </w:r>
            <w:r>
              <w:rPr>
                <w:rFonts w:hint="eastAsia" w:ascii="仿宋" w:hAnsi="仿宋" w:eastAsia="仿宋" w:cs="仿宋"/>
                <w:kern w:val="0"/>
                <w:szCs w:val="21"/>
              </w:rPr>
              <w:t>。供应商须在会议开始前10分钟进入等候室同时修改名称为供应商名称，参会过程中，未经代理机构允许，不得私自开启语音和屏幕共享。</w:t>
            </w:r>
          </w:p>
          <w:p w14:paraId="5BF0279F">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注：建议供应商现场递交及现场参加</w:t>
            </w:r>
            <w:r>
              <w:rPr>
                <w:rFonts w:hint="eastAsia" w:ascii="仿宋" w:hAnsi="仿宋" w:cs="仿宋"/>
                <w:kern w:val="0"/>
                <w:szCs w:val="21"/>
                <w:lang w:val="en-US" w:eastAsia="zh-CN"/>
              </w:rPr>
              <w:t>招标</w:t>
            </w:r>
            <w:r>
              <w:rPr>
                <w:rFonts w:hint="eastAsia" w:ascii="仿宋" w:hAnsi="仿宋" w:eastAsia="仿宋" w:cs="仿宋"/>
                <w:kern w:val="0"/>
                <w:szCs w:val="21"/>
              </w:rPr>
              <w:t>会议，如采用备份文件邮寄递交及网络会议参加的供应商，在会议前，请将单位名称、应急联系人姓名、应急联系电话发送至hualong88518@163.com，并要求在项目</w:t>
            </w:r>
            <w:r>
              <w:rPr>
                <w:rFonts w:hint="eastAsia" w:ascii="仿宋" w:hAnsi="仿宋" w:cs="仿宋"/>
                <w:kern w:val="0"/>
                <w:szCs w:val="21"/>
                <w:lang w:val="en-US" w:eastAsia="zh-CN"/>
              </w:rPr>
              <w:t>开标</w:t>
            </w:r>
            <w:r>
              <w:rPr>
                <w:rFonts w:hint="eastAsia" w:ascii="仿宋" w:hAnsi="仿宋" w:eastAsia="仿宋" w:cs="仿宋"/>
                <w:kern w:val="0"/>
                <w:szCs w:val="21"/>
              </w:rPr>
              <w:t>环节、评审环节保持电话畅通。如因供应商原因导致无法接通，供应商自行承担后果。</w:t>
            </w:r>
          </w:p>
        </w:tc>
      </w:tr>
      <w:tr w14:paraId="755B94D2">
        <w:tblPrEx>
          <w:tblCellMar>
            <w:top w:w="0" w:type="dxa"/>
            <w:left w:w="108" w:type="dxa"/>
            <w:bottom w:w="0" w:type="dxa"/>
            <w:right w:w="108" w:type="dxa"/>
          </w:tblCellMar>
        </w:tblPrEx>
        <w:trPr>
          <w:trHeight w:val="641" w:hRule="atLeast"/>
          <w:jc w:val="center"/>
        </w:trPr>
        <w:tc>
          <w:tcPr>
            <w:tcW w:w="852" w:type="dxa"/>
            <w:tcBorders>
              <w:top w:val="nil"/>
              <w:left w:val="single" w:color="auto" w:sz="8" w:space="0"/>
              <w:bottom w:val="single" w:color="auto" w:sz="4" w:space="0"/>
              <w:right w:val="single" w:color="auto" w:sz="4" w:space="0"/>
            </w:tcBorders>
            <w:noWrap w:val="0"/>
            <w:vAlign w:val="center"/>
          </w:tcPr>
          <w:p w14:paraId="12B0DAA2">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16.3</w:t>
            </w:r>
          </w:p>
        </w:tc>
        <w:tc>
          <w:tcPr>
            <w:tcW w:w="2051" w:type="dxa"/>
            <w:tcBorders>
              <w:top w:val="nil"/>
              <w:left w:val="single" w:color="auto" w:sz="4" w:space="0"/>
              <w:bottom w:val="single" w:color="auto" w:sz="4" w:space="0"/>
              <w:right w:val="single" w:color="auto" w:sz="8" w:space="0"/>
            </w:tcBorders>
            <w:noWrap w:val="0"/>
            <w:vAlign w:val="center"/>
          </w:tcPr>
          <w:p w14:paraId="6A983C7B">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装订方式</w:t>
            </w:r>
          </w:p>
        </w:tc>
        <w:tc>
          <w:tcPr>
            <w:tcW w:w="6820" w:type="dxa"/>
            <w:tcBorders>
              <w:top w:val="nil"/>
              <w:left w:val="nil"/>
              <w:bottom w:val="single" w:color="auto" w:sz="4" w:space="0"/>
              <w:right w:val="single" w:color="auto" w:sz="8" w:space="0"/>
            </w:tcBorders>
            <w:noWrap w:val="0"/>
            <w:vAlign w:val="center"/>
          </w:tcPr>
          <w:p w14:paraId="2F79EBF0">
            <w:pPr>
              <w:pageBreakBefore w:val="0"/>
              <w:kinsoku/>
              <w:wordWrap/>
              <w:overflowPunct/>
              <w:topLinePunct w:val="0"/>
              <w:autoSpaceDE/>
              <w:autoSpaceDN/>
              <w:bidi w:val="0"/>
              <w:spacing w:line="360" w:lineRule="exact"/>
              <w:rPr>
                <w:rFonts w:hint="eastAsia" w:ascii="仿宋" w:hAnsi="仿宋" w:eastAsia="仿宋" w:cs="仿宋"/>
                <w:b/>
                <w:szCs w:val="21"/>
              </w:rPr>
            </w:pPr>
            <w:r>
              <w:rPr>
                <w:rFonts w:hint="eastAsia" w:ascii="仿宋" w:hAnsi="仿宋" w:eastAsia="仿宋" w:cs="仿宋"/>
                <w:b/>
                <w:szCs w:val="21"/>
              </w:rPr>
              <w:t>1.纸质投标文件装订要求：</w:t>
            </w:r>
          </w:p>
          <w:p w14:paraId="21CB8F17">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⑴一律使用A4 纸打印或复印</w:t>
            </w:r>
            <w:r>
              <w:rPr>
                <w:rFonts w:hint="eastAsia" w:ascii="仿宋" w:hAnsi="仿宋" w:cs="仿宋"/>
                <w:szCs w:val="21"/>
                <w:lang w:eastAsia="zh-CN"/>
              </w:rPr>
              <w:t>（</w:t>
            </w:r>
            <w:r>
              <w:rPr>
                <w:rFonts w:hint="eastAsia" w:ascii="仿宋" w:hAnsi="仿宋" w:cs="仿宋"/>
                <w:szCs w:val="21"/>
                <w:lang w:val="en-US" w:eastAsia="zh-CN"/>
              </w:rPr>
              <w:t>推荐双面打印</w:t>
            </w:r>
            <w:r>
              <w:rPr>
                <w:rFonts w:hint="eastAsia" w:ascii="仿宋" w:hAnsi="仿宋" w:cs="仿宋"/>
                <w:szCs w:val="21"/>
                <w:lang w:eastAsia="zh-CN"/>
              </w:rPr>
              <w:t>）</w:t>
            </w:r>
            <w:r>
              <w:rPr>
                <w:rFonts w:hint="eastAsia" w:ascii="仿宋" w:hAnsi="仿宋" w:eastAsia="仿宋" w:cs="仿宋"/>
                <w:szCs w:val="21"/>
              </w:rPr>
              <w:t>；</w:t>
            </w:r>
          </w:p>
          <w:p w14:paraId="008762DC">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 xml:space="preserve">⑵应用总目录及页数说明，每页页脚下方有页码；  </w:t>
            </w:r>
          </w:p>
          <w:p w14:paraId="001D1DC5">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⑶投标文件采用粘贴方式装订，不得采用活页夹等可随时拆换的方式（采用活页夹方式的投标文件不予接收）；</w:t>
            </w:r>
          </w:p>
          <w:p w14:paraId="2A0DD187">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⑷一律在左侧装订，要求装订规范、剪切整齐；</w:t>
            </w:r>
          </w:p>
          <w:p w14:paraId="7C5A6F7B">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⑸复印件必须清晰可辨。</w:t>
            </w:r>
          </w:p>
          <w:p w14:paraId="0E1F3DB5">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⑹单独成册。</w:t>
            </w:r>
          </w:p>
          <w:p w14:paraId="4E6FCB47">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b/>
                <w:szCs w:val="21"/>
              </w:rPr>
              <w:t>2.电子版文件要求</w:t>
            </w:r>
            <w:r>
              <w:rPr>
                <w:rFonts w:hint="eastAsia" w:ascii="仿宋" w:hAnsi="仿宋" w:eastAsia="仿宋" w:cs="仿宋"/>
                <w:szCs w:val="21"/>
              </w:rPr>
              <w:t>：所有要求的扫描件U盘</w:t>
            </w:r>
          </w:p>
          <w:p w14:paraId="74AF9E7B">
            <w:pPr>
              <w:pageBreakBefore w:val="0"/>
              <w:kinsoku/>
              <w:wordWrap/>
              <w:overflowPunct/>
              <w:topLinePunct w:val="0"/>
              <w:autoSpaceDE/>
              <w:autoSpaceDN/>
              <w:bidi w:val="0"/>
              <w:spacing w:line="360" w:lineRule="exact"/>
              <w:ind w:firstLine="420" w:firstLineChars="200"/>
              <w:rPr>
                <w:rFonts w:hint="eastAsia" w:ascii="仿宋" w:hAnsi="仿宋" w:eastAsia="仿宋" w:cs="仿宋"/>
                <w:kern w:val="0"/>
                <w:szCs w:val="21"/>
              </w:rPr>
            </w:pPr>
            <w:r>
              <w:rPr>
                <w:rFonts w:hint="eastAsia" w:ascii="仿宋" w:hAnsi="仿宋" w:eastAsia="仿宋" w:cs="仿宋"/>
                <w:szCs w:val="21"/>
              </w:rPr>
              <w:t>所有投标文件采用不可拆装的胶订方式装订，否则其投标将被认定为投标无效。</w:t>
            </w:r>
          </w:p>
        </w:tc>
      </w:tr>
      <w:tr w14:paraId="2635876A">
        <w:tblPrEx>
          <w:tblCellMar>
            <w:top w:w="0" w:type="dxa"/>
            <w:left w:w="108" w:type="dxa"/>
            <w:bottom w:w="0" w:type="dxa"/>
            <w:right w:w="108" w:type="dxa"/>
          </w:tblCellMar>
        </w:tblPrEx>
        <w:trPr>
          <w:trHeight w:val="1292"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27926BD3">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17.1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4CC8AF74">
            <w:pPr>
              <w:pageBreakBefore w:val="0"/>
              <w:widowControl/>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封套上应</w:t>
            </w:r>
          </w:p>
          <w:p w14:paraId="1B6E5A1D">
            <w:pPr>
              <w:pageBreakBefore w:val="0"/>
              <w:widowControl/>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载明的信息</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6505EC9A">
            <w:pPr>
              <w:pageBreakBefore w:val="0"/>
              <w:kinsoku/>
              <w:wordWrap/>
              <w:overflowPunct/>
              <w:topLinePunct w:val="0"/>
              <w:autoSpaceDE/>
              <w:autoSpaceDN/>
              <w:bidi w:val="0"/>
              <w:spacing w:line="360" w:lineRule="exact"/>
              <w:rPr>
                <w:rFonts w:hint="eastAsia" w:ascii="仿宋" w:hAnsi="仿宋" w:eastAsia="仿宋" w:cs="仿宋"/>
                <w:b/>
                <w:bCs/>
                <w:color w:val="auto"/>
                <w:szCs w:val="21"/>
              </w:rPr>
            </w:pPr>
            <w:r>
              <w:rPr>
                <w:rFonts w:hint="eastAsia" w:ascii="仿宋" w:hAnsi="仿宋" w:eastAsia="仿宋" w:cs="仿宋"/>
                <w:b/>
                <w:bCs/>
                <w:color w:val="auto"/>
                <w:szCs w:val="21"/>
              </w:rPr>
              <w:t>外层包封应写明：</w:t>
            </w:r>
          </w:p>
          <w:p w14:paraId="5CEB5092">
            <w:pPr>
              <w:pageBreakBefore w:val="0"/>
              <w:kinsoku/>
              <w:wordWrap/>
              <w:overflowPunct/>
              <w:topLinePunct w:val="0"/>
              <w:autoSpaceDE/>
              <w:autoSpaceDN/>
              <w:bidi w:val="0"/>
              <w:spacing w:line="360" w:lineRule="exact"/>
              <w:rPr>
                <w:rFonts w:hint="eastAsia" w:ascii="仿宋" w:hAnsi="仿宋" w:eastAsia="仿宋" w:cs="仿宋"/>
                <w:color w:val="auto"/>
                <w:szCs w:val="21"/>
              </w:rPr>
            </w:pPr>
            <w:r>
              <w:rPr>
                <w:rFonts w:hint="eastAsia" w:ascii="仿宋" w:hAnsi="仿宋" w:eastAsia="仿宋" w:cs="仿宋"/>
                <w:color w:val="auto"/>
                <w:szCs w:val="21"/>
              </w:rPr>
              <w:t>（1）注明项目名称、项目编号、包号、</w:t>
            </w:r>
            <w:r>
              <w:rPr>
                <w:rFonts w:hint="eastAsia" w:ascii="仿宋" w:hAnsi="仿宋" w:eastAsia="仿宋" w:cs="仿宋"/>
                <w:color w:val="auto"/>
                <w:szCs w:val="21"/>
                <w:lang w:eastAsia="zh-CN"/>
              </w:rPr>
              <w:t>投标人</w:t>
            </w:r>
            <w:r>
              <w:rPr>
                <w:rFonts w:hint="eastAsia" w:ascii="仿宋" w:hAnsi="仿宋" w:eastAsia="仿宋" w:cs="仿宋"/>
                <w:color w:val="auto"/>
                <w:szCs w:val="21"/>
              </w:rPr>
              <w:t>名称。</w:t>
            </w:r>
          </w:p>
          <w:p w14:paraId="34F476D8">
            <w:pPr>
              <w:pageBreakBefore w:val="0"/>
              <w:kinsoku/>
              <w:wordWrap/>
              <w:overflowPunct/>
              <w:topLinePunct w:val="0"/>
              <w:autoSpaceDE/>
              <w:autoSpaceDN/>
              <w:bidi w:val="0"/>
              <w:spacing w:line="360" w:lineRule="exact"/>
              <w:rPr>
                <w:rFonts w:hint="eastAsia" w:ascii="仿宋" w:hAnsi="仿宋" w:eastAsia="仿宋" w:cs="仿宋"/>
                <w:color w:val="auto"/>
                <w:szCs w:val="21"/>
                <w:lang w:eastAsia="zh-CN"/>
              </w:rPr>
            </w:pPr>
            <w:r>
              <w:rPr>
                <w:rFonts w:hint="eastAsia" w:ascii="仿宋" w:hAnsi="仿宋" w:eastAsia="仿宋" w:cs="仿宋"/>
                <w:color w:val="auto"/>
                <w:szCs w:val="21"/>
              </w:rPr>
              <w:t>（2）加盖</w:t>
            </w:r>
            <w:r>
              <w:rPr>
                <w:rFonts w:hint="eastAsia" w:ascii="仿宋" w:hAnsi="仿宋" w:eastAsia="仿宋" w:cs="仿宋"/>
                <w:color w:val="auto"/>
                <w:szCs w:val="21"/>
                <w:lang w:eastAsia="zh-CN"/>
              </w:rPr>
              <w:t>投标人</w:t>
            </w:r>
            <w:r>
              <w:rPr>
                <w:rFonts w:hint="eastAsia" w:ascii="仿宋" w:hAnsi="仿宋" w:eastAsia="仿宋" w:cs="仿宋"/>
                <w:color w:val="auto"/>
                <w:szCs w:val="21"/>
              </w:rPr>
              <w:t>单位公章。</w:t>
            </w:r>
          </w:p>
          <w:p w14:paraId="32B0DC2E">
            <w:pPr>
              <w:pageBreakBefore w:val="0"/>
              <w:kinsoku/>
              <w:wordWrap/>
              <w:overflowPunct/>
              <w:topLinePunct w:val="0"/>
              <w:autoSpaceDE/>
              <w:autoSpaceDN/>
              <w:bidi w:val="0"/>
              <w:spacing w:line="360" w:lineRule="exact"/>
              <w:rPr>
                <w:rFonts w:hint="eastAsia" w:ascii="仿宋" w:hAnsi="仿宋" w:eastAsia="仿宋" w:cs="仿宋"/>
                <w:color w:val="auto"/>
                <w:szCs w:val="21"/>
              </w:rPr>
            </w:pPr>
            <w:r>
              <w:rPr>
                <w:rFonts w:hint="eastAsia" w:ascii="仿宋" w:hAnsi="仿宋" w:eastAsia="仿宋" w:cs="仿宋"/>
                <w:color w:val="auto"/>
                <w:szCs w:val="21"/>
                <w:lang w:eastAsia="zh-CN"/>
              </w:rPr>
              <w:t>开标</w:t>
            </w:r>
            <w:r>
              <w:rPr>
                <w:rFonts w:hint="eastAsia" w:ascii="仿宋" w:hAnsi="仿宋" w:eastAsia="仿宋" w:cs="仿宋"/>
                <w:color w:val="auto"/>
                <w:szCs w:val="21"/>
              </w:rPr>
              <w:t>结束前不得开启</w:t>
            </w:r>
          </w:p>
          <w:p w14:paraId="6E8C5C29">
            <w:pPr>
              <w:pageBreakBefore w:val="0"/>
              <w:kinsoku/>
              <w:wordWrap/>
              <w:overflowPunct/>
              <w:topLinePunct w:val="0"/>
              <w:autoSpaceDE/>
              <w:autoSpaceDN/>
              <w:bidi w:val="0"/>
              <w:spacing w:line="360" w:lineRule="exact"/>
              <w:rPr>
                <w:rFonts w:hint="eastAsia" w:ascii="仿宋" w:hAnsi="仿宋" w:eastAsia="仿宋" w:cs="仿宋"/>
                <w:b/>
                <w:color w:val="auto"/>
                <w:szCs w:val="21"/>
              </w:rPr>
            </w:pPr>
            <w:r>
              <w:rPr>
                <w:rFonts w:hint="eastAsia" w:ascii="仿宋" w:hAnsi="仿宋" w:eastAsia="仿宋" w:cs="仿宋"/>
                <w:b/>
                <w:color w:val="auto"/>
                <w:szCs w:val="21"/>
              </w:rPr>
              <w:t>电子版投标文件包封写明：</w:t>
            </w:r>
            <w:r>
              <w:rPr>
                <w:rFonts w:hint="eastAsia" w:ascii="仿宋" w:hAnsi="仿宋" w:eastAsia="仿宋" w:cs="仿宋"/>
                <w:b/>
                <w:color w:val="auto"/>
                <w:sz w:val="16"/>
                <w:szCs w:val="16"/>
              </w:rPr>
              <w:t>（注：</w:t>
            </w:r>
            <w:r>
              <w:rPr>
                <w:rFonts w:hint="eastAsia" w:ascii="仿宋" w:hAnsi="仿宋" w:eastAsia="仿宋" w:cs="仿宋"/>
                <w:b/>
                <w:color w:val="auto"/>
                <w:sz w:val="16"/>
                <w:szCs w:val="16"/>
                <w:lang w:val="en-US" w:eastAsia="zh-CN"/>
              </w:rPr>
              <w:t>1</w:t>
            </w:r>
            <w:r>
              <w:rPr>
                <w:rFonts w:hint="eastAsia" w:ascii="仿宋" w:hAnsi="仿宋" w:eastAsia="仿宋" w:cs="仿宋"/>
                <w:b/>
                <w:color w:val="auto"/>
                <w:sz w:val="16"/>
                <w:szCs w:val="16"/>
              </w:rPr>
              <w:t>份包封一起）</w:t>
            </w:r>
          </w:p>
          <w:p w14:paraId="1C25FCCE">
            <w:pPr>
              <w:pageBreakBefore w:val="0"/>
              <w:kinsoku/>
              <w:wordWrap/>
              <w:overflowPunct/>
              <w:topLinePunct w:val="0"/>
              <w:autoSpaceDE/>
              <w:autoSpaceDN/>
              <w:bidi w:val="0"/>
              <w:spacing w:line="360" w:lineRule="exact"/>
              <w:rPr>
                <w:rFonts w:hint="eastAsia" w:ascii="仿宋" w:hAnsi="仿宋" w:eastAsia="仿宋" w:cs="仿宋"/>
                <w:color w:val="auto"/>
                <w:szCs w:val="21"/>
              </w:rPr>
            </w:pPr>
            <w:r>
              <w:rPr>
                <w:rFonts w:hint="eastAsia" w:ascii="仿宋" w:hAnsi="仿宋" w:eastAsia="仿宋" w:cs="仿宋"/>
                <w:color w:val="auto"/>
                <w:szCs w:val="21"/>
              </w:rPr>
              <w:t>（1）注明项目名称、项目编号、包号、</w:t>
            </w:r>
            <w:r>
              <w:rPr>
                <w:rFonts w:hint="eastAsia" w:ascii="仿宋" w:hAnsi="仿宋" w:eastAsia="仿宋" w:cs="仿宋"/>
                <w:color w:val="auto"/>
                <w:szCs w:val="21"/>
                <w:lang w:eastAsia="zh-CN"/>
              </w:rPr>
              <w:t>投标人</w:t>
            </w:r>
            <w:r>
              <w:rPr>
                <w:rFonts w:hint="eastAsia" w:ascii="仿宋" w:hAnsi="仿宋" w:eastAsia="仿宋" w:cs="仿宋"/>
                <w:color w:val="auto"/>
                <w:szCs w:val="21"/>
              </w:rPr>
              <w:t>名称。</w:t>
            </w:r>
          </w:p>
          <w:p w14:paraId="3092D7A9">
            <w:pPr>
              <w:pageBreakBefore w:val="0"/>
              <w:kinsoku/>
              <w:wordWrap/>
              <w:overflowPunct/>
              <w:topLinePunct w:val="0"/>
              <w:autoSpaceDE/>
              <w:autoSpaceDN/>
              <w:bidi w:val="0"/>
              <w:spacing w:line="360" w:lineRule="exact"/>
              <w:rPr>
                <w:rFonts w:hint="eastAsia" w:ascii="仿宋" w:hAnsi="仿宋" w:eastAsia="仿宋" w:cs="仿宋"/>
                <w:color w:val="auto"/>
                <w:szCs w:val="21"/>
              </w:rPr>
            </w:pPr>
            <w:r>
              <w:rPr>
                <w:rFonts w:hint="eastAsia" w:ascii="仿宋" w:hAnsi="仿宋" w:eastAsia="仿宋" w:cs="仿宋"/>
                <w:color w:val="auto"/>
                <w:szCs w:val="21"/>
              </w:rPr>
              <w:t>（2）加盖</w:t>
            </w:r>
            <w:r>
              <w:rPr>
                <w:rFonts w:hint="eastAsia" w:ascii="仿宋" w:hAnsi="仿宋" w:eastAsia="仿宋" w:cs="仿宋"/>
                <w:color w:val="auto"/>
                <w:szCs w:val="21"/>
                <w:lang w:eastAsia="zh-CN"/>
              </w:rPr>
              <w:t>投标人</w:t>
            </w:r>
            <w:r>
              <w:rPr>
                <w:rFonts w:hint="eastAsia" w:ascii="仿宋" w:hAnsi="仿宋" w:eastAsia="仿宋" w:cs="仿宋"/>
                <w:color w:val="auto"/>
                <w:szCs w:val="21"/>
              </w:rPr>
              <w:t>单位公章，与正本包装在一起。</w:t>
            </w:r>
          </w:p>
          <w:p w14:paraId="1B7A0225">
            <w:pPr>
              <w:pageBreakBefore w:val="0"/>
              <w:kinsoku/>
              <w:wordWrap/>
              <w:overflowPunct/>
              <w:topLinePunct w:val="0"/>
              <w:autoSpaceDE/>
              <w:autoSpaceDN/>
              <w:bidi w:val="0"/>
              <w:spacing w:line="360" w:lineRule="exact"/>
              <w:rPr>
                <w:rFonts w:hint="eastAsia" w:ascii="仿宋" w:hAnsi="仿宋" w:eastAsia="仿宋" w:cs="仿宋"/>
                <w:b/>
                <w:bCs/>
                <w:color w:val="auto"/>
                <w:szCs w:val="21"/>
              </w:rPr>
            </w:pPr>
            <w:r>
              <w:rPr>
                <w:rFonts w:hint="eastAsia" w:ascii="仿宋" w:hAnsi="仿宋" w:eastAsia="仿宋" w:cs="仿宋"/>
                <w:b/>
                <w:bCs/>
                <w:color w:val="auto"/>
                <w:szCs w:val="21"/>
              </w:rPr>
              <w:t>投标文件规范封套：</w:t>
            </w:r>
          </w:p>
          <w:p w14:paraId="4AD74D47">
            <w:pPr>
              <w:pageBreakBefore w:val="0"/>
              <w:kinsoku/>
              <w:wordWrap/>
              <w:overflowPunct/>
              <w:topLinePunct w:val="0"/>
              <w:autoSpaceDE/>
              <w:autoSpaceDN/>
              <w:bidi w:val="0"/>
              <w:spacing w:line="360" w:lineRule="exact"/>
              <w:rPr>
                <w:rFonts w:hint="eastAsia" w:ascii="仿宋" w:hAnsi="仿宋" w:eastAsia="仿宋" w:cs="仿宋"/>
                <w:color w:val="auto"/>
                <w:szCs w:val="21"/>
              </w:rPr>
            </w:pPr>
            <w:r>
              <w:rPr>
                <w:rFonts w:hint="eastAsia" w:ascii="仿宋" w:hAnsi="仿宋" w:eastAsia="仿宋" w:cs="仿宋"/>
                <w:color w:val="auto"/>
                <w:szCs w:val="21"/>
              </w:rPr>
              <w:t>⑴内封套：正本与副本应分开包装，封套上应清楚地标记“正本”或“副本”字样。</w:t>
            </w:r>
          </w:p>
          <w:p w14:paraId="4F8DE660">
            <w:pPr>
              <w:pageBreakBefore w:val="0"/>
              <w:kinsoku/>
              <w:wordWrap/>
              <w:overflowPunct/>
              <w:topLinePunct w:val="0"/>
              <w:autoSpaceDE/>
              <w:autoSpaceDN/>
              <w:bidi w:val="0"/>
              <w:spacing w:line="360" w:lineRule="exact"/>
              <w:rPr>
                <w:rFonts w:hint="eastAsia" w:ascii="仿宋" w:hAnsi="仿宋" w:eastAsia="仿宋" w:cs="仿宋"/>
                <w:color w:val="auto"/>
                <w:szCs w:val="21"/>
                <w:lang w:eastAsia="zh-CN"/>
              </w:rPr>
            </w:pPr>
            <w:r>
              <w:rPr>
                <w:rFonts w:hint="eastAsia" w:ascii="仿宋" w:hAnsi="仿宋" w:eastAsia="仿宋" w:cs="仿宋"/>
                <w:color w:val="auto"/>
                <w:szCs w:val="21"/>
              </w:rPr>
              <w:t>⑵</w:t>
            </w:r>
            <w:r>
              <w:rPr>
                <w:rFonts w:hint="eastAsia" w:ascii="仿宋" w:hAnsi="仿宋" w:eastAsia="仿宋" w:cs="仿宋"/>
                <w:color w:val="auto"/>
                <w:szCs w:val="21"/>
                <w:lang w:eastAsia="zh-CN"/>
              </w:rPr>
              <w:t>统一密封：完成正本与副本的单独密封后，请将密封好的正本和副本统一放置在一个外层密封包装内再次密封。</w:t>
            </w:r>
          </w:p>
          <w:p w14:paraId="7F1F7F19">
            <w:pPr>
              <w:pageBreakBefore w:val="0"/>
              <w:kinsoku/>
              <w:wordWrap/>
              <w:overflowPunct/>
              <w:topLinePunct w:val="0"/>
              <w:autoSpaceDE/>
              <w:autoSpaceDN/>
              <w:bidi w:val="0"/>
              <w:spacing w:line="360" w:lineRule="exact"/>
              <w:rPr>
                <w:rFonts w:hint="eastAsia" w:ascii="仿宋" w:hAnsi="仿宋" w:eastAsia="仿宋" w:cs="仿宋"/>
                <w:color w:val="auto"/>
                <w:szCs w:val="21"/>
              </w:rPr>
            </w:pPr>
            <w:r>
              <w:rPr>
                <w:rFonts w:hint="eastAsia" w:ascii="仿宋" w:hAnsi="仿宋" w:eastAsia="仿宋" w:cs="仿宋"/>
                <w:color w:val="auto"/>
                <w:szCs w:val="21"/>
              </w:rPr>
              <w:t>⑶外封套：外封套的封口处加盖</w:t>
            </w:r>
            <w:r>
              <w:rPr>
                <w:rFonts w:hint="eastAsia" w:ascii="仿宋" w:hAnsi="仿宋" w:eastAsia="仿宋" w:cs="仿宋"/>
                <w:color w:val="auto"/>
                <w:szCs w:val="21"/>
                <w:lang w:eastAsia="zh-CN"/>
              </w:rPr>
              <w:t>投标人</w:t>
            </w:r>
            <w:r>
              <w:rPr>
                <w:rFonts w:hint="eastAsia" w:ascii="仿宋" w:hAnsi="仿宋" w:eastAsia="仿宋" w:cs="仿宋"/>
                <w:color w:val="auto"/>
                <w:szCs w:val="21"/>
              </w:rPr>
              <w:t>单位公章。</w:t>
            </w:r>
          </w:p>
          <w:p w14:paraId="7253FDAF">
            <w:pPr>
              <w:pageBreakBefore w:val="0"/>
              <w:kinsoku/>
              <w:wordWrap/>
              <w:overflowPunct/>
              <w:topLinePunct w:val="0"/>
              <w:autoSpaceDE/>
              <w:autoSpaceDN/>
              <w:bidi w:val="0"/>
              <w:spacing w:line="360" w:lineRule="exact"/>
              <w:rPr>
                <w:rFonts w:hint="eastAsia" w:ascii="仿宋" w:hAnsi="仿宋" w:eastAsia="仿宋" w:cs="仿宋"/>
                <w:color w:val="auto"/>
                <w:szCs w:val="21"/>
                <w:lang w:eastAsia="zh-CN"/>
              </w:rPr>
            </w:pPr>
            <w:r>
              <w:rPr>
                <w:rFonts w:hint="eastAsia" w:ascii="仿宋" w:hAnsi="仿宋" w:eastAsia="仿宋" w:cs="仿宋"/>
                <w:color w:val="auto"/>
                <w:szCs w:val="21"/>
              </w:rPr>
              <w:t>⑷</w:t>
            </w:r>
            <w:r>
              <w:rPr>
                <w:rFonts w:hint="eastAsia" w:ascii="仿宋" w:hAnsi="仿宋" w:eastAsia="仿宋" w:cs="仿宋"/>
                <w:color w:val="auto"/>
                <w:szCs w:val="21"/>
                <w:lang w:eastAsia="zh-CN"/>
              </w:rPr>
              <w:t>报价</w:t>
            </w:r>
            <w:r>
              <w:rPr>
                <w:rFonts w:hint="eastAsia" w:ascii="仿宋" w:hAnsi="仿宋" w:eastAsia="仿宋" w:cs="仿宋"/>
                <w:color w:val="auto"/>
                <w:szCs w:val="21"/>
              </w:rPr>
              <w:t>一览表另外单独用信封密封一份，与正本包装在一起。</w:t>
            </w:r>
          </w:p>
          <w:p w14:paraId="5DDC413A">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color w:val="auto"/>
                <w:szCs w:val="21"/>
                <w:lang w:eastAsia="zh-CN"/>
              </w:rPr>
              <w:t>⑸</w:t>
            </w:r>
            <w:r>
              <w:rPr>
                <w:rFonts w:hint="eastAsia" w:ascii="仿宋" w:hAnsi="仿宋" w:cs="仿宋"/>
                <w:b/>
                <w:bCs/>
                <w:color w:val="auto"/>
                <w:szCs w:val="21"/>
                <w:lang w:val="en-US" w:eastAsia="zh-CN"/>
              </w:rPr>
              <w:t>法人身份证明、</w:t>
            </w:r>
            <w:r>
              <w:rPr>
                <w:rFonts w:hint="eastAsia" w:ascii="仿宋" w:hAnsi="仿宋" w:eastAsia="仿宋" w:cs="仿宋"/>
                <w:b/>
                <w:bCs/>
                <w:color w:val="auto"/>
                <w:szCs w:val="21"/>
              </w:rPr>
              <w:t>授权委托书原件为手持件，单独一份递交至</w:t>
            </w:r>
            <w:r>
              <w:rPr>
                <w:rFonts w:hint="eastAsia" w:ascii="仿宋" w:hAnsi="仿宋" w:eastAsia="仿宋" w:cs="仿宋"/>
                <w:b/>
                <w:bCs/>
                <w:color w:val="auto"/>
                <w:szCs w:val="21"/>
                <w:lang w:eastAsia="zh-CN"/>
              </w:rPr>
              <w:t>开标</w:t>
            </w:r>
            <w:r>
              <w:rPr>
                <w:rFonts w:hint="eastAsia" w:ascii="仿宋" w:hAnsi="仿宋" w:eastAsia="仿宋" w:cs="仿宋"/>
                <w:b/>
                <w:bCs/>
                <w:color w:val="auto"/>
                <w:szCs w:val="21"/>
              </w:rPr>
              <w:t>现场</w:t>
            </w:r>
            <w:r>
              <w:rPr>
                <w:rFonts w:hint="eastAsia" w:ascii="仿宋" w:hAnsi="仿宋" w:eastAsia="仿宋" w:cs="仿宋"/>
                <w:b/>
                <w:bCs/>
                <w:color w:val="auto"/>
                <w:szCs w:val="21"/>
                <w:lang w:eastAsia="zh-CN"/>
              </w:rPr>
              <w:t>。</w:t>
            </w:r>
          </w:p>
        </w:tc>
      </w:tr>
      <w:tr w14:paraId="03593497">
        <w:tblPrEx>
          <w:tblCellMar>
            <w:top w:w="0" w:type="dxa"/>
            <w:left w:w="108" w:type="dxa"/>
            <w:bottom w:w="0" w:type="dxa"/>
            <w:right w:w="108" w:type="dxa"/>
          </w:tblCellMar>
        </w:tblPrEx>
        <w:trPr>
          <w:trHeight w:val="64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41C62118">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17.2</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042C9702">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投标文件签字</w:t>
            </w:r>
          </w:p>
          <w:p w14:paraId="333278F0">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或盖章要求</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638EDE1D">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1、凡纸质文件规定名章印鉴签章处均由投标人法定代表人或授权委托人逐一签署及加盖有效印章；</w:t>
            </w:r>
          </w:p>
          <w:p w14:paraId="58FBE052">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2、在不能避免的涂改、行间插字或删除处逐一签署及加盖有效印章。</w:t>
            </w:r>
          </w:p>
          <w:p w14:paraId="21C0F78B">
            <w:pPr>
              <w:pageBreakBefore w:val="0"/>
              <w:widowControl/>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b/>
                <w:bCs/>
                <w:kern w:val="0"/>
                <w:szCs w:val="21"/>
              </w:rPr>
              <w:t>注：未按照招标文件规定要求签署、盖章的投标文件无效</w:t>
            </w:r>
          </w:p>
        </w:tc>
      </w:tr>
      <w:tr w14:paraId="531266A6">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0844101E">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18.1</w:t>
            </w:r>
          </w:p>
        </w:tc>
        <w:tc>
          <w:tcPr>
            <w:tcW w:w="2051" w:type="dxa"/>
            <w:tcBorders>
              <w:top w:val="single" w:color="auto" w:sz="4" w:space="0"/>
              <w:left w:val="single" w:color="auto" w:sz="4" w:space="0"/>
              <w:bottom w:val="single" w:color="auto" w:sz="4" w:space="0"/>
              <w:right w:val="single" w:color="auto" w:sz="8" w:space="0"/>
            </w:tcBorders>
            <w:noWrap w:val="0"/>
            <w:vAlign w:val="center"/>
          </w:tcPr>
          <w:p w14:paraId="3B58375A">
            <w:pPr>
              <w:pageBreakBefore w:val="0"/>
              <w:widowControl/>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递交投标文件截止时间、地点</w:t>
            </w:r>
          </w:p>
        </w:tc>
        <w:tc>
          <w:tcPr>
            <w:tcW w:w="6820" w:type="dxa"/>
            <w:tcBorders>
              <w:top w:val="single" w:color="auto" w:sz="4" w:space="0"/>
              <w:left w:val="nil"/>
              <w:bottom w:val="single" w:color="auto" w:sz="4" w:space="0"/>
              <w:right w:val="single" w:color="auto" w:sz="8" w:space="0"/>
            </w:tcBorders>
            <w:noWrap w:val="0"/>
            <w:vAlign w:val="center"/>
          </w:tcPr>
          <w:p w14:paraId="12AAF163">
            <w:pPr>
              <w:pageBreakBefore w:val="0"/>
              <w:widowControl/>
              <w:kinsoku/>
              <w:wordWrap/>
              <w:overflowPunct/>
              <w:topLinePunct w:val="0"/>
              <w:autoSpaceDE/>
              <w:autoSpaceDN/>
              <w:bidi w:val="0"/>
              <w:spacing w:line="360" w:lineRule="exact"/>
              <w:rPr>
                <w:rFonts w:hint="eastAsia" w:ascii="仿宋" w:hAnsi="仿宋" w:eastAsia="仿宋" w:cs="仿宋"/>
                <w:kern w:val="0"/>
                <w:szCs w:val="21"/>
                <w:u w:val="single"/>
              </w:rPr>
            </w:pPr>
            <w:r>
              <w:rPr>
                <w:rFonts w:hint="eastAsia" w:ascii="仿宋" w:hAnsi="仿宋" w:eastAsia="仿宋" w:cs="仿宋"/>
                <w:kern w:val="0"/>
                <w:szCs w:val="21"/>
              </w:rPr>
              <w:t>详见采购公告，以采购公告规定时间、地点为准。</w:t>
            </w:r>
          </w:p>
        </w:tc>
      </w:tr>
      <w:tr w14:paraId="7E6CCBE9">
        <w:tblPrEx>
          <w:tblCellMar>
            <w:top w:w="0" w:type="dxa"/>
            <w:left w:w="108" w:type="dxa"/>
            <w:bottom w:w="0" w:type="dxa"/>
            <w:right w:w="108" w:type="dxa"/>
          </w:tblCellMar>
        </w:tblPrEx>
        <w:trPr>
          <w:trHeight w:val="422" w:hRule="atLeast"/>
          <w:jc w:val="center"/>
        </w:trPr>
        <w:tc>
          <w:tcPr>
            <w:tcW w:w="852" w:type="dxa"/>
            <w:tcBorders>
              <w:top w:val="nil"/>
              <w:left w:val="single" w:color="auto" w:sz="8" w:space="0"/>
              <w:bottom w:val="single" w:color="auto" w:sz="4" w:space="0"/>
              <w:right w:val="single" w:color="auto" w:sz="4" w:space="0"/>
            </w:tcBorders>
            <w:noWrap w:val="0"/>
            <w:vAlign w:val="center"/>
          </w:tcPr>
          <w:p w14:paraId="690AADBB">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20.1</w:t>
            </w:r>
          </w:p>
        </w:tc>
        <w:tc>
          <w:tcPr>
            <w:tcW w:w="2051" w:type="dxa"/>
            <w:tcBorders>
              <w:top w:val="nil"/>
              <w:left w:val="single" w:color="auto" w:sz="4" w:space="0"/>
              <w:bottom w:val="single" w:color="auto" w:sz="4" w:space="0"/>
              <w:right w:val="single" w:color="auto" w:sz="8" w:space="0"/>
            </w:tcBorders>
            <w:noWrap w:val="0"/>
            <w:vAlign w:val="center"/>
          </w:tcPr>
          <w:p w14:paraId="5BAB85A7">
            <w:pPr>
              <w:pageBreakBefore w:val="0"/>
              <w:widowControl/>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开标时间、地点</w:t>
            </w:r>
          </w:p>
        </w:tc>
        <w:tc>
          <w:tcPr>
            <w:tcW w:w="6820" w:type="dxa"/>
            <w:tcBorders>
              <w:top w:val="nil"/>
              <w:left w:val="nil"/>
              <w:bottom w:val="single" w:color="auto" w:sz="4" w:space="0"/>
              <w:right w:val="single" w:color="auto" w:sz="8" w:space="0"/>
            </w:tcBorders>
            <w:noWrap w:val="0"/>
            <w:vAlign w:val="center"/>
          </w:tcPr>
          <w:p w14:paraId="3D56736C">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详见采购公告，以采购公告规定时间、地点为准。</w:t>
            </w:r>
          </w:p>
        </w:tc>
      </w:tr>
      <w:tr w14:paraId="002ABCF3">
        <w:tblPrEx>
          <w:tblCellMar>
            <w:top w:w="0" w:type="dxa"/>
            <w:left w:w="108" w:type="dxa"/>
            <w:bottom w:w="0" w:type="dxa"/>
            <w:right w:w="108" w:type="dxa"/>
          </w:tblCellMar>
        </w:tblPrEx>
        <w:trPr>
          <w:trHeight w:val="613" w:hRule="atLeast"/>
          <w:jc w:val="center"/>
        </w:trPr>
        <w:tc>
          <w:tcPr>
            <w:tcW w:w="852" w:type="dxa"/>
            <w:tcBorders>
              <w:top w:val="nil"/>
              <w:left w:val="single" w:color="auto" w:sz="8" w:space="0"/>
              <w:bottom w:val="single" w:color="auto" w:sz="4" w:space="0"/>
              <w:right w:val="single" w:color="auto" w:sz="4" w:space="0"/>
            </w:tcBorders>
            <w:noWrap w:val="0"/>
            <w:vAlign w:val="center"/>
          </w:tcPr>
          <w:p w14:paraId="034E912C">
            <w:pPr>
              <w:pageBreakBefore w:val="0"/>
              <w:widowControl/>
              <w:kinsoku/>
              <w:wordWrap/>
              <w:overflowPunct/>
              <w:topLinePunct w:val="0"/>
              <w:autoSpaceDE/>
              <w:autoSpaceDN/>
              <w:bidi w:val="0"/>
              <w:spacing w:line="36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2051" w:type="dxa"/>
            <w:tcBorders>
              <w:top w:val="nil"/>
              <w:left w:val="single" w:color="auto" w:sz="4" w:space="0"/>
              <w:bottom w:val="single" w:color="auto" w:sz="4" w:space="0"/>
              <w:right w:val="single" w:color="auto" w:sz="8" w:space="0"/>
            </w:tcBorders>
            <w:noWrap w:val="0"/>
            <w:vAlign w:val="center"/>
          </w:tcPr>
          <w:p w14:paraId="4D592302">
            <w:pPr>
              <w:pageBreakBefore w:val="0"/>
              <w:widowControl/>
              <w:kinsoku/>
              <w:wordWrap/>
              <w:overflowPunct/>
              <w:topLinePunct w:val="0"/>
              <w:autoSpaceDE/>
              <w:autoSpaceDN/>
              <w:bidi w:val="0"/>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评标委员会组成</w:t>
            </w:r>
          </w:p>
        </w:tc>
        <w:tc>
          <w:tcPr>
            <w:tcW w:w="6820" w:type="dxa"/>
            <w:tcBorders>
              <w:top w:val="nil"/>
              <w:left w:val="nil"/>
              <w:bottom w:val="single" w:color="auto" w:sz="4" w:space="0"/>
              <w:right w:val="single" w:color="auto" w:sz="8" w:space="0"/>
            </w:tcBorders>
            <w:noWrap w:val="0"/>
            <w:vAlign w:val="center"/>
          </w:tcPr>
          <w:p w14:paraId="0B00CEB1">
            <w:pPr>
              <w:pageBreakBefore w:val="0"/>
              <w:widowControl/>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评标委员会由采购人代表</w:t>
            </w:r>
            <w:r>
              <w:rPr>
                <w:rFonts w:hint="eastAsia" w:ascii="仿宋" w:hAnsi="仿宋" w:eastAsia="仿宋" w:cs="仿宋"/>
                <w:color w:val="auto"/>
                <w:szCs w:val="21"/>
                <w:highlight w:val="none"/>
                <w:u w:val="single"/>
              </w:rPr>
              <w:t xml:space="preserve"> 1 </w:t>
            </w:r>
            <w:r>
              <w:rPr>
                <w:rFonts w:hint="eastAsia" w:ascii="仿宋" w:hAnsi="仿宋" w:eastAsia="仿宋" w:cs="仿宋"/>
                <w:color w:val="auto"/>
                <w:szCs w:val="21"/>
                <w:highlight w:val="none"/>
              </w:rPr>
              <w:t>人，评审专家</w:t>
            </w:r>
            <w:r>
              <w:rPr>
                <w:rFonts w:hint="eastAsia" w:ascii="仿宋" w:hAnsi="仿宋" w:eastAsia="仿宋" w:cs="仿宋"/>
                <w:color w:val="auto"/>
                <w:szCs w:val="21"/>
                <w:highlight w:val="none"/>
                <w:u w:val="single"/>
              </w:rPr>
              <w:t xml:space="preserve"> 4 </w:t>
            </w:r>
            <w:r>
              <w:rPr>
                <w:rFonts w:hint="eastAsia" w:ascii="仿宋" w:hAnsi="仿宋" w:eastAsia="仿宋" w:cs="仿宋"/>
                <w:color w:val="auto"/>
                <w:szCs w:val="21"/>
                <w:highlight w:val="none"/>
              </w:rPr>
              <w:t>人组成，共</w:t>
            </w:r>
            <w:r>
              <w:rPr>
                <w:rFonts w:hint="eastAsia" w:ascii="仿宋" w:hAnsi="仿宋" w:eastAsia="仿宋" w:cs="仿宋"/>
                <w:color w:val="auto"/>
                <w:szCs w:val="21"/>
                <w:highlight w:val="none"/>
                <w:u w:val="single"/>
              </w:rPr>
              <w:t xml:space="preserve"> 5 </w:t>
            </w:r>
            <w:r>
              <w:rPr>
                <w:rFonts w:hint="eastAsia" w:ascii="仿宋" w:hAnsi="仿宋" w:eastAsia="仿宋" w:cs="仿宋"/>
                <w:color w:val="auto"/>
                <w:szCs w:val="21"/>
                <w:highlight w:val="none"/>
              </w:rPr>
              <w:t xml:space="preserve">人。 </w:t>
            </w:r>
          </w:p>
          <w:p w14:paraId="0D1DF81C">
            <w:pPr>
              <w:pageBreakBefore w:val="0"/>
              <w:widowControl/>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由采购人、采购代理机构同时在政府组建的采购专家库随机抽取，与采购人代表组成评审专家小组。</w:t>
            </w:r>
          </w:p>
          <w:p w14:paraId="44A8115C">
            <w:pPr>
              <w:pageBreakBefore w:val="0"/>
              <w:widowControl/>
              <w:kinsoku/>
              <w:wordWrap/>
              <w:overflowPunct/>
              <w:topLinePunct w:val="0"/>
              <w:autoSpaceDE/>
              <w:autoSpaceDN/>
              <w:bidi w:val="0"/>
              <w:spacing w:line="360" w:lineRule="exac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评标小组确定方式：辽宁省专家评委库随机抽取</w:t>
            </w:r>
          </w:p>
        </w:tc>
      </w:tr>
      <w:tr w14:paraId="48DAE914">
        <w:tblPrEx>
          <w:tblCellMar>
            <w:top w:w="0" w:type="dxa"/>
            <w:left w:w="108" w:type="dxa"/>
            <w:bottom w:w="0" w:type="dxa"/>
            <w:right w:w="108" w:type="dxa"/>
          </w:tblCellMar>
        </w:tblPrEx>
        <w:trPr>
          <w:trHeight w:val="475" w:hRule="atLeast"/>
          <w:jc w:val="center"/>
        </w:trPr>
        <w:tc>
          <w:tcPr>
            <w:tcW w:w="852" w:type="dxa"/>
            <w:tcBorders>
              <w:top w:val="nil"/>
              <w:left w:val="single" w:color="auto" w:sz="8" w:space="0"/>
              <w:bottom w:val="single" w:color="auto" w:sz="4" w:space="0"/>
              <w:right w:val="single" w:color="auto" w:sz="4" w:space="0"/>
            </w:tcBorders>
            <w:noWrap w:val="0"/>
            <w:vAlign w:val="center"/>
          </w:tcPr>
          <w:p w14:paraId="71612148">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22</w:t>
            </w:r>
          </w:p>
        </w:tc>
        <w:tc>
          <w:tcPr>
            <w:tcW w:w="2051" w:type="dxa"/>
            <w:tcBorders>
              <w:top w:val="nil"/>
              <w:left w:val="single" w:color="auto" w:sz="4" w:space="0"/>
              <w:bottom w:val="single" w:color="auto" w:sz="4" w:space="0"/>
              <w:right w:val="single" w:color="auto" w:sz="8" w:space="0"/>
            </w:tcBorders>
            <w:noWrap w:val="0"/>
            <w:vAlign w:val="center"/>
          </w:tcPr>
          <w:p w14:paraId="726758A1">
            <w:pPr>
              <w:pageBreakBefore w:val="0"/>
              <w:widowControl/>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资格性审查</w:t>
            </w:r>
          </w:p>
        </w:tc>
        <w:tc>
          <w:tcPr>
            <w:tcW w:w="6820" w:type="dxa"/>
            <w:tcBorders>
              <w:top w:val="nil"/>
              <w:left w:val="nil"/>
              <w:bottom w:val="single" w:color="auto" w:sz="4" w:space="0"/>
              <w:right w:val="single" w:color="auto" w:sz="8" w:space="0"/>
            </w:tcBorders>
            <w:noWrap w:val="0"/>
            <w:vAlign w:val="center"/>
          </w:tcPr>
          <w:p w14:paraId="4736EE3F">
            <w:pPr>
              <w:pageBreakBefore w:val="0"/>
              <w:widowControl/>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详见招标文件第四章评分办法</w:t>
            </w:r>
          </w:p>
        </w:tc>
      </w:tr>
      <w:tr w14:paraId="59732202">
        <w:tblPrEx>
          <w:tblCellMar>
            <w:top w:w="0" w:type="dxa"/>
            <w:left w:w="108" w:type="dxa"/>
            <w:bottom w:w="0" w:type="dxa"/>
            <w:right w:w="108" w:type="dxa"/>
          </w:tblCellMar>
        </w:tblPrEx>
        <w:trPr>
          <w:trHeight w:val="501" w:hRule="atLeast"/>
          <w:jc w:val="center"/>
        </w:trPr>
        <w:tc>
          <w:tcPr>
            <w:tcW w:w="852" w:type="dxa"/>
            <w:tcBorders>
              <w:top w:val="nil"/>
              <w:left w:val="single" w:color="auto" w:sz="8" w:space="0"/>
              <w:bottom w:val="single" w:color="auto" w:sz="4" w:space="0"/>
              <w:right w:val="single" w:color="auto" w:sz="4" w:space="0"/>
            </w:tcBorders>
            <w:noWrap w:val="0"/>
            <w:vAlign w:val="center"/>
          </w:tcPr>
          <w:p w14:paraId="0F7117B9">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23</w:t>
            </w:r>
          </w:p>
        </w:tc>
        <w:tc>
          <w:tcPr>
            <w:tcW w:w="2051" w:type="dxa"/>
            <w:tcBorders>
              <w:top w:val="nil"/>
              <w:left w:val="single" w:color="auto" w:sz="4" w:space="0"/>
              <w:bottom w:val="single" w:color="auto" w:sz="4" w:space="0"/>
              <w:right w:val="single" w:color="auto" w:sz="8" w:space="0"/>
            </w:tcBorders>
            <w:noWrap w:val="0"/>
            <w:vAlign w:val="center"/>
          </w:tcPr>
          <w:p w14:paraId="7E12AACF">
            <w:pPr>
              <w:pageBreakBefore w:val="0"/>
              <w:widowControl/>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符合性审查</w:t>
            </w:r>
          </w:p>
        </w:tc>
        <w:tc>
          <w:tcPr>
            <w:tcW w:w="6820" w:type="dxa"/>
            <w:tcBorders>
              <w:top w:val="nil"/>
              <w:left w:val="nil"/>
              <w:bottom w:val="single" w:color="auto" w:sz="4" w:space="0"/>
              <w:right w:val="single" w:color="auto" w:sz="8" w:space="0"/>
            </w:tcBorders>
            <w:noWrap w:val="0"/>
            <w:vAlign w:val="center"/>
          </w:tcPr>
          <w:p w14:paraId="3541200B">
            <w:pPr>
              <w:pageBreakBefore w:val="0"/>
              <w:widowControl/>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详见招标文件第四章评分办法</w:t>
            </w:r>
          </w:p>
        </w:tc>
      </w:tr>
      <w:tr w14:paraId="2E0CC7B0">
        <w:tblPrEx>
          <w:tblCellMar>
            <w:top w:w="0" w:type="dxa"/>
            <w:left w:w="108" w:type="dxa"/>
            <w:bottom w:w="0" w:type="dxa"/>
            <w:right w:w="108" w:type="dxa"/>
          </w:tblCellMar>
        </w:tblPrEx>
        <w:trPr>
          <w:trHeight w:val="27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7AEBC68B">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26.1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247EE939">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Style w:val="21"/>
                <w:rFonts w:hint="eastAsia" w:ascii="仿宋" w:hAnsi="仿宋" w:eastAsia="仿宋" w:cs="仿宋"/>
                <w:sz w:val="21"/>
                <w:szCs w:val="21"/>
              </w:rPr>
              <w:t>采购人当场拒绝开标的情况</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3995DA48">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 1 \* GB2 </w:instrText>
            </w:r>
            <w:r>
              <w:rPr>
                <w:rFonts w:hint="eastAsia" w:ascii="仿宋" w:hAnsi="仿宋" w:eastAsia="仿宋" w:cs="仿宋"/>
                <w:szCs w:val="21"/>
              </w:rPr>
              <w:fldChar w:fldCharType="separate"/>
            </w:r>
            <w:r>
              <w:rPr>
                <w:rFonts w:hint="eastAsia" w:ascii="仿宋" w:hAnsi="仿宋" w:eastAsia="仿宋" w:cs="仿宋"/>
                <w:szCs w:val="21"/>
              </w:rPr>
              <w:t>⑴</w:t>
            </w:r>
            <w:r>
              <w:rPr>
                <w:rFonts w:hint="eastAsia" w:ascii="仿宋" w:hAnsi="仿宋" w:eastAsia="仿宋" w:cs="仿宋"/>
                <w:szCs w:val="21"/>
              </w:rPr>
              <w:fldChar w:fldCharType="end"/>
            </w:r>
            <w:r>
              <w:rPr>
                <w:rFonts w:hint="eastAsia" w:ascii="仿宋" w:hAnsi="仿宋" w:eastAsia="仿宋" w:cs="仿宋"/>
                <w:szCs w:val="21"/>
              </w:rPr>
              <w:t>相关人员未按时参加开标会的；</w:t>
            </w:r>
          </w:p>
          <w:p w14:paraId="6DF180C9">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 2 \* GB2 </w:instrText>
            </w:r>
            <w:r>
              <w:rPr>
                <w:rFonts w:hint="eastAsia" w:ascii="仿宋" w:hAnsi="仿宋" w:eastAsia="仿宋" w:cs="仿宋"/>
                <w:szCs w:val="21"/>
              </w:rPr>
              <w:fldChar w:fldCharType="separate"/>
            </w:r>
            <w:r>
              <w:rPr>
                <w:rFonts w:hint="eastAsia" w:ascii="仿宋" w:hAnsi="仿宋" w:eastAsia="仿宋" w:cs="仿宋"/>
                <w:szCs w:val="21"/>
              </w:rPr>
              <w:t>⑵</w:t>
            </w:r>
            <w:r>
              <w:rPr>
                <w:rFonts w:hint="eastAsia" w:ascii="仿宋" w:hAnsi="仿宋" w:eastAsia="仿宋" w:cs="仿宋"/>
                <w:szCs w:val="21"/>
              </w:rPr>
              <w:fldChar w:fldCharType="end"/>
            </w:r>
            <w:r>
              <w:rPr>
                <w:rFonts w:hint="eastAsia" w:ascii="仿宋" w:hAnsi="仿宋" w:eastAsia="仿宋" w:cs="仿宋"/>
                <w:szCs w:val="21"/>
              </w:rPr>
              <w:t>投标文件未按规定要求进行提交的，投标单位不满足法定家数的；</w:t>
            </w:r>
          </w:p>
          <w:p w14:paraId="2AA1D9FA">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 3 \* GB2 </w:instrText>
            </w:r>
            <w:r>
              <w:rPr>
                <w:rFonts w:hint="eastAsia" w:ascii="仿宋" w:hAnsi="仿宋" w:eastAsia="仿宋" w:cs="仿宋"/>
                <w:szCs w:val="21"/>
              </w:rPr>
              <w:fldChar w:fldCharType="separate"/>
            </w:r>
            <w:r>
              <w:rPr>
                <w:rFonts w:hint="eastAsia" w:ascii="仿宋" w:hAnsi="仿宋" w:eastAsia="仿宋" w:cs="仿宋"/>
                <w:szCs w:val="21"/>
              </w:rPr>
              <w:t>⑶</w:t>
            </w:r>
            <w:r>
              <w:rPr>
                <w:rFonts w:hint="eastAsia" w:ascii="仿宋" w:hAnsi="仿宋" w:eastAsia="仿宋" w:cs="仿宋"/>
                <w:szCs w:val="21"/>
              </w:rPr>
              <w:fldChar w:fldCharType="end"/>
            </w:r>
            <w:r>
              <w:rPr>
                <w:rFonts w:hint="eastAsia" w:ascii="仿宋" w:hAnsi="仿宋" w:eastAsia="仿宋" w:cs="仿宋"/>
                <w:szCs w:val="21"/>
              </w:rPr>
              <w:t>投标文件未按招标文件的要求进行密封、标识（签署、盖章）和装订；</w:t>
            </w:r>
          </w:p>
          <w:p w14:paraId="6D775935">
            <w:pPr>
              <w:pageBreakBefore w:val="0"/>
              <w:kinsoku/>
              <w:wordWrap/>
              <w:overflowPunct/>
              <w:autoSpaceDE/>
              <w:autoSpaceDN/>
              <w:bidi w:val="0"/>
              <w:spacing w:line="36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 4 \* GB2 </w:instrText>
            </w:r>
            <w:r>
              <w:rPr>
                <w:rFonts w:hint="eastAsia" w:ascii="仿宋" w:hAnsi="仿宋" w:eastAsia="仿宋" w:cs="仿宋"/>
                <w:szCs w:val="21"/>
              </w:rPr>
              <w:fldChar w:fldCharType="separate"/>
            </w:r>
            <w:r>
              <w:rPr>
                <w:rFonts w:hint="eastAsia" w:ascii="仿宋" w:hAnsi="仿宋" w:eastAsia="仿宋" w:cs="仿宋"/>
                <w:szCs w:val="21"/>
              </w:rPr>
              <w:t>⑷</w:t>
            </w:r>
            <w:r>
              <w:rPr>
                <w:rFonts w:hint="eastAsia" w:ascii="仿宋" w:hAnsi="仿宋" w:eastAsia="仿宋" w:cs="仿宋"/>
                <w:szCs w:val="21"/>
              </w:rPr>
              <w:fldChar w:fldCharType="end"/>
            </w:r>
            <w:r>
              <w:rPr>
                <w:rFonts w:hint="eastAsia" w:ascii="仿宋" w:hAnsi="仿宋" w:eastAsia="仿宋" w:cs="仿宋"/>
                <w:b/>
                <w:bCs w:val="0"/>
                <w:color w:val="auto"/>
                <w:highlight w:val="none"/>
              </w:rPr>
              <w:t>系统检测到</w:t>
            </w:r>
            <w:r>
              <w:rPr>
                <w:rFonts w:hint="eastAsia" w:ascii="仿宋" w:hAnsi="仿宋" w:eastAsia="仿宋" w:cs="仿宋"/>
                <w:b/>
                <w:bCs w:val="0"/>
                <w:color w:val="auto"/>
                <w:highlight w:val="none"/>
                <w:lang w:eastAsia="zh-CN"/>
              </w:rPr>
              <w:t>两家（含两家）及以上</w:t>
            </w:r>
            <w:r>
              <w:rPr>
                <w:rFonts w:hint="eastAsia" w:ascii="仿宋" w:hAnsi="仿宋" w:eastAsia="仿宋" w:cs="仿宋"/>
                <w:b/>
                <w:bCs w:val="0"/>
                <w:color w:val="auto"/>
                <w:highlight w:val="none"/>
              </w:rPr>
              <w:t>供应商在下载采购文件及投标过程中，所使用的设备网络IP地址存在重复情况</w:t>
            </w:r>
            <w:r>
              <w:rPr>
                <w:rFonts w:hint="eastAsia" w:ascii="仿宋" w:hAnsi="仿宋" w:eastAsia="仿宋" w:cs="仿宋"/>
                <w:b/>
                <w:bCs w:val="0"/>
                <w:color w:val="auto"/>
                <w:highlight w:val="none"/>
                <w:lang w:eastAsia="zh-CN"/>
              </w:rPr>
              <w:t>的；</w:t>
            </w:r>
          </w:p>
          <w:p w14:paraId="67F0F5D9">
            <w:pPr>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宋体" w:hAnsi="宋体" w:eastAsia="宋体" w:cs="宋体"/>
                <w:szCs w:val="21"/>
              </w:rPr>
              <w:t>⑸</w:t>
            </w:r>
            <w:r>
              <w:rPr>
                <w:rFonts w:hint="eastAsia" w:ascii="仿宋" w:hAnsi="仿宋" w:eastAsia="仿宋" w:cs="仿宋"/>
                <w:szCs w:val="21"/>
              </w:rPr>
              <w:t>不符合法律、法规和招标文件中规定的其他实质性要求的。</w:t>
            </w:r>
          </w:p>
        </w:tc>
      </w:tr>
      <w:tr w14:paraId="601600E9">
        <w:tblPrEx>
          <w:tblCellMar>
            <w:top w:w="0" w:type="dxa"/>
            <w:left w:w="108" w:type="dxa"/>
            <w:bottom w:w="0" w:type="dxa"/>
            <w:right w:w="108" w:type="dxa"/>
          </w:tblCellMar>
        </w:tblPrEx>
        <w:trPr>
          <w:trHeight w:val="459"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067B334C">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27.2</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675129AE">
            <w:pPr>
              <w:pageBreakBefore w:val="0"/>
              <w:widowControl/>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评标办法</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02573282">
            <w:pPr>
              <w:pageBreakBefore w:val="0"/>
              <w:widowControl/>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综合评分法</w:t>
            </w:r>
          </w:p>
        </w:tc>
      </w:tr>
      <w:tr w14:paraId="668BCA89">
        <w:tblPrEx>
          <w:tblCellMar>
            <w:top w:w="0" w:type="dxa"/>
            <w:left w:w="108" w:type="dxa"/>
            <w:bottom w:w="0" w:type="dxa"/>
            <w:right w:w="108" w:type="dxa"/>
          </w:tblCellMar>
        </w:tblPrEx>
        <w:trPr>
          <w:trHeight w:val="42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1CC3DD82">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29.1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0A1B5C99">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评审办法</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15FDE42A">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kern w:val="0"/>
                <w:szCs w:val="21"/>
              </w:rPr>
              <w:t>综合评分法</w:t>
            </w:r>
          </w:p>
        </w:tc>
      </w:tr>
      <w:tr w14:paraId="791A95F0">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42D579C4">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29.2</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4903D3F7">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推荐中标候选人的数量</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6879A1CF">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按评审得分从高到低排序推荐中标候选人数：</w:t>
            </w:r>
            <w:r>
              <w:rPr>
                <w:rFonts w:hint="eastAsia" w:ascii="仿宋" w:hAnsi="仿宋" w:eastAsia="仿宋" w:cs="仿宋"/>
                <w:kern w:val="0"/>
                <w:szCs w:val="21"/>
                <w:u w:val="single"/>
              </w:rPr>
              <w:t>3</w:t>
            </w:r>
            <w:r>
              <w:rPr>
                <w:rFonts w:hint="eastAsia" w:ascii="仿宋" w:hAnsi="仿宋" w:eastAsia="仿宋" w:cs="仿宋"/>
                <w:kern w:val="0"/>
                <w:szCs w:val="21"/>
              </w:rPr>
              <w:t xml:space="preserve">名  </w:t>
            </w:r>
          </w:p>
        </w:tc>
      </w:tr>
      <w:tr w14:paraId="1BD45E0A">
        <w:tblPrEx>
          <w:tblCellMar>
            <w:top w:w="0" w:type="dxa"/>
            <w:left w:w="108" w:type="dxa"/>
            <w:bottom w:w="0" w:type="dxa"/>
            <w:right w:w="108" w:type="dxa"/>
          </w:tblCellMar>
        </w:tblPrEx>
        <w:trPr>
          <w:trHeight w:val="631"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6A3DCBA4">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30</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36D48948">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保密原则</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403FF26E">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1、评标将在严格保密的情况下进行。</w:t>
            </w:r>
          </w:p>
          <w:p w14:paraId="7F29DBCF">
            <w:pPr>
              <w:pageBreakBefore w:val="0"/>
              <w:widowControl/>
              <w:kinsoku/>
              <w:wordWrap/>
              <w:overflowPunct/>
              <w:topLinePunct w:val="0"/>
              <w:autoSpaceDE/>
              <w:autoSpaceDN/>
              <w:bidi w:val="0"/>
              <w:spacing w:line="360" w:lineRule="exact"/>
              <w:rPr>
                <w:rFonts w:hint="eastAsia" w:ascii="仿宋" w:hAnsi="仿宋" w:eastAsia="仿宋" w:cs="仿宋"/>
                <w:kern w:val="0"/>
                <w:szCs w:val="21"/>
                <w:u w:val="single"/>
              </w:rPr>
            </w:pPr>
            <w:r>
              <w:rPr>
                <w:rFonts w:hint="eastAsia" w:ascii="仿宋" w:hAnsi="仿宋" w:eastAsia="仿宋" w:cs="仿宋"/>
                <w:kern w:val="0"/>
                <w:szCs w:val="21"/>
              </w:rPr>
              <w:t>2、有关人员应当遵守评标工作纪律，不得泄露评审文件、评标情况和评标过程中获悉的国家秘密、商业秘密。</w:t>
            </w:r>
          </w:p>
        </w:tc>
      </w:tr>
      <w:tr w14:paraId="5188289E">
        <w:tblPrEx>
          <w:tblCellMar>
            <w:top w:w="0" w:type="dxa"/>
            <w:left w:w="108" w:type="dxa"/>
            <w:bottom w:w="0" w:type="dxa"/>
            <w:right w:w="108" w:type="dxa"/>
          </w:tblCellMar>
        </w:tblPrEx>
        <w:trPr>
          <w:trHeight w:val="942"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67FDE5A9">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31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6DF38BC0">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确定中标人的方式</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601B7F5B">
            <w:pPr>
              <w:pageBreakBefore w:val="0"/>
              <w:widowControl/>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kern w:val="0"/>
                <w:szCs w:val="21"/>
              </w:rPr>
              <w:t>中标人数量：</w:t>
            </w:r>
            <w:r>
              <w:rPr>
                <w:rFonts w:hint="eastAsia" w:ascii="仿宋" w:hAnsi="仿宋" w:eastAsia="仿宋" w:cs="仿宋"/>
                <w:kern w:val="0"/>
                <w:szCs w:val="21"/>
                <w:u w:val="single"/>
              </w:rPr>
              <w:t xml:space="preserve">  1名  </w:t>
            </w:r>
          </w:p>
          <w:p w14:paraId="61BE28B0">
            <w:pPr>
              <w:pageBreakBefore w:val="0"/>
              <w:widowControl/>
              <w:kinsoku/>
              <w:wordWrap/>
              <w:overflowPunct/>
              <w:topLinePunct w:val="0"/>
              <w:autoSpaceDE/>
              <w:autoSpaceDN/>
              <w:bidi w:val="0"/>
              <w:spacing w:line="360" w:lineRule="exact"/>
              <w:rPr>
                <w:rFonts w:hint="eastAsia" w:ascii="仿宋" w:hAnsi="仿宋" w:eastAsia="仿宋" w:cs="仿宋"/>
                <w:kern w:val="0"/>
                <w:szCs w:val="21"/>
                <w:u w:val="single"/>
              </w:rPr>
            </w:pPr>
            <w:r>
              <w:rPr>
                <w:rFonts w:hint="eastAsia" w:ascii="仿宋" w:hAnsi="仿宋" w:eastAsia="仿宋" w:cs="仿宋"/>
                <w:kern w:val="0"/>
                <w:szCs w:val="21"/>
              </w:rPr>
              <w:t>采购人确定中标人</w:t>
            </w:r>
          </w:p>
        </w:tc>
      </w:tr>
      <w:tr w14:paraId="016366CC">
        <w:tblPrEx>
          <w:tblCellMar>
            <w:top w:w="0" w:type="dxa"/>
            <w:left w:w="108" w:type="dxa"/>
            <w:bottom w:w="0" w:type="dxa"/>
            <w:right w:w="108" w:type="dxa"/>
          </w:tblCellMar>
        </w:tblPrEx>
        <w:trPr>
          <w:trHeight w:val="140"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23620733">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35.1</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16BC42C8">
            <w:pPr>
              <w:pageBreakBefore w:val="0"/>
              <w:shd w:val="clear" w:color="auto" w:fill="FFFFFF"/>
              <w:kinsoku/>
              <w:wordWrap/>
              <w:overflowPunct/>
              <w:topLinePunct w:val="0"/>
              <w:autoSpaceDE/>
              <w:autoSpaceDN/>
              <w:bidi w:val="0"/>
              <w:spacing w:line="36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履约保证金</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142916C1">
            <w:pPr>
              <w:pageBreakBefore w:val="0"/>
              <w:shd w:val="clear" w:color="auto" w:fill="FFFFFF"/>
              <w:kinsoku/>
              <w:wordWrap/>
              <w:overflowPunct/>
              <w:topLinePunct w:val="0"/>
              <w:autoSpaceDE/>
              <w:autoSpaceDN/>
              <w:bidi w:val="0"/>
              <w:spacing w:line="360" w:lineRule="exact"/>
              <w:jc w:val="left"/>
              <w:rPr>
                <w:rFonts w:hint="eastAsia" w:ascii="仿宋" w:hAnsi="仿宋" w:eastAsia="仿宋" w:cs="仿宋"/>
                <w:color w:val="auto"/>
                <w:szCs w:val="21"/>
                <w:highlight w:val="none"/>
              </w:rPr>
            </w:pPr>
            <w:r>
              <w:rPr>
                <w:rFonts w:hint="eastAsia" w:ascii="仿宋" w:hAnsi="仿宋" w:cs="仿宋"/>
                <w:color w:val="auto"/>
                <w:szCs w:val="21"/>
                <w:highlight w:val="none"/>
                <w:lang w:val="en-US" w:eastAsia="zh-CN"/>
              </w:rPr>
              <w:t>一、</w:t>
            </w:r>
            <w:r>
              <w:rPr>
                <w:rFonts w:hint="eastAsia" w:ascii="仿宋" w:hAnsi="仿宋" w:eastAsia="仿宋" w:cs="仿宋"/>
                <w:color w:val="auto"/>
                <w:szCs w:val="21"/>
                <w:highlight w:val="none"/>
              </w:rPr>
              <w:t>本项目收取履约保证金</w:t>
            </w:r>
          </w:p>
          <w:p w14:paraId="650B1EB7">
            <w:pPr>
              <w:pageBreakBefore w:val="0"/>
              <w:shd w:val="clear" w:color="auto" w:fill="FFFFFF"/>
              <w:kinsoku/>
              <w:wordWrap/>
              <w:overflowPunct/>
              <w:topLinePunct w:val="0"/>
              <w:autoSpaceDE/>
              <w:autoSpaceDN/>
              <w:bidi w:val="0"/>
              <w:spacing w:line="360" w:lineRule="exact"/>
              <w:jc w:val="left"/>
              <w:rPr>
                <w:rFonts w:hint="eastAsia" w:ascii="仿宋" w:hAnsi="仿宋" w:cs="仿宋_GB2312"/>
                <w:color w:val="000000"/>
                <w:highlight w:val="none"/>
              </w:rPr>
            </w:pPr>
            <w:r>
              <w:rPr>
                <w:rFonts w:ascii="仿宋" w:hAnsi="仿宋" w:cs="仿宋_GB2312"/>
                <w:color w:val="000000"/>
                <w:highlight w:val="none"/>
              </w:rPr>
              <w:t>履约保证金金额：人民币</w:t>
            </w:r>
            <w:r>
              <w:rPr>
                <w:rFonts w:hint="eastAsia" w:ascii="仿宋" w:hAnsi="仿宋" w:cs="仿宋_GB2312"/>
                <w:color w:val="000000"/>
                <w:highlight w:val="none"/>
                <w:lang w:val="en-US" w:eastAsia="zh-CN"/>
              </w:rPr>
              <w:t>壹</w:t>
            </w:r>
            <w:r>
              <w:rPr>
                <w:rFonts w:ascii="仿宋" w:hAnsi="仿宋" w:cs="仿宋_GB2312"/>
                <w:color w:val="000000"/>
                <w:highlight w:val="none"/>
              </w:rPr>
              <w:t>拾万元整</w:t>
            </w:r>
          </w:p>
          <w:p w14:paraId="0E2D42B4">
            <w:pPr>
              <w:pageBreakBefore w:val="0"/>
              <w:shd w:val="clear" w:color="auto" w:fill="FFFFFF"/>
              <w:kinsoku/>
              <w:wordWrap/>
              <w:overflowPunct/>
              <w:topLinePunct w:val="0"/>
              <w:autoSpaceDE/>
              <w:autoSpaceDN/>
              <w:bidi w:val="0"/>
              <w:spacing w:line="360" w:lineRule="exact"/>
              <w:jc w:val="left"/>
              <w:rPr>
                <w:rFonts w:hint="eastAsia" w:ascii="仿宋" w:hAnsi="仿宋" w:cs="仿宋_GB2312"/>
                <w:color w:val="000000"/>
                <w:highlight w:val="none"/>
              </w:rPr>
            </w:pPr>
            <w:r>
              <w:rPr>
                <w:rFonts w:ascii="仿宋" w:hAnsi="仿宋" w:cs="仿宋_GB2312"/>
                <w:color w:val="000000"/>
                <w:highlight w:val="none"/>
              </w:rPr>
              <w:t>履约保证金递交方式：</w:t>
            </w:r>
            <w:r>
              <w:rPr>
                <w:rFonts w:ascii="仿宋" w:hAnsi="仿宋" w:cs="仿宋_GB2312"/>
                <w:color w:val="000000"/>
                <w:highlight w:val="none"/>
              </w:rPr>
              <w:fldChar w:fldCharType="begin"/>
            </w:r>
            <w:r>
              <w:rPr>
                <w:rFonts w:ascii="仿宋" w:hAnsi="仿宋" w:cs="仿宋_GB2312"/>
                <w:color w:val="000000"/>
                <w:highlight w:val="none"/>
              </w:rPr>
              <w:instrText xml:space="preserve"> </w:instrText>
            </w:r>
            <w:r>
              <w:rPr>
                <w:rFonts w:hint="eastAsia" w:ascii="仿宋" w:hAnsi="仿宋" w:cs="仿宋_GB2312"/>
                <w:color w:val="000000"/>
                <w:highlight w:val="none"/>
              </w:rPr>
              <w:instrText xml:space="preserve">eq \o\ac(□,√)</w:instrText>
            </w:r>
            <w:r>
              <w:rPr>
                <w:rFonts w:ascii="仿宋" w:hAnsi="仿宋" w:cs="仿宋_GB2312"/>
                <w:color w:val="000000"/>
                <w:highlight w:val="none"/>
              </w:rPr>
              <w:fldChar w:fldCharType="end"/>
            </w:r>
            <w:r>
              <w:rPr>
                <w:rFonts w:ascii="仿宋" w:hAnsi="仿宋" w:cs="仿宋_GB2312"/>
                <w:color w:val="000000"/>
                <w:highlight w:val="none"/>
              </w:rPr>
              <w:t>保函</w:t>
            </w:r>
            <w:r>
              <w:rPr>
                <w:rFonts w:hint="eastAsia" w:ascii="仿宋" w:hAnsi="仿宋" w:cs="仿宋_GB2312"/>
                <w:color w:val="000000"/>
                <w:highlight w:val="none"/>
              </w:rPr>
              <w:t xml:space="preserve">  </w:t>
            </w:r>
            <w:r>
              <w:rPr>
                <w:rFonts w:ascii="仿宋" w:hAnsi="仿宋" w:cs="仿宋_GB2312"/>
                <w:color w:val="000000"/>
                <w:highlight w:val="none"/>
              </w:rPr>
              <w:fldChar w:fldCharType="begin"/>
            </w:r>
            <w:r>
              <w:rPr>
                <w:rFonts w:ascii="仿宋" w:hAnsi="仿宋" w:cs="仿宋_GB2312"/>
                <w:color w:val="000000"/>
                <w:highlight w:val="none"/>
              </w:rPr>
              <w:instrText xml:space="preserve"> </w:instrText>
            </w:r>
            <w:r>
              <w:rPr>
                <w:rFonts w:hint="eastAsia" w:ascii="仿宋" w:hAnsi="仿宋" w:cs="仿宋_GB2312"/>
                <w:color w:val="000000"/>
                <w:highlight w:val="none"/>
              </w:rPr>
              <w:instrText xml:space="preserve">eq \o\ac(□,√)</w:instrText>
            </w:r>
            <w:r>
              <w:rPr>
                <w:rFonts w:ascii="仿宋" w:hAnsi="仿宋" w:cs="仿宋_GB2312"/>
                <w:color w:val="000000"/>
                <w:highlight w:val="none"/>
              </w:rPr>
              <w:fldChar w:fldCharType="end"/>
            </w:r>
            <w:r>
              <w:rPr>
                <w:rFonts w:ascii="仿宋" w:hAnsi="仿宋" w:cs="仿宋_GB2312"/>
                <w:color w:val="000000"/>
                <w:highlight w:val="none"/>
              </w:rPr>
              <w:t>电汇</w:t>
            </w:r>
          </w:p>
          <w:p w14:paraId="497D409D">
            <w:pPr>
              <w:pageBreakBefore w:val="0"/>
              <w:shd w:val="clear" w:color="auto" w:fill="FFFFFF"/>
              <w:kinsoku/>
              <w:wordWrap/>
              <w:overflowPunct/>
              <w:topLinePunct w:val="0"/>
              <w:autoSpaceDE/>
              <w:autoSpaceDN/>
              <w:bidi w:val="0"/>
              <w:spacing w:line="360" w:lineRule="exact"/>
              <w:jc w:val="left"/>
              <w:rPr>
                <w:rFonts w:hint="eastAsia" w:ascii="仿宋" w:hAnsi="仿宋" w:cs="仿宋_GB2312"/>
                <w:color w:val="000000"/>
                <w:highlight w:val="none"/>
              </w:rPr>
            </w:pPr>
            <w:r>
              <w:rPr>
                <w:rFonts w:ascii="仿宋" w:hAnsi="仿宋" w:cs="仿宋_GB2312"/>
                <w:color w:val="000000"/>
                <w:highlight w:val="none"/>
              </w:rPr>
              <w:t>履约保证金递交时间：合同签订前，</w:t>
            </w:r>
            <w:r>
              <w:rPr>
                <w:rFonts w:hint="eastAsia" w:ascii="仿宋" w:hAnsi="仿宋" w:cs="仿宋_GB2312"/>
                <w:color w:val="000000"/>
                <w:highlight w:val="none"/>
              </w:rPr>
              <w:t xml:space="preserve">将保函原件交至采购人或由中标人基本账户电汇至采购人指定账户。  </w:t>
            </w:r>
          </w:p>
          <w:p w14:paraId="07C0931E">
            <w:pPr>
              <w:pageBreakBefore w:val="0"/>
              <w:shd w:val="clear" w:color="auto" w:fill="FFFFFF"/>
              <w:kinsoku/>
              <w:wordWrap/>
              <w:overflowPunct/>
              <w:topLinePunct w:val="0"/>
              <w:autoSpaceDE/>
              <w:autoSpaceDN/>
              <w:bidi w:val="0"/>
              <w:spacing w:line="360" w:lineRule="exact"/>
              <w:jc w:val="left"/>
              <w:rPr>
                <w:rFonts w:hint="eastAsia" w:ascii="仿宋" w:hAnsi="仿宋" w:cs="仿宋_GB2312"/>
                <w:color w:val="000000"/>
                <w:highlight w:val="none"/>
              </w:rPr>
            </w:pPr>
            <w:r>
              <w:rPr>
                <w:rFonts w:ascii="仿宋" w:hAnsi="仿宋" w:cs="仿宋_GB2312"/>
                <w:color w:val="000000"/>
                <w:highlight w:val="none"/>
              </w:rPr>
              <w:t>履约保证金退还时间及规定：采购人按规定时间对</w:t>
            </w:r>
            <w:r>
              <w:rPr>
                <w:rFonts w:hint="eastAsia" w:ascii="仿宋" w:hAnsi="仿宋" w:cs="仿宋_GB2312"/>
                <w:color w:val="000000"/>
                <w:highlight w:val="none"/>
              </w:rPr>
              <w:t>移交</w:t>
            </w:r>
            <w:r>
              <w:rPr>
                <w:rFonts w:ascii="仿宋" w:hAnsi="仿宋" w:cs="仿宋_GB2312"/>
                <w:color w:val="000000"/>
                <w:highlight w:val="none"/>
              </w:rPr>
              <w:t>范围内资产</w:t>
            </w:r>
            <w:r>
              <w:rPr>
                <w:rFonts w:hint="eastAsia" w:ascii="仿宋" w:hAnsi="仿宋" w:cs="仿宋_GB2312"/>
                <w:color w:val="000000"/>
                <w:highlight w:val="none"/>
              </w:rPr>
              <w:t>核查验收通过，并于服务期满后3个月内未发生实质性影响使用功能问题，按照合同约定退还履约保证金，</w:t>
            </w:r>
            <w:r>
              <w:rPr>
                <w:rFonts w:hint="eastAsia" w:ascii="仿宋_GB2312" w:hAnsi="仿宋_GB2312" w:eastAsia="仿宋_GB2312" w:cs="仿宋_GB2312"/>
                <w:color w:val="000000"/>
                <w:szCs w:val="21"/>
                <w:highlight w:val="none"/>
              </w:rPr>
              <w:t>中标方应持相关授权证明材料至采购人办理</w:t>
            </w:r>
            <w:r>
              <w:rPr>
                <w:rFonts w:ascii="仿宋" w:hAnsi="仿宋" w:cs="仿宋_GB2312"/>
                <w:color w:val="000000"/>
                <w:highlight w:val="none"/>
              </w:rPr>
              <w:t>履约保证金</w:t>
            </w:r>
            <w:r>
              <w:rPr>
                <w:rFonts w:hint="eastAsia" w:ascii="仿宋_GB2312" w:hAnsi="仿宋_GB2312" w:eastAsia="仿宋_GB2312" w:cs="仿宋_GB2312"/>
                <w:color w:val="000000"/>
                <w:szCs w:val="21"/>
                <w:highlight w:val="none"/>
              </w:rPr>
              <w:t>退还手续。</w:t>
            </w:r>
            <w:r>
              <w:rPr>
                <w:rFonts w:hint="eastAsia" w:ascii="仿宋" w:hAnsi="仿宋" w:cs="仿宋_GB2312"/>
                <w:highlight w:val="none"/>
              </w:rPr>
              <w:t>若移交资产核查验收中发现不能符合正常运行需求，将要求中标方限期维修，维修后再次进行核查验收，若中标方未能于限期内完成维修工作或服务期满后3个月内出现实质性影响使用功能问题，采购人有权委托第三方机构进行评估维修，所需费用于履约保证金中扣除，若履约保证金不足以补偿损失，采购人有权依据合同约定要求服务供应商进行赔付。</w:t>
            </w:r>
          </w:p>
          <w:p w14:paraId="6968BF7C">
            <w:pPr>
              <w:pageBreakBefore w:val="0"/>
              <w:shd w:val="clear" w:color="auto" w:fill="FFFFFF"/>
              <w:kinsoku/>
              <w:wordWrap/>
              <w:overflowPunct/>
              <w:topLinePunct w:val="0"/>
              <w:autoSpaceDE/>
              <w:autoSpaceDN/>
              <w:bidi w:val="0"/>
              <w:spacing w:line="360" w:lineRule="exact"/>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二、其它要求</w:t>
            </w:r>
          </w:p>
          <w:p w14:paraId="6A87B1CF">
            <w:pPr>
              <w:pageBreakBefore w:val="0"/>
              <w:shd w:val="clear" w:color="auto" w:fill="FFFFFF"/>
              <w:kinsoku/>
              <w:wordWrap/>
              <w:overflowPunct/>
              <w:topLinePunct w:val="0"/>
              <w:autoSpaceDE/>
              <w:autoSpaceDN/>
              <w:bidi w:val="0"/>
              <w:spacing w:line="360" w:lineRule="exact"/>
              <w:jc w:val="left"/>
              <w:rPr>
                <w:rFonts w:hint="default" w:ascii="仿宋" w:hAnsi="仿宋" w:eastAsia="仿宋" w:cs="仿宋"/>
                <w:kern w:val="0"/>
                <w:szCs w:val="21"/>
                <w:highlight w:val="yellow"/>
                <w:lang w:val="en-US" w:eastAsia="zh-CN"/>
              </w:rPr>
            </w:pPr>
            <w:r>
              <w:rPr>
                <w:rFonts w:hint="eastAsia" w:ascii="仿宋_GB2312" w:hAnsi="仿宋_GB2312" w:eastAsia="仿宋_GB2312" w:cs="仿宋_GB2312"/>
                <w:color w:val="000000"/>
                <w:szCs w:val="21"/>
                <w:highlight w:val="none"/>
              </w:rPr>
              <w:t>履约保函的格式应为不可撤销、见索即付的保函，保函受益人应为采购人。</w:t>
            </w:r>
          </w:p>
        </w:tc>
      </w:tr>
      <w:tr w14:paraId="057E658D">
        <w:tblPrEx>
          <w:tblCellMar>
            <w:top w:w="0" w:type="dxa"/>
            <w:left w:w="108" w:type="dxa"/>
            <w:bottom w:w="0" w:type="dxa"/>
            <w:right w:w="108" w:type="dxa"/>
          </w:tblCellMar>
        </w:tblPrEx>
        <w:trPr>
          <w:trHeight w:val="585"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2BA68343">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36</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204E64DD">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highlight w:val="none"/>
              </w:rPr>
            </w:pPr>
            <w:r>
              <w:rPr>
                <w:rFonts w:hint="eastAsia" w:ascii="仿宋" w:hAnsi="仿宋" w:cs="仿宋"/>
                <w:kern w:val="0"/>
                <w:szCs w:val="21"/>
                <w:highlight w:val="none"/>
                <w:lang w:val="en-US" w:eastAsia="zh-CN"/>
              </w:rPr>
              <w:t>造价咨询费、</w:t>
            </w:r>
            <w:r>
              <w:rPr>
                <w:rFonts w:hint="eastAsia" w:ascii="仿宋" w:hAnsi="仿宋" w:eastAsia="仿宋" w:cs="仿宋"/>
                <w:kern w:val="0"/>
                <w:szCs w:val="21"/>
                <w:highlight w:val="none"/>
              </w:rPr>
              <w:t>采购代理服务费</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29A04536">
            <w:pPr>
              <w:pageBreakBefore w:val="0"/>
              <w:widowControl/>
              <w:numPr>
                <w:ilvl w:val="0"/>
                <w:numId w:val="0"/>
              </w:numPr>
              <w:kinsoku/>
              <w:wordWrap/>
              <w:overflowPunct/>
              <w:topLinePunct w:val="0"/>
              <w:autoSpaceDE/>
              <w:autoSpaceDN/>
              <w:bidi w:val="0"/>
              <w:spacing w:line="360" w:lineRule="exact"/>
              <w:rPr>
                <w:rFonts w:hint="eastAsia" w:ascii="仿宋" w:hAnsi="仿宋" w:eastAsia="仿宋" w:cs="仿宋"/>
                <w:kern w:val="0"/>
                <w:szCs w:val="21"/>
                <w:highlight w:val="none"/>
              </w:rPr>
            </w:pPr>
            <w:r>
              <w:rPr>
                <w:rFonts w:hint="eastAsia" w:ascii="仿宋" w:hAnsi="仿宋" w:eastAsia="仿宋" w:cs="仿宋"/>
                <w:kern w:val="0"/>
                <w:szCs w:val="21"/>
                <w:highlight w:val="none"/>
              </w:rPr>
              <w:t>采购代理服务费由</w:t>
            </w:r>
            <w:r>
              <w:rPr>
                <w:rFonts w:hint="eastAsia" w:ascii="仿宋" w:hAnsi="仿宋" w:cs="仿宋"/>
                <w:kern w:val="0"/>
                <w:szCs w:val="21"/>
                <w:highlight w:val="none"/>
                <w:u w:val="single"/>
                <w:lang w:eastAsia="zh-CN"/>
              </w:rPr>
              <w:t>中标供应商</w:t>
            </w:r>
            <w:r>
              <w:rPr>
                <w:rFonts w:hint="eastAsia" w:ascii="仿宋" w:hAnsi="仿宋" w:eastAsia="仿宋" w:cs="仿宋"/>
                <w:kern w:val="0"/>
                <w:szCs w:val="21"/>
                <w:highlight w:val="none"/>
              </w:rPr>
              <w:t>缴纳</w:t>
            </w:r>
          </w:p>
          <w:p w14:paraId="4242DF0F">
            <w:pPr>
              <w:pageBreakBefore w:val="0"/>
              <w:widowControl/>
              <w:kinsoku/>
              <w:wordWrap/>
              <w:overflowPunct/>
              <w:topLinePunct w:val="0"/>
              <w:autoSpaceDE/>
              <w:autoSpaceDN/>
              <w:bidi w:val="0"/>
              <w:spacing w:line="360" w:lineRule="exact"/>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支付标准：</w:t>
            </w:r>
            <w:r>
              <w:rPr>
                <w:rFonts w:hint="eastAsia" w:ascii="仿宋" w:hAnsi="仿宋" w:eastAsia="仿宋" w:cs="仿宋"/>
                <w:color w:val="auto"/>
                <w:kern w:val="0"/>
                <w:szCs w:val="21"/>
                <w:highlight w:val="none"/>
                <w:u w:val="single"/>
              </w:rPr>
              <w:t>采购代理服务费根据与采购人签订的采购代理委托合同中约定采购代理费</w:t>
            </w:r>
            <w:r>
              <w:rPr>
                <w:rFonts w:hint="eastAsia" w:ascii="仿宋" w:hAnsi="仿宋" w:cs="仿宋"/>
                <w:color w:val="auto"/>
                <w:kern w:val="0"/>
                <w:szCs w:val="21"/>
                <w:highlight w:val="none"/>
                <w:u w:val="single"/>
                <w:lang w:val="en-US" w:eastAsia="zh-CN"/>
              </w:rPr>
              <w:t>75,000.00元整，</w:t>
            </w:r>
            <w:r>
              <w:rPr>
                <w:rFonts w:hint="eastAsia" w:ascii="仿宋" w:hAnsi="仿宋" w:eastAsia="仿宋" w:cs="仿宋"/>
                <w:color w:val="auto"/>
                <w:kern w:val="0"/>
                <w:szCs w:val="21"/>
                <w:highlight w:val="none"/>
                <w:u w:val="single"/>
              </w:rPr>
              <w:t>向</w:t>
            </w:r>
            <w:r>
              <w:rPr>
                <w:rFonts w:hint="eastAsia" w:ascii="仿宋" w:hAnsi="仿宋" w:cs="仿宋"/>
                <w:kern w:val="0"/>
                <w:szCs w:val="21"/>
                <w:highlight w:val="none"/>
                <w:u w:val="single"/>
                <w:lang w:val="en-US" w:eastAsia="zh-CN"/>
              </w:rPr>
              <w:t>中标供应商</w:t>
            </w:r>
            <w:r>
              <w:rPr>
                <w:rFonts w:hint="eastAsia" w:ascii="仿宋" w:hAnsi="仿宋" w:eastAsia="仿宋" w:cs="仿宋"/>
                <w:color w:val="auto"/>
                <w:kern w:val="0"/>
                <w:szCs w:val="21"/>
                <w:highlight w:val="none"/>
                <w:u w:val="single"/>
              </w:rPr>
              <w:t xml:space="preserve">收取。  </w:t>
            </w:r>
          </w:p>
          <w:p w14:paraId="41199490">
            <w:pPr>
              <w:pageBreakBefore w:val="0"/>
              <w:widowControl/>
              <w:kinsoku/>
              <w:wordWrap/>
              <w:overflowPunct/>
              <w:topLinePunct w:val="0"/>
              <w:autoSpaceDE/>
              <w:autoSpaceDN/>
              <w:bidi w:val="0"/>
              <w:spacing w:line="360" w:lineRule="exact"/>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支付形式：</w:t>
            </w:r>
            <w:r>
              <w:rPr>
                <w:rFonts w:hint="eastAsia" w:ascii="仿宋" w:hAnsi="仿宋" w:eastAsia="仿宋" w:cs="仿宋"/>
                <w:color w:val="auto"/>
                <w:kern w:val="0"/>
                <w:szCs w:val="21"/>
                <w:highlight w:val="none"/>
                <w:u w:val="single"/>
              </w:rPr>
              <w:t xml:space="preserve"> 现金、电汇  </w:t>
            </w:r>
          </w:p>
          <w:p w14:paraId="290A44B5">
            <w:pPr>
              <w:pageBreakBefore w:val="0"/>
              <w:widowControl/>
              <w:kinsoku/>
              <w:wordWrap/>
              <w:overflowPunct/>
              <w:topLinePunct w:val="0"/>
              <w:autoSpaceDE/>
              <w:autoSpaceDN/>
              <w:bidi w:val="0"/>
              <w:spacing w:line="360" w:lineRule="exact"/>
              <w:ind w:firstLine="420" w:firstLineChars="200"/>
              <w:rPr>
                <w:rFonts w:hint="eastAsia" w:ascii="仿宋" w:hAnsi="仿宋" w:eastAsia="仿宋" w:cs="仿宋"/>
                <w:kern w:val="0"/>
                <w:szCs w:val="21"/>
                <w:highlight w:val="none"/>
                <w:u w:val="single"/>
              </w:rPr>
            </w:pPr>
            <w:r>
              <w:rPr>
                <w:rFonts w:hint="eastAsia" w:ascii="仿宋" w:hAnsi="仿宋" w:eastAsia="仿宋" w:cs="仿宋"/>
                <w:kern w:val="0"/>
                <w:szCs w:val="21"/>
                <w:highlight w:val="none"/>
              </w:rPr>
              <w:t>支付时间：</w:t>
            </w:r>
            <w:r>
              <w:rPr>
                <w:rFonts w:hint="eastAsia" w:ascii="仿宋" w:hAnsi="仿宋" w:eastAsia="仿宋" w:cs="仿宋"/>
                <w:kern w:val="0"/>
                <w:szCs w:val="21"/>
                <w:highlight w:val="none"/>
                <w:u w:val="single"/>
              </w:rPr>
              <w:t xml:space="preserve"> 成交单位确定成交后请及时与代理机构取得联系缴纳代理服务费并领取成交通知书。  </w:t>
            </w:r>
          </w:p>
          <w:p w14:paraId="292CA5DA">
            <w:pPr>
              <w:pageBreakBefore w:val="0"/>
              <w:widowControl/>
              <w:kinsoku/>
              <w:wordWrap/>
              <w:overflowPunct/>
              <w:topLinePunct w:val="0"/>
              <w:autoSpaceDE/>
              <w:autoSpaceDN/>
              <w:bidi w:val="0"/>
              <w:spacing w:line="360" w:lineRule="exact"/>
              <w:ind w:firstLine="420" w:firstLineChars="200"/>
              <w:rPr>
                <w:rFonts w:hint="eastAsia" w:ascii="仿宋" w:hAnsi="仿宋" w:eastAsia="仿宋" w:cs="仿宋"/>
                <w:kern w:val="0"/>
                <w:szCs w:val="21"/>
                <w:highlight w:val="none"/>
              </w:rPr>
            </w:pPr>
            <w:r>
              <w:rPr>
                <w:rFonts w:hint="eastAsia" w:ascii="仿宋" w:hAnsi="仿宋" w:eastAsia="仿宋" w:cs="仿宋"/>
                <w:highlight w:val="none"/>
              </w:rPr>
              <w:t>采购代理服务费缴纳账号：</w:t>
            </w:r>
          </w:p>
          <w:p w14:paraId="3FAD5C9B">
            <w:pPr>
              <w:pageBreakBefore w:val="0"/>
              <w:widowControl/>
              <w:kinsoku/>
              <w:wordWrap/>
              <w:overflowPunct/>
              <w:topLinePunct w:val="0"/>
              <w:autoSpaceDE/>
              <w:autoSpaceDN/>
              <w:bidi w:val="0"/>
              <w:spacing w:line="360" w:lineRule="exact"/>
              <w:ind w:firstLine="420" w:firstLineChars="200"/>
              <w:rPr>
                <w:rFonts w:hint="eastAsia" w:ascii="仿宋" w:hAnsi="仿宋" w:eastAsia="仿宋" w:cs="仿宋"/>
                <w:kern w:val="0"/>
                <w:szCs w:val="21"/>
                <w:highlight w:val="none"/>
              </w:rPr>
            </w:pPr>
            <w:r>
              <w:rPr>
                <w:rFonts w:hint="eastAsia" w:ascii="仿宋" w:hAnsi="仿宋" w:eastAsia="仿宋" w:cs="仿宋"/>
                <w:kern w:val="0"/>
                <w:szCs w:val="21"/>
                <w:highlight w:val="none"/>
              </w:rPr>
              <w:t>单位名称：</w:t>
            </w:r>
            <w:r>
              <w:rPr>
                <w:rFonts w:hint="eastAsia" w:ascii="仿宋" w:hAnsi="仿宋" w:eastAsia="仿宋" w:cs="仿宋"/>
                <w:kern w:val="0"/>
                <w:szCs w:val="21"/>
                <w:highlight w:val="none"/>
                <w:u w:val="single"/>
              </w:rPr>
              <w:t>锦州华隆项目管理有限公司松山分公司</w:t>
            </w:r>
          </w:p>
          <w:p w14:paraId="2C3DBB34">
            <w:pPr>
              <w:pageBreakBefore w:val="0"/>
              <w:widowControl/>
              <w:kinsoku/>
              <w:wordWrap/>
              <w:overflowPunct/>
              <w:topLinePunct w:val="0"/>
              <w:autoSpaceDE/>
              <w:autoSpaceDN/>
              <w:bidi w:val="0"/>
              <w:spacing w:line="360" w:lineRule="exact"/>
              <w:ind w:firstLine="420" w:firstLineChars="200"/>
              <w:rPr>
                <w:rFonts w:hint="eastAsia" w:ascii="仿宋" w:hAnsi="仿宋" w:eastAsia="仿宋" w:cs="仿宋"/>
                <w:kern w:val="0"/>
                <w:szCs w:val="21"/>
                <w:highlight w:val="none"/>
                <w:u w:val="single"/>
              </w:rPr>
            </w:pPr>
            <w:r>
              <w:rPr>
                <w:rFonts w:hint="eastAsia" w:ascii="仿宋" w:hAnsi="仿宋" w:eastAsia="仿宋" w:cs="仿宋"/>
                <w:kern w:val="0"/>
                <w:szCs w:val="21"/>
                <w:highlight w:val="none"/>
                <w:u w:val="none"/>
              </w:rPr>
              <w:t>开户银行：</w:t>
            </w:r>
            <w:r>
              <w:rPr>
                <w:rFonts w:hint="eastAsia" w:ascii="仿宋" w:hAnsi="仿宋" w:eastAsia="仿宋" w:cs="仿宋"/>
                <w:kern w:val="0"/>
                <w:szCs w:val="21"/>
                <w:highlight w:val="none"/>
                <w:u w:val="single"/>
              </w:rPr>
              <w:t>锦州银行锦州分行营业部</w:t>
            </w:r>
          </w:p>
          <w:p w14:paraId="76869182">
            <w:pPr>
              <w:pStyle w:val="22"/>
              <w:pageBreakBefore w:val="0"/>
              <w:kinsoku/>
              <w:wordWrap/>
              <w:overflowPunct/>
              <w:topLinePunct w:val="0"/>
              <w:autoSpaceDE/>
              <w:autoSpaceDN/>
              <w:bidi w:val="0"/>
              <w:spacing w:line="360" w:lineRule="exact"/>
              <w:ind w:firstLine="420" w:firstLineChars="200"/>
              <w:rPr>
                <w:rFonts w:hint="eastAsia" w:ascii="仿宋" w:hAnsi="仿宋" w:eastAsia="仿宋" w:cs="仿宋"/>
                <w:b/>
                <w:bCs/>
                <w:highlight w:val="none"/>
              </w:rPr>
            </w:pPr>
            <w:r>
              <w:rPr>
                <w:rFonts w:hint="eastAsia" w:ascii="仿宋" w:hAnsi="仿宋" w:eastAsia="仿宋" w:cs="仿宋"/>
                <w:i w:val="0"/>
                <w:iCs w:val="0"/>
                <w:kern w:val="0"/>
                <w:szCs w:val="21"/>
                <w:highlight w:val="none"/>
                <w:u w:val="none"/>
              </w:rPr>
              <w:t>银行账号</w:t>
            </w:r>
            <w:r>
              <w:rPr>
                <w:rFonts w:hint="eastAsia" w:ascii="仿宋" w:hAnsi="仿宋" w:eastAsia="仿宋" w:cs="仿宋"/>
                <w:kern w:val="0"/>
                <w:szCs w:val="21"/>
                <w:highlight w:val="none"/>
                <w:u w:val="none"/>
              </w:rPr>
              <w:t>：</w:t>
            </w:r>
            <w:r>
              <w:rPr>
                <w:rFonts w:hint="eastAsia" w:ascii="仿宋" w:hAnsi="仿宋" w:eastAsia="仿宋" w:cs="仿宋"/>
                <w:kern w:val="0"/>
                <w:szCs w:val="21"/>
                <w:highlight w:val="none"/>
                <w:u w:val="single"/>
              </w:rPr>
              <w:t>410 100 678 001 687</w:t>
            </w:r>
          </w:p>
          <w:p w14:paraId="05598873">
            <w:pPr>
              <w:pageBreakBefore w:val="0"/>
              <w:widowControl/>
              <w:kinsoku/>
              <w:wordWrap/>
              <w:overflowPunct/>
              <w:topLinePunct w:val="0"/>
              <w:autoSpaceDE/>
              <w:autoSpaceDN/>
              <w:bidi w:val="0"/>
              <w:spacing w:line="360" w:lineRule="exact"/>
              <w:ind w:firstLine="422" w:firstLineChars="200"/>
              <w:rPr>
                <w:rFonts w:hint="eastAsia" w:ascii="仿宋" w:hAnsi="仿宋" w:eastAsia="仿宋" w:cs="仿宋"/>
                <w:kern w:val="0"/>
                <w:szCs w:val="21"/>
                <w:highlight w:val="none"/>
              </w:rPr>
            </w:pPr>
            <w:r>
              <w:rPr>
                <w:rFonts w:hint="eastAsia" w:ascii="仿宋" w:hAnsi="仿宋" w:eastAsia="仿宋" w:cs="仿宋"/>
                <w:b/>
                <w:szCs w:val="21"/>
                <w:highlight w:val="none"/>
              </w:rPr>
              <w:t>中标人确定中标后请及时与代理机构取得联系交纳代理服务费并领取中标通知书。</w:t>
            </w:r>
          </w:p>
        </w:tc>
      </w:tr>
      <w:tr w14:paraId="7F054F6E">
        <w:tblPrEx>
          <w:tblCellMar>
            <w:top w:w="0" w:type="dxa"/>
            <w:left w:w="108" w:type="dxa"/>
            <w:bottom w:w="0" w:type="dxa"/>
            <w:right w:w="108" w:type="dxa"/>
          </w:tblCellMar>
        </w:tblPrEx>
        <w:trPr>
          <w:trHeight w:val="196" w:hRule="atLeast"/>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0E123FFD">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38</w:t>
            </w:r>
          </w:p>
        </w:tc>
        <w:tc>
          <w:tcPr>
            <w:tcW w:w="2051" w:type="dxa"/>
            <w:tcBorders>
              <w:top w:val="single" w:color="auto" w:sz="4" w:space="0"/>
              <w:left w:val="single" w:color="auto" w:sz="4" w:space="0"/>
              <w:bottom w:val="single" w:color="auto" w:sz="4" w:space="0"/>
              <w:right w:val="single" w:color="auto" w:sz="4" w:space="0"/>
            </w:tcBorders>
            <w:noWrap w:val="0"/>
            <w:vAlign w:val="center"/>
          </w:tcPr>
          <w:p w14:paraId="7EFE2AB4">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人员回避</w:t>
            </w:r>
          </w:p>
        </w:tc>
        <w:tc>
          <w:tcPr>
            <w:tcW w:w="6820" w:type="dxa"/>
            <w:tcBorders>
              <w:top w:val="single" w:color="auto" w:sz="4" w:space="0"/>
              <w:left w:val="single" w:color="auto" w:sz="4" w:space="0"/>
              <w:bottom w:val="single" w:color="auto" w:sz="4" w:space="0"/>
              <w:right w:val="single" w:color="auto" w:sz="4" w:space="0"/>
            </w:tcBorders>
            <w:noWrap w:val="0"/>
            <w:vAlign w:val="center"/>
          </w:tcPr>
          <w:p w14:paraId="24D7B8CA">
            <w:pPr>
              <w:pageBreakBefore w:val="0"/>
              <w:kinsoku/>
              <w:wordWrap/>
              <w:overflowPunct/>
              <w:topLinePunct w:val="0"/>
              <w:autoSpaceDE/>
              <w:autoSpaceDN/>
              <w:bidi w:val="0"/>
              <w:adjustRightInd w:val="0"/>
              <w:snapToGrid w:val="0"/>
              <w:spacing w:line="360" w:lineRule="exact"/>
              <w:ind w:firstLine="420" w:firstLineChars="200"/>
              <w:rPr>
                <w:rFonts w:hint="eastAsia" w:ascii="仿宋" w:hAnsi="仿宋" w:eastAsia="仿宋" w:cs="仿宋"/>
                <w:kern w:val="0"/>
                <w:szCs w:val="21"/>
              </w:rPr>
            </w:pPr>
            <w:r>
              <w:rPr>
                <w:rFonts w:hint="eastAsia" w:ascii="仿宋" w:hAnsi="仿宋" w:eastAsia="仿宋" w:cs="仿宋"/>
                <w:szCs w:val="21"/>
              </w:rPr>
              <w:t>投标人认为采购人及其相关人员有法律法规所列与其他投标人有利害关系的，可以向采购人或采购代理机构书面提出回避申请，并说明理由。</w:t>
            </w:r>
          </w:p>
        </w:tc>
      </w:tr>
      <w:tr w14:paraId="4A4E8221">
        <w:tblPrEx>
          <w:tblCellMar>
            <w:top w:w="0" w:type="dxa"/>
            <w:left w:w="108" w:type="dxa"/>
            <w:bottom w:w="0" w:type="dxa"/>
            <w:right w:w="108" w:type="dxa"/>
          </w:tblCellMar>
        </w:tblPrEx>
        <w:trPr>
          <w:trHeight w:val="61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02121CF9">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39.3</w:t>
            </w:r>
          </w:p>
        </w:tc>
        <w:tc>
          <w:tcPr>
            <w:tcW w:w="2051" w:type="dxa"/>
            <w:tcBorders>
              <w:top w:val="single" w:color="auto" w:sz="4" w:space="0"/>
              <w:left w:val="single" w:color="auto" w:sz="4" w:space="0"/>
              <w:bottom w:val="single" w:color="auto" w:sz="4" w:space="0"/>
              <w:right w:val="single" w:color="auto" w:sz="8" w:space="0"/>
            </w:tcBorders>
            <w:noWrap w:val="0"/>
            <w:vAlign w:val="center"/>
          </w:tcPr>
          <w:p w14:paraId="397D7C82">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质疑</w:t>
            </w:r>
          </w:p>
        </w:tc>
        <w:tc>
          <w:tcPr>
            <w:tcW w:w="6820" w:type="dxa"/>
            <w:tcBorders>
              <w:top w:val="single" w:color="auto" w:sz="4" w:space="0"/>
              <w:left w:val="nil"/>
              <w:bottom w:val="single" w:color="auto" w:sz="4" w:space="0"/>
              <w:right w:val="single" w:color="auto" w:sz="8" w:space="0"/>
            </w:tcBorders>
            <w:noWrap w:val="0"/>
            <w:vAlign w:val="center"/>
          </w:tcPr>
          <w:p w14:paraId="50D4F869">
            <w:pPr>
              <w:pageBreakBefore w:val="0"/>
              <w:widowControl/>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一、投标人认为自己的权益受到损害的，可以在知道或者应知其权益受到损害之日起七个工作日内，向采购代理机构提出质疑。</w:t>
            </w:r>
          </w:p>
          <w:p w14:paraId="0F992CE4">
            <w:pPr>
              <w:pageBreakBefore w:val="0"/>
              <w:widowControl/>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1、接收质疑函的方式：接收加盖单位公章的书面纸质疑函</w:t>
            </w:r>
          </w:p>
          <w:p w14:paraId="2778FE81">
            <w:pPr>
              <w:pageBreakBefore w:val="0"/>
              <w:widowControl/>
              <w:kinsoku/>
              <w:wordWrap/>
              <w:overflowPunct/>
              <w:topLinePunct w:val="0"/>
              <w:autoSpaceDE/>
              <w:autoSpaceDN/>
              <w:bidi w:val="0"/>
              <w:spacing w:line="360" w:lineRule="exact"/>
              <w:ind w:firstLine="210" w:firstLineChars="100"/>
              <w:rPr>
                <w:rFonts w:hint="eastAsia" w:ascii="仿宋" w:hAnsi="仿宋" w:eastAsia="仿宋" w:cs="仿宋"/>
                <w:kern w:val="0"/>
                <w:szCs w:val="21"/>
                <w:u w:val="single"/>
              </w:rPr>
            </w:pPr>
            <w:r>
              <w:rPr>
                <w:rFonts w:hint="eastAsia" w:ascii="仿宋" w:hAnsi="仿宋" w:eastAsia="仿宋" w:cs="仿宋"/>
                <w:szCs w:val="21"/>
              </w:rPr>
              <w:t>联系单位：</w:t>
            </w:r>
            <w:r>
              <w:rPr>
                <w:rFonts w:hint="eastAsia" w:ascii="仿宋" w:hAnsi="仿宋" w:eastAsia="仿宋" w:cs="仿宋"/>
                <w:kern w:val="0"/>
                <w:szCs w:val="21"/>
                <w:u w:val="single"/>
              </w:rPr>
              <w:t xml:space="preserve">  锦州华隆项目管理有限公司  </w:t>
            </w:r>
          </w:p>
          <w:p w14:paraId="2E28C64C">
            <w:pPr>
              <w:pageBreakBefore w:val="0"/>
              <w:widowControl/>
              <w:kinsoku/>
              <w:wordWrap/>
              <w:overflowPunct/>
              <w:topLinePunct w:val="0"/>
              <w:autoSpaceDE/>
              <w:autoSpaceDN/>
              <w:bidi w:val="0"/>
              <w:spacing w:line="360" w:lineRule="exact"/>
              <w:ind w:firstLine="210" w:firstLineChars="100"/>
              <w:rPr>
                <w:rFonts w:hint="eastAsia" w:ascii="仿宋" w:hAnsi="仿宋" w:eastAsia="仿宋" w:cs="仿宋"/>
                <w:szCs w:val="21"/>
              </w:rPr>
            </w:pPr>
            <w:r>
              <w:rPr>
                <w:rFonts w:hint="eastAsia" w:ascii="仿宋" w:hAnsi="仿宋" w:eastAsia="仿宋" w:cs="仿宋"/>
                <w:szCs w:val="21"/>
              </w:rPr>
              <w:t>联 系 人：</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eastAsia="zh-CN"/>
              </w:rPr>
              <w:t>杨雪</w:t>
            </w:r>
            <w:r>
              <w:rPr>
                <w:rFonts w:hint="eastAsia" w:ascii="仿宋" w:hAnsi="仿宋" w:eastAsia="仿宋" w:cs="仿宋"/>
                <w:kern w:val="0"/>
                <w:szCs w:val="21"/>
                <w:u w:val="single"/>
              </w:rPr>
              <w:t xml:space="preserve">    </w:t>
            </w:r>
          </w:p>
          <w:p w14:paraId="5CA02CB4">
            <w:pPr>
              <w:pageBreakBefore w:val="0"/>
              <w:widowControl/>
              <w:kinsoku/>
              <w:wordWrap/>
              <w:overflowPunct/>
              <w:topLinePunct w:val="0"/>
              <w:autoSpaceDE/>
              <w:autoSpaceDN/>
              <w:bidi w:val="0"/>
              <w:spacing w:line="360" w:lineRule="exact"/>
              <w:ind w:firstLine="210" w:firstLineChars="100"/>
              <w:rPr>
                <w:rFonts w:hint="eastAsia" w:ascii="仿宋" w:hAnsi="仿宋" w:eastAsia="仿宋" w:cs="仿宋"/>
                <w:szCs w:val="21"/>
              </w:rPr>
            </w:pPr>
            <w:r>
              <w:rPr>
                <w:rFonts w:hint="eastAsia" w:ascii="仿宋" w:hAnsi="仿宋" w:eastAsia="仿宋" w:cs="仿宋"/>
                <w:szCs w:val="21"/>
              </w:rPr>
              <w:t>联系电话：</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eastAsia="zh-CN"/>
              </w:rPr>
              <w:t>0416-3566667</w:t>
            </w:r>
            <w:r>
              <w:rPr>
                <w:rFonts w:hint="eastAsia" w:ascii="仿宋" w:hAnsi="仿宋" w:eastAsia="仿宋" w:cs="仿宋"/>
                <w:kern w:val="0"/>
                <w:szCs w:val="21"/>
                <w:u w:val="single"/>
              </w:rPr>
              <w:t xml:space="preserve">  </w:t>
            </w:r>
          </w:p>
          <w:p w14:paraId="36EBD5B4">
            <w:pPr>
              <w:pageBreakBefore w:val="0"/>
              <w:widowControl/>
              <w:kinsoku/>
              <w:wordWrap/>
              <w:overflowPunct/>
              <w:topLinePunct w:val="0"/>
              <w:autoSpaceDE/>
              <w:autoSpaceDN/>
              <w:bidi w:val="0"/>
              <w:spacing w:line="360" w:lineRule="exact"/>
              <w:ind w:firstLine="210" w:firstLineChars="100"/>
              <w:rPr>
                <w:rFonts w:hint="eastAsia" w:ascii="仿宋" w:hAnsi="仿宋" w:eastAsia="仿宋" w:cs="仿宋"/>
                <w:szCs w:val="21"/>
              </w:rPr>
            </w:pPr>
            <w:r>
              <w:rPr>
                <w:rFonts w:hint="eastAsia" w:ascii="仿宋" w:hAnsi="仿宋" w:eastAsia="仿宋" w:cs="仿宋"/>
                <w:szCs w:val="21"/>
              </w:rPr>
              <w:t>通讯地址：</w:t>
            </w:r>
            <w:r>
              <w:rPr>
                <w:rFonts w:hint="eastAsia" w:ascii="仿宋" w:hAnsi="仿宋" w:eastAsia="仿宋" w:cs="仿宋"/>
                <w:kern w:val="0"/>
                <w:szCs w:val="21"/>
                <w:u w:val="single"/>
              </w:rPr>
              <w:t xml:space="preserve">  锦州经济技术开发区锦港大街二段大港莱茵华庭19-甲   </w:t>
            </w:r>
          </w:p>
          <w:p w14:paraId="5EC9253C">
            <w:pPr>
              <w:pageBreakBefore w:val="0"/>
              <w:widowControl/>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rPr>
              <w:t>2、质疑函的内容、格式：应符合《政府采购质疑和投诉办法》相关规定和财政部门制定的《政府采购质疑函范本》格式。</w:t>
            </w:r>
          </w:p>
          <w:p w14:paraId="5892F4EF">
            <w:pPr>
              <w:pStyle w:val="6"/>
              <w:pageBreakBefore w:val="0"/>
              <w:kinsoku/>
              <w:wordWrap/>
              <w:overflowPunct/>
              <w:topLinePunct w:val="0"/>
              <w:autoSpaceDE/>
              <w:autoSpaceDN/>
              <w:bidi w:val="0"/>
              <w:spacing w:line="360" w:lineRule="exact"/>
              <w:rPr>
                <w:rFonts w:hint="eastAsia" w:ascii="仿宋" w:hAnsi="仿宋" w:eastAsia="仿宋" w:cs="仿宋"/>
                <w:kern w:val="0"/>
                <w:szCs w:val="21"/>
              </w:rPr>
            </w:pPr>
            <w:r>
              <w:rPr>
                <w:rFonts w:hint="eastAsia" w:ascii="仿宋" w:hAnsi="仿宋" w:eastAsia="仿宋" w:cs="仿宋"/>
                <w:szCs w:val="21"/>
              </w:rPr>
              <w:t>二、投标人应在法定质疑期内一次性针对同一采购程序环节提出质疑，否则针对再次提出质疑将不予接收。（采购程序环节分为：采购公告、招标文件、招标过程、中标结果）</w:t>
            </w:r>
          </w:p>
        </w:tc>
      </w:tr>
      <w:tr w14:paraId="30DBE7F6">
        <w:tblPrEx>
          <w:tblCellMar>
            <w:top w:w="0" w:type="dxa"/>
            <w:left w:w="108" w:type="dxa"/>
            <w:bottom w:w="0" w:type="dxa"/>
            <w:right w:w="108" w:type="dxa"/>
          </w:tblCellMar>
        </w:tblPrEx>
        <w:trPr>
          <w:trHeight w:val="168"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126263CF">
            <w:pPr>
              <w:pageBreakBefore w:val="0"/>
              <w:widowControl/>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kern w:val="0"/>
                <w:szCs w:val="21"/>
              </w:rPr>
              <w:t>40</w:t>
            </w:r>
          </w:p>
        </w:tc>
        <w:tc>
          <w:tcPr>
            <w:tcW w:w="2051" w:type="dxa"/>
            <w:tcBorders>
              <w:top w:val="single" w:color="auto" w:sz="4" w:space="0"/>
              <w:left w:val="single" w:color="auto" w:sz="4" w:space="0"/>
              <w:bottom w:val="single" w:color="auto" w:sz="4" w:space="0"/>
              <w:right w:val="single" w:color="auto" w:sz="8" w:space="0"/>
            </w:tcBorders>
            <w:noWrap w:val="0"/>
            <w:vAlign w:val="center"/>
          </w:tcPr>
          <w:p w14:paraId="1F68119E">
            <w:pPr>
              <w:pageBreakBefore w:val="0"/>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szCs w:val="21"/>
                <w:lang w:val="zh-CN"/>
              </w:rPr>
              <w:t>履约验收</w:t>
            </w:r>
          </w:p>
        </w:tc>
        <w:tc>
          <w:tcPr>
            <w:tcW w:w="6820" w:type="dxa"/>
            <w:tcBorders>
              <w:top w:val="single" w:color="auto" w:sz="4" w:space="0"/>
              <w:left w:val="nil"/>
              <w:bottom w:val="single" w:color="auto" w:sz="4" w:space="0"/>
              <w:right w:val="single" w:color="auto" w:sz="8" w:space="0"/>
            </w:tcBorders>
            <w:noWrap w:val="0"/>
            <w:vAlign w:val="center"/>
          </w:tcPr>
          <w:p w14:paraId="06582342">
            <w:pPr>
              <w:pageBreakBefore w:val="0"/>
              <w:kinsoku/>
              <w:wordWrap/>
              <w:overflowPunct/>
              <w:topLinePunct w:val="0"/>
              <w:autoSpaceDE/>
              <w:autoSpaceDN/>
              <w:bidi w:val="0"/>
              <w:spacing w:line="360" w:lineRule="exact"/>
              <w:rPr>
                <w:rFonts w:hint="eastAsia" w:ascii="仿宋" w:hAnsi="仿宋" w:eastAsia="仿宋" w:cs="仿宋"/>
                <w:szCs w:val="21"/>
              </w:rPr>
            </w:pPr>
            <w:r>
              <w:rPr>
                <w:rFonts w:hint="eastAsia" w:ascii="仿宋" w:hAnsi="仿宋" w:eastAsia="仿宋" w:cs="仿宋"/>
                <w:szCs w:val="21"/>
                <w:lang w:val="zh-CN"/>
              </w:rPr>
              <w:t>由代理机构组织政府采购相关当事人抽取验收专家小组进行项目验收，执行《辽宁省政府采购相关机构及人员行为规则》[辽财采〔2008〕95号]、《政府采购合同履约验收管理的通知》[辽财采[2017]603号]规定签署最终验收文件。</w:t>
            </w:r>
          </w:p>
        </w:tc>
      </w:tr>
      <w:tr w14:paraId="1E36A2B5">
        <w:tblPrEx>
          <w:tblCellMar>
            <w:top w:w="0" w:type="dxa"/>
            <w:left w:w="108" w:type="dxa"/>
            <w:bottom w:w="0" w:type="dxa"/>
            <w:right w:w="108" w:type="dxa"/>
          </w:tblCellMar>
        </w:tblPrEx>
        <w:trPr>
          <w:trHeight w:val="41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4C6E1F76">
            <w:pPr>
              <w:pageBreakBefore w:val="0"/>
              <w:kinsoku/>
              <w:wordWrap/>
              <w:overflowPunct/>
              <w:topLinePunct w:val="0"/>
              <w:autoSpaceDE/>
              <w:autoSpaceDN/>
              <w:bidi w:val="0"/>
              <w:spacing w:line="360" w:lineRule="exact"/>
              <w:jc w:val="center"/>
              <w:rPr>
                <w:rFonts w:hint="eastAsia" w:ascii="仿宋" w:hAnsi="仿宋" w:eastAsia="仿宋" w:cs="仿宋"/>
                <w:kern w:val="0"/>
                <w:szCs w:val="21"/>
              </w:rPr>
            </w:pPr>
            <w:r>
              <w:rPr>
                <w:rFonts w:hint="eastAsia" w:ascii="仿宋" w:hAnsi="仿宋" w:eastAsia="仿宋" w:cs="仿宋"/>
                <w:b/>
                <w:szCs w:val="21"/>
              </w:rPr>
              <w:t>41</w:t>
            </w:r>
          </w:p>
        </w:tc>
        <w:tc>
          <w:tcPr>
            <w:tcW w:w="8871" w:type="dxa"/>
            <w:gridSpan w:val="2"/>
            <w:tcBorders>
              <w:top w:val="single" w:color="auto" w:sz="4" w:space="0"/>
              <w:left w:val="single" w:color="auto" w:sz="4" w:space="0"/>
              <w:bottom w:val="single" w:color="auto" w:sz="4" w:space="0"/>
              <w:right w:val="single" w:color="auto" w:sz="8" w:space="0"/>
            </w:tcBorders>
            <w:noWrap w:val="0"/>
            <w:vAlign w:val="center"/>
          </w:tcPr>
          <w:p w14:paraId="755CD0F2">
            <w:pPr>
              <w:pageBreakBefore w:val="0"/>
              <w:kinsoku/>
              <w:wordWrap/>
              <w:overflowPunct/>
              <w:topLinePunct w:val="0"/>
              <w:autoSpaceDE/>
              <w:autoSpaceDN/>
              <w:bidi w:val="0"/>
              <w:spacing w:line="360" w:lineRule="exact"/>
              <w:jc w:val="center"/>
              <w:rPr>
                <w:rFonts w:hint="eastAsia" w:ascii="仿宋" w:hAnsi="仿宋" w:eastAsia="仿宋" w:cs="仿宋"/>
                <w:szCs w:val="21"/>
                <w:lang w:val="zh-CN"/>
              </w:rPr>
            </w:pPr>
            <w:r>
              <w:rPr>
                <w:rFonts w:hint="eastAsia" w:ascii="仿宋" w:hAnsi="仿宋" w:eastAsia="仿宋" w:cs="仿宋"/>
                <w:b/>
                <w:szCs w:val="21"/>
              </w:rPr>
              <w:t>需要补充的其他内容</w:t>
            </w:r>
          </w:p>
        </w:tc>
      </w:tr>
      <w:tr w14:paraId="1E189146">
        <w:tblPrEx>
          <w:tblCellMar>
            <w:top w:w="0" w:type="dxa"/>
            <w:left w:w="108" w:type="dxa"/>
            <w:bottom w:w="0" w:type="dxa"/>
            <w:right w:w="108" w:type="dxa"/>
          </w:tblCellMar>
        </w:tblPrEx>
        <w:trPr>
          <w:trHeight w:val="378"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0E2E848A">
            <w:pPr>
              <w:pageBreakBefore w:val="0"/>
              <w:kinsoku/>
              <w:wordWrap/>
              <w:overflowPunct/>
              <w:topLinePunct w:val="0"/>
              <w:autoSpaceDE/>
              <w:autoSpaceDN/>
              <w:bidi w:val="0"/>
              <w:spacing w:line="360" w:lineRule="exact"/>
              <w:jc w:val="center"/>
              <w:rPr>
                <w:rFonts w:hint="eastAsia" w:ascii="仿宋" w:hAnsi="仿宋" w:eastAsia="仿宋" w:cs="仿宋"/>
                <w:szCs w:val="21"/>
              </w:rPr>
            </w:pPr>
            <w:r>
              <w:rPr>
                <w:rFonts w:hint="eastAsia" w:ascii="仿宋" w:hAnsi="仿宋" w:eastAsia="仿宋" w:cs="仿宋"/>
                <w:szCs w:val="21"/>
              </w:rPr>
              <w:t>41.1</w:t>
            </w:r>
          </w:p>
        </w:tc>
        <w:tc>
          <w:tcPr>
            <w:tcW w:w="2051" w:type="dxa"/>
            <w:tcBorders>
              <w:top w:val="single" w:color="auto" w:sz="4" w:space="0"/>
              <w:left w:val="single" w:color="auto" w:sz="4" w:space="0"/>
              <w:bottom w:val="single" w:color="auto" w:sz="4" w:space="0"/>
              <w:right w:val="single" w:color="auto" w:sz="8" w:space="0"/>
            </w:tcBorders>
            <w:noWrap w:val="0"/>
            <w:vAlign w:val="center"/>
          </w:tcPr>
          <w:p w14:paraId="5EF713C9">
            <w:pPr>
              <w:pageBreakBefore w:val="0"/>
              <w:kinsoku/>
              <w:wordWrap/>
              <w:overflowPunct/>
              <w:topLinePunct w:val="0"/>
              <w:autoSpaceDE/>
              <w:autoSpaceDN/>
              <w:bidi w:val="0"/>
              <w:spacing w:line="360" w:lineRule="exact"/>
              <w:jc w:val="center"/>
              <w:rPr>
                <w:rFonts w:hint="eastAsia" w:ascii="仿宋" w:hAnsi="仿宋" w:eastAsia="仿宋" w:cs="仿宋"/>
                <w:szCs w:val="21"/>
                <w:lang w:val="zh-CN"/>
              </w:rPr>
            </w:pPr>
            <w:r>
              <w:rPr>
                <w:rFonts w:hint="eastAsia" w:ascii="仿宋" w:hAnsi="仿宋" w:eastAsia="仿宋" w:cs="仿宋"/>
                <w:b/>
                <w:szCs w:val="21"/>
              </w:rPr>
              <w:t>质量承诺</w:t>
            </w:r>
          </w:p>
        </w:tc>
        <w:tc>
          <w:tcPr>
            <w:tcW w:w="6820" w:type="dxa"/>
            <w:tcBorders>
              <w:top w:val="single" w:color="auto" w:sz="4" w:space="0"/>
              <w:left w:val="nil"/>
              <w:bottom w:val="single" w:color="auto" w:sz="4" w:space="0"/>
              <w:right w:val="single" w:color="auto" w:sz="8" w:space="0"/>
            </w:tcBorders>
            <w:noWrap w:val="0"/>
            <w:vAlign w:val="center"/>
          </w:tcPr>
          <w:p w14:paraId="7D4ED317">
            <w:pPr>
              <w:pageBreakBefore w:val="0"/>
              <w:kinsoku/>
              <w:wordWrap/>
              <w:overflowPunct/>
              <w:topLinePunct w:val="0"/>
              <w:autoSpaceDE/>
              <w:autoSpaceDN/>
              <w:bidi w:val="0"/>
              <w:spacing w:line="360" w:lineRule="exact"/>
              <w:rPr>
                <w:rFonts w:hint="eastAsia" w:ascii="仿宋" w:hAnsi="仿宋" w:eastAsia="仿宋" w:cs="仿宋"/>
                <w:szCs w:val="21"/>
                <w:lang w:val="zh-CN"/>
              </w:rPr>
            </w:pPr>
            <w:r>
              <w:rPr>
                <w:rFonts w:hint="eastAsia" w:ascii="仿宋" w:hAnsi="仿宋" w:cs="仿宋"/>
                <w:szCs w:val="21"/>
                <w:highlight w:val="none"/>
                <w:lang w:val="en-US" w:eastAsia="zh-CN"/>
              </w:rPr>
              <w:t>符合</w:t>
            </w:r>
            <w:r>
              <w:rPr>
                <w:rFonts w:hint="eastAsia" w:ascii="仿宋" w:hAnsi="仿宋" w:eastAsia="仿宋" w:cs="仿宋"/>
                <w:szCs w:val="21"/>
                <w:highlight w:val="none"/>
                <w:lang w:val="zh-CN"/>
              </w:rPr>
              <w:t>国家及行业规范。</w:t>
            </w:r>
          </w:p>
        </w:tc>
      </w:tr>
      <w:tr w14:paraId="0A4D686B">
        <w:tblPrEx>
          <w:tblCellMar>
            <w:top w:w="0" w:type="dxa"/>
            <w:left w:w="108" w:type="dxa"/>
            <w:bottom w:w="0" w:type="dxa"/>
            <w:right w:w="108" w:type="dxa"/>
          </w:tblCellMar>
        </w:tblPrEx>
        <w:trPr>
          <w:trHeight w:val="47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3A49B325">
            <w:pPr>
              <w:pageBreakBefore w:val="0"/>
              <w:kinsoku/>
              <w:wordWrap/>
              <w:overflowPunct/>
              <w:topLinePunct w:val="0"/>
              <w:autoSpaceDE/>
              <w:autoSpaceDN/>
              <w:bidi w:val="0"/>
              <w:spacing w:line="360" w:lineRule="exact"/>
              <w:jc w:val="center"/>
              <w:rPr>
                <w:rFonts w:hint="eastAsia" w:ascii="仿宋" w:hAnsi="仿宋" w:eastAsia="仿宋" w:cs="仿宋"/>
                <w:szCs w:val="21"/>
                <w:lang w:val="en-US" w:eastAsia="zh-CN"/>
              </w:rPr>
            </w:pPr>
            <w:r>
              <w:rPr>
                <w:rFonts w:hint="eastAsia" w:ascii="仿宋" w:hAnsi="仿宋" w:eastAsia="仿宋" w:cs="仿宋"/>
                <w:szCs w:val="21"/>
                <w:lang w:val="en-US" w:eastAsia="zh-CN"/>
              </w:rPr>
              <w:t>41.2</w:t>
            </w:r>
          </w:p>
        </w:tc>
        <w:tc>
          <w:tcPr>
            <w:tcW w:w="2051" w:type="dxa"/>
            <w:tcBorders>
              <w:top w:val="single" w:color="auto" w:sz="4" w:space="0"/>
              <w:left w:val="single" w:color="auto" w:sz="4" w:space="0"/>
              <w:bottom w:val="single" w:color="auto" w:sz="4" w:space="0"/>
              <w:right w:val="single" w:color="auto" w:sz="8" w:space="0"/>
            </w:tcBorders>
            <w:noWrap w:val="0"/>
            <w:vAlign w:val="center"/>
          </w:tcPr>
          <w:p w14:paraId="622C2058">
            <w:pPr>
              <w:pageBreakBefore w:val="0"/>
              <w:kinsoku/>
              <w:wordWrap/>
              <w:overflowPunct/>
              <w:topLinePunct w:val="0"/>
              <w:autoSpaceDE/>
              <w:autoSpaceDN/>
              <w:bidi w:val="0"/>
              <w:spacing w:line="360" w:lineRule="exact"/>
              <w:jc w:val="center"/>
              <w:rPr>
                <w:rFonts w:hint="eastAsia" w:ascii="仿宋" w:hAnsi="仿宋" w:eastAsia="仿宋" w:cs="仿宋"/>
                <w:b/>
                <w:szCs w:val="21"/>
                <w:lang w:eastAsia="zh-CN"/>
              </w:rPr>
            </w:pPr>
            <w:r>
              <w:rPr>
                <w:rFonts w:hint="eastAsia" w:ascii="仿宋" w:hAnsi="仿宋" w:eastAsia="仿宋" w:cs="仿宋"/>
                <w:b/>
                <w:szCs w:val="21"/>
                <w:lang w:eastAsia="zh-CN"/>
              </w:rPr>
              <w:t>履约地点</w:t>
            </w:r>
          </w:p>
        </w:tc>
        <w:tc>
          <w:tcPr>
            <w:tcW w:w="6820" w:type="dxa"/>
            <w:tcBorders>
              <w:top w:val="single" w:color="auto" w:sz="4" w:space="0"/>
              <w:left w:val="nil"/>
              <w:bottom w:val="single" w:color="auto" w:sz="4" w:space="0"/>
              <w:right w:val="single" w:color="auto" w:sz="8" w:space="0"/>
            </w:tcBorders>
            <w:noWrap w:val="0"/>
            <w:vAlign w:val="center"/>
          </w:tcPr>
          <w:p w14:paraId="570670FF">
            <w:pPr>
              <w:pageBreakBefore w:val="0"/>
              <w:kinsoku/>
              <w:wordWrap/>
              <w:overflowPunct/>
              <w:topLinePunct w:val="0"/>
              <w:autoSpaceDE/>
              <w:autoSpaceDN/>
              <w:bidi w:val="0"/>
              <w:spacing w:line="360" w:lineRule="exact"/>
              <w:rPr>
                <w:rFonts w:hint="eastAsia" w:ascii="仿宋" w:hAnsi="仿宋" w:eastAsia="仿宋" w:cs="仿宋"/>
                <w:szCs w:val="21"/>
                <w:lang w:val="zh-CN"/>
              </w:rPr>
            </w:pPr>
            <w:r>
              <w:rPr>
                <w:rFonts w:hint="eastAsia" w:ascii="仿宋" w:hAnsi="仿宋" w:eastAsia="仿宋" w:cs="仿宋"/>
                <w:szCs w:val="21"/>
                <w:lang w:val="zh-CN"/>
              </w:rPr>
              <w:t>采购人指定地点。</w:t>
            </w:r>
          </w:p>
        </w:tc>
      </w:tr>
      <w:tr w14:paraId="34ADC98B">
        <w:tblPrEx>
          <w:tblCellMar>
            <w:top w:w="0" w:type="dxa"/>
            <w:left w:w="108" w:type="dxa"/>
            <w:bottom w:w="0" w:type="dxa"/>
            <w:right w:w="108" w:type="dxa"/>
          </w:tblCellMar>
        </w:tblPrEx>
        <w:trPr>
          <w:trHeight w:val="47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5E39AC7F">
            <w:pPr>
              <w:pageBreakBefore w:val="0"/>
              <w:widowControl/>
              <w:kinsoku/>
              <w:wordWrap/>
              <w:overflowPunct/>
              <w:autoSpaceDE/>
              <w:autoSpaceDN/>
              <w:bidi w:val="0"/>
              <w:spacing w:line="360" w:lineRule="exact"/>
              <w:jc w:val="center"/>
              <w:rPr>
                <w:rFonts w:hint="eastAsia" w:ascii="仿宋" w:hAnsi="仿宋" w:eastAsia="仿宋" w:cs="仿宋"/>
                <w:szCs w:val="21"/>
                <w:lang w:val="en-US" w:eastAsia="zh-CN"/>
              </w:rPr>
            </w:pPr>
            <w:r>
              <w:rPr>
                <w:rFonts w:hint="eastAsia" w:ascii="仿宋_GB2312" w:hAnsi="仿宋_GB2312" w:eastAsia="仿宋_GB2312" w:cs="仿宋_GB2312"/>
                <w:color w:val="auto"/>
                <w:kern w:val="0"/>
                <w:szCs w:val="21"/>
                <w:highlight w:val="none"/>
                <w:lang w:val="en-US" w:eastAsia="zh-CN"/>
              </w:rPr>
              <w:t>41.3</w:t>
            </w:r>
          </w:p>
        </w:tc>
        <w:tc>
          <w:tcPr>
            <w:tcW w:w="2051" w:type="dxa"/>
            <w:tcBorders>
              <w:top w:val="single" w:color="auto" w:sz="4" w:space="0"/>
              <w:left w:val="single" w:color="auto" w:sz="4" w:space="0"/>
              <w:bottom w:val="single" w:color="auto" w:sz="4" w:space="0"/>
              <w:right w:val="single" w:color="auto" w:sz="8" w:space="0"/>
            </w:tcBorders>
            <w:noWrap w:val="0"/>
            <w:vAlign w:val="center"/>
          </w:tcPr>
          <w:p w14:paraId="40637E74">
            <w:pPr>
              <w:pageBreakBefore w:val="0"/>
              <w:kinsoku/>
              <w:wordWrap/>
              <w:overflowPunct/>
              <w:autoSpaceDE/>
              <w:autoSpaceDN/>
              <w:bidi w:val="0"/>
              <w:spacing w:line="360" w:lineRule="exact"/>
              <w:jc w:val="center"/>
              <w:rPr>
                <w:rFonts w:hint="eastAsia" w:ascii="仿宋" w:hAnsi="仿宋" w:eastAsia="仿宋" w:cs="仿宋"/>
                <w:b/>
                <w:szCs w:val="21"/>
                <w:lang w:eastAsia="zh-CN"/>
              </w:rPr>
            </w:pPr>
            <w:r>
              <w:rPr>
                <w:rFonts w:hint="eastAsia" w:ascii="仿宋" w:hAnsi="仿宋" w:eastAsia="仿宋" w:cs="仿宋"/>
                <w:color w:val="auto"/>
                <w:sz w:val="21"/>
                <w:szCs w:val="21"/>
                <w:highlight w:val="none"/>
                <w:lang w:eastAsia="zh-CN"/>
              </w:rPr>
              <w:t>电子文件报送</w:t>
            </w:r>
            <w:r>
              <w:rPr>
                <w:rFonts w:hint="eastAsia" w:ascii="仿宋" w:hAnsi="仿宋" w:cs="仿宋"/>
                <w:color w:val="auto"/>
                <w:sz w:val="21"/>
                <w:szCs w:val="21"/>
                <w:highlight w:val="none"/>
                <w:lang w:val="en-US" w:eastAsia="zh-CN"/>
              </w:rPr>
              <w:t>及</w:t>
            </w:r>
            <w:r>
              <w:rPr>
                <w:rFonts w:hint="eastAsia" w:ascii="仿宋" w:hAnsi="仿宋" w:eastAsia="仿宋" w:cs="仿宋"/>
                <w:color w:val="auto"/>
                <w:sz w:val="21"/>
                <w:szCs w:val="21"/>
                <w:highlight w:val="none"/>
                <w:lang w:eastAsia="zh-CN"/>
              </w:rPr>
              <w:t>解密的时限</w:t>
            </w:r>
          </w:p>
        </w:tc>
        <w:tc>
          <w:tcPr>
            <w:tcW w:w="6820" w:type="dxa"/>
            <w:tcBorders>
              <w:top w:val="single" w:color="auto" w:sz="4" w:space="0"/>
              <w:left w:val="nil"/>
              <w:bottom w:val="single" w:color="auto" w:sz="4" w:space="0"/>
              <w:right w:val="single" w:color="auto" w:sz="8" w:space="0"/>
            </w:tcBorders>
            <w:noWrap w:val="0"/>
            <w:vAlign w:val="center"/>
          </w:tcPr>
          <w:p w14:paraId="46A86F79">
            <w:pPr>
              <w:pageBreakBefore w:val="0"/>
              <w:kinsoku/>
              <w:wordWrap/>
              <w:overflowPunct/>
              <w:topLinePunct/>
              <w:autoSpaceDE/>
              <w:autoSpaceDN/>
              <w:bidi w:val="0"/>
              <w:spacing w:line="360" w:lineRule="exact"/>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电子文件报送时限：</w:t>
            </w:r>
            <w:r>
              <w:rPr>
                <w:rFonts w:hint="eastAsia" w:ascii="仿宋" w:hAnsi="仿宋" w:eastAsia="仿宋" w:cs="仿宋"/>
                <w:b/>
                <w:bCs/>
                <w:color w:val="auto"/>
                <w:sz w:val="21"/>
                <w:szCs w:val="21"/>
                <w:highlight w:val="none"/>
                <w:lang w:val="en-US" w:eastAsia="zh-CN"/>
              </w:rPr>
              <w:t>202</w:t>
            </w:r>
            <w:r>
              <w:rPr>
                <w:rFonts w:hint="eastAsia" w:ascii="仿宋" w:hAnsi="仿宋" w:cs="仿宋"/>
                <w:b/>
                <w:bCs/>
                <w:color w:val="auto"/>
                <w:sz w:val="21"/>
                <w:szCs w:val="21"/>
                <w:highlight w:val="none"/>
                <w:lang w:val="en-US" w:eastAsia="zh-CN"/>
              </w:rPr>
              <w:t>5</w:t>
            </w:r>
            <w:r>
              <w:rPr>
                <w:rFonts w:hint="eastAsia" w:ascii="仿宋" w:hAnsi="仿宋" w:eastAsia="仿宋" w:cs="仿宋"/>
                <w:b/>
                <w:bCs/>
                <w:color w:val="auto"/>
                <w:sz w:val="21"/>
                <w:szCs w:val="21"/>
                <w:highlight w:val="none"/>
                <w:lang w:eastAsia="zh-CN"/>
              </w:rPr>
              <w:t>年</w:t>
            </w:r>
            <w:r>
              <w:rPr>
                <w:rFonts w:hint="eastAsia" w:ascii="仿宋" w:hAnsi="仿宋" w:cs="仿宋"/>
                <w:b/>
                <w:bCs/>
                <w:color w:val="auto"/>
                <w:sz w:val="21"/>
                <w:szCs w:val="21"/>
                <w:highlight w:val="none"/>
                <w:lang w:val="en-US" w:eastAsia="zh-CN"/>
              </w:rPr>
              <w:t>10</w:t>
            </w:r>
            <w:r>
              <w:rPr>
                <w:rFonts w:hint="eastAsia" w:ascii="仿宋" w:hAnsi="仿宋" w:eastAsia="仿宋" w:cs="仿宋"/>
                <w:b/>
                <w:bCs/>
                <w:color w:val="auto"/>
                <w:sz w:val="21"/>
                <w:szCs w:val="21"/>
                <w:highlight w:val="none"/>
                <w:lang w:eastAsia="zh-CN"/>
              </w:rPr>
              <w:t>月</w:t>
            </w:r>
            <w:r>
              <w:rPr>
                <w:rFonts w:hint="eastAsia" w:ascii="仿宋" w:hAnsi="仿宋" w:cs="仿宋"/>
                <w:b/>
                <w:bCs/>
                <w:color w:val="auto"/>
                <w:sz w:val="21"/>
                <w:szCs w:val="21"/>
                <w:highlight w:val="none"/>
                <w:lang w:val="en-US" w:eastAsia="zh-CN"/>
              </w:rPr>
              <w:t>14</w:t>
            </w:r>
            <w:r>
              <w:rPr>
                <w:rFonts w:hint="eastAsia" w:ascii="仿宋" w:hAnsi="仿宋" w:eastAsia="仿宋" w:cs="仿宋"/>
                <w:b/>
                <w:bCs/>
                <w:color w:val="auto"/>
                <w:sz w:val="21"/>
                <w:szCs w:val="21"/>
                <w:highlight w:val="none"/>
                <w:lang w:eastAsia="zh-CN"/>
              </w:rPr>
              <w:t>日</w:t>
            </w:r>
            <w:r>
              <w:rPr>
                <w:rFonts w:hint="eastAsia" w:ascii="仿宋" w:hAnsi="仿宋" w:cs="仿宋"/>
                <w:b/>
                <w:bCs/>
                <w:color w:val="auto"/>
                <w:sz w:val="21"/>
                <w:szCs w:val="21"/>
                <w:highlight w:val="none"/>
                <w:lang w:val="en-US" w:eastAsia="zh-CN"/>
              </w:rPr>
              <w:t xml:space="preserve"> 09</w:t>
            </w:r>
            <w:r>
              <w:rPr>
                <w:rFonts w:hint="eastAsia" w:ascii="仿宋" w:hAnsi="仿宋" w:eastAsia="仿宋" w:cs="仿宋"/>
                <w:b/>
                <w:bCs/>
                <w:color w:val="auto"/>
                <w:sz w:val="21"/>
                <w:szCs w:val="21"/>
                <w:highlight w:val="none"/>
                <w:lang w:eastAsia="zh-CN"/>
              </w:rPr>
              <w:t>时00分</w:t>
            </w:r>
          </w:p>
          <w:p w14:paraId="63B1A6CE">
            <w:pPr>
              <w:pageBreakBefore w:val="0"/>
              <w:kinsoku/>
              <w:wordWrap/>
              <w:overflowPunct/>
              <w:topLinePunct/>
              <w:autoSpaceDE/>
              <w:autoSpaceDN/>
              <w:bidi w:val="0"/>
              <w:spacing w:line="360" w:lineRule="exact"/>
              <w:rPr>
                <w:rFonts w:hint="eastAsia" w:ascii="仿宋" w:hAnsi="仿宋" w:eastAsia="仿宋" w:cs="仿宋"/>
                <w:szCs w:val="21"/>
                <w:lang w:val="zh-CN"/>
              </w:rPr>
            </w:pPr>
            <w:r>
              <w:rPr>
                <w:rFonts w:hint="eastAsia" w:ascii="仿宋" w:hAnsi="仿宋" w:eastAsia="仿宋" w:cs="仿宋"/>
                <w:b/>
                <w:bCs/>
                <w:color w:val="auto"/>
                <w:sz w:val="21"/>
                <w:szCs w:val="21"/>
                <w:highlight w:val="none"/>
                <w:lang w:eastAsia="zh-CN"/>
              </w:rPr>
              <w:t>解密时限截至：</w:t>
            </w:r>
            <w:r>
              <w:rPr>
                <w:rFonts w:hint="eastAsia" w:ascii="仿宋" w:hAnsi="仿宋" w:eastAsia="仿宋" w:cs="仿宋"/>
                <w:b/>
                <w:bCs/>
                <w:color w:val="auto"/>
                <w:sz w:val="21"/>
                <w:szCs w:val="21"/>
                <w:highlight w:val="none"/>
                <w:lang w:val="en-US" w:eastAsia="zh-CN"/>
              </w:rPr>
              <w:t>30分钟；因非供应商自身原因导致解密时间延长的除外。</w:t>
            </w:r>
          </w:p>
        </w:tc>
      </w:tr>
      <w:tr w14:paraId="51C1746B">
        <w:tblPrEx>
          <w:tblCellMar>
            <w:top w:w="0" w:type="dxa"/>
            <w:left w:w="108" w:type="dxa"/>
            <w:bottom w:w="0" w:type="dxa"/>
            <w:right w:w="108" w:type="dxa"/>
          </w:tblCellMar>
        </w:tblPrEx>
        <w:trPr>
          <w:trHeight w:val="47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382E08E6">
            <w:pPr>
              <w:pageBreakBefore w:val="0"/>
              <w:widowControl/>
              <w:kinsoku/>
              <w:wordWrap/>
              <w:overflowPunct/>
              <w:autoSpaceDE/>
              <w:autoSpaceDN/>
              <w:bidi w:val="0"/>
              <w:spacing w:line="360" w:lineRule="exact"/>
              <w:jc w:val="center"/>
              <w:rPr>
                <w:rFonts w:hint="eastAsia" w:ascii="仿宋" w:hAnsi="仿宋" w:eastAsia="仿宋" w:cs="仿宋"/>
                <w:szCs w:val="21"/>
                <w:lang w:val="en-US" w:eastAsia="zh-CN"/>
              </w:rPr>
            </w:pPr>
            <w:r>
              <w:rPr>
                <w:rFonts w:hint="eastAsia" w:ascii="仿宋_GB2312" w:hAnsi="仿宋_GB2312" w:eastAsia="仿宋_GB2312" w:cs="仿宋_GB2312"/>
                <w:color w:val="auto"/>
                <w:kern w:val="0"/>
                <w:szCs w:val="21"/>
                <w:highlight w:val="none"/>
                <w:lang w:val="en-US" w:eastAsia="zh-CN"/>
              </w:rPr>
              <w:t>41.4</w:t>
            </w:r>
          </w:p>
        </w:tc>
        <w:tc>
          <w:tcPr>
            <w:tcW w:w="2051" w:type="dxa"/>
            <w:tcBorders>
              <w:top w:val="single" w:color="auto" w:sz="4" w:space="0"/>
              <w:left w:val="single" w:color="auto" w:sz="4" w:space="0"/>
              <w:bottom w:val="single" w:color="auto" w:sz="4" w:space="0"/>
              <w:right w:val="single" w:color="auto" w:sz="8" w:space="0"/>
            </w:tcBorders>
            <w:shd w:val="clear" w:color="auto" w:fill="auto"/>
            <w:noWrap w:val="0"/>
            <w:vAlign w:val="center"/>
          </w:tcPr>
          <w:p w14:paraId="2B434817">
            <w:pPr>
              <w:keepNext w:val="0"/>
              <w:keepLines w:val="0"/>
              <w:pageBreakBefore w:val="0"/>
              <w:kinsoku/>
              <w:wordWrap/>
              <w:overflowPunct/>
              <w:topLinePunct w:val="0"/>
              <w:autoSpaceDE/>
              <w:autoSpaceDN/>
              <w:bidi w:val="0"/>
              <w:spacing w:line="3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电子标解密等</w:t>
            </w:r>
          </w:p>
          <w:p w14:paraId="071459BE">
            <w:pPr>
              <w:keepNext w:val="0"/>
              <w:keepLines w:val="0"/>
              <w:pageBreakBefore w:val="0"/>
              <w:kinsoku/>
              <w:wordWrap/>
              <w:overflowPunct/>
              <w:topLinePunct w:val="0"/>
              <w:autoSpaceDE/>
              <w:autoSpaceDN/>
              <w:bidi w:val="0"/>
              <w:spacing w:line="360" w:lineRule="exact"/>
              <w:jc w:val="center"/>
              <w:rPr>
                <w:rFonts w:hint="eastAsia" w:ascii="仿宋" w:hAnsi="仿宋" w:eastAsia="仿宋" w:cs="仿宋"/>
                <w:b/>
                <w:kern w:val="2"/>
                <w:sz w:val="21"/>
                <w:szCs w:val="21"/>
                <w:lang w:val="en-US" w:eastAsia="zh-CN" w:bidi="ar-SA"/>
              </w:rPr>
            </w:pPr>
            <w:r>
              <w:rPr>
                <w:rFonts w:hint="eastAsia" w:ascii="仿宋" w:hAnsi="仿宋" w:eastAsia="仿宋" w:cs="仿宋"/>
                <w:color w:val="auto"/>
                <w:szCs w:val="21"/>
                <w:highlight w:val="none"/>
              </w:rPr>
              <w:t>相应责任</w:t>
            </w:r>
          </w:p>
        </w:tc>
        <w:tc>
          <w:tcPr>
            <w:tcW w:w="6820" w:type="dxa"/>
            <w:tcBorders>
              <w:top w:val="single" w:color="auto" w:sz="4" w:space="0"/>
              <w:left w:val="nil"/>
              <w:bottom w:val="single" w:color="auto" w:sz="4" w:space="0"/>
              <w:right w:val="single" w:color="auto" w:sz="8" w:space="0"/>
            </w:tcBorders>
            <w:shd w:val="clear" w:color="auto" w:fill="auto"/>
            <w:noWrap w:val="0"/>
            <w:vAlign w:val="center"/>
          </w:tcPr>
          <w:p w14:paraId="5BA08771">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cs="仿宋"/>
                <w:color w:val="auto"/>
                <w:szCs w:val="21"/>
                <w:highlight w:val="none"/>
                <w:lang w:eastAsia="zh-CN"/>
              </w:rPr>
              <w:t>投标人</w:t>
            </w:r>
            <w:r>
              <w:rPr>
                <w:rFonts w:hint="eastAsia" w:ascii="仿宋" w:hAnsi="仿宋" w:eastAsia="仿宋" w:cs="仿宋"/>
                <w:color w:val="auto"/>
                <w:szCs w:val="21"/>
                <w:highlight w:val="none"/>
              </w:rPr>
              <w:t>在电子评审活动中出现以下情形的，应按如下规定进行处理：</w:t>
            </w:r>
          </w:p>
          <w:p w14:paraId="2ACC68E6">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（1）因</w:t>
            </w:r>
            <w:r>
              <w:rPr>
                <w:rFonts w:hint="eastAsia" w:ascii="仿宋" w:hAnsi="仿宋" w:cs="仿宋"/>
                <w:color w:val="auto"/>
                <w:szCs w:val="21"/>
                <w:highlight w:val="none"/>
                <w:lang w:eastAsia="zh-CN"/>
              </w:rPr>
              <w:t>投标人</w:t>
            </w:r>
            <w:r>
              <w:rPr>
                <w:rFonts w:hint="eastAsia" w:ascii="仿宋" w:hAnsi="仿宋" w:eastAsia="仿宋" w:cs="仿宋"/>
                <w:color w:val="auto"/>
                <w:szCs w:val="21"/>
                <w:highlight w:val="none"/>
              </w:rPr>
              <w:t>原因造成投标文件未解密的；</w:t>
            </w:r>
          </w:p>
          <w:p w14:paraId="6B3FDBB6">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（2）因</w:t>
            </w:r>
            <w:r>
              <w:rPr>
                <w:rFonts w:hint="eastAsia" w:ascii="仿宋" w:hAnsi="仿宋" w:cs="仿宋"/>
                <w:color w:val="auto"/>
                <w:szCs w:val="21"/>
                <w:highlight w:val="none"/>
                <w:lang w:eastAsia="zh-CN"/>
              </w:rPr>
              <w:t>投标人</w:t>
            </w:r>
            <w:r>
              <w:rPr>
                <w:rFonts w:hint="eastAsia" w:ascii="仿宋" w:hAnsi="仿宋" w:eastAsia="仿宋" w:cs="仿宋"/>
                <w:color w:val="auto"/>
                <w:szCs w:val="21"/>
                <w:highlight w:val="none"/>
              </w:rPr>
              <w:t>自用设备原因造成的未在规定时间内</w:t>
            </w:r>
            <w:r>
              <w:rPr>
                <w:rFonts w:hint="eastAsia" w:ascii="仿宋" w:hAnsi="仿宋" w:eastAsia="仿宋" w:cs="仿宋"/>
                <w:b/>
                <w:bCs/>
                <w:color w:val="auto"/>
                <w:szCs w:val="21"/>
                <w:highlight w:val="none"/>
              </w:rPr>
              <w:t>解密</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rPr>
              <w:t>解密时限为</w:t>
            </w:r>
            <w:r>
              <w:rPr>
                <w:rFonts w:hint="eastAsia" w:ascii="仿宋" w:hAnsi="仿宋" w:eastAsia="仿宋" w:cs="仿宋"/>
                <w:b/>
                <w:bCs/>
                <w:color w:val="auto"/>
                <w:szCs w:val="21"/>
                <w:highlight w:val="none"/>
                <w:lang w:eastAsia="zh-CN"/>
              </w:rPr>
              <w:t>投标截止时间后</w:t>
            </w:r>
            <w:r>
              <w:rPr>
                <w:rFonts w:hint="eastAsia" w:ascii="仿宋" w:hAnsi="仿宋" w:eastAsia="仿宋" w:cs="仿宋"/>
                <w:b/>
                <w:bCs/>
                <w:color w:val="auto"/>
                <w:szCs w:val="21"/>
                <w:highlight w:val="none"/>
                <w:lang w:val="en-US" w:eastAsia="zh-CN"/>
              </w:rPr>
              <w:t>30分钟内</w:t>
            </w:r>
            <w:r>
              <w:rPr>
                <w:rFonts w:hint="eastAsia" w:ascii="仿宋" w:hAnsi="仿宋" w:eastAsia="仿宋" w:cs="仿宋"/>
                <w:b/>
                <w:bCs/>
                <w:color w:val="auto"/>
                <w:szCs w:val="21"/>
                <w:highlight w:val="none"/>
                <w:lang w:eastAsia="zh-CN"/>
              </w:rPr>
              <w:t>）</w:t>
            </w:r>
            <w:r>
              <w:rPr>
                <w:rFonts w:hint="eastAsia" w:ascii="仿宋" w:hAnsi="仿宋" w:eastAsia="仿宋" w:cs="仿宋"/>
                <w:color w:val="auto"/>
                <w:szCs w:val="21"/>
                <w:highlight w:val="none"/>
              </w:rPr>
              <w:t>、上传文件或投标（响应）报价等问题影响电子评审的；</w:t>
            </w:r>
          </w:p>
          <w:p w14:paraId="7DBB3EE1">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（3）因</w:t>
            </w:r>
            <w:r>
              <w:rPr>
                <w:rFonts w:hint="eastAsia" w:ascii="仿宋" w:hAnsi="仿宋" w:cs="仿宋"/>
                <w:color w:val="auto"/>
                <w:szCs w:val="21"/>
                <w:highlight w:val="none"/>
                <w:lang w:eastAsia="zh-CN"/>
              </w:rPr>
              <w:t>投标人</w:t>
            </w:r>
            <w:r>
              <w:rPr>
                <w:rFonts w:hint="eastAsia" w:ascii="仿宋" w:hAnsi="仿宋" w:eastAsia="仿宋" w:cs="仿宋"/>
                <w:color w:val="auto"/>
                <w:szCs w:val="21"/>
                <w:highlight w:val="none"/>
              </w:rPr>
              <w:t>原因未对文件校验造成信息缺失、文件内容或格式不正确以及备份文件不符合要求等问题影响评审的。</w:t>
            </w:r>
          </w:p>
          <w:p w14:paraId="182015BC">
            <w:pPr>
              <w:keepNext w:val="0"/>
              <w:keepLines w:val="0"/>
              <w:pageBreakBefore w:val="0"/>
              <w:kinsoku/>
              <w:wordWrap/>
              <w:overflowPunct/>
              <w:topLinePunct w:val="0"/>
              <w:autoSpaceDE/>
              <w:autoSpaceDN/>
              <w:bidi w:val="0"/>
              <w:spacing w:line="360" w:lineRule="exact"/>
              <w:ind w:firstLine="420" w:firstLineChars="200"/>
              <w:rPr>
                <w:rFonts w:hint="eastAsia" w:ascii="仿宋" w:hAnsi="仿宋" w:eastAsia="仿宋" w:cs="仿宋"/>
                <w:kern w:val="2"/>
                <w:sz w:val="21"/>
                <w:szCs w:val="21"/>
                <w:lang w:val="zh-CN" w:eastAsia="zh-CN" w:bidi="ar-SA"/>
              </w:rPr>
            </w:pPr>
            <w:r>
              <w:rPr>
                <w:rFonts w:hint="eastAsia" w:ascii="仿宋" w:hAnsi="仿宋" w:eastAsia="仿宋" w:cs="仿宋"/>
                <w:color w:val="auto"/>
                <w:szCs w:val="21"/>
                <w:highlight w:val="none"/>
              </w:rPr>
              <w:t>出现前款（1）（2）情形的，视为放弃投标（响应）；出现前款（3）情形的，由</w:t>
            </w:r>
            <w:r>
              <w:rPr>
                <w:rFonts w:hint="eastAsia" w:ascii="仿宋" w:hAnsi="仿宋" w:cs="仿宋"/>
                <w:color w:val="auto"/>
                <w:szCs w:val="21"/>
                <w:highlight w:val="none"/>
                <w:lang w:eastAsia="zh-CN"/>
              </w:rPr>
              <w:t>投标人</w:t>
            </w:r>
            <w:r>
              <w:rPr>
                <w:rFonts w:hint="eastAsia" w:ascii="仿宋" w:hAnsi="仿宋" w:eastAsia="仿宋" w:cs="仿宋"/>
                <w:color w:val="auto"/>
                <w:szCs w:val="21"/>
                <w:highlight w:val="none"/>
              </w:rPr>
              <w:t>自行承担相应责任。</w:t>
            </w:r>
          </w:p>
        </w:tc>
      </w:tr>
      <w:tr w14:paraId="51B4CC9A">
        <w:tblPrEx>
          <w:tblCellMar>
            <w:top w:w="0" w:type="dxa"/>
            <w:left w:w="108" w:type="dxa"/>
            <w:bottom w:w="0" w:type="dxa"/>
            <w:right w:w="108" w:type="dxa"/>
          </w:tblCellMar>
        </w:tblPrEx>
        <w:trPr>
          <w:trHeight w:val="47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7260291B">
            <w:pPr>
              <w:pageBreakBefore w:val="0"/>
              <w:widowControl/>
              <w:kinsoku/>
              <w:wordWrap/>
              <w:overflowPunct/>
              <w:autoSpaceDE/>
              <w:autoSpaceDN/>
              <w:bidi w:val="0"/>
              <w:spacing w:line="360" w:lineRule="exact"/>
              <w:jc w:val="center"/>
              <w:rPr>
                <w:rFonts w:hint="eastAsia" w:ascii="仿宋" w:hAnsi="仿宋" w:eastAsia="仿宋" w:cs="仿宋"/>
                <w:szCs w:val="21"/>
                <w:lang w:val="en-US" w:eastAsia="zh-CN"/>
              </w:rPr>
            </w:pPr>
            <w:r>
              <w:rPr>
                <w:rFonts w:hint="eastAsia" w:ascii="仿宋_GB2312" w:hAnsi="仿宋_GB2312" w:eastAsia="仿宋_GB2312" w:cs="仿宋_GB2312"/>
                <w:color w:val="auto"/>
                <w:kern w:val="0"/>
                <w:szCs w:val="21"/>
                <w:highlight w:val="none"/>
                <w:lang w:val="en-US" w:eastAsia="zh-CN"/>
              </w:rPr>
              <w:t>41.5</w:t>
            </w:r>
          </w:p>
        </w:tc>
        <w:tc>
          <w:tcPr>
            <w:tcW w:w="2051" w:type="dxa"/>
            <w:tcBorders>
              <w:top w:val="single" w:color="auto" w:sz="4" w:space="0"/>
              <w:left w:val="single" w:color="auto" w:sz="4" w:space="0"/>
              <w:bottom w:val="single" w:color="auto" w:sz="4" w:space="0"/>
              <w:right w:val="single" w:color="auto" w:sz="8" w:space="0"/>
            </w:tcBorders>
            <w:shd w:val="clear" w:color="auto" w:fill="auto"/>
            <w:noWrap w:val="0"/>
            <w:vAlign w:val="center"/>
          </w:tcPr>
          <w:p w14:paraId="138DD9BE">
            <w:pPr>
              <w:keepNext w:val="0"/>
              <w:keepLines w:val="0"/>
              <w:pageBreakBefore w:val="0"/>
              <w:kinsoku/>
              <w:wordWrap/>
              <w:overflowPunct/>
              <w:topLinePunct w:val="0"/>
              <w:autoSpaceDE/>
              <w:autoSpaceDN/>
              <w:bidi w:val="0"/>
              <w:spacing w:line="360" w:lineRule="exact"/>
              <w:jc w:val="center"/>
              <w:rPr>
                <w:rFonts w:hint="eastAsia" w:ascii="仿宋" w:hAnsi="仿宋" w:eastAsia="仿宋" w:cs="仿宋"/>
                <w:b/>
                <w:kern w:val="2"/>
                <w:sz w:val="21"/>
                <w:szCs w:val="21"/>
                <w:lang w:val="en-US" w:eastAsia="zh-CN" w:bidi="ar-SA"/>
              </w:rPr>
            </w:pPr>
            <w:r>
              <w:rPr>
                <w:rFonts w:hint="eastAsia" w:ascii="仿宋" w:hAnsi="仿宋" w:eastAsia="仿宋" w:cs="仿宋"/>
                <w:color w:val="auto"/>
                <w:szCs w:val="21"/>
                <w:highlight w:val="none"/>
              </w:rPr>
              <w:t>导致电子评审系统无法正常运行的处理</w:t>
            </w:r>
          </w:p>
        </w:tc>
        <w:tc>
          <w:tcPr>
            <w:tcW w:w="6820" w:type="dxa"/>
            <w:tcBorders>
              <w:top w:val="single" w:color="auto" w:sz="4" w:space="0"/>
              <w:left w:val="nil"/>
              <w:bottom w:val="single" w:color="auto" w:sz="4" w:space="0"/>
              <w:right w:val="single" w:color="auto" w:sz="8" w:space="0"/>
            </w:tcBorders>
            <w:shd w:val="clear" w:color="auto" w:fill="auto"/>
            <w:noWrap w:val="0"/>
            <w:vAlign w:val="center"/>
          </w:tcPr>
          <w:p w14:paraId="2F1DF090">
            <w:pPr>
              <w:keepNext w:val="0"/>
              <w:keepLines w:val="0"/>
              <w:pageBreakBefore w:val="0"/>
              <w:kinsoku/>
              <w:wordWrap/>
              <w:overflowPunct/>
              <w:topLinePunct w:val="0"/>
              <w:autoSpaceDE/>
              <w:autoSpaceDN/>
              <w:bidi w:val="0"/>
              <w:spacing w:line="36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采购活动中出现以下情况，导致电子评审系统无法正常运行，或者无法保证电子评审的公平、公正和安全时，采购人、采购代理机构应按以下规定处理：</w:t>
            </w:r>
          </w:p>
          <w:p w14:paraId="161306B9">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（1）电子评审系统发生故障导致无法登录访问；</w:t>
            </w:r>
          </w:p>
          <w:p w14:paraId="366184A6">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（2）电子评审系统数据库出现错误，不能进行正常操作的；</w:t>
            </w:r>
          </w:p>
          <w:p w14:paraId="62C79F3D">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（3）电子评审系统出现严重安全漏洞，有潜在泄密危险的；</w:t>
            </w:r>
          </w:p>
          <w:p w14:paraId="28DBAF67">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（4）病毒发作导致不能进行正常操作的；</w:t>
            </w:r>
          </w:p>
          <w:p w14:paraId="4A96BA7A">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其他无法保证电子评审的公平、公正和安全的情况。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分钟内对问题进行鉴定，将鉴定结果反馈采购人或采购代理机构，并记录存档。采购人、采购代理机构应将有关情况请示本级财政部门后，分类进行处理。其中：</w:t>
            </w:r>
          </w:p>
          <w:p w14:paraId="5993D49F">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（1）接收投标、</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截止时间前出现上述情形影响</w:t>
            </w:r>
            <w:r>
              <w:rPr>
                <w:rFonts w:hint="eastAsia" w:ascii="仿宋" w:hAnsi="仿宋" w:cs="仿宋"/>
                <w:color w:val="auto"/>
                <w:szCs w:val="21"/>
                <w:highlight w:val="none"/>
                <w:lang w:eastAsia="zh-CN"/>
              </w:rPr>
              <w:t>投标单位</w:t>
            </w:r>
            <w:r>
              <w:rPr>
                <w:rFonts w:hint="eastAsia" w:ascii="仿宋" w:hAnsi="仿宋" w:eastAsia="仿宋" w:cs="仿宋"/>
                <w:color w:val="auto"/>
                <w:szCs w:val="21"/>
                <w:highlight w:val="none"/>
              </w:rPr>
              <w:t>上传投标（响应）文件但不影响采购活动公平公正的，的， 可使用其备份文件进行评审。</w:t>
            </w:r>
          </w:p>
          <w:p w14:paraId="7119B5A0">
            <w:pPr>
              <w:keepNext w:val="0"/>
              <w:keepLines w:val="0"/>
              <w:pageBreakBefore w:val="0"/>
              <w:kinsoku/>
              <w:wordWrap/>
              <w:overflowPunct/>
              <w:topLinePunct w:val="0"/>
              <w:autoSpaceDE/>
              <w:autoSpaceDN/>
              <w:bidi w:val="0"/>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（2）接收投标、</w:t>
            </w:r>
            <w:r>
              <w:rPr>
                <w:rFonts w:hint="eastAsia" w:ascii="仿宋" w:hAnsi="仿宋" w:eastAsia="仿宋" w:cs="仿宋"/>
                <w:color w:val="auto"/>
                <w:szCs w:val="21"/>
                <w:highlight w:val="none"/>
                <w:lang w:eastAsia="zh-CN"/>
              </w:rPr>
              <w:t>投标文件</w:t>
            </w:r>
            <w:r>
              <w:rPr>
                <w:rFonts w:hint="eastAsia" w:ascii="仿宋" w:hAnsi="仿宋" w:eastAsia="仿宋" w:cs="仿宋"/>
                <w:color w:val="auto"/>
                <w:szCs w:val="21"/>
                <w:highlight w:val="none"/>
              </w:rPr>
              <w:t>截止时间后出现上述情形但短时间可以消除的，应当延长评审时间，短时间内无法消除的，可启用备份文件进行评审。</w:t>
            </w:r>
          </w:p>
          <w:p w14:paraId="3C233F3E">
            <w:pPr>
              <w:keepNext w:val="0"/>
              <w:keepLines w:val="0"/>
              <w:pageBreakBefore w:val="0"/>
              <w:kinsoku/>
              <w:wordWrap/>
              <w:overflowPunct/>
              <w:topLinePunct w:val="0"/>
              <w:autoSpaceDE/>
              <w:autoSpaceDN/>
              <w:bidi w:val="0"/>
              <w:spacing w:line="360" w:lineRule="exact"/>
              <w:rPr>
                <w:rFonts w:hint="eastAsia" w:ascii="仿宋" w:hAnsi="仿宋" w:eastAsia="仿宋" w:cs="仿宋"/>
                <w:kern w:val="2"/>
                <w:sz w:val="21"/>
                <w:szCs w:val="21"/>
                <w:lang w:val="zh-CN" w:eastAsia="zh-CN" w:bidi="ar-SA"/>
              </w:rPr>
            </w:pPr>
            <w:r>
              <w:rPr>
                <w:rFonts w:hint="eastAsia" w:ascii="仿宋" w:hAnsi="仿宋" w:eastAsia="仿宋" w:cs="仿宋"/>
                <w:color w:val="auto"/>
                <w:szCs w:val="21"/>
                <w:highlight w:val="none"/>
              </w:rPr>
              <w:t>（3）出现影响或可能影响采购活动公平公正的，应当重新开展采购活动。</w:t>
            </w:r>
          </w:p>
        </w:tc>
      </w:tr>
      <w:tr w14:paraId="1524EA37">
        <w:tblPrEx>
          <w:tblCellMar>
            <w:top w:w="0" w:type="dxa"/>
            <w:left w:w="108" w:type="dxa"/>
            <w:bottom w:w="0" w:type="dxa"/>
            <w:right w:w="108" w:type="dxa"/>
          </w:tblCellMar>
        </w:tblPrEx>
        <w:trPr>
          <w:trHeight w:val="47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389A6552">
            <w:pPr>
              <w:pageBreakBefore w:val="0"/>
              <w:widowControl/>
              <w:kinsoku/>
              <w:wordWrap/>
              <w:overflowPunct/>
              <w:autoSpaceDE/>
              <w:autoSpaceDN/>
              <w:bidi w:val="0"/>
              <w:spacing w:line="360" w:lineRule="exact"/>
              <w:jc w:val="center"/>
              <w:rPr>
                <w:rFonts w:hint="eastAsia" w:ascii="仿宋" w:hAnsi="仿宋" w:eastAsia="仿宋" w:cs="仿宋"/>
                <w:szCs w:val="21"/>
                <w:lang w:val="en-US" w:eastAsia="zh-CN"/>
              </w:rPr>
            </w:pPr>
            <w:r>
              <w:rPr>
                <w:rFonts w:hint="eastAsia" w:ascii="仿宋_GB2312" w:hAnsi="仿宋_GB2312" w:eastAsia="仿宋_GB2312" w:cs="仿宋_GB2312"/>
                <w:color w:val="auto"/>
                <w:kern w:val="0"/>
                <w:szCs w:val="21"/>
                <w:highlight w:val="none"/>
                <w:lang w:val="en-US" w:eastAsia="zh-CN"/>
              </w:rPr>
              <w:t>41.6</w:t>
            </w:r>
          </w:p>
        </w:tc>
        <w:tc>
          <w:tcPr>
            <w:tcW w:w="2051" w:type="dxa"/>
            <w:tcBorders>
              <w:top w:val="single" w:color="auto" w:sz="4" w:space="0"/>
              <w:left w:val="single" w:color="auto" w:sz="4" w:space="0"/>
              <w:bottom w:val="single" w:color="auto" w:sz="4" w:space="0"/>
              <w:right w:val="single" w:color="auto" w:sz="8" w:space="0"/>
            </w:tcBorders>
            <w:shd w:val="clear" w:color="auto" w:fill="auto"/>
            <w:noWrap w:val="0"/>
            <w:vAlign w:val="center"/>
          </w:tcPr>
          <w:p w14:paraId="110E1FE4">
            <w:pPr>
              <w:pageBreakBefore w:val="0"/>
              <w:kinsoku/>
              <w:wordWrap/>
              <w:overflowPunct/>
              <w:topLinePunct w:val="0"/>
              <w:autoSpaceDE/>
              <w:autoSpaceDN/>
              <w:bidi w:val="0"/>
              <w:spacing w:line="360" w:lineRule="exact"/>
              <w:jc w:val="center"/>
              <w:rPr>
                <w:rFonts w:hint="eastAsia" w:ascii="仿宋" w:hAnsi="仿宋" w:eastAsia="仿宋" w:cs="仿宋"/>
                <w:b/>
                <w:kern w:val="2"/>
                <w:sz w:val="21"/>
                <w:szCs w:val="21"/>
                <w:lang w:val="en-US" w:eastAsia="zh-CN" w:bidi="ar-SA"/>
              </w:rPr>
            </w:pPr>
            <w:r>
              <w:rPr>
                <w:rFonts w:hint="eastAsia" w:ascii="仿宋" w:hAnsi="仿宋" w:eastAsia="仿宋" w:cs="仿宋"/>
                <w:szCs w:val="21"/>
              </w:rPr>
              <w:t>无效的投标文件</w:t>
            </w:r>
          </w:p>
        </w:tc>
        <w:tc>
          <w:tcPr>
            <w:tcW w:w="6820" w:type="dxa"/>
            <w:tcBorders>
              <w:top w:val="single" w:color="auto" w:sz="4" w:space="0"/>
              <w:left w:val="nil"/>
              <w:bottom w:val="single" w:color="auto" w:sz="4" w:space="0"/>
              <w:right w:val="single" w:color="auto" w:sz="8" w:space="0"/>
            </w:tcBorders>
            <w:shd w:val="clear" w:color="auto" w:fill="auto"/>
            <w:noWrap w:val="0"/>
            <w:vAlign w:val="center"/>
          </w:tcPr>
          <w:p w14:paraId="0121CD47">
            <w:pPr>
              <w:pageBreakBefore w:val="0"/>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1 \* GB2 </w:instrText>
            </w:r>
            <w:r>
              <w:rPr>
                <w:rFonts w:hint="eastAsia" w:ascii="仿宋" w:hAnsi="仿宋" w:eastAsia="仿宋" w:cs="仿宋"/>
              </w:rPr>
              <w:fldChar w:fldCharType="separate"/>
            </w:r>
            <w:r>
              <w:rPr>
                <w:rFonts w:hint="eastAsia" w:ascii="仿宋" w:hAnsi="仿宋" w:eastAsia="仿宋" w:cs="仿宋"/>
              </w:rPr>
              <w:t>⑴</w:t>
            </w:r>
            <w:r>
              <w:rPr>
                <w:rFonts w:hint="eastAsia" w:ascii="仿宋" w:hAnsi="仿宋" w:eastAsia="仿宋" w:cs="仿宋"/>
              </w:rPr>
              <w:fldChar w:fldCharType="end"/>
            </w:r>
            <w:r>
              <w:rPr>
                <w:rFonts w:hint="eastAsia" w:ascii="仿宋" w:hAnsi="仿宋" w:eastAsia="仿宋" w:cs="仿宋"/>
              </w:rPr>
              <w:t>符合专业条件的投标单位或者对招标文件作实质性响应的投标单位不足法定三家的；</w:t>
            </w:r>
          </w:p>
          <w:p w14:paraId="7A4990A7">
            <w:pPr>
              <w:pageBreakBefore w:val="0"/>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2 \* GB2 </w:instrText>
            </w:r>
            <w:r>
              <w:rPr>
                <w:rFonts w:hint="eastAsia" w:ascii="仿宋" w:hAnsi="仿宋" w:eastAsia="仿宋" w:cs="仿宋"/>
              </w:rPr>
              <w:fldChar w:fldCharType="separate"/>
            </w:r>
            <w:r>
              <w:rPr>
                <w:rFonts w:hint="eastAsia" w:ascii="仿宋" w:hAnsi="仿宋" w:eastAsia="仿宋" w:cs="仿宋"/>
              </w:rPr>
              <w:t>⑵</w:t>
            </w:r>
            <w:r>
              <w:rPr>
                <w:rFonts w:hint="eastAsia" w:ascii="仿宋" w:hAnsi="仿宋" w:eastAsia="仿宋" w:cs="仿宋"/>
              </w:rPr>
              <w:fldChar w:fldCharType="end"/>
            </w:r>
            <w:r>
              <w:rPr>
                <w:rFonts w:hint="eastAsia" w:ascii="仿宋" w:hAnsi="仿宋" w:eastAsia="仿宋" w:cs="仿宋"/>
              </w:rPr>
              <w:t>不能完全满足招标文件实质性要求的,未按招标文件要求（含变更公告、澄清文件等）向代理机构提交相关材料的；</w:t>
            </w:r>
          </w:p>
          <w:p w14:paraId="220A59A0">
            <w:pPr>
              <w:pageBreakBefore w:val="0"/>
              <w:widowControl/>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3 \* GB2 </w:instrText>
            </w:r>
            <w:r>
              <w:rPr>
                <w:rFonts w:hint="eastAsia" w:ascii="仿宋" w:hAnsi="仿宋" w:eastAsia="仿宋" w:cs="仿宋"/>
              </w:rPr>
              <w:fldChar w:fldCharType="separate"/>
            </w:r>
            <w:r>
              <w:rPr>
                <w:rFonts w:hint="eastAsia" w:ascii="仿宋" w:hAnsi="仿宋" w:eastAsia="仿宋" w:cs="仿宋"/>
              </w:rPr>
              <w:t>⑶</w:t>
            </w:r>
            <w:r>
              <w:rPr>
                <w:rFonts w:hint="eastAsia" w:ascii="仿宋" w:hAnsi="仿宋" w:eastAsia="仿宋" w:cs="仿宋"/>
              </w:rPr>
              <w:fldChar w:fldCharType="end"/>
            </w:r>
            <w:r>
              <w:rPr>
                <w:rFonts w:hint="eastAsia" w:ascii="仿宋" w:hAnsi="仿宋" w:eastAsia="仿宋" w:cs="仿宋"/>
              </w:rPr>
              <w:t>投标人对所投包的采购内容必须全投，否则其投标无效。</w:t>
            </w:r>
          </w:p>
          <w:p w14:paraId="55CE534E">
            <w:pPr>
              <w:pageBreakBefore w:val="0"/>
              <w:widowControl/>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4 \* GB2 </w:instrText>
            </w:r>
            <w:r>
              <w:rPr>
                <w:rFonts w:hint="eastAsia" w:ascii="仿宋" w:hAnsi="仿宋" w:eastAsia="仿宋" w:cs="仿宋"/>
              </w:rPr>
              <w:fldChar w:fldCharType="separate"/>
            </w:r>
            <w:r>
              <w:rPr>
                <w:rFonts w:hint="eastAsia" w:ascii="仿宋" w:hAnsi="仿宋" w:eastAsia="仿宋" w:cs="仿宋"/>
              </w:rPr>
              <w:t>⑷</w:t>
            </w:r>
            <w:r>
              <w:rPr>
                <w:rFonts w:hint="eastAsia" w:ascii="仿宋" w:hAnsi="仿宋" w:eastAsia="仿宋" w:cs="仿宋"/>
              </w:rPr>
              <w:fldChar w:fldCharType="end"/>
            </w:r>
            <w:r>
              <w:rPr>
                <w:rFonts w:hint="eastAsia" w:ascii="仿宋" w:hAnsi="仿宋" w:eastAsia="仿宋" w:cs="仿宋"/>
              </w:rPr>
              <w:t>投标人未按规定格式填写或内容不全、关键字迹模糊不清、无法辨认或难以确认；</w:t>
            </w:r>
          </w:p>
          <w:p w14:paraId="73EFE613">
            <w:pPr>
              <w:pageBreakBefore w:val="0"/>
              <w:widowControl/>
              <w:kinsoku/>
              <w:wordWrap/>
              <w:overflowPunct/>
              <w:topLinePunct w:val="0"/>
              <w:autoSpaceDE/>
              <w:autoSpaceDN/>
              <w:bidi w:val="0"/>
              <w:spacing w:line="360" w:lineRule="exact"/>
              <w:textAlignment w:val="baseline"/>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 5 \* GB2 </w:instrText>
            </w:r>
            <w:r>
              <w:rPr>
                <w:rFonts w:hint="eastAsia" w:ascii="仿宋" w:hAnsi="仿宋" w:eastAsia="仿宋" w:cs="仿宋"/>
              </w:rPr>
              <w:fldChar w:fldCharType="separate"/>
            </w:r>
            <w:r>
              <w:rPr>
                <w:rFonts w:hint="eastAsia" w:ascii="仿宋" w:hAnsi="仿宋" w:eastAsia="仿宋" w:cs="仿宋"/>
              </w:rPr>
              <w:t>⑸</w:t>
            </w:r>
            <w:r>
              <w:rPr>
                <w:rFonts w:hint="eastAsia" w:ascii="仿宋" w:hAnsi="仿宋" w:eastAsia="仿宋" w:cs="仿宋"/>
              </w:rPr>
              <w:fldChar w:fldCharType="end"/>
            </w:r>
            <w:r>
              <w:rPr>
                <w:rFonts w:hint="eastAsia" w:ascii="仿宋" w:hAnsi="仿宋" w:eastAsia="仿宋" w:cs="仿宋"/>
              </w:rPr>
              <w:t>未按照招标文件规定要求签署、盖章的；</w:t>
            </w:r>
          </w:p>
          <w:p w14:paraId="69370B5B">
            <w:pPr>
              <w:pageBreakBefore w:val="0"/>
              <w:widowControl/>
              <w:kinsoku/>
              <w:wordWrap/>
              <w:overflowPunct/>
              <w:topLinePunct w:val="0"/>
              <w:autoSpaceDE/>
              <w:autoSpaceDN/>
              <w:bidi w:val="0"/>
              <w:spacing w:line="360" w:lineRule="exact"/>
              <w:textAlignment w:val="baseline"/>
              <w:rPr>
                <w:rFonts w:hint="eastAsia" w:ascii="仿宋" w:hAnsi="仿宋" w:eastAsia="仿宋" w:cs="仿宋"/>
              </w:rPr>
            </w:pPr>
            <w:r>
              <w:rPr>
                <w:rFonts w:hint="eastAsia" w:ascii="仿宋" w:hAnsi="仿宋" w:eastAsia="仿宋" w:cs="仿宋"/>
                <w:lang w:eastAsia="zh-CN"/>
              </w:rPr>
              <w:t>⑹</w:t>
            </w:r>
            <w:r>
              <w:rPr>
                <w:rFonts w:hint="eastAsia" w:ascii="仿宋" w:hAnsi="仿宋" w:eastAsia="仿宋" w:cs="仿宋"/>
              </w:rPr>
              <w:t>不具备招标文件中规定的资格要求的；</w:t>
            </w:r>
          </w:p>
          <w:p w14:paraId="3FDCD427">
            <w:pPr>
              <w:pageBreakBefore w:val="0"/>
              <w:widowControl/>
              <w:kinsoku/>
              <w:wordWrap/>
              <w:overflowPunct/>
              <w:topLinePunct w:val="0"/>
              <w:autoSpaceDE/>
              <w:autoSpaceDN/>
              <w:bidi w:val="0"/>
              <w:spacing w:line="360" w:lineRule="exact"/>
              <w:textAlignment w:val="baseline"/>
              <w:rPr>
                <w:rFonts w:hint="eastAsia" w:ascii="仿宋" w:hAnsi="仿宋" w:eastAsia="仿宋" w:cs="仿宋"/>
              </w:rPr>
            </w:pPr>
            <w:r>
              <w:rPr>
                <w:rFonts w:hint="eastAsia" w:ascii="仿宋" w:hAnsi="仿宋" w:eastAsia="仿宋" w:cs="仿宋"/>
                <w:lang w:eastAsia="zh-CN"/>
              </w:rPr>
              <w:t>⑺</w:t>
            </w:r>
            <w:r>
              <w:rPr>
                <w:rFonts w:hint="eastAsia" w:ascii="仿宋" w:hAnsi="仿宋" w:eastAsia="仿宋" w:cs="仿宋"/>
              </w:rPr>
              <w:t>与其他投标人串通投标，或者与采购人串通投标；</w:t>
            </w:r>
          </w:p>
          <w:p w14:paraId="63B2BCA1">
            <w:pPr>
              <w:pageBreakBefore w:val="0"/>
              <w:widowControl/>
              <w:kinsoku/>
              <w:wordWrap/>
              <w:overflowPunct/>
              <w:topLinePunct w:val="0"/>
              <w:autoSpaceDE/>
              <w:autoSpaceDN/>
              <w:bidi w:val="0"/>
              <w:spacing w:line="360" w:lineRule="exact"/>
              <w:textAlignment w:val="baseline"/>
              <w:rPr>
                <w:rFonts w:hint="eastAsia" w:ascii="仿宋" w:hAnsi="仿宋" w:eastAsia="仿宋" w:cs="仿宋"/>
              </w:rPr>
            </w:pPr>
            <w:r>
              <w:rPr>
                <w:rFonts w:hint="eastAsia" w:ascii="仿宋" w:hAnsi="仿宋" w:eastAsia="仿宋" w:cs="仿宋"/>
                <w:lang w:eastAsia="zh-CN"/>
              </w:rPr>
              <w:t>⑻</w:t>
            </w:r>
            <w:r>
              <w:rPr>
                <w:rFonts w:hint="eastAsia" w:ascii="仿宋" w:hAnsi="仿宋" w:eastAsia="仿宋" w:cs="仿宋"/>
              </w:rPr>
              <w:t>投标文件含有采购人不能接受的附加条件的；</w:t>
            </w:r>
          </w:p>
          <w:p w14:paraId="4B26A978">
            <w:pPr>
              <w:pageBreakBefore w:val="0"/>
              <w:widowControl/>
              <w:kinsoku/>
              <w:wordWrap/>
              <w:overflowPunct/>
              <w:topLinePunct w:val="0"/>
              <w:autoSpaceDE/>
              <w:autoSpaceDN/>
              <w:bidi w:val="0"/>
              <w:spacing w:line="360" w:lineRule="exact"/>
              <w:textAlignment w:val="baseline"/>
              <w:rPr>
                <w:rFonts w:hint="eastAsia" w:ascii="仿宋" w:hAnsi="仿宋" w:eastAsia="仿宋" w:cs="仿宋"/>
              </w:rPr>
            </w:pPr>
            <w:r>
              <w:rPr>
                <w:rFonts w:hint="eastAsia" w:ascii="仿宋" w:hAnsi="仿宋" w:eastAsia="仿宋" w:cs="仿宋"/>
                <w:lang w:eastAsia="zh-CN"/>
              </w:rPr>
              <w:t>⑼</w:t>
            </w:r>
            <w:r>
              <w:rPr>
                <w:rFonts w:hint="eastAsia" w:ascii="仿宋" w:hAnsi="仿宋" w:eastAsia="仿宋" w:cs="仿宋"/>
              </w:rPr>
              <w:t>属于法律、法规和招标文件规定的其他投标无效情形；</w:t>
            </w:r>
          </w:p>
          <w:p w14:paraId="107200E6">
            <w:pPr>
              <w:pageBreakBefore w:val="0"/>
              <w:widowControl/>
              <w:kinsoku/>
              <w:wordWrap/>
              <w:overflowPunct/>
              <w:topLinePunct w:val="0"/>
              <w:autoSpaceDE/>
              <w:autoSpaceDN/>
              <w:bidi w:val="0"/>
              <w:spacing w:line="360" w:lineRule="exact"/>
              <w:textAlignment w:val="baseline"/>
              <w:rPr>
                <w:rFonts w:hint="eastAsia" w:ascii="仿宋" w:hAnsi="仿宋" w:eastAsia="仿宋" w:cs="仿宋"/>
              </w:rPr>
            </w:pPr>
            <w:r>
              <w:rPr>
                <w:rFonts w:hint="eastAsia" w:ascii="仿宋" w:hAnsi="仿宋" w:eastAsia="仿宋" w:cs="仿宋"/>
                <w:lang w:eastAsia="zh-CN"/>
              </w:rPr>
              <w:t>⑽</w:t>
            </w:r>
            <w:r>
              <w:rPr>
                <w:rFonts w:hint="eastAsia" w:ascii="仿宋" w:hAnsi="仿宋" w:eastAsia="仿宋" w:cs="仿宋"/>
              </w:rPr>
              <w:t>投标人递交两份或多份内容不同的投标文件，或在一份投标文件中对同一招标项目报有两个或多个报价，且未声明哪一个有效的；</w:t>
            </w:r>
          </w:p>
          <w:p w14:paraId="0782B743">
            <w:pPr>
              <w:pageBreakBefore w:val="0"/>
              <w:widowControl/>
              <w:kinsoku/>
              <w:wordWrap/>
              <w:overflowPunct/>
              <w:topLinePunct w:val="0"/>
              <w:autoSpaceDE/>
              <w:autoSpaceDN/>
              <w:bidi w:val="0"/>
              <w:spacing w:line="360" w:lineRule="exact"/>
              <w:textAlignment w:val="baseline"/>
              <w:rPr>
                <w:rFonts w:hint="eastAsia" w:ascii="仿宋" w:hAnsi="仿宋" w:eastAsia="仿宋" w:cs="仿宋"/>
              </w:rPr>
            </w:pPr>
            <w:r>
              <w:rPr>
                <w:rFonts w:hint="eastAsia" w:ascii="仿宋" w:hAnsi="仿宋" w:eastAsia="仿宋" w:cs="仿宋"/>
                <w:lang w:eastAsia="zh-CN"/>
              </w:rPr>
              <w:t>⑾</w:t>
            </w:r>
            <w:r>
              <w:rPr>
                <w:rFonts w:hint="eastAsia" w:ascii="仿宋" w:hAnsi="仿宋" w:eastAsia="仿宋" w:cs="仿宋"/>
              </w:rPr>
              <w:t>不同投标文件之间的内容或数据大量雷同具有明显的互相抄袭现象；</w:t>
            </w:r>
          </w:p>
          <w:p w14:paraId="6911CE77">
            <w:pPr>
              <w:pageBreakBefore w:val="0"/>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lang w:eastAsia="zh-CN"/>
              </w:rPr>
              <w:t>⑿</w:t>
            </w:r>
            <w:r>
              <w:rPr>
                <w:rFonts w:hint="eastAsia" w:ascii="仿宋" w:hAnsi="仿宋" w:eastAsia="仿宋" w:cs="仿宋"/>
              </w:rPr>
              <w:t>投标人名称或组织机构与资格预审时不一致的或资格后审不合格的；</w:t>
            </w:r>
          </w:p>
          <w:p w14:paraId="71A66A84">
            <w:pPr>
              <w:pageBreakBefore w:val="0"/>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lang w:eastAsia="zh-CN"/>
              </w:rPr>
              <w:t>⒀</w:t>
            </w:r>
            <w:r>
              <w:rPr>
                <w:rFonts w:hint="eastAsia" w:ascii="仿宋" w:hAnsi="仿宋" w:eastAsia="仿宋" w:cs="仿宋"/>
              </w:rPr>
              <w:t>投标人的报价均超过采购预算，采购方不能支付的；</w:t>
            </w:r>
          </w:p>
          <w:p w14:paraId="35CBB1B6">
            <w:pPr>
              <w:pageBreakBefore w:val="0"/>
              <w:widowControl/>
              <w:kinsoku/>
              <w:wordWrap/>
              <w:overflowPunct/>
              <w:topLinePunct w:val="0"/>
              <w:autoSpaceDE/>
              <w:autoSpaceDN/>
              <w:bidi w:val="0"/>
              <w:spacing w:line="360" w:lineRule="exact"/>
              <w:jc w:val="left"/>
              <w:rPr>
                <w:rFonts w:hint="eastAsia" w:ascii="仿宋" w:hAnsi="仿宋" w:eastAsia="仿宋" w:cs="仿宋"/>
              </w:rPr>
            </w:pPr>
            <w:r>
              <w:rPr>
                <w:rFonts w:hint="eastAsia" w:ascii="仿宋" w:hAnsi="仿宋" w:eastAsia="仿宋" w:cs="仿宋"/>
                <w:lang w:eastAsia="zh-CN"/>
              </w:rPr>
              <w:t>⒁</w:t>
            </w:r>
            <w:r>
              <w:rPr>
                <w:rFonts w:hint="eastAsia" w:ascii="仿宋" w:hAnsi="仿宋" w:eastAsia="仿宋" w:cs="仿宋"/>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废标处理；</w:t>
            </w:r>
          </w:p>
          <w:p w14:paraId="784709D2">
            <w:pPr>
              <w:pageBreakBefore w:val="0"/>
              <w:widowControl/>
              <w:kinsoku/>
              <w:wordWrap/>
              <w:overflowPunct/>
              <w:topLinePunct w:val="0"/>
              <w:autoSpaceDE/>
              <w:autoSpaceDN/>
              <w:bidi w:val="0"/>
              <w:spacing w:line="360" w:lineRule="exact"/>
              <w:jc w:val="left"/>
              <w:rPr>
                <w:rFonts w:hint="eastAsia" w:ascii="仿宋" w:hAnsi="仿宋" w:eastAsia="仿宋" w:cs="仿宋"/>
              </w:rPr>
            </w:pPr>
            <w:r>
              <w:rPr>
                <w:rFonts w:hint="eastAsia" w:ascii="仿宋" w:hAnsi="仿宋" w:eastAsia="仿宋" w:cs="仿宋"/>
              </w:rPr>
              <w:t>投标报价有算术错误的，评标委员会按以下原则对投标报价进行修正，修正的价格经投标人书面确认后具有约束力。投标人不接受修正价格的，其投标作废标处理。</w:t>
            </w:r>
          </w:p>
          <w:p w14:paraId="71B70EAD">
            <w:pPr>
              <w:pageBreakBefore w:val="0"/>
              <w:widowControl/>
              <w:kinsoku/>
              <w:wordWrap/>
              <w:overflowPunct/>
              <w:topLinePunct w:val="0"/>
              <w:autoSpaceDE/>
              <w:autoSpaceDN/>
              <w:bidi w:val="0"/>
              <w:spacing w:line="360" w:lineRule="exact"/>
              <w:jc w:val="left"/>
              <w:rPr>
                <w:rFonts w:hint="eastAsia" w:ascii="仿宋" w:hAnsi="仿宋" w:eastAsia="仿宋" w:cs="仿宋"/>
              </w:rPr>
            </w:pPr>
            <w:r>
              <w:rPr>
                <w:rFonts w:hint="eastAsia" w:ascii="仿宋" w:hAnsi="仿宋" w:eastAsia="仿宋" w:cs="仿宋"/>
              </w:rPr>
              <w:t>①投标文件中的大写金额与小写金额不一致的，以大写金额为准；</w:t>
            </w:r>
          </w:p>
          <w:p w14:paraId="136CA328">
            <w:pPr>
              <w:pageBreakBefore w:val="0"/>
              <w:kinsoku/>
              <w:wordWrap/>
              <w:overflowPunct/>
              <w:topLinePunct w:val="0"/>
              <w:autoSpaceDE/>
              <w:autoSpaceDN/>
              <w:bidi w:val="0"/>
              <w:spacing w:line="360" w:lineRule="exact"/>
              <w:jc w:val="left"/>
              <w:rPr>
                <w:rFonts w:hint="eastAsia" w:ascii="仿宋" w:hAnsi="仿宋" w:eastAsia="仿宋" w:cs="仿宋"/>
              </w:rPr>
            </w:pPr>
            <w:r>
              <w:rPr>
                <w:rFonts w:hint="eastAsia" w:ascii="仿宋" w:hAnsi="仿宋" w:eastAsia="仿宋" w:cs="仿宋"/>
              </w:rPr>
              <w:t>②总价金额与单价金额不一致的，以单价金额为准，但单价金额小数点有明显错误的除外；</w:t>
            </w:r>
          </w:p>
          <w:p w14:paraId="61FCFB5F">
            <w:pPr>
              <w:pageBreakBefore w:val="0"/>
              <w:kinsoku/>
              <w:wordWrap/>
              <w:overflowPunct/>
              <w:topLinePunct w:val="0"/>
              <w:autoSpaceDE/>
              <w:autoSpaceDN/>
              <w:bidi w:val="0"/>
              <w:spacing w:line="360" w:lineRule="exact"/>
              <w:jc w:val="left"/>
              <w:rPr>
                <w:rFonts w:hint="eastAsia" w:ascii="仿宋" w:hAnsi="仿宋" w:eastAsia="仿宋" w:cs="仿宋"/>
              </w:rPr>
            </w:pPr>
            <w:r>
              <w:rPr>
                <w:rFonts w:hint="eastAsia" w:ascii="仿宋" w:hAnsi="仿宋" w:eastAsia="仿宋" w:cs="仿宋"/>
              </w:rPr>
              <w:t>③对不同文字文本投标文件的解释发生异议的，以中文文本为准。</w:t>
            </w:r>
          </w:p>
          <w:p w14:paraId="49A09402">
            <w:pPr>
              <w:pageBreakBefore w:val="0"/>
              <w:kinsoku/>
              <w:wordWrap/>
              <w:overflowPunct/>
              <w:topLinePunct w:val="0"/>
              <w:autoSpaceDE/>
              <w:autoSpaceDN/>
              <w:bidi w:val="0"/>
              <w:spacing w:line="360" w:lineRule="exact"/>
              <w:rPr>
                <w:rFonts w:hint="eastAsia" w:ascii="仿宋" w:hAnsi="仿宋" w:eastAsia="仿宋" w:cs="仿宋"/>
              </w:rPr>
            </w:pPr>
            <w:r>
              <w:rPr>
                <w:rFonts w:hint="eastAsia" w:ascii="仿宋" w:hAnsi="仿宋" w:eastAsia="仿宋" w:cs="仿宋"/>
              </w:rPr>
              <w:t>⒃因重大变故，采购任务取消的;</w:t>
            </w:r>
          </w:p>
          <w:p w14:paraId="0A1D5FA8">
            <w:pPr>
              <w:pageBreakBefore w:val="0"/>
              <w:kinsoku/>
              <w:wordWrap/>
              <w:overflowPunct/>
              <w:topLinePunct w:val="0"/>
              <w:autoSpaceDE/>
              <w:autoSpaceDN/>
              <w:bidi w:val="0"/>
              <w:spacing w:line="360" w:lineRule="exact"/>
              <w:rPr>
                <w:rFonts w:hint="eastAsia" w:ascii="仿宋" w:hAnsi="仿宋" w:eastAsia="仿宋" w:cs="仿宋"/>
                <w:kern w:val="2"/>
                <w:sz w:val="21"/>
                <w:szCs w:val="21"/>
                <w:lang w:val="zh-CN" w:eastAsia="zh-CN" w:bidi="ar-SA"/>
              </w:rPr>
            </w:pPr>
            <w:r>
              <w:rPr>
                <w:rFonts w:hint="eastAsia" w:ascii="仿宋" w:hAnsi="仿宋" w:eastAsia="仿宋" w:cs="仿宋"/>
              </w:rPr>
              <w:t>⒄出现影响采购公正的违法、违规行为的；</w:t>
            </w:r>
          </w:p>
        </w:tc>
      </w:tr>
      <w:tr w14:paraId="4EABAC7F">
        <w:tblPrEx>
          <w:tblCellMar>
            <w:top w:w="0" w:type="dxa"/>
            <w:left w:w="108" w:type="dxa"/>
            <w:bottom w:w="0" w:type="dxa"/>
            <w:right w:w="108" w:type="dxa"/>
          </w:tblCellMar>
        </w:tblPrEx>
        <w:trPr>
          <w:trHeight w:val="304" w:hRule="atLeast"/>
          <w:jc w:val="center"/>
        </w:trPr>
        <w:tc>
          <w:tcPr>
            <w:tcW w:w="852" w:type="dxa"/>
            <w:tcBorders>
              <w:top w:val="single" w:color="auto" w:sz="4" w:space="0"/>
              <w:left w:val="single" w:color="auto" w:sz="8" w:space="0"/>
              <w:bottom w:val="single" w:color="auto" w:sz="4" w:space="0"/>
              <w:right w:val="single" w:color="auto" w:sz="4" w:space="0"/>
            </w:tcBorders>
            <w:noWrap w:val="0"/>
            <w:vAlign w:val="center"/>
          </w:tcPr>
          <w:p w14:paraId="5E441B07">
            <w:pPr>
              <w:pageBreakBefore w:val="0"/>
              <w:widowControl/>
              <w:kinsoku/>
              <w:wordWrap/>
              <w:overflowPunct/>
              <w:topLinePunct w:val="0"/>
              <w:autoSpaceDE/>
              <w:autoSpaceDN/>
              <w:bidi w:val="0"/>
              <w:spacing w:line="360" w:lineRule="exact"/>
              <w:jc w:val="center"/>
              <w:rPr>
                <w:rFonts w:hint="eastAsia" w:ascii="仿宋" w:hAnsi="仿宋" w:eastAsia="仿宋" w:cs="仿宋"/>
                <w:szCs w:val="21"/>
                <w:lang w:val="en-US" w:eastAsia="zh-CN"/>
              </w:rPr>
            </w:pPr>
            <w:r>
              <w:rPr>
                <w:rFonts w:hint="eastAsia" w:ascii="仿宋" w:hAnsi="仿宋" w:eastAsia="仿宋" w:cs="仿宋"/>
                <w:kern w:val="0"/>
                <w:szCs w:val="21"/>
              </w:rPr>
              <w:t>41.</w:t>
            </w:r>
            <w:r>
              <w:rPr>
                <w:rFonts w:hint="eastAsia" w:ascii="仿宋" w:hAnsi="仿宋" w:cs="仿宋"/>
                <w:kern w:val="0"/>
                <w:szCs w:val="21"/>
                <w:lang w:val="en-US" w:eastAsia="zh-CN"/>
              </w:rPr>
              <w:t>7</w:t>
            </w:r>
          </w:p>
        </w:tc>
        <w:tc>
          <w:tcPr>
            <w:tcW w:w="2051" w:type="dxa"/>
            <w:tcBorders>
              <w:top w:val="single" w:color="auto" w:sz="4" w:space="0"/>
              <w:left w:val="single" w:color="auto" w:sz="4" w:space="0"/>
              <w:bottom w:val="single" w:color="auto" w:sz="4" w:space="0"/>
              <w:right w:val="single" w:color="auto" w:sz="8" w:space="0"/>
            </w:tcBorders>
            <w:shd w:val="clear" w:color="auto" w:fill="auto"/>
            <w:noWrap w:val="0"/>
            <w:vAlign w:val="center"/>
          </w:tcPr>
          <w:p w14:paraId="07B4D4B4">
            <w:pPr>
              <w:pageBreakBefore w:val="0"/>
              <w:kinsoku/>
              <w:wordWrap/>
              <w:overflowPunct/>
              <w:topLinePunct w:val="0"/>
              <w:autoSpaceDE/>
              <w:autoSpaceDN/>
              <w:bidi w:val="0"/>
              <w:spacing w:line="360" w:lineRule="exact"/>
              <w:jc w:val="center"/>
              <w:rPr>
                <w:rFonts w:hint="eastAsia" w:ascii="仿宋" w:hAnsi="仿宋" w:eastAsia="仿宋" w:cs="仿宋"/>
                <w:bCs/>
                <w:kern w:val="2"/>
                <w:sz w:val="21"/>
                <w:szCs w:val="21"/>
                <w:lang w:val="en-US" w:eastAsia="zh-CN" w:bidi="ar-SA"/>
              </w:rPr>
            </w:pPr>
            <w:r>
              <w:rPr>
                <w:rFonts w:hint="eastAsia" w:ascii="仿宋" w:hAnsi="仿宋" w:eastAsia="仿宋" w:cs="仿宋"/>
                <w:szCs w:val="21"/>
                <w:lang w:val="zh-CN"/>
              </w:rPr>
              <w:t>强制采购节能产品、信息安全产品、优先采购环境标志产品</w:t>
            </w:r>
          </w:p>
        </w:tc>
        <w:tc>
          <w:tcPr>
            <w:tcW w:w="6820" w:type="dxa"/>
            <w:tcBorders>
              <w:top w:val="single" w:color="auto" w:sz="4" w:space="0"/>
              <w:left w:val="nil"/>
              <w:bottom w:val="single" w:color="auto" w:sz="4" w:space="0"/>
              <w:right w:val="single" w:color="auto" w:sz="8" w:space="0"/>
            </w:tcBorders>
            <w:shd w:val="clear" w:color="auto" w:fill="auto"/>
            <w:noWrap w:val="0"/>
            <w:vAlign w:val="center"/>
          </w:tcPr>
          <w:p w14:paraId="08217B5E">
            <w:pPr>
              <w:pageBreakBefore w:val="0"/>
              <w:kinsoku/>
              <w:wordWrap/>
              <w:overflowPunct/>
              <w:topLinePunct w:val="0"/>
              <w:autoSpaceDE/>
              <w:autoSpaceDN/>
              <w:bidi w:val="0"/>
              <w:spacing w:line="360" w:lineRule="exact"/>
              <w:ind w:firstLine="420" w:firstLineChars="200"/>
              <w:rPr>
                <w:rFonts w:hint="eastAsia" w:ascii="仿宋" w:hAnsi="仿宋" w:eastAsia="仿宋" w:cs="仿宋"/>
                <w:szCs w:val="21"/>
              </w:rPr>
            </w:pPr>
            <w:r>
              <w:rPr>
                <w:rFonts w:hint="eastAsia" w:ascii="仿宋" w:hAnsi="仿宋" w:eastAsia="仿宋" w:cs="仿宋"/>
                <w:szCs w:val="21"/>
              </w:rPr>
              <w:t>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国家认监委《信息安全产品强制性认证目录》，并获得强制性产品认证证书的产品；环境标志产品是指列入财政部、国家环保局制定的《环境标志产品政府采购清单》，且经过认证的环境标志产品。</w:t>
            </w:r>
          </w:p>
          <w:p w14:paraId="071485D5">
            <w:pPr>
              <w:pageBreakBefore w:val="0"/>
              <w:kinsoku/>
              <w:wordWrap/>
              <w:overflowPunct/>
              <w:topLinePunct w:val="0"/>
              <w:autoSpaceDE/>
              <w:autoSpaceDN/>
              <w:bidi w:val="0"/>
              <w:spacing w:line="360" w:lineRule="exact"/>
              <w:ind w:firstLine="420" w:firstLineChars="200"/>
              <w:rPr>
                <w:rFonts w:hint="eastAsia" w:ascii="仿宋" w:hAnsi="仿宋" w:eastAsia="仿宋" w:cs="仿宋"/>
                <w:szCs w:val="21"/>
              </w:rPr>
            </w:pPr>
            <w:r>
              <w:rPr>
                <w:rFonts w:hint="eastAsia" w:ascii="仿宋" w:hAnsi="仿宋" w:eastAsia="仿宋" w:cs="仿宋"/>
                <w:szCs w:val="21"/>
              </w:rPr>
              <w:t>提供的产品属于信息安全产品的，投标单位应当选择经国家认证的信息安全产品投标，并提供由中国信息安全认证中心按国家标准认证颁发的有效认证证书复印件。</w:t>
            </w:r>
          </w:p>
          <w:p w14:paraId="19468170">
            <w:pPr>
              <w:pageBreakBefore w:val="0"/>
              <w:kinsoku/>
              <w:wordWrap/>
              <w:overflowPunct/>
              <w:topLinePunct w:val="0"/>
              <w:autoSpaceDE/>
              <w:autoSpaceDN/>
              <w:bidi w:val="0"/>
              <w:spacing w:line="360" w:lineRule="exact"/>
              <w:ind w:firstLine="420" w:firstLineChars="200"/>
              <w:rPr>
                <w:rFonts w:hint="eastAsia" w:ascii="仿宋" w:hAnsi="仿宋" w:eastAsia="仿宋" w:cs="仿宋"/>
                <w:bCs/>
                <w:kern w:val="2"/>
                <w:sz w:val="21"/>
                <w:szCs w:val="21"/>
                <w:lang w:val="zh-CN" w:eastAsia="zh-CN" w:bidi="ar-SA"/>
              </w:rPr>
            </w:pPr>
            <w:r>
              <w:rPr>
                <w:rFonts w:hint="eastAsia" w:ascii="仿宋" w:hAnsi="仿宋" w:eastAsia="仿宋" w:cs="仿宋"/>
                <w:szCs w:val="21"/>
              </w:rPr>
              <w:t>提供产品属于政府强制采购节能产品的，投标单位应当选择《节能产品政府采购清单》中的产品投标，并提供有效地节能认证证书复印件。</w:t>
            </w:r>
          </w:p>
        </w:tc>
      </w:tr>
      <w:tr w14:paraId="4753C9F2">
        <w:tblPrEx>
          <w:tblCellMar>
            <w:top w:w="0" w:type="dxa"/>
            <w:left w:w="108" w:type="dxa"/>
            <w:bottom w:w="0" w:type="dxa"/>
            <w:right w:w="108" w:type="dxa"/>
          </w:tblCellMar>
        </w:tblPrEx>
        <w:trPr>
          <w:trHeight w:val="377" w:hRule="atLeast"/>
          <w:jc w:val="center"/>
        </w:trPr>
        <w:tc>
          <w:tcPr>
            <w:tcW w:w="852" w:type="dxa"/>
            <w:tcBorders>
              <w:top w:val="single" w:color="auto" w:sz="4" w:space="0"/>
              <w:left w:val="single" w:color="auto" w:sz="8" w:space="0"/>
              <w:bottom w:val="single" w:color="auto" w:sz="8" w:space="0"/>
              <w:right w:val="single" w:color="auto" w:sz="4" w:space="0"/>
            </w:tcBorders>
            <w:noWrap w:val="0"/>
            <w:vAlign w:val="center"/>
          </w:tcPr>
          <w:p w14:paraId="3EBD8AEA">
            <w:pPr>
              <w:pageBreakBefore w:val="0"/>
              <w:kinsoku/>
              <w:wordWrap/>
              <w:overflowPunct/>
              <w:topLinePunct w:val="0"/>
              <w:autoSpaceDE/>
              <w:autoSpaceDN/>
              <w:bidi w:val="0"/>
              <w:spacing w:line="360" w:lineRule="exact"/>
              <w:jc w:val="center"/>
              <w:rPr>
                <w:rFonts w:hint="eastAsia" w:ascii="仿宋" w:hAnsi="仿宋" w:eastAsia="仿宋" w:cs="仿宋"/>
                <w:szCs w:val="21"/>
                <w:lang w:val="en-US" w:eastAsia="zh-CN"/>
              </w:rPr>
            </w:pPr>
            <w:r>
              <w:rPr>
                <w:rFonts w:hint="eastAsia" w:ascii="仿宋" w:hAnsi="仿宋" w:eastAsia="仿宋" w:cs="仿宋"/>
                <w:bCs/>
                <w:szCs w:val="21"/>
              </w:rPr>
              <w:t>41.</w:t>
            </w:r>
            <w:r>
              <w:rPr>
                <w:rFonts w:hint="eastAsia" w:ascii="仿宋" w:hAnsi="仿宋" w:cs="仿宋"/>
                <w:bCs/>
                <w:szCs w:val="21"/>
                <w:lang w:val="en-US" w:eastAsia="zh-CN"/>
              </w:rPr>
              <w:t>8</w:t>
            </w:r>
          </w:p>
        </w:tc>
        <w:tc>
          <w:tcPr>
            <w:tcW w:w="8871" w:type="dxa"/>
            <w:gridSpan w:val="2"/>
            <w:tcBorders>
              <w:top w:val="single" w:color="auto" w:sz="4" w:space="0"/>
              <w:left w:val="single" w:color="auto" w:sz="4" w:space="0"/>
              <w:bottom w:val="single" w:color="auto" w:sz="8" w:space="0"/>
              <w:right w:val="single" w:color="auto" w:sz="8" w:space="0"/>
            </w:tcBorders>
            <w:noWrap w:val="0"/>
            <w:vAlign w:val="center"/>
          </w:tcPr>
          <w:p w14:paraId="151A466B">
            <w:pPr>
              <w:keepNext w:val="0"/>
              <w:keepLines w:val="0"/>
              <w:pageBreakBefore w:val="0"/>
              <w:numPr>
                <w:ilvl w:val="0"/>
                <w:numId w:val="0"/>
              </w:numPr>
              <w:kinsoku/>
              <w:wordWrap/>
              <w:overflowPunct/>
              <w:topLinePunct w:val="0"/>
              <w:autoSpaceDE/>
              <w:autoSpaceDN/>
              <w:bidi w:val="0"/>
              <w:spacing w:line="360" w:lineRule="exact"/>
              <w:rPr>
                <w:rFonts w:hint="eastAsia" w:ascii="仿宋" w:hAnsi="仿宋" w:eastAsia="仿宋" w:cs="仿宋"/>
                <w:b/>
                <w:bCs w:val="0"/>
                <w:color w:val="auto"/>
                <w:szCs w:val="21"/>
                <w:highlight w:val="green"/>
                <w:lang w:val="en-US" w:eastAsia="zh-CN"/>
              </w:rPr>
            </w:pPr>
            <w:r>
              <w:rPr>
                <w:rFonts w:hint="eastAsia" w:ascii="仿宋" w:hAnsi="仿宋" w:cs="仿宋"/>
                <w:b/>
                <w:bCs w:val="0"/>
                <w:color w:val="auto"/>
                <w:szCs w:val="21"/>
                <w:highlight w:val="green"/>
                <w:lang w:val="en-US" w:eastAsia="zh-CN"/>
              </w:rPr>
              <w:t>1、</w:t>
            </w:r>
            <w:r>
              <w:rPr>
                <w:rFonts w:hint="eastAsia" w:ascii="仿宋" w:hAnsi="仿宋" w:eastAsia="仿宋" w:cs="仿宋"/>
                <w:b/>
                <w:bCs w:val="0"/>
                <w:color w:val="auto"/>
                <w:szCs w:val="21"/>
                <w:highlight w:val="green"/>
                <w:lang w:val="en-US" w:eastAsia="zh-CN"/>
              </w:rPr>
              <w:t>本次采购资格审查方式为资格后审。</w:t>
            </w:r>
          </w:p>
          <w:p w14:paraId="563B560D">
            <w:pPr>
              <w:keepNext w:val="0"/>
              <w:keepLines w:val="0"/>
              <w:pageBreakBefore w:val="0"/>
              <w:numPr>
                <w:ilvl w:val="0"/>
                <w:numId w:val="0"/>
              </w:numPr>
              <w:kinsoku/>
              <w:wordWrap/>
              <w:overflowPunct/>
              <w:topLinePunct w:val="0"/>
              <w:autoSpaceDE/>
              <w:autoSpaceDN/>
              <w:bidi w:val="0"/>
              <w:spacing w:line="360" w:lineRule="exact"/>
              <w:rPr>
                <w:rFonts w:hint="eastAsia" w:ascii="仿宋" w:hAnsi="仿宋" w:eastAsia="仿宋" w:cs="仿宋"/>
                <w:b/>
                <w:bCs w:val="0"/>
                <w:color w:val="auto"/>
                <w:szCs w:val="21"/>
                <w:highlight w:val="green"/>
                <w:lang w:val="en-US" w:eastAsia="zh-CN"/>
              </w:rPr>
            </w:pPr>
            <w:r>
              <w:rPr>
                <w:rFonts w:hint="eastAsia" w:ascii="仿宋" w:hAnsi="仿宋" w:cs="仿宋"/>
                <w:b/>
                <w:bCs w:val="0"/>
                <w:color w:val="auto"/>
                <w:szCs w:val="21"/>
                <w:highlight w:val="green"/>
                <w:lang w:val="en-US" w:eastAsia="zh-CN"/>
              </w:rPr>
              <w:t>2、</w:t>
            </w:r>
            <w:r>
              <w:rPr>
                <w:rFonts w:hint="eastAsia" w:ascii="仿宋" w:hAnsi="仿宋" w:eastAsia="仿宋" w:cs="仿宋"/>
                <w:b/>
                <w:bCs w:val="0"/>
                <w:color w:val="auto"/>
                <w:szCs w:val="21"/>
                <w:highlight w:val="green"/>
                <w:lang w:val="en-US" w:eastAsia="zh-CN"/>
              </w:rPr>
              <w:t>在参加本次谈判会议时，法定代表人或委托代理人务必严格按照以下要求携带相关证件资料：</w:t>
            </w:r>
          </w:p>
          <w:p w14:paraId="7D715D40">
            <w:pPr>
              <w:keepNext w:val="0"/>
              <w:keepLines w:val="0"/>
              <w:pageBreakBefore w:val="0"/>
              <w:numPr>
                <w:ilvl w:val="0"/>
                <w:numId w:val="0"/>
              </w:numPr>
              <w:kinsoku/>
              <w:wordWrap/>
              <w:overflowPunct/>
              <w:topLinePunct w:val="0"/>
              <w:autoSpaceDE/>
              <w:autoSpaceDN/>
              <w:bidi w:val="0"/>
              <w:spacing w:line="360" w:lineRule="exact"/>
              <w:rPr>
                <w:rFonts w:hint="eastAsia" w:ascii="仿宋" w:hAnsi="仿宋" w:eastAsia="仿宋" w:cs="仿宋"/>
                <w:b/>
                <w:bCs w:val="0"/>
                <w:color w:val="auto"/>
                <w:szCs w:val="21"/>
                <w:highlight w:val="green"/>
                <w:lang w:val="en-US" w:eastAsia="zh-CN"/>
              </w:rPr>
            </w:pPr>
            <w:r>
              <w:rPr>
                <w:rFonts w:hint="eastAsia" w:ascii="仿宋" w:hAnsi="仿宋" w:eastAsia="仿宋" w:cs="仿宋"/>
                <w:b/>
                <w:bCs w:val="0"/>
                <w:color w:val="auto"/>
                <w:szCs w:val="21"/>
                <w:highlight w:val="green"/>
                <w:lang w:val="en-US" w:eastAsia="zh-CN"/>
              </w:rPr>
              <w:t>①法定代表人亲自出席会议的，须携带本人身份证原件，并手持法人身份证明书。（法人身份证明书上应清晰附上法定代表人身份证正反面复印件。）</w:t>
            </w:r>
          </w:p>
          <w:p w14:paraId="53E2243A">
            <w:pPr>
              <w:keepNext w:val="0"/>
              <w:keepLines w:val="0"/>
              <w:pageBreakBefore w:val="0"/>
              <w:numPr>
                <w:ilvl w:val="0"/>
                <w:numId w:val="0"/>
              </w:numPr>
              <w:kinsoku/>
              <w:wordWrap/>
              <w:overflowPunct/>
              <w:topLinePunct w:val="0"/>
              <w:autoSpaceDE/>
              <w:autoSpaceDN/>
              <w:bidi w:val="0"/>
              <w:spacing w:line="360" w:lineRule="exact"/>
              <w:rPr>
                <w:rFonts w:hint="eastAsia" w:ascii="仿宋" w:hAnsi="仿宋" w:eastAsia="仿宋" w:cs="仿宋"/>
                <w:b/>
                <w:bCs w:val="0"/>
                <w:color w:val="auto"/>
                <w:szCs w:val="21"/>
                <w:highlight w:val="green"/>
                <w:lang w:val="en-US" w:eastAsia="zh-CN"/>
              </w:rPr>
            </w:pPr>
            <w:r>
              <w:rPr>
                <w:rFonts w:hint="eastAsia" w:ascii="仿宋" w:hAnsi="仿宋" w:eastAsia="仿宋" w:cs="仿宋"/>
                <w:b/>
                <w:bCs w:val="0"/>
                <w:color w:val="auto"/>
                <w:szCs w:val="21"/>
                <w:highlight w:val="green"/>
                <w:lang w:val="en-US" w:eastAsia="zh-CN"/>
              </w:rPr>
              <w:t>②委托代理人出席会议的，需携带本人身份证原件、法人身份证明书以及参加谈判会议的授权委托书。（法人身份证明书应清晰附上法定代表人身份证正反面复印件，授权委托书应附上法定代表人及委托代理人身份证正反面复印件。）谈判会议上将检验授权委托书、授权人身份证原件（授权书与到场人员不符将拒收投标文件）。</w:t>
            </w:r>
          </w:p>
          <w:p w14:paraId="1C2D7D58">
            <w:pPr>
              <w:keepNext w:val="0"/>
              <w:keepLines w:val="0"/>
              <w:pageBreakBefore w:val="0"/>
              <w:numPr>
                <w:ilvl w:val="0"/>
                <w:numId w:val="2"/>
              </w:numPr>
              <w:kinsoku/>
              <w:wordWrap/>
              <w:overflowPunct/>
              <w:topLinePunct w:val="0"/>
              <w:autoSpaceDE/>
              <w:autoSpaceDN/>
              <w:bidi w:val="0"/>
              <w:spacing w:line="360" w:lineRule="exact"/>
              <w:rPr>
                <w:rFonts w:hint="eastAsia" w:ascii="仿宋" w:hAnsi="仿宋" w:eastAsia="仿宋" w:cs="仿宋"/>
                <w:b/>
                <w:bCs w:val="0"/>
                <w:color w:val="auto"/>
                <w:szCs w:val="21"/>
                <w:highlight w:val="green"/>
                <w:lang w:val="en-US" w:eastAsia="zh-CN"/>
              </w:rPr>
            </w:pPr>
            <w:r>
              <w:rPr>
                <w:rFonts w:hint="eastAsia" w:ascii="仿宋" w:hAnsi="仿宋" w:eastAsia="仿宋" w:cs="仿宋"/>
                <w:b/>
                <w:bCs w:val="0"/>
                <w:color w:val="auto"/>
                <w:szCs w:val="21"/>
                <w:highlight w:val="green"/>
                <w:lang w:val="en-US" w:eastAsia="zh-CN"/>
              </w:rPr>
              <w:t>根据《辽财采〔2020〕298号关于启用政府采购数字认证和电子招投标业务有关事宜的通知》、《辽财采函[2021]363号关于完善政府采购电子评标业务流程等有关事宜的通知》本项目为全流程电子化采购项目，现场需要网上解密，投标单位须做好相应准备工作，如因投标单位自身原因导致不能进行解密的，后果自行承担。</w:t>
            </w:r>
          </w:p>
          <w:p w14:paraId="241D52AB">
            <w:pPr>
              <w:keepNext w:val="0"/>
              <w:keepLines w:val="0"/>
              <w:pageBreakBefore w:val="0"/>
              <w:numPr>
                <w:ilvl w:val="0"/>
                <w:numId w:val="2"/>
              </w:numPr>
              <w:kinsoku/>
              <w:wordWrap/>
              <w:overflowPunct/>
              <w:topLinePunct w:val="0"/>
              <w:autoSpaceDE/>
              <w:autoSpaceDN/>
              <w:bidi w:val="0"/>
              <w:spacing w:line="360" w:lineRule="exact"/>
              <w:rPr>
                <w:rFonts w:hint="eastAsia" w:ascii="仿宋" w:hAnsi="仿宋" w:eastAsia="仿宋" w:cs="仿宋"/>
                <w:b/>
                <w:bCs w:val="0"/>
                <w:color w:val="auto"/>
                <w:szCs w:val="21"/>
                <w:highlight w:val="green"/>
                <w:lang w:val="zh-CN" w:eastAsia="zh-CN"/>
              </w:rPr>
            </w:pPr>
            <w:r>
              <w:rPr>
                <w:rFonts w:hint="eastAsia" w:ascii="仿宋" w:hAnsi="仿宋" w:eastAsia="仿宋" w:cs="仿宋"/>
                <w:b/>
                <w:bCs w:val="0"/>
                <w:color w:val="auto"/>
                <w:szCs w:val="21"/>
                <w:highlight w:val="green"/>
                <w:lang w:val="en-US" w:eastAsia="zh-CN"/>
              </w:rPr>
              <w:t>未尽事宜按国家相关法律、法规执行。</w:t>
            </w:r>
          </w:p>
        </w:tc>
      </w:tr>
    </w:tbl>
    <w:p w14:paraId="6D775524">
      <w:pPr>
        <w:rPr>
          <w:rFonts w:hint="eastAsia" w:ascii="仿宋" w:hAnsi="仿宋" w:eastAsia="仿宋" w:cs="仿宋"/>
        </w:rPr>
      </w:pPr>
      <w:r>
        <w:rPr>
          <w:rFonts w:hint="eastAsia" w:ascii="仿宋" w:hAnsi="仿宋" w:eastAsia="仿宋" w:cs="仿宋"/>
        </w:rPr>
        <w:t>注：表格中“</w:t>
      </w:r>
      <w:r>
        <w:rPr>
          <w:rFonts w:hint="eastAsia" w:ascii="仿宋" w:hAnsi="仿宋" w:eastAsia="仿宋" w:cs="仿宋"/>
        </w:rPr>
        <w:sym w:font="Wingdings 2" w:char="0052"/>
      </w:r>
      <w:r>
        <w:rPr>
          <w:rFonts w:hint="eastAsia" w:ascii="仿宋" w:hAnsi="仿宋" w:eastAsia="仿宋" w:cs="仿宋"/>
        </w:rPr>
        <w:t>”项或“■”项为被选中项。</w:t>
      </w:r>
    </w:p>
    <w:p w14:paraId="64F011F6">
      <w:pPr>
        <w:pStyle w:val="3"/>
        <w:adjustRightInd w:val="0"/>
        <w:snapToGrid w:val="0"/>
        <w:spacing w:before="0" w:after="0" w:line="360" w:lineRule="auto"/>
        <w:rPr>
          <w:rFonts w:hint="eastAsia" w:ascii="仿宋" w:hAnsi="仿宋" w:eastAsia="仿宋" w:cs="仿宋"/>
          <w:sz w:val="32"/>
          <w:szCs w:val="36"/>
        </w:rPr>
      </w:pPr>
      <w:r>
        <w:rPr>
          <w:rFonts w:hint="eastAsia" w:ascii="仿宋" w:hAnsi="仿宋" w:eastAsia="仿宋" w:cs="仿宋"/>
          <w:sz w:val="21"/>
          <w:szCs w:val="21"/>
        </w:rPr>
        <w:br w:type="page"/>
      </w:r>
      <w:bookmarkStart w:id="11" w:name="_Toc30384_WPSOffice_Level2"/>
      <w:r>
        <w:rPr>
          <w:rFonts w:hint="eastAsia" w:ascii="仿宋" w:hAnsi="仿宋" w:eastAsia="仿宋" w:cs="仿宋"/>
          <w:sz w:val="32"/>
          <w:szCs w:val="36"/>
        </w:rPr>
        <w:t>二 总则</w:t>
      </w:r>
      <w:bookmarkEnd w:id="11"/>
    </w:p>
    <w:p w14:paraId="50E4109A">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1.采购人、采购代理机构及投标人</w:t>
      </w:r>
    </w:p>
    <w:p w14:paraId="7EE451C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1.1采购人：是指依法进行政府采购的国家机关、事业单位、团体组织。本项目采购人见投标人须知表1.1款。</w:t>
      </w:r>
    </w:p>
    <w:p w14:paraId="4F15B03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1.2采购代理机构：是指集中采购机构或从事采购代理业务的社会中介机构，本项目的采购代理机构见投标人须知表1.2款。</w:t>
      </w:r>
    </w:p>
    <w:p w14:paraId="11447B3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★1.3投标人：是指向采购人提供货物、工程或者服务的法人、非法人组织或者自然人。本项目的投标人及其投标货物须满足以下条件：</w:t>
      </w:r>
    </w:p>
    <w:p w14:paraId="6AC888C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1.3.1在中华人民共和国境内注册，能够独立承担民事责任，有生产或供应能力的本国</w:t>
      </w:r>
      <w:r>
        <w:rPr>
          <w:rFonts w:hint="eastAsia" w:ascii="仿宋" w:hAnsi="仿宋" w:eastAsia="仿宋" w:cs="仿宋"/>
          <w:szCs w:val="21"/>
          <w:lang w:eastAsia="zh-CN"/>
        </w:rPr>
        <w:t>投标人</w:t>
      </w:r>
      <w:r>
        <w:rPr>
          <w:rFonts w:hint="eastAsia" w:ascii="仿宋" w:hAnsi="仿宋" w:eastAsia="仿宋" w:cs="仿宋"/>
          <w:szCs w:val="21"/>
        </w:rPr>
        <w:t>。</w:t>
      </w:r>
    </w:p>
    <w:p w14:paraId="61ACE19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1.3.2符合《中华人民共和国政府采购法》第二十二条关于</w:t>
      </w:r>
      <w:r>
        <w:rPr>
          <w:rFonts w:hint="eastAsia" w:ascii="仿宋" w:hAnsi="仿宋" w:eastAsia="仿宋" w:cs="仿宋"/>
          <w:szCs w:val="21"/>
          <w:lang w:eastAsia="zh-CN"/>
        </w:rPr>
        <w:t>投标人</w:t>
      </w:r>
      <w:r>
        <w:rPr>
          <w:rFonts w:hint="eastAsia" w:ascii="仿宋" w:hAnsi="仿宋" w:eastAsia="仿宋" w:cs="仿宋"/>
          <w:szCs w:val="21"/>
        </w:rPr>
        <w:t>条件的规定，遵守本项目采购人本级和上级财政部门关于政府采购的有关规定。</w:t>
      </w:r>
    </w:p>
    <w:p w14:paraId="17C3BEC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1.3.3以采购代理机构认可的方式获得了本项目的招标文件。</w:t>
      </w:r>
    </w:p>
    <w:p w14:paraId="03A1837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1.3.4符合投标人须知表1.3.4款中规定的资格条件。</w:t>
      </w:r>
    </w:p>
    <w:p w14:paraId="652E764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11C0B00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若投标人须知表1.3.5款中未写明允许采购进口产品，如投标人所投产品为进口产品，其投标将被认定为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13851CA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1.3.6若投标人须知表1.3.6款中写明专门面向中小企业采购的，如投标人为非中小企业且所投产品为非中小企业产品，其投标将被认定为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019E068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03A38AB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★1.4如投标人须知表1.4款中允许联合体投标，对联合体规定如下：</w:t>
      </w:r>
    </w:p>
    <w:p w14:paraId="3538E5A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1.4.1两个以上</w:t>
      </w:r>
      <w:r>
        <w:rPr>
          <w:rFonts w:hint="eastAsia" w:ascii="仿宋" w:hAnsi="仿宋" w:eastAsia="仿宋" w:cs="仿宋"/>
          <w:szCs w:val="21"/>
          <w:lang w:eastAsia="zh-CN"/>
        </w:rPr>
        <w:t>投标人</w:t>
      </w:r>
      <w:r>
        <w:rPr>
          <w:rFonts w:hint="eastAsia" w:ascii="仿宋" w:hAnsi="仿宋" w:eastAsia="仿宋" w:cs="仿宋"/>
          <w:szCs w:val="21"/>
        </w:rPr>
        <w:t>可以组成一个投标联合体，以一个投标人的身份投标。</w:t>
      </w:r>
    </w:p>
    <w:p w14:paraId="1715095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1.4.2联合体各方均应符合《中华人民共和国政府采购法》第二十二条规定的条件。</w:t>
      </w:r>
    </w:p>
    <w:p w14:paraId="2D282CE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1.4.3采购人根据采购项目对投标人的特殊要求，联合体中至少应当有一方符合相关规定。</w:t>
      </w:r>
    </w:p>
    <w:p w14:paraId="1AFA236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1.4.4联合体各方应签订共同投标协议，明确约定联合体各方承担的工作和相应的责任。</w:t>
      </w:r>
    </w:p>
    <w:p w14:paraId="67C285D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1.4.5大中型企业、其他自然人、法人或者非法人组织与小型、微型企业组成联合体共同参加投标，共同投标协议中应写明小型、微型企业的协议合同金额占到共同投标协议投标总金额的比例。</w:t>
      </w:r>
    </w:p>
    <w:p w14:paraId="318A6F7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1.4.6联合体中有同类资质的</w:t>
      </w:r>
      <w:r>
        <w:rPr>
          <w:rFonts w:hint="eastAsia" w:ascii="仿宋" w:hAnsi="仿宋" w:eastAsia="仿宋" w:cs="仿宋"/>
          <w:szCs w:val="21"/>
          <w:lang w:eastAsia="zh-CN"/>
        </w:rPr>
        <w:t>投标人</w:t>
      </w:r>
      <w:r>
        <w:rPr>
          <w:rFonts w:hint="eastAsia" w:ascii="仿宋" w:hAnsi="仿宋" w:eastAsia="仿宋" w:cs="仿宋"/>
          <w:szCs w:val="21"/>
        </w:rPr>
        <w:t>按照联合体分工承担相同工作的，按照较低的资质等级确定联合体的资质等级。</w:t>
      </w:r>
    </w:p>
    <w:p w14:paraId="500B4E3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1.4.7以联合体形式参加政府采购活动的，联合体各方不得再单独参加或者与其他</w:t>
      </w:r>
      <w:r>
        <w:rPr>
          <w:rFonts w:hint="eastAsia" w:ascii="仿宋" w:hAnsi="仿宋" w:eastAsia="仿宋" w:cs="仿宋"/>
          <w:szCs w:val="21"/>
          <w:lang w:eastAsia="zh-CN"/>
        </w:rPr>
        <w:t>投标人</w:t>
      </w:r>
      <w:r>
        <w:rPr>
          <w:rFonts w:hint="eastAsia" w:ascii="仿宋" w:hAnsi="仿宋" w:eastAsia="仿宋" w:cs="仿宋"/>
          <w:szCs w:val="21"/>
        </w:rPr>
        <w:t>另外组成联合体参加本项目投标，否则相关投标将被认定为</w:t>
      </w:r>
      <w:r>
        <w:rPr>
          <w:rFonts w:hint="eastAsia" w:ascii="仿宋" w:hAnsi="仿宋" w:eastAsia="仿宋" w:cs="仿宋"/>
          <w:b/>
          <w:bCs/>
          <w:szCs w:val="21"/>
        </w:rPr>
        <w:t>投标无效</w:t>
      </w:r>
      <w:r>
        <w:rPr>
          <w:rFonts w:hint="eastAsia" w:ascii="仿宋" w:hAnsi="仿宋" w:eastAsia="仿宋" w:cs="仿宋"/>
          <w:szCs w:val="21"/>
        </w:rPr>
        <w:t>。</w:t>
      </w:r>
    </w:p>
    <w:p w14:paraId="2C41502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（1）两个以上的自然人、法人或者其他组织可以组成一个联合体，以一个投标人的身份共同参加政府采购活动。</w:t>
      </w:r>
    </w:p>
    <w:p w14:paraId="1E5DA5E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（2）联合体中标的，联合体各方应共同与采购人签订采购合同，就采购合同约定的事项对采购人承担连带责任。</w:t>
      </w:r>
    </w:p>
    <w:p w14:paraId="5741C9E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1.4.8对联合体投标的其他资格要求见投标人须知表1.4.8款。</w:t>
      </w:r>
    </w:p>
    <w:p w14:paraId="5C291C6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★1.5单位负责人为同一人或者存在直接控股、管理关系的不同</w:t>
      </w:r>
      <w:r>
        <w:rPr>
          <w:rFonts w:hint="eastAsia" w:ascii="仿宋" w:hAnsi="仿宋" w:eastAsia="仿宋" w:cs="仿宋"/>
          <w:szCs w:val="21"/>
          <w:lang w:eastAsia="zh-CN"/>
        </w:rPr>
        <w:t>投标人</w:t>
      </w:r>
      <w:r>
        <w:rPr>
          <w:rFonts w:hint="eastAsia" w:ascii="仿宋" w:hAnsi="仿宋" w:eastAsia="仿宋" w:cs="仿宋"/>
          <w:szCs w:val="21"/>
        </w:rPr>
        <w:t>，其相关投标将被认定为</w:t>
      </w:r>
      <w:r>
        <w:rPr>
          <w:rFonts w:hint="eastAsia" w:ascii="仿宋" w:hAnsi="仿宋" w:eastAsia="仿宋" w:cs="仿宋"/>
          <w:b/>
          <w:bCs/>
          <w:szCs w:val="21"/>
        </w:rPr>
        <w:t>投标无效</w:t>
      </w:r>
      <w:r>
        <w:rPr>
          <w:rFonts w:hint="eastAsia" w:ascii="仿宋" w:hAnsi="仿宋" w:eastAsia="仿宋" w:cs="仿宋"/>
          <w:szCs w:val="21"/>
        </w:rPr>
        <w:t>。</w:t>
      </w:r>
    </w:p>
    <w:p w14:paraId="723962E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★1.6为本项目提供过整体设计、规范编制或者项目管理、监理、检测等服务的</w:t>
      </w:r>
      <w:r>
        <w:rPr>
          <w:rFonts w:hint="eastAsia" w:ascii="仿宋" w:hAnsi="仿宋" w:eastAsia="仿宋" w:cs="仿宋"/>
          <w:szCs w:val="21"/>
          <w:lang w:eastAsia="zh-CN"/>
        </w:rPr>
        <w:t>投标人</w:t>
      </w:r>
      <w:r>
        <w:rPr>
          <w:rFonts w:hint="eastAsia" w:ascii="仿宋" w:hAnsi="仿宋" w:eastAsia="仿宋" w:cs="仿宋"/>
          <w:szCs w:val="21"/>
        </w:rPr>
        <w:t>，不得再参加本项目上述服务以外的其他采购活动，否则其投标将被认定为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653E011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★1.7投标人在投标过程中不得向采购人提供、给予任何有价值的物品，影响其正常决策行为。一经发现，其将被认定为</w:t>
      </w:r>
      <w:r>
        <w:rPr>
          <w:rFonts w:hint="eastAsia" w:ascii="仿宋" w:hAnsi="仿宋" w:eastAsia="仿宋" w:cs="仿宋"/>
          <w:b/>
          <w:bCs/>
          <w:szCs w:val="21"/>
        </w:rPr>
        <w:t>投标无效</w:t>
      </w:r>
      <w:r>
        <w:rPr>
          <w:rFonts w:hint="eastAsia" w:ascii="仿宋" w:hAnsi="仿宋" w:eastAsia="仿宋" w:cs="仿宋"/>
          <w:szCs w:val="21"/>
        </w:rPr>
        <w:t>。</w:t>
      </w:r>
    </w:p>
    <w:p w14:paraId="68C7B5FA">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2.资金来源</w:t>
      </w:r>
    </w:p>
    <w:p w14:paraId="3C76A05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2.1本项目的采购人已获得足以支付本次招标后所签订的合同项下的资金（包括财政性资金和本项目采购中无法与财政性资金分割的非财政性资金）。</w:t>
      </w:r>
    </w:p>
    <w:p w14:paraId="23316DBC">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2.2项目预算金额和分项或分包最高限价见投标人须知表2.2款。</w:t>
      </w:r>
    </w:p>
    <w:p w14:paraId="294DBBCD">
      <w:pPr>
        <w:adjustRightInd w:val="0"/>
        <w:snapToGrid w:val="0"/>
        <w:spacing w:line="360" w:lineRule="auto"/>
        <w:rPr>
          <w:rFonts w:hint="eastAsia" w:ascii="仿宋" w:hAnsi="仿宋" w:eastAsia="仿宋" w:cs="仿宋"/>
          <w:szCs w:val="21"/>
        </w:rPr>
      </w:pPr>
      <w:r>
        <w:rPr>
          <w:rFonts w:hint="eastAsia" w:ascii="仿宋" w:hAnsi="仿宋" w:eastAsia="仿宋" w:cs="仿宋"/>
          <w:b/>
          <w:bCs/>
          <w:szCs w:val="21"/>
        </w:rPr>
        <w:t>★</w:t>
      </w:r>
      <w:r>
        <w:rPr>
          <w:rFonts w:hint="eastAsia" w:ascii="仿宋" w:hAnsi="仿宋" w:eastAsia="仿宋" w:cs="仿宋"/>
          <w:szCs w:val="21"/>
        </w:rPr>
        <w:t>2.3投标人报价超过招标文件规定的预算金额或者分项、分包最高限价的，其投标将被认定为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79B3E799">
      <w:pPr>
        <w:adjustRightInd w:val="0"/>
        <w:snapToGrid w:val="0"/>
        <w:spacing w:line="360" w:lineRule="auto"/>
        <w:rPr>
          <w:rFonts w:hint="eastAsia" w:ascii="仿宋" w:hAnsi="仿宋" w:eastAsia="仿宋" w:cs="仿宋"/>
          <w:b/>
          <w:bCs/>
          <w:szCs w:val="21"/>
        </w:rPr>
      </w:pPr>
      <w:bookmarkStart w:id="12" w:name="_Toc266951048"/>
      <w:r>
        <w:rPr>
          <w:rFonts w:hint="eastAsia" w:ascii="仿宋" w:hAnsi="仿宋" w:eastAsia="仿宋" w:cs="仿宋"/>
          <w:b/>
          <w:bCs/>
          <w:szCs w:val="21"/>
        </w:rPr>
        <w:t>3.语言文字</w:t>
      </w:r>
      <w:bookmarkEnd w:id="12"/>
    </w:p>
    <w:p w14:paraId="45B95B6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除专用术语外，与投标有关的语言均使用中文。必要时专用术语应附有中文注释。对不同文字文本投标文件的解释发生异议的，以中文文本为准。</w:t>
      </w:r>
    </w:p>
    <w:p w14:paraId="2397CEDC">
      <w:pPr>
        <w:adjustRightInd w:val="0"/>
        <w:snapToGrid w:val="0"/>
        <w:spacing w:line="360" w:lineRule="auto"/>
        <w:rPr>
          <w:rFonts w:hint="eastAsia" w:ascii="仿宋" w:hAnsi="仿宋" w:eastAsia="仿宋" w:cs="仿宋"/>
          <w:b/>
          <w:bCs/>
          <w:szCs w:val="21"/>
        </w:rPr>
      </w:pPr>
      <w:bookmarkStart w:id="13" w:name="_1.8_计量单位"/>
      <w:bookmarkEnd w:id="13"/>
      <w:bookmarkStart w:id="14" w:name="_Toc266951049"/>
      <w:r>
        <w:rPr>
          <w:rFonts w:hint="eastAsia" w:ascii="仿宋" w:hAnsi="仿宋" w:eastAsia="仿宋" w:cs="仿宋"/>
          <w:szCs w:val="21"/>
        </w:rPr>
        <w:t>★</w:t>
      </w:r>
      <w:r>
        <w:rPr>
          <w:rFonts w:hint="eastAsia" w:ascii="仿宋" w:hAnsi="仿宋" w:eastAsia="仿宋" w:cs="仿宋"/>
          <w:b/>
          <w:bCs/>
          <w:szCs w:val="21"/>
        </w:rPr>
        <w:t>4.计量单位</w:t>
      </w:r>
      <w:bookmarkEnd w:id="14"/>
    </w:p>
    <w:p w14:paraId="22360AC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除投标人须知表4款中有特殊要求外，投标文件中所使用的计量单位，应采用中华人民共和国法定计量单位。</w:t>
      </w:r>
    </w:p>
    <w:p w14:paraId="56F79ABE">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5.投标费用</w:t>
      </w:r>
    </w:p>
    <w:p w14:paraId="0E90B2F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不论投标的结果如何，投标人应承担所有与投标有关的费用。</w:t>
      </w:r>
    </w:p>
    <w:p w14:paraId="681477AB">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6.现场考察、开标前答疑会</w:t>
      </w:r>
    </w:p>
    <w:p w14:paraId="4A4ABAA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6.1</w:t>
      </w:r>
      <w:r>
        <w:rPr>
          <w:rFonts w:hint="eastAsia" w:ascii="仿宋" w:hAnsi="仿宋" w:eastAsia="仿宋" w:cs="仿宋"/>
        </w:rPr>
        <w:fldChar w:fldCharType="begin"/>
      </w:r>
      <w:r>
        <w:rPr>
          <w:rFonts w:hint="eastAsia" w:ascii="仿宋" w:hAnsi="仿宋" w:eastAsia="仿宋" w:cs="仿宋"/>
        </w:rPr>
        <w:instrText xml:space="preserve"> HYPERLINK \l "_踏勘现场" </w:instrText>
      </w:r>
      <w:r>
        <w:rPr>
          <w:rFonts w:hint="eastAsia" w:ascii="仿宋" w:hAnsi="仿宋" w:eastAsia="仿宋" w:cs="仿宋"/>
        </w:rPr>
        <w:fldChar w:fldCharType="separate"/>
      </w:r>
      <w:r>
        <w:rPr>
          <w:rFonts w:hint="eastAsia" w:ascii="仿宋" w:hAnsi="仿宋" w:eastAsia="仿宋" w:cs="仿宋"/>
          <w:szCs w:val="21"/>
        </w:rPr>
        <w:t>投标人须知表</w:t>
      </w:r>
      <w:r>
        <w:rPr>
          <w:rFonts w:hint="eastAsia" w:ascii="仿宋" w:hAnsi="仿宋" w:eastAsia="仿宋" w:cs="仿宋"/>
          <w:szCs w:val="21"/>
        </w:rPr>
        <w:fldChar w:fldCharType="end"/>
      </w:r>
      <w:r>
        <w:rPr>
          <w:rFonts w:hint="eastAsia" w:ascii="仿宋" w:hAnsi="仿宋" w:eastAsia="仿宋" w:cs="仿宋"/>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51382D8B">
      <w:pPr>
        <w:adjustRightInd w:val="0"/>
        <w:snapToGrid w:val="0"/>
        <w:spacing w:line="360" w:lineRule="auto"/>
        <w:rPr>
          <w:rFonts w:hint="eastAsia" w:ascii="仿宋" w:hAnsi="仿宋" w:eastAsia="仿宋" w:cs="仿宋"/>
          <w:b/>
          <w:bCs/>
          <w:szCs w:val="21"/>
        </w:rPr>
      </w:pPr>
      <w:bookmarkStart w:id="15" w:name="_1.10_投标预备会"/>
      <w:bookmarkEnd w:id="15"/>
      <w:r>
        <w:rPr>
          <w:rFonts w:hint="eastAsia" w:ascii="仿宋" w:hAnsi="仿宋" w:eastAsia="仿宋" w:cs="仿宋"/>
          <w:szCs w:val="21"/>
        </w:rPr>
        <w:t>6.2</w:t>
      </w:r>
      <w:r>
        <w:rPr>
          <w:rFonts w:hint="eastAsia" w:ascii="仿宋" w:hAnsi="仿宋" w:eastAsia="仿宋" w:cs="仿宋"/>
          <w:kern w:val="0"/>
          <w:szCs w:val="21"/>
        </w:rPr>
        <w:t>由于未参加现场考察或标前答疑而导致对项目实际情况不了解，影响技术文件编制、</w:t>
      </w:r>
      <w:r>
        <w:rPr>
          <w:rFonts w:hint="eastAsia" w:ascii="仿宋" w:hAnsi="仿宋" w:eastAsia="仿宋" w:cs="仿宋"/>
        </w:rPr>
        <w:fldChar w:fldCharType="begin"/>
      </w:r>
      <w:r>
        <w:rPr>
          <w:rFonts w:hint="eastAsia" w:ascii="仿宋" w:hAnsi="仿宋" w:eastAsia="仿宋" w:cs="仿宋"/>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rPr>
        <w:fldChar w:fldCharType="separate"/>
      </w:r>
      <w:r>
        <w:rPr>
          <w:rFonts w:hint="eastAsia" w:ascii="仿宋" w:hAnsi="仿宋" w:eastAsia="仿宋" w:cs="仿宋"/>
          <w:kern w:val="0"/>
          <w:szCs w:val="21"/>
        </w:rPr>
        <w:t>投标报价</w:t>
      </w:r>
      <w:r>
        <w:rPr>
          <w:rFonts w:hint="eastAsia" w:ascii="仿宋" w:hAnsi="仿宋" w:eastAsia="仿宋" w:cs="仿宋"/>
          <w:kern w:val="0"/>
          <w:szCs w:val="21"/>
        </w:rPr>
        <w:fldChar w:fldCharType="end"/>
      </w:r>
      <w:r>
        <w:rPr>
          <w:rFonts w:hint="eastAsia" w:ascii="仿宋" w:hAnsi="仿宋" w:eastAsia="仿宋" w:cs="仿宋"/>
          <w:kern w:val="0"/>
          <w:szCs w:val="21"/>
        </w:rPr>
        <w:t>准确性、综合因素响应不全面等问题的，由投标人自行承担相应后果。</w:t>
      </w:r>
    </w:p>
    <w:p w14:paraId="2D8779F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6.3现场考察及参加标前答疑会所发生的费用及一切责任由投标人自行承担。</w:t>
      </w:r>
    </w:p>
    <w:p w14:paraId="09A59EBE">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7.适用法律</w:t>
      </w:r>
    </w:p>
    <w:p w14:paraId="06D8682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09270F99">
      <w:pPr>
        <w:pStyle w:val="3"/>
        <w:rPr>
          <w:rFonts w:hint="eastAsia" w:ascii="仿宋" w:hAnsi="仿宋" w:eastAsia="仿宋" w:cs="仿宋"/>
          <w:sz w:val="32"/>
          <w:szCs w:val="28"/>
        </w:rPr>
      </w:pPr>
      <w:bookmarkStart w:id="16" w:name="_Toc10106_WPSOffice_Level2"/>
      <w:r>
        <w:rPr>
          <w:rFonts w:hint="eastAsia" w:ascii="仿宋" w:hAnsi="仿宋" w:eastAsia="仿宋" w:cs="仿宋"/>
          <w:sz w:val="32"/>
          <w:szCs w:val="28"/>
        </w:rPr>
        <w:t>三 招标文件</w:t>
      </w:r>
      <w:bookmarkEnd w:id="16"/>
    </w:p>
    <w:p w14:paraId="2B92AD72">
      <w:pPr>
        <w:tabs>
          <w:tab w:val="left" w:pos="312"/>
        </w:tabs>
        <w:adjustRightInd w:val="0"/>
        <w:snapToGrid w:val="0"/>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8.招标文件构成</w:t>
      </w:r>
    </w:p>
    <w:p w14:paraId="6C275E67">
      <w:pPr>
        <w:adjustRightInd w:val="0"/>
        <w:snapToGrid w:val="0"/>
        <w:spacing w:line="360" w:lineRule="auto"/>
        <w:rPr>
          <w:rFonts w:hint="eastAsia" w:ascii="仿宋" w:hAnsi="仿宋" w:eastAsia="仿宋" w:cs="仿宋"/>
          <w:highlight w:val="none"/>
        </w:rPr>
      </w:pPr>
      <w:r>
        <w:rPr>
          <w:rFonts w:hint="eastAsia" w:ascii="仿宋" w:hAnsi="仿宋" w:eastAsia="仿宋" w:cs="仿宋"/>
          <w:szCs w:val="21"/>
          <w:highlight w:val="none"/>
        </w:rPr>
        <w:t>招标</w:t>
      </w:r>
      <w:r>
        <w:rPr>
          <w:rFonts w:hint="eastAsia" w:ascii="仿宋" w:hAnsi="仿宋" w:eastAsia="仿宋" w:cs="仿宋"/>
          <w:highlight w:val="none"/>
        </w:rPr>
        <w:t>文件内容如下:</w:t>
      </w:r>
    </w:p>
    <w:p w14:paraId="5DC8475F">
      <w:pPr>
        <w:adjustRightInd w:val="0"/>
        <w:snapToGrid w:val="0"/>
        <w:spacing w:line="360" w:lineRule="auto"/>
        <w:ind w:firstLine="420" w:firstLineChars="200"/>
        <w:rPr>
          <w:rFonts w:hint="eastAsia" w:ascii="仿宋" w:hAnsi="仿宋" w:eastAsia="仿宋" w:cs="仿宋"/>
          <w:highlight w:val="none"/>
        </w:rPr>
      </w:pPr>
      <w:r>
        <w:rPr>
          <w:rFonts w:hint="eastAsia" w:ascii="仿宋" w:hAnsi="仿宋" w:eastAsia="仿宋" w:cs="仿宋"/>
          <w:kern w:val="0"/>
          <w:szCs w:val="21"/>
          <w:highlight w:val="none"/>
        </w:rPr>
        <w:t>招标</w:t>
      </w:r>
      <w:r>
        <w:rPr>
          <w:rFonts w:hint="eastAsia" w:ascii="仿宋" w:hAnsi="仿宋" w:eastAsia="仿宋" w:cs="仿宋"/>
          <w:highlight w:val="none"/>
        </w:rPr>
        <w:t>公告</w:t>
      </w:r>
    </w:p>
    <w:p w14:paraId="70E7DF43">
      <w:pPr>
        <w:numPr>
          <w:ilvl w:val="0"/>
          <w:numId w:val="3"/>
        </w:numPr>
        <w:adjustRightInd w:val="0"/>
        <w:snapToGrid w:val="0"/>
        <w:spacing w:line="360" w:lineRule="auto"/>
        <w:ind w:firstLine="420" w:firstLineChars="200"/>
        <w:rPr>
          <w:rFonts w:hint="eastAsia" w:ascii="仿宋" w:hAnsi="仿宋" w:eastAsia="仿宋" w:cs="仿宋"/>
          <w:highlight w:val="none"/>
        </w:rPr>
      </w:pPr>
      <w:bookmarkStart w:id="17" w:name="_Toc4961_WPSOffice_Level2"/>
      <w:bookmarkStart w:id="18" w:name="_Toc25935_WPSOffice_Level2"/>
      <w:bookmarkStart w:id="19" w:name="_Toc24604_WPSOffice_Level2"/>
      <w:bookmarkStart w:id="20" w:name="_Toc188_WPSOffice_Level2"/>
      <w:r>
        <w:rPr>
          <w:rFonts w:hint="eastAsia" w:ascii="仿宋" w:hAnsi="仿宋" w:eastAsia="仿宋" w:cs="仿宋"/>
          <w:highlight w:val="none"/>
        </w:rPr>
        <w:t>投标人须知</w:t>
      </w:r>
      <w:bookmarkEnd w:id="17"/>
      <w:bookmarkEnd w:id="18"/>
      <w:bookmarkEnd w:id="19"/>
      <w:bookmarkEnd w:id="20"/>
    </w:p>
    <w:p w14:paraId="28D712A9">
      <w:pPr>
        <w:adjustRightInd w:val="0"/>
        <w:snapToGrid w:val="0"/>
        <w:spacing w:line="360" w:lineRule="auto"/>
        <w:ind w:firstLine="420" w:firstLineChars="200"/>
        <w:rPr>
          <w:rFonts w:hint="eastAsia" w:ascii="仿宋" w:hAnsi="仿宋" w:eastAsia="仿宋" w:cs="仿宋"/>
          <w:highlight w:val="none"/>
        </w:rPr>
      </w:pPr>
      <w:bookmarkStart w:id="21" w:name="_Toc31424_WPSOffice_Level2"/>
      <w:bookmarkStart w:id="22" w:name="_Toc13276_WPSOffice_Level2"/>
      <w:bookmarkStart w:id="23" w:name="_Toc32235_WPSOffice_Level2"/>
      <w:bookmarkStart w:id="24" w:name="_Toc2443_WPSOffice_Level2"/>
      <w:r>
        <w:rPr>
          <w:rFonts w:hint="eastAsia" w:ascii="仿宋" w:hAnsi="仿宋" w:eastAsia="仿宋" w:cs="仿宋"/>
          <w:highlight w:val="none"/>
        </w:rPr>
        <w:t>第二章 投标文件内容及格式</w:t>
      </w:r>
      <w:bookmarkEnd w:id="21"/>
      <w:bookmarkEnd w:id="22"/>
      <w:bookmarkEnd w:id="23"/>
      <w:bookmarkEnd w:id="24"/>
    </w:p>
    <w:p w14:paraId="7C1DCD94">
      <w:pPr>
        <w:adjustRightInd w:val="0"/>
        <w:snapToGrid w:val="0"/>
        <w:spacing w:line="360" w:lineRule="auto"/>
        <w:ind w:firstLine="420" w:firstLineChars="200"/>
        <w:rPr>
          <w:rFonts w:hint="eastAsia" w:ascii="仿宋" w:hAnsi="仿宋" w:eastAsia="仿宋" w:cs="仿宋"/>
          <w:highlight w:val="none"/>
        </w:rPr>
      </w:pPr>
      <w:bookmarkStart w:id="25" w:name="_Toc24836_WPSOffice_Level2"/>
      <w:bookmarkStart w:id="26" w:name="_Toc7005_WPSOffice_Level2"/>
      <w:bookmarkStart w:id="27" w:name="_Toc4416_WPSOffice_Level2"/>
      <w:bookmarkStart w:id="28" w:name="_Toc16269_WPSOffice_Level2"/>
      <w:r>
        <w:rPr>
          <w:rFonts w:hint="eastAsia" w:ascii="仿宋" w:hAnsi="仿宋" w:eastAsia="仿宋" w:cs="仿宋"/>
          <w:highlight w:val="none"/>
        </w:rPr>
        <w:t xml:space="preserve">第三章 </w:t>
      </w:r>
      <w:r>
        <w:rPr>
          <w:rFonts w:hint="eastAsia" w:ascii="仿宋" w:hAnsi="仿宋" w:cs="仿宋"/>
          <w:highlight w:val="none"/>
          <w:lang w:val="en-US" w:eastAsia="zh-CN"/>
        </w:rPr>
        <w:t>服务</w:t>
      </w:r>
      <w:r>
        <w:rPr>
          <w:rFonts w:hint="eastAsia" w:ascii="仿宋" w:hAnsi="仿宋" w:eastAsia="仿宋" w:cs="仿宋"/>
          <w:highlight w:val="none"/>
        </w:rPr>
        <w:t>需求</w:t>
      </w:r>
      <w:bookmarkEnd w:id="25"/>
      <w:bookmarkEnd w:id="26"/>
      <w:bookmarkEnd w:id="27"/>
      <w:bookmarkEnd w:id="28"/>
    </w:p>
    <w:p w14:paraId="471E39E5">
      <w:pPr>
        <w:adjustRightInd w:val="0"/>
        <w:snapToGrid w:val="0"/>
        <w:spacing w:line="360" w:lineRule="auto"/>
        <w:ind w:firstLine="420" w:firstLineChars="200"/>
        <w:rPr>
          <w:rFonts w:hint="eastAsia" w:ascii="仿宋" w:hAnsi="仿宋" w:eastAsia="仿宋" w:cs="仿宋"/>
          <w:highlight w:val="none"/>
        </w:rPr>
      </w:pPr>
      <w:bookmarkStart w:id="29" w:name="_Toc25382_WPSOffice_Level2"/>
      <w:bookmarkStart w:id="30" w:name="_Toc23459_WPSOffice_Level2"/>
      <w:bookmarkStart w:id="31" w:name="_Toc16119_WPSOffice_Level2"/>
      <w:bookmarkStart w:id="32" w:name="_Toc16294_WPSOffice_Level2"/>
      <w:r>
        <w:rPr>
          <w:rFonts w:hint="eastAsia" w:ascii="仿宋" w:hAnsi="仿宋" w:eastAsia="仿宋" w:cs="仿宋"/>
          <w:highlight w:val="none"/>
        </w:rPr>
        <w:t>第四章 评标方法</w:t>
      </w:r>
      <w:bookmarkEnd w:id="29"/>
      <w:bookmarkEnd w:id="30"/>
      <w:bookmarkEnd w:id="31"/>
      <w:bookmarkEnd w:id="32"/>
    </w:p>
    <w:p w14:paraId="17BCF870">
      <w:pPr>
        <w:adjustRightInd w:val="0"/>
        <w:snapToGrid w:val="0"/>
        <w:spacing w:line="360" w:lineRule="auto"/>
        <w:ind w:firstLine="420" w:firstLineChars="200"/>
        <w:rPr>
          <w:rFonts w:hint="eastAsia" w:ascii="仿宋" w:hAnsi="仿宋" w:eastAsia="仿宋" w:cs="仿宋"/>
          <w:highlight w:val="none"/>
        </w:rPr>
      </w:pPr>
      <w:bookmarkStart w:id="33" w:name="_Toc28106_WPSOffice_Level2"/>
      <w:bookmarkStart w:id="34" w:name="_Toc17794_WPSOffice_Level2"/>
      <w:bookmarkStart w:id="35" w:name="_Toc9629_WPSOffice_Level2"/>
      <w:bookmarkStart w:id="36" w:name="_Toc16368_WPSOffice_Level2"/>
      <w:r>
        <w:rPr>
          <w:rFonts w:hint="eastAsia" w:ascii="仿宋" w:hAnsi="仿宋" w:eastAsia="仿宋" w:cs="仿宋"/>
          <w:highlight w:val="none"/>
        </w:rPr>
        <w:t>第五章 政府采购合同</w:t>
      </w:r>
      <w:bookmarkEnd w:id="33"/>
      <w:bookmarkEnd w:id="34"/>
      <w:bookmarkEnd w:id="35"/>
      <w:bookmarkEnd w:id="36"/>
      <w:r>
        <w:rPr>
          <w:rFonts w:hint="eastAsia" w:ascii="仿宋" w:hAnsi="仿宋" w:eastAsia="仿宋" w:cs="仿宋"/>
          <w:highlight w:val="none"/>
        </w:rPr>
        <w:t>条款及格式</w:t>
      </w:r>
    </w:p>
    <w:p w14:paraId="747E0E5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eastAsia="仿宋" w:cs="仿宋"/>
          <w:b/>
          <w:bCs/>
          <w:szCs w:val="21"/>
        </w:rPr>
        <w:t>投标无效</w:t>
      </w:r>
      <w:r>
        <w:rPr>
          <w:rFonts w:hint="eastAsia" w:ascii="仿宋" w:hAnsi="仿宋" w:eastAsia="仿宋" w:cs="仿宋"/>
          <w:szCs w:val="21"/>
        </w:rPr>
        <w:t>。</w:t>
      </w:r>
    </w:p>
    <w:p w14:paraId="2F2F7130">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9.招标文件的澄清与修改</w:t>
      </w:r>
    </w:p>
    <w:p w14:paraId="7D0C9F2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038C3E0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9.2澄清或者修改的内容为招标文件的组成部分，对所有招标文件的收受人具有约束力。投标人在收到上述通知后，应及时向采购代理机构回函确认。</w:t>
      </w:r>
    </w:p>
    <w:p w14:paraId="39EA404D">
      <w:pPr>
        <w:pStyle w:val="3"/>
        <w:rPr>
          <w:rFonts w:hint="eastAsia" w:ascii="仿宋" w:hAnsi="仿宋" w:eastAsia="仿宋" w:cs="仿宋"/>
          <w:sz w:val="32"/>
          <w:szCs w:val="32"/>
        </w:rPr>
      </w:pPr>
      <w:bookmarkStart w:id="37" w:name="_Toc7415_WPSOffice_Level2"/>
      <w:r>
        <w:rPr>
          <w:rFonts w:hint="eastAsia" w:ascii="仿宋" w:hAnsi="仿宋" w:eastAsia="仿宋" w:cs="仿宋"/>
          <w:sz w:val="32"/>
          <w:szCs w:val="32"/>
        </w:rPr>
        <w:t>四 投标文件的编制</w:t>
      </w:r>
      <w:bookmarkEnd w:id="37"/>
    </w:p>
    <w:p w14:paraId="1DD83AE8">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10.投标范围</w:t>
      </w:r>
    </w:p>
    <w:p w14:paraId="606F84A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10.1项目有分包的，投标人可对招标文件其中某一个分包或几个分包进行投标。</w:t>
      </w:r>
    </w:p>
    <w:p w14:paraId="63942E7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★10.2投标人应当对所投分包在招标文件中“</w:t>
      </w:r>
      <w:r>
        <w:rPr>
          <w:rFonts w:hint="eastAsia" w:ascii="仿宋" w:hAnsi="仿宋" w:cs="仿宋"/>
          <w:szCs w:val="21"/>
          <w:lang w:val="en-US" w:eastAsia="zh-CN"/>
        </w:rPr>
        <w:t>服务</w:t>
      </w:r>
      <w:r>
        <w:rPr>
          <w:rFonts w:hint="eastAsia" w:ascii="仿宋" w:hAnsi="仿宋" w:eastAsia="仿宋" w:cs="仿宋"/>
          <w:szCs w:val="21"/>
        </w:rPr>
        <w:t>需求”所列的所有货物内容进行投标，如仅响应分包中某一部分内容，其该包投标将被认定为</w:t>
      </w:r>
      <w:r>
        <w:rPr>
          <w:rFonts w:hint="eastAsia" w:ascii="仿宋" w:hAnsi="仿宋" w:eastAsia="仿宋" w:cs="仿宋"/>
          <w:b/>
          <w:bCs/>
          <w:szCs w:val="21"/>
        </w:rPr>
        <w:t>投标无效</w:t>
      </w:r>
      <w:r>
        <w:rPr>
          <w:rFonts w:hint="eastAsia" w:ascii="仿宋" w:hAnsi="仿宋" w:eastAsia="仿宋" w:cs="仿宋"/>
          <w:szCs w:val="21"/>
        </w:rPr>
        <w:t>。</w:t>
      </w:r>
    </w:p>
    <w:p w14:paraId="7D3D49AF">
      <w:pPr>
        <w:pStyle w:val="6"/>
        <w:adjustRightInd w:val="0"/>
        <w:snapToGrid w:val="0"/>
        <w:spacing w:line="360" w:lineRule="auto"/>
        <w:rPr>
          <w:rFonts w:hint="eastAsia" w:ascii="仿宋" w:hAnsi="仿宋" w:eastAsia="仿宋" w:cs="仿宋"/>
          <w:szCs w:val="21"/>
        </w:rPr>
      </w:pPr>
      <w:r>
        <w:rPr>
          <w:rFonts w:hint="eastAsia" w:ascii="仿宋" w:hAnsi="仿宋" w:eastAsia="仿宋" w:cs="仿宋"/>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4E8228A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10.4无论招标文件第三章</w:t>
      </w:r>
      <w:r>
        <w:rPr>
          <w:rFonts w:hint="eastAsia" w:ascii="仿宋" w:hAnsi="仿宋" w:cs="仿宋"/>
          <w:szCs w:val="21"/>
          <w:lang w:val="en-US" w:eastAsia="zh-CN"/>
        </w:rPr>
        <w:t>服务</w:t>
      </w:r>
      <w:r>
        <w:rPr>
          <w:rFonts w:hint="eastAsia" w:ascii="仿宋" w:hAnsi="仿宋" w:eastAsia="仿宋" w:cs="仿宋"/>
          <w:szCs w:val="21"/>
        </w:rPr>
        <w:t>需求中是否要求，投标人所投货物均应符合国家强制性标准。</w:t>
      </w:r>
    </w:p>
    <w:p w14:paraId="4D4C6210">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11.投标文件构成</w:t>
      </w:r>
    </w:p>
    <w:p w14:paraId="440D7DE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★11.1投标人应完整地按招标文件提供的投标文件格式及要求编写投标文件。投标文件应包括资格证明文件、符合性证明文件、其它材料三部分。具体见第二章 投标文件内容及格式。</w:t>
      </w:r>
    </w:p>
    <w:p w14:paraId="5D3DC0B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★11.2投标人应按招标文件提供的格式编写投标文件。招标文件提供标准格式的按标准格式填列，未提供标准格式的可自行拟定。</w:t>
      </w:r>
    </w:p>
    <w:p w14:paraId="1BD2BF1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11.3 样品或演示要求详见投标人须知表11.3款。</w:t>
      </w:r>
    </w:p>
    <w:p w14:paraId="2A5EA65B">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12.投标报价</w:t>
      </w:r>
    </w:p>
    <w:p w14:paraId="2AE5C9A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18E0391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2E4DDC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12.3投标人应按招标文件要求在相关表格中标明投标货物及伴随服务的单价和总价，并由法定代表人（非法人组织的负责人）或其委托代理人签署。</w:t>
      </w:r>
    </w:p>
    <w:p w14:paraId="5560FD65">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12.4投标人所报的各分项投标单价在合同履行过程中是固定不变的，不得以任何理由予以变更。任何包含价格调整要求的投标，其投标将被认定为</w:t>
      </w:r>
      <w:r>
        <w:rPr>
          <w:rFonts w:hint="eastAsia" w:ascii="仿宋" w:hAnsi="仿宋" w:eastAsia="仿宋" w:cs="仿宋"/>
          <w:b/>
          <w:bCs/>
          <w:szCs w:val="21"/>
        </w:rPr>
        <w:t>投标无效。</w:t>
      </w:r>
    </w:p>
    <w:p w14:paraId="60756C8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12.5每种货物只能有一个投标报价。采购人不接受具有附加条件的报价。</w:t>
      </w:r>
    </w:p>
    <w:p w14:paraId="4FF5F0EC">
      <w:pPr>
        <w:adjustRightInd w:val="0"/>
        <w:snapToGrid w:val="0"/>
        <w:spacing w:line="360" w:lineRule="auto"/>
        <w:rPr>
          <w:rFonts w:hint="eastAsia" w:ascii="仿宋" w:hAnsi="仿宋" w:eastAsia="仿宋" w:cs="仿宋"/>
          <w:szCs w:val="21"/>
        </w:rPr>
      </w:pPr>
      <w:bookmarkStart w:id="38" w:name="_Toc22507_WPSOffice_Level2"/>
      <w:bookmarkStart w:id="39" w:name="_Toc31973_WPSOffice_Level2"/>
      <w:r>
        <w:rPr>
          <w:rFonts w:hint="eastAsia" w:ascii="仿宋" w:hAnsi="仿宋" w:eastAsia="仿宋" w:cs="仿宋"/>
          <w:szCs w:val="21"/>
        </w:rPr>
        <w:t>12.6除非招标文件另有规定，报价原则上精确到小数点后两位。</w:t>
      </w:r>
      <w:bookmarkEnd w:id="38"/>
      <w:bookmarkEnd w:id="39"/>
    </w:p>
    <w:p w14:paraId="523FB318">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★13.投标保证金</w:t>
      </w:r>
    </w:p>
    <w:p w14:paraId="3E460B6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13.1投标人应提交投标人须知表13.1款中规定的投标保证金，并作为其投标的一部分。</w:t>
      </w:r>
    </w:p>
    <w:p w14:paraId="2AF4C708">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13.2投标保证金缴纳人、招标文件领取人、投标登记人和投标人必须为同一组织机构或联合体内不同成员单位，否则将视同未按招标文件规定交纳投标保证金。</w:t>
      </w:r>
    </w:p>
    <w:p w14:paraId="61158A50">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13.3投标人存在下列情形的，投标保证金不予退还：</w:t>
      </w:r>
    </w:p>
    <w:p w14:paraId="4D670D9B">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（1）在投标有效期内，投标人撤销投标的；</w:t>
      </w:r>
    </w:p>
    <w:p w14:paraId="3E98CBFE">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（2）中标后不按本须知第34款的规定与采购人签订合同的；</w:t>
      </w:r>
    </w:p>
    <w:p w14:paraId="17B85E0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（3）中标后不按本须知第35款的规定提交履约保证金的；</w:t>
      </w:r>
    </w:p>
    <w:p w14:paraId="274D975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（4）中标后不按本须知第36款的规定缴纳采购代理服务费的；</w:t>
      </w:r>
    </w:p>
    <w:p w14:paraId="5624F0C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（5）存在其他违法违规行为的。</w:t>
      </w:r>
    </w:p>
    <w:p w14:paraId="750DEC4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13.4联合体投标的，可以由联合体中的一方或者共同提交投标保证金。以一方名义提交投标保证金的，对联合体各方均具有约束力。</w:t>
      </w:r>
    </w:p>
    <w:p w14:paraId="1CC0809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13.5投标保证金的退还</w:t>
      </w:r>
    </w:p>
    <w:p w14:paraId="65A26AA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13.5.1中标人应在与采购人签订合同之日起5个工作日内，及时联系保证金收受机构办理投标保证金退还手续。</w:t>
      </w:r>
    </w:p>
    <w:p w14:paraId="075641A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13.5.2未中标投标人的投标保证金将在中标通知书发出之日暨中标结果公告公布之日起5个工作日内无息退还。投标人应及时联系保证金收受机构办理退还投标保证金手续。</w:t>
      </w:r>
    </w:p>
    <w:p w14:paraId="3C544E2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566CF5A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13.5.4 政府采购投标担保函不予退回。</w:t>
      </w:r>
    </w:p>
    <w:p w14:paraId="7AD339C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13.6 因投标人自身原因导致无法及时退还的，采购人或采购代理机构将不承担相应责任。</w:t>
      </w:r>
    </w:p>
    <w:p w14:paraId="62DB4983">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14.证明投标标的的合格性和符合招标文件规定的技术文件</w:t>
      </w:r>
    </w:p>
    <w:p w14:paraId="1493751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14.1投标人应提交证明文件，证明其投标内容符合招标文件规定。该证明文件是投标文件的一部分。</w:t>
      </w:r>
    </w:p>
    <w:p w14:paraId="06AE75F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14.2上款所述的证明文件，可以是文字资料、图纸和数据，它包括：</w:t>
      </w:r>
    </w:p>
    <w:p w14:paraId="2E280BB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（1）货物主要技术指标和性能的详细说明；</w:t>
      </w:r>
    </w:p>
    <w:p w14:paraId="79245F9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（2）货物从采购人开始使用至招标文件规定的保质期内正常、连续地使用所必须的备件和专用工具清单，包括备件和专用工具的货源及现行价格;</w:t>
      </w:r>
    </w:p>
    <w:p w14:paraId="248A702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（3）对照招标文件技术规格，逐条说明所提供货物及伴随的工程和服务已对招标文件的技术规格做出了实质性的响应，或申明与技术规格条文的偏差和例外。</w:t>
      </w:r>
    </w:p>
    <w:p w14:paraId="61B8E7F4">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15.投标有效期</w:t>
      </w:r>
    </w:p>
    <w:p w14:paraId="39AF01F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15.1投标应在投标人须知表15.1款中规定的投标有效期内保持有效。投标有效期不满足要求的投标，其投标将被认定为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672373C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41ECCFB2">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16.投标文件的签署及规定</w:t>
      </w:r>
    </w:p>
    <w:p w14:paraId="16B1128A">
      <w:pPr>
        <w:adjustRightInd w:val="0"/>
        <w:snapToGrid w:val="0"/>
        <w:spacing w:line="360" w:lineRule="auto"/>
        <w:rPr>
          <w:rFonts w:hint="eastAsia" w:ascii="仿宋" w:hAnsi="仿宋" w:eastAsia="仿宋" w:cs="仿宋"/>
          <w:szCs w:val="21"/>
        </w:rPr>
      </w:pPr>
      <w:bookmarkStart w:id="40" w:name="_Toc27725_WPSOffice_Level2"/>
      <w:r>
        <w:rPr>
          <w:rFonts w:hint="eastAsia" w:ascii="仿宋" w:hAnsi="仿宋" w:eastAsia="仿宋" w:cs="仿宋"/>
          <w:szCs w:val="21"/>
        </w:rPr>
        <w:t>16.1投标人应按投标人须知表16.1款中的规定，准备和递交投标文件正本、副本和电子文档。</w:t>
      </w:r>
    </w:p>
    <w:p w14:paraId="17216CC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★16.2每份投标文件封皮须清楚地标明“正本”或“副本”。若正本和副本不符，以正本为准。</w:t>
      </w:r>
    </w:p>
    <w:p w14:paraId="3B4382E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33AF48D8">
      <w:pPr>
        <w:pStyle w:val="3"/>
        <w:rPr>
          <w:rFonts w:hint="eastAsia" w:ascii="仿宋" w:hAnsi="仿宋" w:eastAsia="仿宋" w:cs="仿宋"/>
          <w:sz w:val="32"/>
          <w:szCs w:val="28"/>
        </w:rPr>
      </w:pPr>
      <w:r>
        <w:rPr>
          <w:rFonts w:hint="eastAsia" w:ascii="仿宋" w:hAnsi="仿宋" w:eastAsia="仿宋" w:cs="仿宋"/>
          <w:sz w:val="32"/>
          <w:szCs w:val="28"/>
        </w:rPr>
        <w:t>五 投标文件的递交</w:t>
      </w:r>
      <w:bookmarkEnd w:id="40"/>
    </w:p>
    <w:p w14:paraId="5DEE2684">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17.投标文件的密封和标记</w:t>
      </w:r>
    </w:p>
    <w:p w14:paraId="467D2FF2">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17.1投标人应将投标文件密封，将正本和所有的副本、电子文档密封，并进行包封。</w:t>
      </w:r>
    </w:p>
    <w:p w14:paraId="5D34CBC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17.2所有包装封皮上均应：</w:t>
      </w:r>
    </w:p>
    <w:p w14:paraId="0DC8A91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（1）注明项目名称、项目编号、包号、投标人名称。</w:t>
      </w:r>
    </w:p>
    <w:p w14:paraId="7DBA13F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（2）加盖投标人单位公章。</w:t>
      </w:r>
    </w:p>
    <w:p w14:paraId="5E5C8F8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17.3如果投标人未按上述要求密封，其投标文件将被</w:t>
      </w:r>
      <w:r>
        <w:rPr>
          <w:rFonts w:hint="eastAsia" w:ascii="仿宋" w:hAnsi="仿宋" w:eastAsia="仿宋" w:cs="仿宋"/>
          <w:b/>
          <w:bCs/>
          <w:szCs w:val="21"/>
        </w:rPr>
        <w:t>拒绝接收</w:t>
      </w:r>
      <w:r>
        <w:rPr>
          <w:rFonts w:hint="eastAsia" w:ascii="仿宋" w:hAnsi="仿宋" w:eastAsia="仿宋" w:cs="仿宋"/>
          <w:szCs w:val="21"/>
        </w:rPr>
        <w:t>。</w:t>
      </w:r>
    </w:p>
    <w:p w14:paraId="49B4C323">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18.投标截止</w:t>
      </w:r>
    </w:p>
    <w:p w14:paraId="4360664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18.1投标人应在投标人须知表18.1中规定的递交投标文件截止时间前，将投标文件递交到投标人须知表18.1款中规定的地点。</w:t>
      </w:r>
    </w:p>
    <w:p w14:paraId="1A79092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18.2采购人和采购代理机构有权按本须知的规定，延迟投标截止时间。在此情况下，采购人、采购代理机构和投标人受投标截止时间制约的所有权利和义务均应延长至新的截止时间。</w:t>
      </w:r>
    </w:p>
    <w:p w14:paraId="5AB61A35">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19.投标文件的接收、修改与撤回</w:t>
      </w:r>
    </w:p>
    <w:p w14:paraId="16F32484">
      <w:pPr>
        <w:adjustRightInd w:val="0"/>
        <w:snapToGrid w:val="0"/>
        <w:spacing w:line="360" w:lineRule="auto"/>
        <w:rPr>
          <w:rFonts w:ascii="仿宋_GB2312" w:hAnsi="仿宋_GB2312" w:eastAsia="仿宋_GB2312" w:cs="仿宋_GB2312"/>
          <w:szCs w:val="21"/>
        </w:rPr>
      </w:pPr>
      <w:bookmarkStart w:id="41" w:name="_Toc988_WPSOffice_Level2"/>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3EFA035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19.2采购人或者采购代理机构收到投标文件后，应当如实记载投标文件的送达时间和密封情况。</w:t>
      </w:r>
    </w:p>
    <w:p w14:paraId="22125A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1180F56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3E63D92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 采购人和采购代理机构对所接收并当众宣读投标内容的投标文件概不退回。</w:t>
      </w:r>
    </w:p>
    <w:p w14:paraId="461EFD93">
      <w:pPr>
        <w:pStyle w:val="3"/>
        <w:rPr>
          <w:rFonts w:hint="eastAsia" w:ascii="仿宋" w:hAnsi="仿宋" w:eastAsia="仿宋" w:cs="仿宋"/>
          <w:sz w:val="32"/>
          <w:szCs w:val="28"/>
        </w:rPr>
      </w:pPr>
      <w:r>
        <w:rPr>
          <w:rFonts w:hint="eastAsia" w:ascii="仿宋" w:hAnsi="仿宋" w:eastAsia="仿宋" w:cs="仿宋"/>
          <w:sz w:val="32"/>
          <w:szCs w:val="28"/>
        </w:rPr>
        <w:t>六 开标及评标</w:t>
      </w:r>
      <w:bookmarkEnd w:id="41"/>
    </w:p>
    <w:p w14:paraId="68715321">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20.开标</w:t>
      </w:r>
    </w:p>
    <w:p w14:paraId="143EFDB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20.1采购人和采购代理机构将按投标人须知表20.1款中规定的开标时间和地点组织公开开标并邀请所有投标人代表参加。</w:t>
      </w:r>
    </w:p>
    <w:p w14:paraId="385DF29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投标人不足3家的，不得开标。评标委员会成员不得参加开标活动。</w:t>
      </w:r>
    </w:p>
    <w:p w14:paraId="0DAA8C6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0D28A47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未宣读投标价格、价格折扣等实质内容，评标时不予承认。</w:t>
      </w:r>
    </w:p>
    <w:p w14:paraId="1DEE933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20.3采购人或采购代理机构将对开标过程进行记录，由参加开标的各投标人代表和相关工作人员签字确认，并存档备查。投标人未参加开标或未签字确认的，视同认可开标结果。</w:t>
      </w:r>
    </w:p>
    <w:p w14:paraId="0E95F56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20.4投标人代表对开标过程和开标记录有疑义，以及认为采购人、采购代理机构相关工作人员有需要回避的情形的，应当场提出询问或者回避申请。</w:t>
      </w:r>
    </w:p>
    <w:p w14:paraId="494A3970">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21.组建评标委员会</w:t>
      </w:r>
    </w:p>
    <w:p w14:paraId="1BB2EF5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按照《中华人民共和国政府采购法》、《中华人民共和国政府采购法实施条例》有关规定依法组建评标委员会，负责本项目评标工作。本项目评标委员会组成详见投标人须知表21款。</w:t>
      </w:r>
    </w:p>
    <w:p w14:paraId="34F4E3E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b/>
          <w:bCs/>
          <w:szCs w:val="21"/>
        </w:rPr>
        <w:t>22.资格审查</w:t>
      </w:r>
    </w:p>
    <w:p w14:paraId="48819B3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eastAsia="仿宋" w:cs="仿宋"/>
          <w:b/>
          <w:bCs/>
          <w:szCs w:val="21"/>
        </w:rPr>
        <w:t>投标无效</w:t>
      </w:r>
      <w:r>
        <w:rPr>
          <w:rFonts w:hint="eastAsia" w:ascii="仿宋" w:hAnsi="仿宋" w:eastAsia="仿宋" w:cs="仿宋"/>
          <w:szCs w:val="21"/>
        </w:rPr>
        <w:t>；通过资格审查的投标人不足3家的，不得评标。</w:t>
      </w:r>
    </w:p>
    <w:p w14:paraId="6FC4934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22.2采购人或采购代理机构将在递交投标文件截止时间前一个工作日至资格审查结束前查询投标人的信用记录。投标人存在不良信用记录的，其投标将被认定为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4B58355F">
      <w:pPr>
        <w:adjustRightInd w:val="0"/>
        <w:snapToGrid w:val="0"/>
        <w:spacing w:line="360" w:lineRule="auto"/>
        <w:rPr>
          <w:rFonts w:hint="eastAsia" w:ascii="仿宋" w:hAnsi="仿宋" w:eastAsia="仿宋" w:cs="仿宋"/>
          <w:color w:val="auto"/>
          <w:szCs w:val="21"/>
        </w:rPr>
      </w:pPr>
      <w:r>
        <w:rPr>
          <w:rFonts w:hint="eastAsia" w:ascii="仿宋" w:hAnsi="仿宋" w:eastAsia="仿宋" w:cs="仿宋"/>
          <w:color w:val="auto"/>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r>
        <w:rPr>
          <w:rFonts w:hint="eastAsia" w:ascii="仿宋" w:hAnsi="仿宋" w:eastAsia="仿宋" w:cs="仿宋"/>
          <w:color w:val="auto"/>
          <w:szCs w:val="21"/>
          <w:lang w:eastAsia="zh-CN"/>
        </w:rPr>
        <w:t>。</w:t>
      </w:r>
      <w:r>
        <w:rPr>
          <w:rFonts w:hint="eastAsia" w:ascii="仿宋" w:hAnsi="仿宋" w:eastAsia="仿宋" w:cs="仿宋"/>
          <w:color w:val="auto"/>
          <w:szCs w:val="21"/>
        </w:rPr>
        <w:t>“中国裁判文书网”网站（wenshu.court.gov.cn）</w:t>
      </w:r>
      <w:r>
        <w:rPr>
          <w:rFonts w:hint="eastAsia" w:ascii="仿宋" w:hAnsi="仿宋" w:eastAsia="仿宋" w:cs="仿宋"/>
          <w:kern w:val="0"/>
          <w:szCs w:val="21"/>
        </w:rPr>
        <w:t>参加采购活动前三年内，在经营活动中存在重大违法记录且被裁判文书网载入行贿判决的不得参加本采购项目。</w:t>
      </w:r>
    </w:p>
    <w:p w14:paraId="53CE72A7">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cs="仿宋_GB2312"/>
          <w:color w:val="auto"/>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3F8E0AFD">
      <w:pPr>
        <w:adjustRightInd w:val="0"/>
        <w:snapToGrid w:val="0"/>
        <w:spacing w:line="360" w:lineRule="auto"/>
        <w:ind w:firstLine="420" w:firstLineChars="200"/>
        <w:rPr>
          <w:rFonts w:hint="eastAsia" w:ascii="仿宋" w:hAnsi="仿宋" w:eastAsia="仿宋" w:cs="仿宋"/>
          <w:color w:val="auto"/>
          <w:szCs w:val="21"/>
        </w:rPr>
      </w:pPr>
      <w:r>
        <w:rPr>
          <w:rFonts w:hint="eastAsia" w:ascii="仿宋" w:hAnsi="仿宋" w:eastAsia="仿宋" w:cs="仿宋"/>
          <w:color w:val="auto"/>
          <w:szCs w:val="21"/>
        </w:rPr>
        <w:t>以联合体形式参加投标的，联合体任何成员存在以上不良信用记录的，联合体投标将被认定为</w:t>
      </w:r>
      <w:r>
        <w:rPr>
          <w:rFonts w:hint="eastAsia" w:ascii="仿宋" w:hAnsi="仿宋" w:eastAsia="仿宋" w:cs="仿宋"/>
          <w:b/>
          <w:bCs/>
          <w:color w:val="auto"/>
          <w:szCs w:val="21"/>
        </w:rPr>
        <w:t>投标无效</w:t>
      </w:r>
      <w:r>
        <w:rPr>
          <w:rFonts w:hint="eastAsia" w:ascii="仿宋" w:hAnsi="仿宋" w:eastAsia="仿宋" w:cs="仿宋"/>
          <w:color w:val="auto"/>
          <w:szCs w:val="21"/>
        </w:rPr>
        <w:t>。</w:t>
      </w:r>
    </w:p>
    <w:p w14:paraId="76483D4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22.2.2查询及记录方式：</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须自行在相关网站查询本企业的信用记录并将网页截图（</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对其提供的网页截图真实性负责）附在</w:t>
      </w:r>
      <w:r>
        <w:rPr>
          <w:rFonts w:hint="eastAsia" w:ascii="仿宋" w:hAnsi="仿宋" w:eastAsia="仿宋" w:cs="仿宋"/>
          <w:szCs w:val="21"/>
          <w:highlight w:val="none"/>
          <w:lang w:eastAsia="zh-CN"/>
        </w:rPr>
        <w:t>投标文件</w:t>
      </w:r>
      <w:r>
        <w:rPr>
          <w:rFonts w:hint="eastAsia" w:ascii="仿宋" w:hAnsi="仿宋" w:eastAsia="仿宋" w:cs="仿宋"/>
          <w:szCs w:val="21"/>
          <w:highlight w:val="none"/>
        </w:rPr>
        <w:t>中，</w:t>
      </w:r>
      <w:r>
        <w:rPr>
          <w:rFonts w:hint="eastAsia" w:ascii="仿宋" w:hAnsi="仿宋" w:eastAsia="仿宋" w:cs="仿宋"/>
          <w:szCs w:val="21"/>
          <w:highlight w:val="none"/>
          <w:lang w:eastAsia="zh-CN"/>
        </w:rPr>
        <w:t>评标委员会</w:t>
      </w:r>
      <w:r>
        <w:rPr>
          <w:rFonts w:hint="eastAsia" w:ascii="仿宋" w:hAnsi="仿宋" w:eastAsia="仿宋" w:cs="仿宋"/>
          <w:szCs w:val="21"/>
          <w:highlight w:val="none"/>
        </w:rPr>
        <w:t>根据</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提供截图，进行审查。</w:t>
      </w: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存在不良信用记录的，其响应将被认定为</w:t>
      </w:r>
      <w:r>
        <w:rPr>
          <w:rFonts w:hint="eastAsia" w:ascii="仿宋" w:hAnsi="仿宋" w:eastAsia="仿宋" w:cs="仿宋"/>
          <w:b/>
          <w:bCs/>
          <w:szCs w:val="21"/>
          <w:highlight w:val="none"/>
        </w:rPr>
        <w:t>投标无效</w:t>
      </w:r>
      <w:r>
        <w:rPr>
          <w:rFonts w:hint="eastAsia" w:ascii="仿宋" w:hAnsi="仿宋" w:eastAsia="仿宋" w:cs="仿宋"/>
          <w:szCs w:val="21"/>
          <w:highlight w:val="none"/>
        </w:rPr>
        <w:t>。</w:t>
      </w:r>
      <w:r>
        <w:rPr>
          <w:rFonts w:hint="eastAsia" w:ascii="仿宋" w:hAnsi="仿宋" w:cs="仿宋"/>
          <w:szCs w:val="21"/>
          <w:highlight w:val="none"/>
          <w:lang w:val="en-US" w:eastAsia="zh-CN"/>
        </w:rPr>
        <w:t>如采购人或采购代理机构查询的内容与投标人提供的截图不符，以采购人或采购代理机构查询的为准。</w:t>
      </w:r>
    </w:p>
    <w:p w14:paraId="05FC93A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在本招标文件规定的查询时间之后，网站信息发生的任何变更均不再作为评标依据。</w:t>
      </w:r>
    </w:p>
    <w:p w14:paraId="757519A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投标人自行提供的与网站信息不一致的其他证明材料亦不作为资格审查依据。</w:t>
      </w:r>
    </w:p>
    <w:p w14:paraId="03080555">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23.符合性审查</w:t>
      </w:r>
    </w:p>
    <w:p w14:paraId="7EAF846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eastAsia="仿宋" w:cs="仿宋"/>
          <w:b/>
          <w:bCs/>
          <w:szCs w:val="21"/>
        </w:rPr>
        <w:t>投标无效</w:t>
      </w:r>
      <w:r>
        <w:rPr>
          <w:rFonts w:hint="eastAsia" w:ascii="仿宋" w:hAnsi="仿宋" w:eastAsia="仿宋" w:cs="仿宋"/>
          <w:szCs w:val="21"/>
        </w:rPr>
        <w:t>；通过符合性审查的投标人数量不足3家的，不得作进一步的比较和评价。</w:t>
      </w:r>
    </w:p>
    <w:p w14:paraId="690FE57E">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24.投标文件的澄清</w:t>
      </w:r>
    </w:p>
    <w:p w14:paraId="49BE287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4439A1C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24.2投标人的澄清、说明或补正将作为投标文件的一部分。</w:t>
      </w:r>
    </w:p>
    <w:p w14:paraId="7B96306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24.3投标文件报价出现前后不一致的，按照下列规定修正：</w:t>
      </w:r>
    </w:p>
    <w:p w14:paraId="47D0820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（1）投标文件中开标一览表内容与投标文件中相应内容不一致的，以开标一览表为准；</w:t>
      </w:r>
    </w:p>
    <w:p w14:paraId="0ED1B2D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（2）大写金额和小写金额不一致的，以大写金额为准；</w:t>
      </w:r>
    </w:p>
    <w:p w14:paraId="78F9E2A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（3）单价金额小数点或者百分比有明显错位的，以开标一览表的总价为准，并修改单价；</w:t>
      </w:r>
    </w:p>
    <w:p w14:paraId="0E6AD90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（4）总价金额与按单价汇总金额不一致的，以单价金额计算结果为准。</w:t>
      </w:r>
    </w:p>
    <w:p w14:paraId="32182F8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同时出现两种以上不一致的，按照前款规定的顺序修正。修正后的报价经投标人确认后产生约束力，投标人不确认的，其投标将被认定为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12C5F97F">
      <w:pPr>
        <w:adjustRightInd w:val="0"/>
        <w:snapToGrid w:val="0"/>
        <w:spacing w:line="360" w:lineRule="auto"/>
        <w:rPr>
          <w:rFonts w:hint="eastAsia" w:ascii="仿宋" w:hAnsi="仿宋" w:eastAsia="仿宋" w:cs="仿宋"/>
        </w:rPr>
      </w:pPr>
      <w:r>
        <w:rPr>
          <w:rFonts w:hint="eastAsia" w:ascii="仿宋" w:hAnsi="仿宋" w:eastAsia="仿宋" w:cs="仿宋"/>
          <w:szCs w:val="21"/>
        </w:rPr>
        <w:t>24.4</w:t>
      </w:r>
      <w:r>
        <w:rPr>
          <w:rFonts w:hint="eastAsia" w:ascii="仿宋" w:hAnsi="仿宋" w:eastAsia="仿宋" w:cs="仿宋"/>
          <w:b/>
          <w:bCs/>
          <w:szCs w:val="21"/>
        </w:rPr>
        <w:t>评标委员会认为</w:t>
      </w:r>
      <w:r>
        <w:rPr>
          <w:rFonts w:hint="eastAsia" w:ascii="仿宋" w:hAnsi="仿宋" w:eastAsia="仿宋" w:cs="仿宋"/>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szCs w:val="21"/>
        </w:rPr>
        <w:t>无效投标</w:t>
      </w:r>
      <w:r>
        <w:rPr>
          <w:rFonts w:hint="eastAsia" w:ascii="仿宋" w:hAnsi="仿宋" w:eastAsia="仿宋" w:cs="仿宋"/>
          <w:szCs w:val="21"/>
        </w:rPr>
        <w:t>处理。提交证明材料的合理时间按第四章 评标方法规定执行。</w:t>
      </w:r>
    </w:p>
    <w:p w14:paraId="7BD9E102">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25样品及演示</w:t>
      </w:r>
    </w:p>
    <w:p w14:paraId="1E1775F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25.1投标人须知表11.3款中要求投标人提供样品的，按照投标人须知表25.1款中样品的评审方法以及评审标准进行评审。</w:t>
      </w:r>
    </w:p>
    <w:p w14:paraId="5379A0D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3106140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25.3演示的评审方法以及评审标准具体内容见投标人须知表25.1款。</w:t>
      </w:r>
    </w:p>
    <w:p w14:paraId="1D8CBF71">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26.投标无效</w:t>
      </w:r>
    </w:p>
    <w:p w14:paraId="3DDFD48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26.1在比较与评价之前，根据本须知的规定，评标委员会将审查每份投标文件是否实质上响应了招标文件的要求。</w:t>
      </w:r>
    </w:p>
    <w:p w14:paraId="6DB3B101">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实质性要求是指招标文件中带有★号标识内容（包括本级及其下级编号中所有内容）等文字说明的要求。</w:t>
      </w:r>
    </w:p>
    <w:p w14:paraId="3F8B0CA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kern w:val="0"/>
          <w:szCs w:val="21"/>
        </w:rPr>
        <w:t>对招标文件的实质性要求进行响应是指与招标文件中带有★号标识内容的文字说明、条款、条件和规格等要求相符。</w:t>
      </w:r>
    </w:p>
    <w:p w14:paraId="2F0F1C0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如果投标文件没有对招标文件的实质性要求进行响应，将作为</w:t>
      </w:r>
      <w:r>
        <w:rPr>
          <w:rFonts w:hint="eastAsia" w:ascii="仿宋" w:hAnsi="仿宋" w:eastAsia="仿宋" w:cs="仿宋"/>
          <w:b/>
          <w:bCs/>
          <w:szCs w:val="21"/>
        </w:rPr>
        <w:t>无效投标</w:t>
      </w:r>
      <w:r>
        <w:rPr>
          <w:rFonts w:hint="eastAsia" w:ascii="仿宋" w:hAnsi="仿宋" w:eastAsia="仿宋" w:cs="仿宋"/>
          <w:szCs w:val="21"/>
        </w:rPr>
        <w:t>处理，投标人不得再对投标文件进行任何修正从而使其投标成为实质上响应的投标。</w:t>
      </w:r>
    </w:p>
    <w:p w14:paraId="7ECBEB5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评标委员会决定投标的响应性只根据招标文件要求、投标文件内容及财政主管部门指定媒体发布的相关信息。</w:t>
      </w:r>
    </w:p>
    <w:p w14:paraId="142F774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26.2如发现下列情况之一的，其投标将被认定为</w:t>
      </w:r>
      <w:r>
        <w:rPr>
          <w:rFonts w:hint="eastAsia" w:ascii="仿宋" w:hAnsi="仿宋" w:eastAsia="仿宋" w:cs="仿宋"/>
          <w:b/>
          <w:bCs/>
          <w:szCs w:val="21"/>
        </w:rPr>
        <w:t>投标无效</w:t>
      </w:r>
      <w:r>
        <w:rPr>
          <w:rFonts w:hint="eastAsia" w:ascii="仿宋" w:hAnsi="仿宋" w:eastAsia="仿宋" w:cs="仿宋"/>
          <w:szCs w:val="21"/>
        </w:rPr>
        <w:t>：</w:t>
      </w:r>
    </w:p>
    <w:p w14:paraId="32EC6B4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（1）未按招标文件的规定提交投标保证金的；</w:t>
      </w:r>
    </w:p>
    <w:p w14:paraId="06AC165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（2）未按照招标文件规定要求签署、盖章的；</w:t>
      </w:r>
    </w:p>
    <w:p w14:paraId="325328E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（3）投标人的报价超过了招标文件中规定的预算金额或者最高限价的；</w:t>
      </w:r>
    </w:p>
    <w:p w14:paraId="0B23057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（4）不具备招标文件中规定的资格要求的；</w:t>
      </w:r>
    </w:p>
    <w:p w14:paraId="46359059">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（5）不符合法律、法规和招标文件中规定的其他实质性要求的。</w:t>
      </w:r>
    </w:p>
    <w:p w14:paraId="68FCC37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（6）与其他投标人串通投标，或者与采购人串通投标；</w:t>
      </w:r>
    </w:p>
    <w:p w14:paraId="6DBCE7F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（7）评标委员会认为投标人的报价明显低于其他通过符合性审查投标人的报价，有可能影响履约的，且投标人未按照规定证明其报价合理性的；</w:t>
      </w:r>
    </w:p>
    <w:p w14:paraId="2E0A554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（8）投标文件含有采购人不能接受的附加条件的；</w:t>
      </w:r>
    </w:p>
    <w:p w14:paraId="6CBD15C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（9）属于法律、法规和招标文件规定的其他投标无效情形；</w:t>
      </w:r>
    </w:p>
    <w:p w14:paraId="1285639F">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27.比较与评价</w:t>
      </w:r>
    </w:p>
    <w:p w14:paraId="28E0DEC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27.1经符合性审查合格的投标文件，评标委员会将根据招标文件确定的评标方法和标准，对其技术部分和商务部分作进一步的比较和评价。</w:t>
      </w:r>
    </w:p>
    <w:p w14:paraId="17FBC23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27.2评标严格按照招标文件的要求和条件进行。根据实际情况，在投标人须知表27.2款中规定采用下列一种评标方法，详细评标标准见第四章 评标方法。</w:t>
      </w:r>
    </w:p>
    <w:p w14:paraId="78807A0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（1）最低评标价法，是指投标文件满足招标文件全部实质性要求，且投标报价最低的投标人为中标候选人的评标方法。</w:t>
      </w:r>
    </w:p>
    <w:p w14:paraId="445E504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（2）综合评分法，是指投标文件满足招标文件全部实质性要求，且按照评审因素的量化指标评审得分最高的投标人为中标候选人的评标方法。</w:t>
      </w:r>
    </w:p>
    <w:p w14:paraId="47A7E18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残疾人福利性单位声明函》，或省级以上监狱管理局、戒毒管理局（含新疆生产建设兵团）出具的属于监狱企业的证明文件的投标人，其投标报价扣除10-20%后参与评审。具体详见第四章 评标方法。</w:t>
      </w:r>
    </w:p>
    <w:p w14:paraId="3DEF047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011EFDB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27.5根据财政部、辽宁省财政厅相关规定，对于列入《辽宁省创新产品和服务目录》内的产品、服务实施政府优先采购。具体优先采购办法详见第四章 评标方法。</w:t>
      </w:r>
    </w:p>
    <w:p w14:paraId="0814AFEF">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28.废标</w:t>
      </w:r>
    </w:p>
    <w:p w14:paraId="262BE29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出现下列情形之一，将导致项目</w:t>
      </w:r>
      <w:r>
        <w:rPr>
          <w:rFonts w:hint="eastAsia" w:ascii="仿宋" w:hAnsi="仿宋" w:eastAsia="仿宋" w:cs="仿宋"/>
          <w:b/>
          <w:bCs/>
          <w:szCs w:val="21"/>
        </w:rPr>
        <w:t>废标</w:t>
      </w:r>
      <w:r>
        <w:rPr>
          <w:rFonts w:hint="eastAsia" w:ascii="仿宋" w:hAnsi="仿宋" w:eastAsia="仿宋" w:cs="仿宋"/>
          <w:szCs w:val="21"/>
        </w:rPr>
        <w:t>：</w:t>
      </w:r>
    </w:p>
    <w:p w14:paraId="1D48C6C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（1）符合专业条件的投标人或者对招标文件做实质性响应的投标人不足3家；</w:t>
      </w:r>
    </w:p>
    <w:p w14:paraId="4B07594A">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（2）出现影响采购公正的违法、违规行为的；</w:t>
      </w:r>
    </w:p>
    <w:p w14:paraId="013F21A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（3）投标人的报价均超过了采购预算或最高限价，采购人不能支付的；</w:t>
      </w:r>
    </w:p>
    <w:p w14:paraId="5797C21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（4）因重大变故，采购任务取消的。</w:t>
      </w:r>
    </w:p>
    <w:p w14:paraId="089B4CB8">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29.中标候选人的推荐原则及标准</w:t>
      </w:r>
    </w:p>
    <w:p w14:paraId="6994E14C">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29.1除第32条规定外，评标委员会将根据评标标准，对实质上响应招标文件的投标人按下列方法进行排序，推荐中标候选人：</w:t>
      </w:r>
    </w:p>
    <w:p w14:paraId="18BF855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44C2864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（2）采用综合评分法的，评标结果按评审后得分由高到低顺序排序。得分相同的，按第四章评标办法规定执行。</w:t>
      </w:r>
    </w:p>
    <w:p w14:paraId="2C53AB26">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29.2评标委员会将根据评标标准，按投标人须知表29.2款中规定的数量推荐中标候选人。</w:t>
      </w:r>
    </w:p>
    <w:p w14:paraId="1B22D471">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29.3因推荐中标候选人名单产生其他问题，由评标委员会集体研究处理。</w:t>
      </w:r>
    </w:p>
    <w:p w14:paraId="4068FA8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30.保密原则</w:t>
      </w:r>
    </w:p>
    <w:p w14:paraId="75A45103">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30.1评标将在严格保密的情况下进行。</w:t>
      </w:r>
    </w:p>
    <w:p w14:paraId="7EA0BCD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30.2有关人员应当遵守评标工作纪律，不得泄露评审文件、评标情况和评标过程中获悉的国家秘密、商业秘密。</w:t>
      </w:r>
    </w:p>
    <w:p w14:paraId="7EEA3AA0">
      <w:pPr>
        <w:pStyle w:val="3"/>
        <w:rPr>
          <w:rFonts w:hint="eastAsia" w:ascii="仿宋" w:hAnsi="仿宋" w:eastAsia="仿宋" w:cs="仿宋"/>
          <w:sz w:val="32"/>
          <w:szCs w:val="28"/>
        </w:rPr>
      </w:pPr>
      <w:bookmarkStart w:id="42" w:name="_Toc4544_WPSOffice_Level2"/>
      <w:r>
        <w:rPr>
          <w:rFonts w:hint="eastAsia" w:ascii="仿宋" w:hAnsi="仿宋" w:eastAsia="仿宋" w:cs="仿宋"/>
          <w:sz w:val="32"/>
          <w:szCs w:val="28"/>
        </w:rPr>
        <w:t>七 确定中标</w:t>
      </w:r>
      <w:bookmarkEnd w:id="42"/>
    </w:p>
    <w:p w14:paraId="356C556D">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31.确定中标人</w:t>
      </w:r>
    </w:p>
    <w:p w14:paraId="1DC1364C">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由采购人或者采购人委托评标委员会按照投标人须知表31中规定的方式确定中标人。</w:t>
      </w:r>
    </w:p>
    <w:p w14:paraId="6AD4EFC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采购人在收到评标报告5个工作日内未按评标报告推荐的中标候选人顺序确定中标人，又不能说明合法理由的，视同按评标报告推荐的顺序确定排名第一的中标候选人为中标人。</w:t>
      </w:r>
    </w:p>
    <w:p w14:paraId="52D2A1A3">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★32.采购任务取消</w:t>
      </w:r>
    </w:p>
    <w:p w14:paraId="69C50D1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因重大变故采购任务取消时，采购人有权拒绝任何</w:t>
      </w:r>
      <w:r>
        <w:rPr>
          <w:rFonts w:hint="eastAsia" w:ascii="仿宋" w:hAnsi="仿宋" w:eastAsia="仿宋" w:cs="仿宋"/>
          <w:szCs w:val="21"/>
          <w:lang w:eastAsia="zh-CN"/>
        </w:rPr>
        <w:t>投标人</w:t>
      </w:r>
      <w:r>
        <w:rPr>
          <w:rFonts w:hint="eastAsia" w:ascii="仿宋" w:hAnsi="仿宋" w:eastAsia="仿宋" w:cs="仿宋"/>
          <w:szCs w:val="21"/>
        </w:rPr>
        <w:t>中标，且对受影响的投标人不承担任何责任。</w:t>
      </w:r>
    </w:p>
    <w:p w14:paraId="0994D6AE">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33.中标通知书</w:t>
      </w:r>
    </w:p>
    <w:p w14:paraId="6AE8D920">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33.1采购人或者采购代理机构应当自中标人确定之日起2个工作日内，在辽宁政府采购网及其地方分网媒体上公告中标结果。同时向中标人发出中标通知书。</w:t>
      </w:r>
    </w:p>
    <w:p w14:paraId="298A85FD">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33.2中标通知书是合同的组成部分。</w:t>
      </w:r>
    </w:p>
    <w:p w14:paraId="15D4BCCD">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34.签订合同</w:t>
      </w:r>
    </w:p>
    <w:p w14:paraId="2A29FFA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34.1中标人应当自发出中标通知书之日起 30 日内，与采购人签订书面合同。</w:t>
      </w:r>
    </w:p>
    <w:p w14:paraId="3742DD4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4F4FA194">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34.3 中标人拒绝与采购人签订合同的，采购人可以按照评标报告推荐的中标候选人名单排序，确定下一中标候选人为中标人，也可以重新开展政府采购活动。</w:t>
      </w:r>
    </w:p>
    <w:p w14:paraId="7ED7716C">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35.履约保证金</w:t>
      </w:r>
    </w:p>
    <w:p w14:paraId="2572C22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35.1中标人应按照投标人须知表35.1款规定向采购人缴纳履约保证金。</w:t>
      </w:r>
    </w:p>
    <w:p w14:paraId="66182E95">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7526E771">
      <w:pPr>
        <w:adjustRightInd w:val="0"/>
        <w:snapToGrid w:val="0"/>
        <w:spacing w:line="360" w:lineRule="auto"/>
        <w:rPr>
          <w:rFonts w:hint="eastAsia" w:ascii="仿宋" w:hAnsi="仿宋" w:eastAsia="仿宋" w:cs="仿宋"/>
          <w:b/>
          <w:bCs/>
          <w:szCs w:val="21"/>
        </w:rPr>
      </w:pPr>
      <w:r>
        <w:rPr>
          <w:rFonts w:hint="eastAsia" w:ascii="仿宋" w:hAnsi="仿宋" w:eastAsia="仿宋" w:cs="仿宋"/>
          <w:szCs w:val="21"/>
        </w:rPr>
        <w:t>★</w:t>
      </w:r>
      <w:r>
        <w:rPr>
          <w:rFonts w:hint="eastAsia" w:ascii="仿宋" w:hAnsi="仿宋" w:eastAsia="仿宋" w:cs="仿宋"/>
          <w:b/>
          <w:bCs/>
          <w:szCs w:val="21"/>
        </w:rPr>
        <w:t>36.采购代理服务费</w:t>
      </w:r>
    </w:p>
    <w:p w14:paraId="69045598">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中标人须按照投标须知表36款规定，向采购代理机构支付采购代理服务费。</w:t>
      </w:r>
    </w:p>
    <w:p w14:paraId="2D90A44B">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37.廉洁自律规定</w:t>
      </w:r>
    </w:p>
    <w:p w14:paraId="30852DD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37.1采购代理机构工作人员不得以不正当手段获取政府采购代理业务，不得与采购人、投标人恶意串通操纵政府采购活动。</w:t>
      </w:r>
    </w:p>
    <w:p w14:paraId="498CBE4F">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37.2采购代理机构工作人员不得接受采购人或者投标人组织的宴请、旅游、娱乐，不得收受礼品、现金、有价证券等，不得向采购人或者投标人报销应当由个人承担的费用。</w:t>
      </w:r>
    </w:p>
    <w:p w14:paraId="0E03DE85">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38.人员回避</w:t>
      </w:r>
    </w:p>
    <w:p w14:paraId="72CB0250">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投标人认为采购人及其相关人员有法律法规所列与其他投标人有利害关系的，可以向采购人或采购代理机构书面提出回避申请，并说明理由。</w:t>
      </w:r>
    </w:p>
    <w:p w14:paraId="29542BF9">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39.质疑与接收</w:t>
      </w:r>
    </w:p>
    <w:p w14:paraId="2C66C87B">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7CC1AAA8">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096F7CD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超出法定质疑期的、重复提出的、分次提出的或内容、形式不符合《政府采购质疑和投诉办法》的，质疑投标人将依法承担不利后果。</w:t>
      </w:r>
    </w:p>
    <w:p w14:paraId="3AD839D7">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39.3采购代理机构质疑函接收部门、联系电话和通讯地址, 见投标人须知表39.3款。</w:t>
      </w:r>
    </w:p>
    <w:p w14:paraId="34ADC5D5">
      <w:pPr>
        <w:adjustRightInd w:val="0"/>
        <w:snapToGrid w:val="0"/>
        <w:spacing w:line="360" w:lineRule="auto"/>
        <w:rPr>
          <w:rFonts w:hint="eastAsia" w:ascii="仿宋" w:hAnsi="仿宋" w:eastAsia="仿宋" w:cs="仿宋"/>
          <w:b/>
          <w:bCs/>
          <w:szCs w:val="21"/>
        </w:rPr>
      </w:pPr>
      <w:r>
        <w:rPr>
          <w:rFonts w:hint="eastAsia" w:ascii="仿宋" w:hAnsi="仿宋" w:eastAsia="仿宋" w:cs="仿宋"/>
          <w:b/>
          <w:bCs/>
          <w:szCs w:val="21"/>
        </w:rPr>
        <w:t>40.履约验收</w:t>
      </w:r>
    </w:p>
    <w:p w14:paraId="6FA078E6">
      <w:pPr>
        <w:numPr>
          <w:ilvl w:val="0"/>
          <w:numId w:val="4"/>
        </w:numPr>
        <w:adjustRightInd w:val="0"/>
        <w:snapToGrid w:val="0"/>
        <w:spacing w:line="360" w:lineRule="auto"/>
        <w:rPr>
          <w:rFonts w:hint="eastAsia" w:ascii="仿宋" w:hAnsi="仿宋" w:eastAsia="仿宋" w:cs="仿宋"/>
        </w:rPr>
      </w:pPr>
      <w:r>
        <w:rPr>
          <w:rFonts w:hint="eastAsia" w:ascii="仿宋" w:hAnsi="仿宋" w:eastAsia="仿宋" w:cs="仿宋"/>
          <w:szCs w:val="21"/>
        </w:rPr>
        <w:t>本项目采购人及其委托的采购代理机构将严格按照政府采购相关法律法规以及《辽宁省政府采购履约验收管理办法》（辽财采〔2017〕603号）的要求进行验收。</w:t>
      </w:r>
    </w:p>
    <w:p w14:paraId="5CAA6C68">
      <w:pPr>
        <w:numPr>
          <w:ilvl w:val="0"/>
          <w:numId w:val="4"/>
        </w:numPr>
        <w:adjustRightInd w:val="0"/>
        <w:snapToGrid w:val="0"/>
        <w:spacing w:line="360" w:lineRule="auto"/>
        <w:rPr>
          <w:rFonts w:hint="eastAsia" w:ascii="仿宋" w:hAnsi="仿宋" w:eastAsia="仿宋" w:cs="仿宋"/>
        </w:rPr>
      </w:pPr>
      <w:r>
        <w:rPr>
          <w:rFonts w:hint="eastAsia" w:ascii="仿宋" w:hAnsi="仿宋" w:eastAsia="仿宋" w:cs="仿宋"/>
          <w:b/>
          <w:bCs/>
          <w:szCs w:val="21"/>
        </w:rPr>
        <w:t>需要补充的其他内容</w:t>
      </w:r>
    </w:p>
    <w:p w14:paraId="6631F135">
      <w:pPr>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具体内容详见投标人须知前附表</w:t>
      </w:r>
    </w:p>
    <w:p w14:paraId="3B2B0F5F">
      <w:pPr>
        <w:pStyle w:val="2"/>
        <w:adjustRightInd w:val="0"/>
        <w:snapToGrid w:val="0"/>
        <w:spacing w:before="0" w:after="0"/>
        <w:rPr>
          <w:rFonts w:hint="eastAsia" w:ascii="仿宋" w:hAnsi="仿宋" w:eastAsia="仿宋" w:cs="仿宋"/>
        </w:rPr>
      </w:pPr>
      <w:bookmarkStart w:id="43" w:name="_Toc17725_WPSOffice_Level1"/>
      <w:bookmarkStart w:id="44" w:name="_Toc61118388"/>
      <w:r>
        <w:rPr>
          <w:rFonts w:hint="eastAsia" w:ascii="仿宋" w:hAnsi="仿宋" w:eastAsia="仿宋" w:cs="仿宋"/>
        </w:rPr>
        <w:br w:type="page"/>
      </w:r>
      <w:r>
        <w:rPr>
          <w:rFonts w:hint="eastAsia" w:ascii="仿宋" w:hAnsi="仿宋" w:eastAsia="仿宋" w:cs="仿宋"/>
        </w:rPr>
        <w:t>第二章 投标文件内容及格式</w:t>
      </w:r>
      <w:bookmarkEnd w:id="43"/>
      <w:bookmarkEnd w:id="44"/>
    </w:p>
    <w:p w14:paraId="0CC8365F">
      <w:pPr>
        <w:spacing w:before="159" w:beforeLines="50"/>
        <w:rPr>
          <w:rFonts w:hint="eastAsia" w:ascii="仿宋" w:hAnsi="仿宋" w:eastAsia="仿宋" w:cs="仿宋"/>
          <w:b/>
          <w:sz w:val="24"/>
        </w:rPr>
      </w:pPr>
      <w:bookmarkStart w:id="45" w:name="sys_投标文件内容及格式：Block"/>
      <w:bookmarkEnd w:id="45"/>
      <w:bookmarkStart w:id="46" w:name="投标文件内容及格式：Block"/>
      <w:bookmarkEnd w:id="46"/>
      <w:bookmarkStart w:id="47" w:name="_Toc1538_WPSOffice_Level2"/>
      <w:bookmarkStart w:id="48" w:name="_Toc2481_WPSOffice_Level2"/>
      <w:r>
        <w:rPr>
          <w:rFonts w:hint="eastAsia" w:ascii="仿宋" w:hAnsi="仿宋" w:eastAsia="仿宋" w:cs="仿宋"/>
          <w:b/>
          <w:sz w:val="24"/>
        </w:rPr>
        <w:t>一、投标文件、电子文档的外封面、封口、封皮及目录</w:t>
      </w:r>
      <w:bookmarkEnd w:id="47"/>
      <w:bookmarkEnd w:id="48"/>
    </w:p>
    <w:tbl>
      <w:tblPr>
        <w:tblStyle w:val="16"/>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7774"/>
        <w:gridCol w:w="742"/>
      </w:tblGrid>
      <w:tr w14:paraId="793FF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tblHeader/>
          <w:jc w:val="center"/>
        </w:trPr>
        <w:tc>
          <w:tcPr>
            <w:tcW w:w="677" w:type="dxa"/>
            <w:noWrap w:val="0"/>
            <w:vAlign w:val="center"/>
          </w:tcPr>
          <w:p w14:paraId="6F22C287">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7774" w:type="dxa"/>
            <w:noWrap w:val="0"/>
            <w:vAlign w:val="center"/>
          </w:tcPr>
          <w:p w14:paraId="32828F33">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内容</w:t>
            </w:r>
          </w:p>
        </w:tc>
        <w:tc>
          <w:tcPr>
            <w:tcW w:w="742" w:type="dxa"/>
            <w:noWrap w:val="0"/>
            <w:vAlign w:val="center"/>
          </w:tcPr>
          <w:p w14:paraId="24EBE92D">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格式</w:t>
            </w:r>
          </w:p>
        </w:tc>
      </w:tr>
      <w:tr w14:paraId="3201F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171CC1E6">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c>
          <w:tcPr>
            <w:tcW w:w="7774" w:type="dxa"/>
            <w:noWrap w:val="0"/>
            <w:vAlign w:val="center"/>
          </w:tcPr>
          <w:p w14:paraId="6906823F">
            <w:pPr>
              <w:widowControl/>
              <w:adjustRightInd w:val="0"/>
              <w:snapToGrid w:val="0"/>
              <w:jc w:val="left"/>
              <w:rPr>
                <w:rFonts w:hint="eastAsia" w:ascii="仿宋" w:hAnsi="仿宋" w:eastAsia="仿宋" w:cs="仿宋"/>
                <w:b/>
                <w:kern w:val="0"/>
                <w:szCs w:val="21"/>
              </w:rPr>
            </w:pPr>
            <w:r>
              <w:rPr>
                <w:rFonts w:hint="eastAsia" w:ascii="仿宋" w:hAnsi="仿宋" w:eastAsia="仿宋" w:cs="仿宋"/>
                <w:kern w:val="0"/>
                <w:szCs w:val="21"/>
              </w:rPr>
              <w:t>投标文件、电子文档的外封面及封口</w:t>
            </w:r>
          </w:p>
        </w:tc>
        <w:tc>
          <w:tcPr>
            <w:tcW w:w="742" w:type="dxa"/>
            <w:noWrap w:val="0"/>
            <w:vAlign w:val="center"/>
          </w:tcPr>
          <w:p w14:paraId="4D01DE5B">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r>
      <w:tr w14:paraId="4F412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751A186C">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2</w:t>
            </w:r>
          </w:p>
        </w:tc>
        <w:tc>
          <w:tcPr>
            <w:tcW w:w="7774" w:type="dxa"/>
            <w:noWrap w:val="0"/>
            <w:vAlign w:val="center"/>
          </w:tcPr>
          <w:p w14:paraId="353C191A">
            <w:pPr>
              <w:widowControl/>
              <w:adjustRightInd w:val="0"/>
              <w:snapToGrid w:val="0"/>
              <w:rPr>
                <w:rFonts w:hint="eastAsia" w:ascii="仿宋" w:hAnsi="仿宋" w:eastAsia="仿宋" w:cs="仿宋"/>
                <w:kern w:val="0"/>
                <w:szCs w:val="21"/>
              </w:rPr>
            </w:pPr>
            <w:r>
              <w:rPr>
                <w:rFonts w:hint="eastAsia" w:ascii="仿宋" w:hAnsi="仿宋" w:eastAsia="仿宋" w:cs="仿宋"/>
                <w:kern w:val="0"/>
                <w:szCs w:val="21"/>
              </w:rPr>
              <w:t>投标文件的封皮</w:t>
            </w:r>
          </w:p>
        </w:tc>
        <w:tc>
          <w:tcPr>
            <w:tcW w:w="742" w:type="dxa"/>
            <w:noWrap w:val="0"/>
            <w:vAlign w:val="center"/>
          </w:tcPr>
          <w:p w14:paraId="696EF955">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2</w:t>
            </w:r>
          </w:p>
        </w:tc>
      </w:tr>
      <w:tr w14:paraId="0C23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2D34E37A">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3</w:t>
            </w:r>
          </w:p>
        </w:tc>
        <w:tc>
          <w:tcPr>
            <w:tcW w:w="7774" w:type="dxa"/>
            <w:noWrap w:val="0"/>
            <w:vAlign w:val="center"/>
          </w:tcPr>
          <w:p w14:paraId="44DB94BE">
            <w:pPr>
              <w:widowControl/>
              <w:adjustRightInd w:val="0"/>
              <w:snapToGrid w:val="0"/>
              <w:rPr>
                <w:rFonts w:hint="eastAsia" w:ascii="仿宋" w:hAnsi="仿宋" w:eastAsia="仿宋" w:cs="仿宋"/>
                <w:kern w:val="0"/>
                <w:szCs w:val="21"/>
              </w:rPr>
            </w:pPr>
            <w:r>
              <w:rPr>
                <w:rFonts w:hint="eastAsia" w:ascii="仿宋" w:hAnsi="仿宋" w:eastAsia="仿宋" w:cs="仿宋"/>
                <w:kern w:val="0"/>
                <w:szCs w:val="21"/>
              </w:rPr>
              <w:t>投标文件的目录</w:t>
            </w:r>
          </w:p>
        </w:tc>
        <w:tc>
          <w:tcPr>
            <w:tcW w:w="742" w:type="dxa"/>
            <w:noWrap w:val="0"/>
            <w:vAlign w:val="center"/>
          </w:tcPr>
          <w:p w14:paraId="6778D218">
            <w:pPr>
              <w:widowControl/>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3</w:t>
            </w:r>
          </w:p>
        </w:tc>
      </w:tr>
    </w:tbl>
    <w:p w14:paraId="3DA3911F">
      <w:pPr>
        <w:snapToGrid w:val="0"/>
        <w:spacing w:before="159" w:beforeLines="50"/>
        <w:rPr>
          <w:rFonts w:hint="eastAsia" w:ascii="仿宋" w:hAnsi="仿宋" w:eastAsia="仿宋" w:cs="仿宋"/>
          <w:b/>
          <w:sz w:val="24"/>
        </w:rPr>
      </w:pPr>
      <w:bookmarkStart w:id="49" w:name="_Toc31052_WPSOffice_Level2"/>
      <w:bookmarkStart w:id="50" w:name="_Toc1266_WPSOffice_Level2"/>
      <w:r>
        <w:rPr>
          <w:rFonts w:hint="eastAsia" w:ascii="仿宋" w:hAnsi="仿宋" w:eastAsia="仿宋" w:cs="仿宋"/>
          <w:b/>
          <w:sz w:val="24"/>
        </w:rPr>
        <w:t>二、资格证明材料</w:t>
      </w:r>
      <w:bookmarkEnd w:id="49"/>
      <w:bookmarkEnd w:id="50"/>
      <w:r>
        <w:rPr>
          <w:rFonts w:hint="eastAsia" w:ascii="仿宋" w:hAnsi="仿宋" w:eastAsia="仿宋" w:cs="仿宋"/>
          <w:b/>
          <w:sz w:val="24"/>
        </w:rPr>
        <w:t>（有一项不符合要求，不能进入下一阶段评审）</w:t>
      </w:r>
    </w:p>
    <w:tbl>
      <w:tblPr>
        <w:tblStyle w:val="16"/>
        <w:tblW w:w="9172" w:type="dxa"/>
        <w:jc w:val="center"/>
        <w:tblLayout w:type="fixed"/>
        <w:tblCellMar>
          <w:top w:w="0" w:type="dxa"/>
          <w:left w:w="0" w:type="dxa"/>
          <w:bottom w:w="0" w:type="dxa"/>
          <w:right w:w="0" w:type="dxa"/>
        </w:tblCellMar>
      </w:tblPr>
      <w:tblGrid>
        <w:gridCol w:w="697"/>
        <w:gridCol w:w="7710"/>
        <w:gridCol w:w="765"/>
      </w:tblGrid>
      <w:tr w14:paraId="1112AE3E">
        <w:tblPrEx>
          <w:tblCellMar>
            <w:top w:w="0" w:type="dxa"/>
            <w:left w:w="0" w:type="dxa"/>
            <w:bottom w:w="0" w:type="dxa"/>
            <w:right w:w="0" w:type="dxa"/>
          </w:tblCellMar>
        </w:tblPrEx>
        <w:trPr>
          <w:trHeight w:val="633" w:hRule="atLeast"/>
          <w:tblHeader/>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A1EA2C">
            <w:pPr>
              <w:adjustRightInd w:val="0"/>
              <w:snapToGrid w:val="0"/>
              <w:jc w:val="center"/>
              <w:rPr>
                <w:rFonts w:hint="eastAsia" w:ascii="仿宋" w:hAnsi="仿宋" w:eastAsia="仿宋" w:cs="仿宋"/>
                <w:szCs w:val="21"/>
              </w:rPr>
            </w:pPr>
            <w:bookmarkStart w:id="51" w:name="资格性证明材料：Document"/>
            <w:bookmarkStart w:id="52" w:name="sys_资格性证明材料：Document"/>
            <w:r>
              <w:rPr>
                <w:rFonts w:hint="eastAsia" w:ascii="仿宋" w:hAnsi="仿宋" w:eastAsia="仿宋" w:cs="仿宋"/>
                <w:szCs w:val="21"/>
              </w:rPr>
              <w:t>序号</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7B0198">
            <w:pPr>
              <w:adjustRightInd w:val="0"/>
              <w:snapToGrid w:val="0"/>
              <w:jc w:val="center"/>
              <w:rPr>
                <w:rFonts w:hint="eastAsia" w:ascii="仿宋" w:hAnsi="仿宋" w:eastAsia="仿宋" w:cs="仿宋"/>
                <w:szCs w:val="21"/>
              </w:rPr>
            </w:pPr>
            <w:r>
              <w:rPr>
                <w:rFonts w:hint="eastAsia" w:ascii="仿宋" w:hAnsi="仿宋" w:eastAsia="仿宋" w:cs="仿宋"/>
                <w:szCs w:val="21"/>
              </w:rPr>
              <w:t>资格证明材料</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1AAA4E">
            <w:pPr>
              <w:adjustRightInd w:val="0"/>
              <w:snapToGrid w:val="0"/>
              <w:jc w:val="center"/>
              <w:rPr>
                <w:rFonts w:hint="eastAsia" w:ascii="仿宋" w:hAnsi="仿宋" w:eastAsia="仿宋" w:cs="仿宋"/>
                <w:szCs w:val="21"/>
              </w:rPr>
            </w:pPr>
            <w:r>
              <w:rPr>
                <w:rFonts w:hint="eastAsia" w:ascii="仿宋" w:hAnsi="仿宋" w:eastAsia="仿宋" w:cs="仿宋"/>
                <w:szCs w:val="21"/>
              </w:rPr>
              <w:t>格式</w:t>
            </w:r>
          </w:p>
        </w:tc>
      </w:tr>
      <w:tr w14:paraId="5894C267">
        <w:tblPrEx>
          <w:tblCellMar>
            <w:top w:w="0" w:type="dxa"/>
            <w:left w:w="0" w:type="dxa"/>
            <w:bottom w:w="0" w:type="dxa"/>
            <w:right w:w="0" w:type="dxa"/>
          </w:tblCellMar>
        </w:tblPrEx>
        <w:trPr>
          <w:trHeight w:val="651"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F8F91A">
            <w:pPr>
              <w:adjustRightInd w:val="0"/>
              <w:snapToGrid w:val="0"/>
              <w:jc w:val="center"/>
              <w:rPr>
                <w:rFonts w:hint="eastAsia" w:ascii="仿宋" w:hAnsi="仿宋" w:eastAsia="仿宋" w:cs="仿宋"/>
                <w:szCs w:val="21"/>
              </w:rPr>
            </w:pPr>
            <w:r>
              <w:rPr>
                <w:rFonts w:hint="eastAsia" w:ascii="仿宋" w:hAnsi="仿宋" w:eastAsia="仿宋" w:cs="仿宋"/>
                <w:szCs w:val="21"/>
              </w:rPr>
              <w:t>1</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8BA173">
            <w:pPr>
              <w:adjustRightInd w:val="0"/>
              <w:snapToGrid w:val="0"/>
              <w:jc w:val="left"/>
              <w:rPr>
                <w:rFonts w:hint="eastAsia" w:ascii="仿宋" w:hAnsi="仿宋" w:eastAsia="仿宋" w:cs="仿宋"/>
                <w:szCs w:val="21"/>
              </w:rPr>
            </w:pPr>
            <w:r>
              <w:rPr>
                <w:rFonts w:hint="eastAsia" w:ascii="仿宋" w:hAnsi="仿宋" w:eastAsia="仿宋" w:cs="仿宋"/>
                <w:szCs w:val="21"/>
              </w:rPr>
              <w:t>营业执照或事业单位法人证书或执业许可证等证明文件复印件或自然人的身份证明复印件（自然人身份证明仅在自然人作为投标主体时适用）</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FF554B">
            <w:pPr>
              <w:adjustRightInd w:val="0"/>
              <w:snapToGrid w:val="0"/>
              <w:jc w:val="center"/>
              <w:rPr>
                <w:rFonts w:hint="eastAsia" w:ascii="仿宋" w:hAnsi="仿宋" w:eastAsia="仿宋" w:cs="仿宋"/>
                <w:szCs w:val="21"/>
              </w:rPr>
            </w:pPr>
          </w:p>
        </w:tc>
      </w:tr>
      <w:tr w14:paraId="6DC9D520">
        <w:tblPrEx>
          <w:tblCellMar>
            <w:top w:w="0" w:type="dxa"/>
            <w:left w:w="0" w:type="dxa"/>
            <w:bottom w:w="0" w:type="dxa"/>
            <w:right w:w="0" w:type="dxa"/>
          </w:tblCellMar>
        </w:tblPrEx>
        <w:trPr>
          <w:trHeight w:val="398"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343CBA">
            <w:pPr>
              <w:adjustRightInd w:val="0"/>
              <w:snapToGrid w:val="0"/>
              <w:jc w:val="center"/>
              <w:rPr>
                <w:rFonts w:hint="eastAsia" w:ascii="仿宋" w:hAnsi="仿宋" w:eastAsia="仿宋" w:cs="仿宋"/>
                <w:szCs w:val="21"/>
              </w:rPr>
            </w:pPr>
            <w:r>
              <w:rPr>
                <w:rFonts w:hint="eastAsia" w:ascii="仿宋" w:hAnsi="仿宋" w:eastAsia="仿宋" w:cs="仿宋"/>
                <w:szCs w:val="21"/>
              </w:rPr>
              <w:t>2</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D5A4B0">
            <w:pPr>
              <w:widowControl/>
              <w:adjustRightInd w:val="0"/>
              <w:snapToGrid w:val="0"/>
              <w:jc w:val="left"/>
              <w:rPr>
                <w:rFonts w:hint="eastAsia" w:ascii="仿宋" w:hAnsi="仿宋" w:eastAsia="仿宋" w:cs="仿宋"/>
                <w:szCs w:val="21"/>
              </w:rPr>
            </w:pPr>
            <w:r>
              <w:rPr>
                <w:rFonts w:hint="eastAsia" w:ascii="仿宋" w:hAnsi="仿宋" w:eastAsia="仿宋" w:cs="仿宋"/>
                <w:szCs w:val="21"/>
              </w:rPr>
              <w:t>组织机构代码证复印件（三证合一的不需提供）</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357993">
            <w:pPr>
              <w:adjustRightInd w:val="0"/>
              <w:snapToGrid w:val="0"/>
              <w:jc w:val="center"/>
              <w:rPr>
                <w:rFonts w:hint="eastAsia" w:ascii="仿宋" w:hAnsi="仿宋" w:eastAsia="仿宋" w:cs="仿宋"/>
                <w:szCs w:val="21"/>
              </w:rPr>
            </w:pPr>
          </w:p>
        </w:tc>
      </w:tr>
      <w:tr w14:paraId="1A901ABD">
        <w:tblPrEx>
          <w:tblCellMar>
            <w:top w:w="0" w:type="dxa"/>
            <w:left w:w="0" w:type="dxa"/>
            <w:bottom w:w="0" w:type="dxa"/>
            <w:right w:w="0" w:type="dxa"/>
          </w:tblCellMar>
        </w:tblPrEx>
        <w:trPr>
          <w:trHeight w:val="443"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162037">
            <w:pPr>
              <w:adjustRightInd w:val="0"/>
              <w:snapToGrid w:val="0"/>
              <w:jc w:val="center"/>
              <w:rPr>
                <w:rFonts w:hint="eastAsia" w:ascii="仿宋" w:hAnsi="仿宋" w:eastAsia="仿宋" w:cs="仿宋"/>
                <w:szCs w:val="21"/>
              </w:rPr>
            </w:pPr>
            <w:r>
              <w:rPr>
                <w:rFonts w:hint="eastAsia" w:ascii="仿宋" w:hAnsi="仿宋" w:eastAsia="仿宋" w:cs="仿宋"/>
                <w:szCs w:val="21"/>
              </w:rPr>
              <w:t>3</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69D2EB">
            <w:pPr>
              <w:widowControl/>
              <w:adjustRightInd w:val="0"/>
              <w:snapToGrid w:val="0"/>
              <w:jc w:val="left"/>
              <w:rPr>
                <w:rFonts w:hint="eastAsia" w:ascii="仿宋" w:hAnsi="仿宋" w:eastAsia="仿宋" w:cs="仿宋"/>
                <w:szCs w:val="21"/>
              </w:rPr>
            </w:pPr>
            <w:r>
              <w:rPr>
                <w:rFonts w:hint="eastAsia" w:ascii="仿宋" w:hAnsi="仿宋" w:eastAsia="仿宋" w:cs="仿宋"/>
                <w:szCs w:val="21"/>
              </w:rPr>
              <w:t>税务登记证复印件（三证合一的不需提供）</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C6A470">
            <w:pPr>
              <w:adjustRightInd w:val="0"/>
              <w:snapToGrid w:val="0"/>
              <w:jc w:val="center"/>
              <w:rPr>
                <w:rFonts w:hint="eastAsia" w:ascii="仿宋" w:hAnsi="仿宋" w:eastAsia="仿宋" w:cs="仿宋"/>
                <w:szCs w:val="21"/>
              </w:rPr>
            </w:pPr>
          </w:p>
        </w:tc>
      </w:tr>
      <w:tr w14:paraId="6FD3DEDF">
        <w:tblPrEx>
          <w:tblCellMar>
            <w:top w:w="0" w:type="dxa"/>
            <w:left w:w="0" w:type="dxa"/>
            <w:bottom w:w="0" w:type="dxa"/>
            <w:right w:w="0" w:type="dxa"/>
          </w:tblCellMar>
        </w:tblPrEx>
        <w:trPr>
          <w:trHeight w:val="398"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89700D">
            <w:pPr>
              <w:adjustRightInd w:val="0"/>
              <w:snapToGrid w:val="0"/>
              <w:jc w:val="center"/>
              <w:rPr>
                <w:rFonts w:hint="eastAsia" w:ascii="仿宋" w:hAnsi="仿宋" w:eastAsia="仿宋" w:cs="仿宋"/>
                <w:szCs w:val="21"/>
              </w:rPr>
            </w:pPr>
            <w:r>
              <w:rPr>
                <w:rFonts w:hint="eastAsia" w:ascii="仿宋" w:hAnsi="仿宋" w:eastAsia="仿宋" w:cs="仿宋"/>
                <w:szCs w:val="21"/>
              </w:rPr>
              <w:t>4</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4F4DFD">
            <w:pPr>
              <w:widowControl/>
              <w:adjustRightInd w:val="0"/>
              <w:snapToGrid w:val="0"/>
              <w:jc w:val="left"/>
              <w:rPr>
                <w:rFonts w:hint="eastAsia" w:ascii="仿宋" w:hAnsi="仿宋" w:eastAsia="仿宋" w:cs="仿宋"/>
                <w:szCs w:val="21"/>
              </w:rPr>
            </w:pPr>
            <w:r>
              <w:rPr>
                <w:rFonts w:hint="eastAsia" w:ascii="仿宋" w:hAnsi="仿宋" w:eastAsia="仿宋" w:cs="仿宋"/>
                <w:szCs w:val="21"/>
              </w:rPr>
              <w:t>法定代表人（或非法人组织负责人）身份证明书</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5B5CCCB">
            <w:pPr>
              <w:adjustRightInd w:val="0"/>
              <w:snapToGrid w:val="0"/>
              <w:jc w:val="center"/>
              <w:rPr>
                <w:rFonts w:hint="eastAsia" w:ascii="仿宋" w:hAnsi="仿宋" w:eastAsia="仿宋" w:cs="仿宋"/>
                <w:szCs w:val="21"/>
                <w:lang w:val="en-US" w:eastAsia="zh-CN"/>
              </w:rPr>
            </w:pPr>
            <w:r>
              <w:rPr>
                <w:rFonts w:hint="eastAsia" w:ascii="仿宋" w:hAnsi="仿宋" w:eastAsia="仿宋" w:cs="仿宋"/>
                <w:szCs w:val="21"/>
                <w:lang w:val="en-US" w:eastAsia="zh-CN"/>
              </w:rPr>
              <w:t>4</w:t>
            </w:r>
          </w:p>
        </w:tc>
      </w:tr>
      <w:tr w14:paraId="1A687A0E">
        <w:tblPrEx>
          <w:tblCellMar>
            <w:top w:w="0" w:type="dxa"/>
            <w:left w:w="0" w:type="dxa"/>
            <w:bottom w:w="0" w:type="dxa"/>
            <w:right w:w="0" w:type="dxa"/>
          </w:tblCellMar>
        </w:tblPrEx>
        <w:trPr>
          <w:trHeight w:val="494"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E2F04E">
            <w:pPr>
              <w:adjustRightInd w:val="0"/>
              <w:snapToGrid w:val="0"/>
              <w:jc w:val="center"/>
              <w:rPr>
                <w:rFonts w:hint="eastAsia" w:ascii="仿宋" w:hAnsi="仿宋" w:eastAsia="仿宋" w:cs="仿宋"/>
                <w:szCs w:val="21"/>
              </w:rPr>
            </w:pPr>
            <w:r>
              <w:rPr>
                <w:rFonts w:hint="eastAsia" w:ascii="仿宋" w:hAnsi="仿宋" w:eastAsia="仿宋" w:cs="仿宋"/>
                <w:szCs w:val="21"/>
              </w:rPr>
              <w:t>5</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901000">
            <w:pPr>
              <w:widowControl/>
              <w:adjustRightInd w:val="0"/>
              <w:snapToGrid w:val="0"/>
              <w:jc w:val="left"/>
              <w:rPr>
                <w:rFonts w:hint="eastAsia" w:ascii="仿宋" w:hAnsi="仿宋" w:eastAsia="仿宋" w:cs="仿宋"/>
                <w:szCs w:val="21"/>
              </w:rPr>
            </w:pPr>
            <w:r>
              <w:rPr>
                <w:rFonts w:hint="eastAsia" w:ascii="仿宋" w:hAnsi="仿宋" w:eastAsia="仿宋" w:cs="仿宋"/>
                <w:szCs w:val="21"/>
              </w:rPr>
              <w:t>法定代表人（或非法人组织负责人）授权委托书（授权委托人参加投标的须提供）</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2C4CD0">
            <w:pPr>
              <w:adjustRightInd w:val="0"/>
              <w:snapToGrid w:val="0"/>
              <w:jc w:val="center"/>
              <w:rPr>
                <w:rFonts w:hint="eastAsia" w:ascii="仿宋" w:hAnsi="仿宋" w:eastAsia="仿宋" w:cs="仿宋"/>
                <w:szCs w:val="21"/>
                <w:lang w:val="en-US" w:eastAsia="zh-CN"/>
              </w:rPr>
            </w:pPr>
            <w:r>
              <w:rPr>
                <w:rFonts w:hint="eastAsia" w:ascii="仿宋" w:hAnsi="仿宋" w:eastAsia="仿宋" w:cs="仿宋"/>
                <w:szCs w:val="21"/>
                <w:lang w:val="en-US" w:eastAsia="zh-CN"/>
              </w:rPr>
              <w:t>5</w:t>
            </w:r>
          </w:p>
        </w:tc>
      </w:tr>
      <w:tr w14:paraId="42042EB2">
        <w:tblPrEx>
          <w:tblCellMar>
            <w:top w:w="0" w:type="dxa"/>
            <w:left w:w="0" w:type="dxa"/>
            <w:bottom w:w="0" w:type="dxa"/>
            <w:right w:w="0" w:type="dxa"/>
          </w:tblCellMar>
        </w:tblPrEx>
        <w:trPr>
          <w:trHeight w:val="431"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C855CD">
            <w:pPr>
              <w:adjustRightInd w:val="0"/>
              <w:snapToGrid w:val="0"/>
              <w:jc w:val="center"/>
              <w:rPr>
                <w:rFonts w:hint="eastAsia" w:ascii="仿宋" w:hAnsi="仿宋" w:eastAsia="仿宋" w:cs="仿宋"/>
                <w:szCs w:val="21"/>
              </w:rPr>
            </w:pPr>
            <w:r>
              <w:rPr>
                <w:rFonts w:hint="eastAsia" w:ascii="仿宋" w:hAnsi="仿宋" w:eastAsia="仿宋" w:cs="仿宋"/>
                <w:szCs w:val="21"/>
              </w:rPr>
              <w:t>6</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F48B6D">
            <w:pPr>
              <w:widowControl/>
              <w:adjustRightInd w:val="0"/>
              <w:snapToGrid w:val="0"/>
              <w:jc w:val="left"/>
              <w:rPr>
                <w:rFonts w:hint="eastAsia" w:ascii="仿宋" w:hAnsi="仿宋" w:eastAsia="仿宋" w:cs="仿宋"/>
                <w:szCs w:val="21"/>
              </w:rPr>
            </w:pPr>
            <w:r>
              <w:rPr>
                <w:rFonts w:hint="eastAsia" w:ascii="仿宋" w:hAnsi="仿宋" w:eastAsia="仿宋" w:cs="仿宋"/>
                <w:szCs w:val="21"/>
              </w:rPr>
              <w:t>具有良好的商业信誉和健全的财务会计制度的承诺函</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4B5E72">
            <w:pPr>
              <w:adjustRightInd w:val="0"/>
              <w:snapToGrid w:val="0"/>
              <w:jc w:val="center"/>
              <w:rPr>
                <w:rFonts w:hint="eastAsia" w:ascii="仿宋" w:hAnsi="仿宋" w:eastAsia="仿宋" w:cs="仿宋"/>
                <w:szCs w:val="21"/>
                <w:lang w:val="en-US" w:eastAsia="zh-CN"/>
              </w:rPr>
            </w:pPr>
            <w:r>
              <w:rPr>
                <w:rFonts w:hint="eastAsia" w:ascii="仿宋" w:hAnsi="仿宋" w:eastAsia="仿宋" w:cs="仿宋"/>
                <w:szCs w:val="21"/>
                <w:lang w:val="en-US" w:eastAsia="zh-CN"/>
              </w:rPr>
              <w:t>6</w:t>
            </w:r>
          </w:p>
        </w:tc>
      </w:tr>
      <w:tr w14:paraId="2CF835C9">
        <w:tblPrEx>
          <w:tblCellMar>
            <w:top w:w="0" w:type="dxa"/>
            <w:left w:w="0" w:type="dxa"/>
            <w:bottom w:w="0" w:type="dxa"/>
            <w:right w:w="0" w:type="dxa"/>
          </w:tblCellMar>
        </w:tblPrEx>
        <w:trPr>
          <w:trHeight w:val="948"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7496B7">
            <w:pPr>
              <w:adjustRightInd w:val="0"/>
              <w:snapToGrid w:val="0"/>
              <w:jc w:val="center"/>
              <w:rPr>
                <w:rFonts w:hint="eastAsia" w:ascii="仿宋" w:hAnsi="仿宋" w:eastAsia="仿宋" w:cs="仿宋"/>
                <w:szCs w:val="21"/>
              </w:rPr>
            </w:pPr>
            <w:r>
              <w:rPr>
                <w:rFonts w:hint="eastAsia" w:ascii="仿宋" w:hAnsi="仿宋" w:eastAsia="仿宋" w:cs="仿宋"/>
                <w:szCs w:val="21"/>
              </w:rPr>
              <w:t>7</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98872A">
            <w:pPr>
              <w:adjustRightInd w:val="0"/>
              <w:snapToGrid w:val="0"/>
              <w:jc w:val="left"/>
              <w:rPr>
                <w:rFonts w:hint="eastAsia" w:ascii="仿宋" w:hAnsi="仿宋" w:eastAsia="仿宋" w:cs="仿宋"/>
                <w:szCs w:val="21"/>
              </w:rPr>
            </w:pPr>
            <w:r>
              <w:rPr>
                <w:rFonts w:hint="eastAsia" w:ascii="仿宋" w:hAnsi="仿宋" w:eastAsia="仿宋" w:cs="仿宋"/>
                <w:szCs w:val="21"/>
              </w:rPr>
              <w:t>开标时间前六个月内任一个月的依法缴纳税收的缴款凭据复印件</w:t>
            </w:r>
          </w:p>
          <w:p w14:paraId="3ED41A8F">
            <w:pPr>
              <w:adjustRightInd w:val="0"/>
              <w:snapToGrid w:val="0"/>
              <w:jc w:val="left"/>
              <w:rPr>
                <w:rFonts w:hint="eastAsia" w:ascii="仿宋" w:hAnsi="仿宋" w:eastAsia="仿宋" w:cs="仿宋"/>
                <w:szCs w:val="21"/>
              </w:rPr>
            </w:pPr>
            <w:r>
              <w:rPr>
                <w:rFonts w:hint="eastAsia" w:ascii="仿宋" w:hAnsi="仿宋" w:eastAsia="仿宋" w:cs="仿宋"/>
                <w:szCs w:val="21"/>
              </w:rPr>
              <w:t>（注：依法免税的投标单位，应提供相关证明材料，包括相关法规要求原文及加盖单位公章的情况说明）</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43E76B">
            <w:pPr>
              <w:adjustRightInd w:val="0"/>
              <w:snapToGrid w:val="0"/>
              <w:jc w:val="center"/>
              <w:rPr>
                <w:rFonts w:hint="eastAsia" w:ascii="仿宋" w:hAnsi="仿宋" w:eastAsia="仿宋" w:cs="仿宋"/>
                <w:szCs w:val="21"/>
                <w:lang w:val="en-US" w:eastAsia="zh-CN"/>
              </w:rPr>
            </w:pPr>
          </w:p>
        </w:tc>
      </w:tr>
      <w:tr w14:paraId="69D2135B">
        <w:tblPrEx>
          <w:tblCellMar>
            <w:top w:w="0" w:type="dxa"/>
            <w:left w:w="0" w:type="dxa"/>
            <w:bottom w:w="0" w:type="dxa"/>
            <w:right w:w="0" w:type="dxa"/>
          </w:tblCellMar>
        </w:tblPrEx>
        <w:trPr>
          <w:trHeight w:val="899"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E42751">
            <w:pPr>
              <w:adjustRightInd w:val="0"/>
              <w:snapToGrid w:val="0"/>
              <w:jc w:val="center"/>
              <w:rPr>
                <w:rFonts w:hint="eastAsia" w:ascii="仿宋" w:hAnsi="仿宋" w:eastAsia="仿宋" w:cs="仿宋"/>
                <w:szCs w:val="21"/>
              </w:rPr>
            </w:pPr>
            <w:r>
              <w:rPr>
                <w:rFonts w:hint="eastAsia" w:ascii="仿宋" w:hAnsi="仿宋" w:eastAsia="仿宋" w:cs="仿宋"/>
                <w:szCs w:val="21"/>
              </w:rPr>
              <w:t>8</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2E3C25">
            <w:pPr>
              <w:adjustRightInd w:val="0"/>
              <w:snapToGrid w:val="0"/>
              <w:jc w:val="left"/>
              <w:rPr>
                <w:rFonts w:hint="eastAsia" w:ascii="仿宋" w:hAnsi="仿宋" w:eastAsia="仿宋" w:cs="仿宋"/>
                <w:szCs w:val="21"/>
              </w:rPr>
            </w:pPr>
            <w:r>
              <w:rPr>
                <w:rFonts w:hint="eastAsia" w:ascii="仿宋" w:hAnsi="仿宋" w:eastAsia="仿宋" w:cs="仿宋"/>
                <w:szCs w:val="21"/>
              </w:rPr>
              <w:t>开标时间前六个月内任一个月的依法缴纳社会保障资金的缴款凭据复印件（注：依法不需要缴纳社会保障资金的投标单位，应提供相关证明材料，包括相关法规要求原文及加盖单位公章的情况说明）</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DAE50C">
            <w:pPr>
              <w:adjustRightInd w:val="0"/>
              <w:snapToGrid w:val="0"/>
              <w:jc w:val="center"/>
              <w:rPr>
                <w:rFonts w:hint="eastAsia" w:ascii="仿宋" w:hAnsi="仿宋" w:eastAsia="仿宋" w:cs="仿宋"/>
                <w:szCs w:val="21"/>
              </w:rPr>
            </w:pPr>
          </w:p>
        </w:tc>
      </w:tr>
      <w:tr w14:paraId="511AE82C">
        <w:tblPrEx>
          <w:tblCellMar>
            <w:top w:w="0" w:type="dxa"/>
            <w:left w:w="0" w:type="dxa"/>
            <w:bottom w:w="0" w:type="dxa"/>
            <w:right w:w="0" w:type="dxa"/>
          </w:tblCellMar>
        </w:tblPrEx>
        <w:trPr>
          <w:trHeight w:val="442"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806980">
            <w:pPr>
              <w:adjustRightInd w:val="0"/>
              <w:snapToGrid w:val="0"/>
              <w:jc w:val="center"/>
              <w:rPr>
                <w:rFonts w:hint="eastAsia" w:ascii="仿宋" w:hAnsi="仿宋" w:eastAsia="仿宋" w:cs="仿宋"/>
                <w:szCs w:val="21"/>
              </w:rPr>
            </w:pPr>
            <w:r>
              <w:rPr>
                <w:rFonts w:hint="eastAsia" w:ascii="仿宋" w:hAnsi="仿宋" w:eastAsia="仿宋" w:cs="仿宋"/>
                <w:szCs w:val="21"/>
              </w:rPr>
              <w:t>9</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F33436">
            <w:pPr>
              <w:adjustRightInd w:val="0"/>
              <w:snapToGrid w:val="0"/>
              <w:jc w:val="left"/>
              <w:rPr>
                <w:rFonts w:hint="eastAsia" w:ascii="仿宋" w:hAnsi="仿宋" w:eastAsia="仿宋" w:cs="仿宋"/>
                <w:szCs w:val="21"/>
              </w:rPr>
            </w:pPr>
            <w:r>
              <w:rPr>
                <w:rFonts w:hint="eastAsia" w:ascii="仿宋" w:hAnsi="仿宋" w:eastAsia="仿宋" w:cs="仿宋"/>
                <w:szCs w:val="21"/>
              </w:rPr>
              <w:t>具备履行合同所必需的设备和专业技术能力声明函</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9A1CED">
            <w:pPr>
              <w:adjustRightInd w:val="0"/>
              <w:snapToGrid w:val="0"/>
              <w:jc w:val="center"/>
              <w:rPr>
                <w:rFonts w:hint="eastAsia" w:ascii="仿宋" w:hAnsi="仿宋" w:eastAsia="仿宋" w:cs="仿宋"/>
                <w:szCs w:val="21"/>
                <w:lang w:eastAsia="zh-CN"/>
              </w:rPr>
            </w:pPr>
            <w:r>
              <w:rPr>
                <w:rFonts w:hint="eastAsia" w:ascii="仿宋" w:hAnsi="仿宋" w:eastAsia="仿宋" w:cs="仿宋"/>
                <w:szCs w:val="21"/>
                <w:lang w:val="en-US" w:eastAsia="zh-CN"/>
              </w:rPr>
              <w:t>7</w:t>
            </w:r>
          </w:p>
        </w:tc>
      </w:tr>
      <w:tr w14:paraId="4D428802">
        <w:tblPrEx>
          <w:tblCellMar>
            <w:top w:w="0" w:type="dxa"/>
            <w:left w:w="0" w:type="dxa"/>
            <w:bottom w:w="0" w:type="dxa"/>
            <w:right w:w="0" w:type="dxa"/>
          </w:tblCellMar>
        </w:tblPrEx>
        <w:trPr>
          <w:trHeight w:val="462"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EDF760">
            <w:pPr>
              <w:adjustRightInd w:val="0"/>
              <w:snapToGrid w:val="0"/>
              <w:jc w:val="center"/>
              <w:rPr>
                <w:rFonts w:hint="eastAsia" w:ascii="仿宋" w:hAnsi="仿宋" w:eastAsia="仿宋" w:cs="仿宋"/>
                <w:szCs w:val="21"/>
              </w:rPr>
            </w:pPr>
            <w:r>
              <w:rPr>
                <w:rFonts w:hint="eastAsia" w:ascii="仿宋" w:hAnsi="仿宋" w:eastAsia="仿宋" w:cs="仿宋"/>
                <w:szCs w:val="21"/>
              </w:rPr>
              <w:t>10</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9199CE">
            <w:pPr>
              <w:adjustRightInd w:val="0"/>
              <w:snapToGrid w:val="0"/>
              <w:jc w:val="left"/>
              <w:rPr>
                <w:rFonts w:hint="eastAsia" w:ascii="仿宋" w:hAnsi="仿宋" w:eastAsia="仿宋" w:cs="仿宋"/>
                <w:szCs w:val="21"/>
              </w:rPr>
            </w:pPr>
            <w:r>
              <w:rPr>
                <w:rFonts w:hint="eastAsia" w:ascii="仿宋" w:hAnsi="仿宋" w:eastAsia="仿宋" w:cs="仿宋"/>
                <w:szCs w:val="21"/>
              </w:rPr>
              <w:t>参加政府采购活动前3年内在经营活动中没有重大违法记录的书面声明</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0837BA">
            <w:pPr>
              <w:adjustRightInd w:val="0"/>
              <w:snapToGrid w:val="0"/>
              <w:jc w:val="center"/>
              <w:rPr>
                <w:rFonts w:hint="eastAsia" w:ascii="仿宋" w:hAnsi="仿宋" w:eastAsia="仿宋" w:cs="仿宋"/>
                <w:szCs w:val="21"/>
                <w:lang w:eastAsia="zh-CN"/>
              </w:rPr>
            </w:pPr>
            <w:r>
              <w:rPr>
                <w:rFonts w:hint="eastAsia" w:ascii="仿宋" w:hAnsi="仿宋" w:eastAsia="仿宋" w:cs="仿宋"/>
                <w:szCs w:val="21"/>
                <w:lang w:val="en-US" w:eastAsia="zh-CN"/>
              </w:rPr>
              <w:t>8</w:t>
            </w:r>
          </w:p>
        </w:tc>
      </w:tr>
      <w:tr w14:paraId="6CA5E382">
        <w:tblPrEx>
          <w:tblCellMar>
            <w:top w:w="0" w:type="dxa"/>
            <w:left w:w="0" w:type="dxa"/>
            <w:bottom w:w="0" w:type="dxa"/>
            <w:right w:w="0" w:type="dxa"/>
          </w:tblCellMar>
        </w:tblPrEx>
        <w:trPr>
          <w:trHeight w:val="443"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DA45A4">
            <w:pPr>
              <w:adjustRightInd w:val="0"/>
              <w:snapToGrid w:val="0"/>
              <w:jc w:val="center"/>
              <w:rPr>
                <w:rFonts w:hint="eastAsia" w:ascii="仿宋" w:hAnsi="仿宋" w:eastAsia="仿宋" w:cs="仿宋"/>
                <w:szCs w:val="21"/>
              </w:rPr>
            </w:pPr>
            <w:r>
              <w:rPr>
                <w:rFonts w:hint="eastAsia" w:ascii="仿宋" w:hAnsi="仿宋" w:eastAsia="仿宋" w:cs="仿宋"/>
                <w:szCs w:val="21"/>
              </w:rPr>
              <w:t>11</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791016">
            <w:pPr>
              <w:adjustRightInd w:val="0"/>
              <w:snapToGrid w:val="0"/>
              <w:jc w:val="left"/>
              <w:rPr>
                <w:rFonts w:hint="eastAsia" w:ascii="仿宋" w:hAnsi="仿宋" w:eastAsia="仿宋" w:cs="仿宋"/>
                <w:szCs w:val="21"/>
              </w:rPr>
            </w:pPr>
            <w:r>
              <w:rPr>
                <w:rFonts w:hint="eastAsia" w:ascii="仿宋" w:hAnsi="仿宋" w:eastAsia="仿宋" w:cs="仿宋"/>
                <w:szCs w:val="21"/>
              </w:rPr>
              <w:t>其它资格证明文件（按投标人须知表1.3.4要求描述）</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8A4E3D">
            <w:pPr>
              <w:adjustRightInd w:val="0"/>
              <w:snapToGrid w:val="0"/>
              <w:jc w:val="center"/>
              <w:rPr>
                <w:rFonts w:hint="eastAsia" w:ascii="仿宋" w:hAnsi="仿宋" w:eastAsia="仿宋" w:cs="仿宋"/>
                <w:szCs w:val="21"/>
                <w:lang w:eastAsia="zh-CN"/>
              </w:rPr>
            </w:pPr>
          </w:p>
        </w:tc>
      </w:tr>
      <w:tr w14:paraId="77DFA891">
        <w:tblPrEx>
          <w:tblCellMar>
            <w:top w:w="0" w:type="dxa"/>
            <w:left w:w="0" w:type="dxa"/>
            <w:bottom w:w="0" w:type="dxa"/>
            <w:right w:w="0" w:type="dxa"/>
          </w:tblCellMar>
        </w:tblPrEx>
        <w:trPr>
          <w:trHeight w:val="969" w:hRule="atLeast"/>
          <w:jc w:val="center"/>
        </w:trPr>
        <w:tc>
          <w:tcPr>
            <w:tcW w:w="69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14493D">
            <w:pPr>
              <w:adjustRightInd w:val="0"/>
              <w:snapToGrid w:val="0"/>
              <w:jc w:val="center"/>
              <w:rPr>
                <w:rFonts w:hint="eastAsia" w:ascii="仿宋" w:hAnsi="仿宋" w:eastAsia="仿宋" w:cs="仿宋"/>
                <w:szCs w:val="21"/>
              </w:rPr>
            </w:pPr>
            <w:r>
              <w:rPr>
                <w:rFonts w:hint="eastAsia" w:ascii="仿宋" w:hAnsi="仿宋" w:eastAsia="仿宋" w:cs="仿宋"/>
                <w:szCs w:val="21"/>
              </w:rPr>
              <w:t>12</w:t>
            </w:r>
          </w:p>
        </w:tc>
        <w:tc>
          <w:tcPr>
            <w:tcW w:w="771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B33F8C">
            <w:pPr>
              <w:adjustRightInd w:val="0"/>
              <w:snapToGrid w:val="0"/>
              <w:jc w:val="left"/>
              <w:rPr>
                <w:rFonts w:hint="eastAsia" w:ascii="仿宋" w:hAnsi="仿宋" w:eastAsia="仿宋" w:cs="仿宋"/>
                <w:szCs w:val="21"/>
              </w:rPr>
            </w:pPr>
            <w:r>
              <w:rPr>
                <w:rFonts w:hint="eastAsia" w:ascii="仿宋" w:hAnsi="仿宋" w:eastAsia="仿宋" w:cs="仿宋"/>
                <w:szCs w:val="21"/>
              </w:rPr>
              <w:t>信用记录截至报名结束前，经“信用中国”、“中国政府采购网”政府采购严重违法失信行为信息记录，被列入失信被执行人、重大税收违法案件当事人名单、政府采购严重违法失信行为记录名单的不得参加本采购项目。参加采购活动前三年内，在经营活动中存在重大违法记录且被裁判文书网载入行贿判决的不得参加本采购项目。</w:t>
            </w:r>
          </w:p>
        </w:tc>
        <w:tc>
          <w:tcPr>
            <w:tcW w:w="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B1A63C">
            <w:pPr>
              <w:adjustRightInd w:val="0"/>
              <w:snapToGrid w:val="0"/>
              <w:jc w:val="center"/>
              <w:rPr>
                <w:rFonts w:hint="eastAsia" w:ascii="仿宋" w:hAnsi="仿宋" w:eastAsia="仿宋" w:cs="仿宋"/>
                <w:szCs w:val="21"/>
              </w:rPr>
            </w:pPr>
          </w:p>
        </w:tc>
      </w:tr>
    </w:tbl>
    <w:p w14:paraId="6C306ACE">
      <w:pPr>
        <w:snapToGrid w:val="0"/>
        <w:spacing w:before="159" w:beforeLines="50"/>
        <w:rPr>
          <w:rFonts w:hint="eastAsia" w:ascii="仿宋" w:hAnsi="仿宋" w:eastAsia="仿宋" w:cs="仿宋"/>
          <w:b/>
          <w:sz w:val="24"/>
        </w:rPr>
      </w:pPr>
      <w:bookmarkStart w:id="53" w:name="_Toc25206_WPSOffice_Level2"/>
      <w:bookmarkStart w:id="54" w:name="_Toc22359_WPSOffice_Level2"/>
      <w:r>
        <w:rPr>
          <w:rFonts w:hint="eastAsia" w:ascii="仿宋" w:hAnsi="仿宋" w:eastAsia="仿宋" w:cs="仿宋"/>
          <w:b/>
          <w:sz w:val="24"/>
        </w:rPr>
        <w:t>三、符合性证明材料</w:t>
      </w:r>
      <w:bookmarkEnd w:id="53"/>
      <w:bookmarkEnd w:id="54"/>
      <w:r>
        <w:rPr>
          <w:rFonts w:hint="eastAsia" w:ascii="仿宋" w:hAnsi="仿宋" w:eastAsia="仿宋" w:cs="仿宋"/>
          <w:b/>
          <w:sz w:val="24"/>
        </w:rPr>
        <w:t>（有一项不符合要求，不能进入下一阶段评审）</w:t>
      </w:r>
    </w:p>
    <w:bookmarkEnd w:id="51"/>
    <w:bookmarkEnd w:id="52"/>
    <w:tbl>
      <w:tblPr>
        <w:tblStyle w:val="16"/>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7638"/>
        <w:gridCol w:w="756"/>
      </w:tblGrid>
      <w:tr w14:paraId="08BC8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0"/>
            <w:vAlign w:val="center"/>
          </w:tcPr>
          <w:p w14:paraId="70180720">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7638" w:type="dxa"/>
            <w:noWrap w:val="0"/>
            <w:vAlign w:val="center"/>
          </w:tcPr>
          <w:p w14:paraId="33A7909B">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符合性证明材料</w:t>
            </w:r>
          </w:p>
        </w:tc>
        <w:tc>
          <w:tcPr>
            <w:tcW w:w="756" w:type="dxa"/>
            <w:noWrap w:val="0"/>
            <w:vAlign w:val="center"/>
          </w:tcPr>
          <w:p w14:paraId="3A5D2FFE">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格式</w:t>
            </w:r>
          </w:p>
        </w:tc>
      </w:tr>
      <w:tr w14:paraId="486B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1828AAE2">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c>
          <w:tcPr>
            <w:tcW w:w="7638" w:type="dxa"/>
            <w:noWrap w:val="0"/>
            <w:vAlign w:val="center"/>
          </w:tcPr>
          <w:p w14:paraId="12B6D542">
            <w:pPr>
              <w:adjustRightInd w:val="0"/>
              <w:snapToGrid w:val="0"/>
              <w:rPr>
                <w:rFonts w:hint="eastAsia" w:ascii="仿宋" w:hAnsi="仿宋" w:eastAsia="仿宋" w:cs="仿宋"/>
                <w:kern w:val="0"/>
                <w:szCs w:val="21"/>
              </w:rPr>
            </w:pPr>
            <w:r>
              <w:rPr>
                <w:rFonts w:hint="eastAsia" w:ascii="仿宋" w:hAnsi="仿宋" w:eastAsia="仿宋" w:cs="仿宋"/>
                <w:kern w:val="0"/>
                <w:szCs w:val="21"/>
              </w:rPr>
              <w:t>投标函</w:t>
            </w:r>
          </w:p>
        </w:tc>
        <w:tc>
          <w:tcPr>
            <w:tcW w:w="756" w:type="dxa"/>
            <w:noWrap w:val="0"/>
            <w:vAlign w:val="center"/>
          </w:tcPr>
          <w:p w14:paraId="6658EE86">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9</w:t>
            </w:r>
          </w:p>
        </w:tc>
      </w:tr>
      <w:tr w14:paraId="556D4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3F37060E">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2</w:t>
            </w:r>
          </w:p>
        </w:tc>
        <w:tc>
          <w:tcPr>
            <w:tcW w:w="7638" w:type="dxa"/>
            <w:noWrap w:val="0"/>
            <w:vAlign w:val="center"/>
          </w:tcPr>
          <w:p w14:paraId="51AE61D2">
            <w:pPr>
              <w:adjustRightInd w:val="0"/>
              <w:snapToGrid w:val="0"/>
              <w:rPr>
                <w:rFonts w:hint="eastAsia" w:ascii="仿宋" w:hAnsi="仿宋" w:eastAsia="仿宋" w:cs="仿宋"/>
                <w:kern w:val="0"/>
                <w:szCs w:val="21"/>
              </w:rPr>
            </w:pPr>
            <w:r>
              <w:rPr>
                <w:rFonts w:hint="eastAsia" w:ascii="仿宋" w:hAnsi="仿宋" w:eastAsia="仿宋" w:cs="仿宋"/>
                <w:kern w:val="0"/>
                <w:szCs w:val="21"/>
                <w:lang w:eastAsia="zh-CN"/>
              </w:rPr>
              <w:t>报价</w:t>
            </w:r>
            <w:r>
              <w:rPr>
                <w:rFonts w:hint="eastAsia" w:ascii="仿宋" w:hAnsi="仿宋" w:eastAsia="仿宋" w:cs="仿宋"/>
                <w:kern w:val="0"/>
                <w:szCs w:val="21"/>
              </w:rPr>
              <w:t>一览表</w:t>
            </w:r>
          </w:p>
        </w:tc>
        <w:tc>
          <w:tcPr>
            <w:tcW w:w="756" w:type="dxa"/>
            <w:noWrap w:val="0"/>
            <w:vAlign w:val="center"/>
          </w:tcPr>
          <w:p w14:paraId="5EE78C52">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5B10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ED5FC96">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3</w:t>
            </w:r>
          </w:p>
        </w:tc>
        <w:tc>
          <w:tcPr>
            <w:tcW w:w="7638" w:type="dxa"/>
            <w:noWrap w:val="0"/>
            <w:vAlign w:val="center"/>
          </w:tcPr>
          <w:p w14:paraId="1146B6F8">
            <w:pPr>
              <w:adjustRightInd w:val="0"/>
              <w:snapToGrid w:val="0"/>
              <w:rPr>
                <w:rFonts w:hint="eastAsia" w:ascii="仿宋" w:hAnsi="仿宋" w:eastAsia="仿宋" w:cs="仿宋"/>
                <w:kern w:val="0"/>
                <w:szCs w:val="21"/>
              </w:rPr>
            </w:pPr>
            <w:r>
              <w:rPr>
                <w:rFonts w:hint="eastAsia" w:ascii="仿宋" w:hAnsi="仿宋" w:eastAsia="仿宋" w:cs="仿宋"/>
                <w:kern w:val="0"/>
                <w:szCs w:val="21"/>
              </w:rPr>
              <w:t>投标货物清单</w:t>
            </w:r>
          </w:p>
        </w:tc>
        <w:tc>
          <w:tcPr>
            <w:tcW w:w="756" w:type="dxa"/>
            <w:noWrap w:val="0"/>
            <w:vAlign w:val="center"/>
          </w:tcPr>
          <w:p w14:paraId="6D7D8476">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11</w:t>
            </w:r>
          </w:p>
        </w:tc>
      </w:tr>
      <w:tr w14:paraId="3544D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5690EDF">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4</w:t>
            </w:r>
          </w:p>
        </w:tc>
        <w:tc>
          <w:tcPr>
            <w:tcW w:w="7638" w:type="dxa"/>
            <w:noWrap w:val="0"/>
            <w:vAlign w:val="center"/>
          </w:tcPr>
          <w:p w14:paraId="5FCDAB10">
            <w:pPr>
              <w:adjustRightInd w:val="0"/>
              <w:snapToGrid w:val="0"/>
              <w:rPr>
                <w:rFonts w:hint="eastAsia" w:ascii="仿宋" w:hAnsi="仿宋" w:eastAsia="仿宋" w:cs="仿宋"/>
                <w:kern w:val="0"/>
                <w:szCs w:val="21"/>
                <w:lang w:eastAsia="zh-CN"/>
              </w:rPr>
            </w:pPr>
            <w:r>
              <w:rPr>
                <w:rFonts w:hint="eastAsia" w:ascii="仿宋" w:hAnsi="仿宋" w:eastAsia="仿宋" w:cs="仿宋"/>
                <w:kern w:val="0"/>
                <w:szCs w:val="21"/>
                <w:lang w:eastAsia="zh-CN"/>
              </w:rPr>
              <w:t>服务需求响应表</w:t>
            </w:r>
          </w:p>
        </w:tc>
        <w:tc>
          <w:tcPr>
            <w:tcW w:w="756" w:type="dxa"/>
            <w:noWrap w:val="0"/>
            <w:vAlign w:val="center"/>
          </w:tcPr>
          <w:p w14:paraId="7972C8E4">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12</w:t>
            </w:r>
          </w:p>
        </w:tc>
      </w:tr>
      <w:tr w14:paraId="0E541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416158B5">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5</w:t>
            </w:r>
          </w:p>
        </w:tc>
        <w:tc>
          <w:tcPr>
            <w:tcW w:w="7638" w:type="dxa"/>
            <w:noWrap w:val="0"/>
            <w:vAlign w:val="center"/>
          </w:tcPr>
          <w:p w14:paraId="26A59C75">
            <w:pPr>
              <w:adjustRightInd w:val="0"/>
              <w:snapToGrid w:val="0"/>
              <w:rPr>
                <w:rFonts w:hint="eastAsia" w:ascii="仿宋" w:hAnsi="仿宋" w:eastAsia="仿宋" w:cs="仿宋"/>
                <w:kern w:val="0"/>
                <w:szCs w:val="21"/>
              </w:rPr>
            </w:pPr>
            <w:r>
              <w:rPr>
                <w:rFonts w:hint="eastAsia" w:ascii="仿宋" w:hAnsi="仿宋" w:eastAsia="仿宋" w:cs="仿宋"/>
                <w:kern w:val="0"/>
                <w:szCs w:val="21"/>
              </w:rPr>
              <w:t>技术规格偏离表</w:t>
            </w:r>
          </w:p>
        </w:tc>
        <w:tc>
          <w:tcPr>
            <w:tcW w:w="756" w:type="dxa"/>
            <w:noWrap w:val="0"/>
            <w:vAlign w:val="center"/>
          </w:tcPr>
          <w:p w14:paraId="1073AB7C">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13</w:t>
            </w:r>
          </w:p>
        </w:tc>
      </w:tr>
      <w:tr w14:paraId="35B9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28384FA0">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6</w:t>
            </w:r>
          </w:p>
        </w:tc>
        <w:tc>
          <w:tcPr>
            <w:tcW w:w="7638" w:type="dxa"/>
            <w:noWrap w:val="0"/>
            <w:vAlign w:val="center"/>
          </w:tcPr>
          <w:p w14:paraId="60A1CB8C">
            <w:pPr>
              <w:adjustRightInd w:val="0"/>
              <w:snapToGrid w:val="0"/>
              <w:rPr>
                <w:rFonts w:hint="eastAsia" w:ascii="仿宋" w:hAnsi="仿宋" w:eastAsia="仿宋" w:cs="仿宋"/>
                <w:kern w:val="0"/>
                <w:szCs w:val="21"/>
              </w:rPr>
            </w:pPr>
            <w:r>
              <w:rPr>
                <w:rFonts w:hint="eastAsia" w:ascii="仿宋" w:hAnsi="仿宋" w:eastAsia="仿宋" w:cs="仿宋"/>
                <w:kern w:val="0"/>
                <w:szCs w:val="21"/>
              </w:rPr>
              <w:t>商务条款偏离表</w:t>
            </w:r>
          </w:p>
        </w:tc>
        <w:tc>
          <w:tcPr>
            <w:tcW w:w="756" w:type="dxa"/>
            <w:noWrap w:val="0"/>
            <w:vAlign w:val="center"/>
          </w:tcPr>
          <w:p w14:paraId="4A98014A">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14</w:t>
            </w:r>
          </w:p>
        </w:tc>
      </w:tr>
      <w:tr w14:paraId="7891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1C99B913">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7</w:t>
            </w:r>
          </w:p>
        </w:tc>
        <w:tc>
          <w:tcPr>
            <w:tcW w:w="7638" w:type="dxa"/>
            <w:noWrap w:val="0"/>
            <w:vAlign w:val="center"/>
          </w:tcPr>
          <w:p w14:paraId="4B38430A">
            <w:pPr>
              <w:adjustRightInd w:val="0"/>
              <w:snapToGrid w:val="0"/>
              <w:rPr>
                <w:rFonts w:hint="eastAsia" w:ascii="仿宋" w:hAnsi="仿宋" w:eastAsia="仿宋" w:cs="仿宋"/>
                <w:kern w:val="0"/>
                <w:szCs w:val="21"/>
              </w:rPr>
            </w:pPr>
            <w:r>
              <w:rPr>
                <w:rFonts w:hint="eastAsia" w:ascii="仿宋" w:hAnsi="仿宋" w:eastAsia="仿宋" w:cs="仿宋"/>
                <w:kern w:val="0"/>
                <w:szCs w:val="21"/>
              </w:rPr>
              <w:t>投标人关联单位说明</w:t>
            </w:r>
          </w:p>
        </w:tc>
        <w:tc>
          <w:tcPr>
            <w:tcW w:w="756" w:type="dxa"/>
            <w:noWrap w:val="0"/>
            <w:vAlign w:val="center"/>
          </w:tcPr>
          <w:p w14:paraId="4282E513">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15</w:t>
            </w:r>
          </w:p>
        </w:tc>
      </w:tr>
      <w:tr w14:paraId="38F49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0760D3AF">
            <w:pPr>
              <w:adjustRightInd w:val="0"/>
              <w:snapToGrid w:val="0"/>
              <w:jc w:val="center"/>
              <w:rPr>
                <w:rFonts w:hint="eastAsia" w:ascii="仿宋" w:hAnsi="仿宋" w:eastAsia="仿宋" w:cs="仿宋"/>
                <w:kern w:val="0"/>
                <w:szCs w:val="21"/>
                <w:lang w:val="en-US" w:eastAsia="zh-CN"/>
              </w:rPr>
            </w:pPr>
            <w:bookmarkStart w:id="55" w:name="_Toc24432_WPSOffice_Level2"/>
            <w:bookmarkStart w:id="56" w:name="_Toc27769_WPSOffice_Level2"/>
            <w:r>
              <w:rPr>
                <w:rFonts w:hint="eastAsia" w:ascii="仿宋" w:hAnsi="仿宋" w:eastAsia="仿宋" w:cs="仿宋"/>
                <w:kern w:val="0"/>
                <w:szCs w:val="21"/>
                <w:lang w:val="en-US" w:eastAsia="zh-CN"/>
              </w:rPr>
              <w:t>8</w:t>
            </w:r>
          </w:p>
        </w:tc>
        <w:tc>
          <w:tcPr>
            <w:tcW w:w="7638" w:type="dxa"/>
            <w:noWrap w:val="0"/>
            <w:vAlign w:val="center"/>
          </w:tcPr>
          <w:p w14:paraId="7B0223CC">
            <w:pPr>
              <w:adjustRightInd w:val="0"/>
              <w:snapToGrid w:val="0"/>
              <w:rPr>
                <w:rFonts w:hint="eastAsia" w:ascii="仿宋" w:hAnsi="仿宋" w:eastAsia="仿宋" w:cs="仿宋"/>
                <w:kern w:val="0"/>
                <w:szCs w:val="21"/>
              </w:rPr>
            </w:pPr>
            <w:r>
              <w:rPr>
                <w:rFonts w:hint="eastAsia" w:ascii="仿宋" w:hAnsi="仿宋" w:eastAsia="仿宋" w:cs="仿宋"/>
                <w:kern w:val="0"/>
                <w:szCs w:val="21"/>
              </w:rPr>
              <w:t>电子备份文件与现场递交的投标（响应）文件内容、格式一致性承诺函，格式自拟要求进行签字、盖章</w:t>
            </w:r>
          </w:p>
        </w:tc>
        <w:tc>
          <w:tcPr>
            <w:tcW w:w="756" w:type="dxa"/>
            <w:noWrap w:val="0"/>
            <w:vAlign w:val="center"/>
          </w:tcPr>
          <w:p w14:paraId="6EC56AB0">
            <w:pPr>
              <w:adjustRightInd w:val="0"/>
              <w:snapToGrid w:val="0"/>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16</w:t>
            </w:r>
          </w:p>
        </w:tc>
      </w:tr>
      <w:tr w14:paraId="5FD5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0"/>
            <w:vAlign w:val="center"/>
          </w:tcPr>
          <w:p w14:paraId="54B657D5">
            <w:pPr>
              <w:adjustRightInd w:val="0"/>
              <w:snapToGrid w:val="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9</w:t>
            </w:r>
          </w:p>
        </w:tc>
        <w:tc>
          <w:tcPr>
            <w:tcW w:w="7638" w:type="dxa"/>
            <w:shd w:val="clear" w:color="auto" w:fill="auto"/>
            <w:noWrap w:val="0"/>
            <w:vAlign w:val="center"/>
          </w:tcPr>
          <w:p w14:paraId="272E986F">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其他符合性证明材料：</w:t>
            </w:r>
          </w:p>
          <w:p w14:paraId="6A6DC268">
            <w:pPr>
              <w:adjustRightInd w:val="0"/>
              <w:snapToGrid w:val="0"/>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货物主要技术指标和性能的详细说明（产品技术说明书、技术白皮书、产品彩页等文字资料均可）</w:t>
            </w:r>
          </w:p>
        </w:tc>
        <w:tc>
          <w:tcPr>
            <w:tcW w:w="756" w:type="dxa"/>
            <w:noWrap w:val="0"/>
            <w:vAlign w:val="center"/>
          </w:tcPr>
          <w:p w14:paraId="0CDEA2DA">
            <w:pPr>
              <w:adjustRightInd w:val="0"/>
              <w:snapToGrid w:val="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17</w:t>
            </w:r>
          </w:p>
        </w:tc>
      </w:tr>
    </w:tbl>
    <w:p w14:paraId="129372A9">
      <w:pPr>
        <w:snapToGrid w:val="0"/>
        <w:spacing w:before="159" w:beforeLines="50"/>
        <w:rPr>
          <w:rFonts w:hint="eastAsia" w:ascii="仿宋" w:hAnsi="仿宋" w:eastAsia="仿宋" w:cs="仿宋"/>
          <w:b/>
          <w:sz w:val="24"/>
        </w:rPr>
      </w:pPr>
      <w:r>
        <w:rPr>
          <w:rFonts w:hint="eastAsia" w:ascii="仿宋" w:hAnsi="仿宋" w:eastAsia="仿宋" w:cs="仿宋"/>
          <w:b/>
          <w:sz w:val="24"/>
        </w:rPr>
        <w:t>四、其他材料</w:t>
      </w:r>
      <w:bookmarkEnd w:id="55"/>
      <w:bookmarkEnd w:id="56"/>
      <w:r>
        <w:rPr>
          <w:rFonts w:hint="eastAsia" w:ascii="仿宋" w:hAnsi="仿宋" w:eastAsia="仿宋" w:cs="仿宋"/>
          <w:b/>
          <w:sz w:val="24"/>
        </w:rPr>
        <w:t>（如有，请提供；如未提供，投标文件不作无效处理）</w:t>
      </w:r>
    </w:p>
    <w:tbl>
      <w:tblPr>
        <w:tblStyle w:val="16"/>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7673"/>
        <w:gridCol w:w="765"/>
      </w:tblGrid>
      <w:tr w14:paraId="534E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0"/>
            <w:vAlign w:val="center"/>
          </w:tcPr>
          <w:p w14:paraId="2B3F020B">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序号</w:t>
            </w:r>
          </w:p>
        </w:tc>
        <w:tc>
          <w:tcPr>
            <w:tcW w:w="7673" w:type="dxa"/>
            <w:noWrap w:val="0"/>
            <w:vAlign w:val="center"/>
          </w:tcPr>
          <w:p w14:paraId="72B24080">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其他材料</w:t>
            </w:r>
          </w:p>
        </w:tc>
        <w:tc>
          <w:tcPr>
            <w:tcW w:w="765" w:type="dxa"/>
            <w:noWrap w:val="0"/>
            <w:vAlign w:val="center"/>
          </w:tcPr>
          <w:p w14:paraId="65D567D3">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格式</w:t>
            </w:r>
          </w:p>
        </w:tc>
      </w:tr>
      <w:tr w14:paraId="4333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68" w:type="dxa"/>
            <w:noWrap w:val="0"/>
            <w:vAlign w:val="center"/>
          </w:tcPr>
          <w:p w14:paraId="6845803C">
            <w:pPr>
              <w:adjustRightInd w:val="0"/>
              <w:snapToGrid w:val="0"/>
              <w:jc w:val="center"/>
              <w:rPr>
                <w:rFonts w:hint="eastAsia" w:ascii="仿宋" w:hAnsi="仿宋" w:eastAsia="仿宋" w:cs="仿宋"/>
                <w:kern w:val="0"/>
                <w:szCs w:val="21"/>
              </w:rPr>
            </w:pPr>
            <w:r>
              <w:rPr>
                <w:rFonts w:hint="eastAsia" w:ascii="仿宋" w:hAnsi="仿宋" w:eastAsia="仿宋" w:cs="仿宋"/>
                <w:kern w:val="0"/>
                <w:szCs w:val="21"/>
              </w:rPr>
              <w:t>1</w:t>
            </w:r>
          </w:p>
        </w:tc>
        <w:tc>
          <w:tcPr>
            <w:tcW w:w="7673" w:type="dxa"/>
            <w:noWrap w:val="0"/>
            <w:vAlign w:val="center"/>
          </w:tcPr>
          <w:p w14:paraId="4AEAAA85">
            <w:pPr>
              <w:adjustRightInd w:val="0"/>
              <w:snapToGrid w:val="0"/>
              <w:rPr>
                <w:rFonts w:hint="eastAsia" w:ascii="仿宋" w:hAnsi="仿宋" w:eastAsia="仿宋" w:cs="仿宋"/>
                <w:kern w:val="0"/>
                <w:szCs w:val="21"/>
              </w:rPr>
            </w:pPr>
            <w:r>
              <w:rPr>
                <w:rFonts w:hint="eastAsia" w:ascii="仿宋" w:hAnsi="仿宋" w:eastAsia="仿宋" w:cs="仿宋"/>
                <w:kern w:val="0"/>
                <w:szCs w:val="21"/>
              </w:rPr>
              <w:t xml:space="preserve">《品目清单》、国家确定的认证机构出具的、处于有效期之内的《节能产品、环境标志产品认证证书》（非政府强制采购的节能产品可以提供） </w:t>
            </w:r>
          </w:p>
        </w:tc>
        <w:tc>
          <w:tcPr>
            <w:tcW w:w="765" w:type="dxa"/>
            <w:noWrap w:val="0"/>
            <w:vAlign w:val="center"/>
          </w:tcPr>
          <w:p w14:paraId="2D98B3CB">
            <w:pPr>
              <w:adjustRightInd w:val="0"/>
              <w:snapToGrid w:val="0"/>
              <w:jc w:val="center"/>
              <w:rPr>
                <w:rFonts w:hint="eastAsia" w:ascii="仿宋" w:hAnsi="仿宋" w:eastAsia="仿宋" w:cs="仿宋"/>
                <w:kern w:val="0"/>
                <w:szCs w:val="21"/>
              </w:rPr>
            </w:pPr>
          </w:p>
        </w:tc>
      </w:tr>
      <w:tr w14:paraId="1DD8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668" w:type="dxa"/>
            <w:noWrap w:val="0"/>
            <w:vAlign w:val="center"/>
          </w:tcPr>
          <w:p w14:paraId="2E4AB19E">
            <w:pPr>
              <w:adjustRightInd w:val="0"/>
              <w:snapToGrid w:val="0"/>
              <w:jc w:val="center"/>
              <w:rPr>
                <w:rFonts w:hint="eastAsia" w:ascii="仿宋" w:hAnsi="仿宋" w:eastAsia="仿宋" w:cs="仿宋"/>
                <w:kern w:val="0"/>
                <w:sz w:val="21"/>
                <w:szCs w:val="21"/>
                <w:lang w:val="en-US" w:eastAsia="zh-CN" w:bidi="ar-SA"/>
              </w:rPr>
            </w:pPr>
            <w:r>
              <w:rPr>
                <w:rFonts w:hint="eastAsia" w:ascii="仿宋" w:hAnsi="仿宋" w:eastAsia="仿宋" w:cs="仿宋"/>
                <w:kern w:val="0"/>
                <w:szCs w:val="21"/>
              </w:rPr>
              <w:t>2</w:t>
            </w:r>
          </w:p>
        </w:tc>
        <w:tc>
          <w:tcPr>
            <w:tcW w:w="7673" w:type="dxa"/>
            <w:noWrap w:val="0"/>
            <w:vAlign w:val="center"/>
          </w:tcPr>
          <w:p w14:paraId="0A7C1A32">
            <w:pPr>
              <w:adjustRightInd w:val="0"/>
              <w:snapToGrid w:val="0"/>
              <w:ind w:left="25" w:leftChars="12"/>
              <w:rPr>
                <w:rFonts w:hint="eastAsia" w:ascii="仿宋" w:hAnsi="仿宋" w:eastAsia="仿宋" w:cs="仿宋"/>
                <w:kern w:val="0"/>
                <w:sz w:val="21"/>
                <w:szCs w:val="21"/>
                <w:lang w:val="en-US" w:eastAsia="zh-CN" w:bidi="ar-SA"/>
              </w:rPr>
            </w:pPr>
            <w:r>
              <w:rPr>
                <w:rFonts w:hint="eastAsia" w:ascii="仿宋" w:hAnsi="仿宋" w:eastAsia="仿宋" w:cs="仿宋"/>
                <w:kern w:val="0"/>
                <w:szCs w:val="21"/>
              </w:rPr>
              <w:t>中小企业声明函</w:t>
            </w:r>
            <w:r>
              <w:rPr>
                <w:rFonts w:hint="eastAsia" w:ascii="仿宋" w:hAnsi="仿宋" w:eastAsia="仿宋" w:cs="仿宋"/>
                <w:kern w:val="0"/>
                <w:szCs w:val="21"/>
                <w:lang w:eastAsia="zh-CN"/>
              </w:rPr>
              <w:t>（服务）</w:t>
            </w:r>
          </w:p>
        </w:tc>
        <w:tc>
          <w:tcPr>
            <w:tcW w:w="765" w:type="dxa"/>
            <w:noWrap w:val="0"/>
            <w:vAlign w:val="center"/>
          </w:tcPr>
          <w:p w14:paraId="336FF229">
            <w:pPr>
              <w:adjustRightInd w:val="0"/>
              <w:snapToGrid w:val="0"/>
              <w:jc w:val="center"/>
              <w:rPr>
                <w:rFonts w:hint="default" w:ascii="仿宋" w:hAnsi="仿宋" w:eastAsia="仿宋" w:cs="仿宋"/>
                <w:kern w:val="0"/>
                <w:sz w:val="21"/>
                <w:szCs w:val="21"/>
                <w:lang w:val="en-US" w:eastAsia="zh-CN" w:bidi="ar-SA"/>
              </w:rPr>
            </w:pPr>
            <w:r>
              <w:rPr>
                <w:rFonts w:hint="eastAsia" w:ascii="仿宋" w:hAnsi="仿宋" w:eastAsia="仿宋" w:cs="仿宋"/>
                <w:kern w:val="0"/>
                <w:sz w:val="21"/>
                <w:szCs w:val="21"/>
                <w:lang w:val="en-US" w:eastAsia="zh-CN" w:bidi="ar-SA"/>
              </w:rPr>
              <w:t>1</w:t>
            </w:r>
            <w:r>
              <w:rPr>
                <w:rFonts w:hint="eastAsia" w:ascii="仿宋" w:hAnsi="仿宋" w:cs="仿宋"/>
                <w:kern w:val="0"/>
                <w:sz w:val="21"/>
                <w:szCs w:val="21"/>
                <w:lang w:val="en-US" w:eastAsia="zh-CN" w:bidi="ar-SA"/>
              </w:rPr>
              <w:t>8</w:t>
            </w:r>
          </w:p>
        </w:tc>
      </w:tr>
      <w:tr w14:paraId="0D5E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68" w:type="dxa"/>
            <w:noWrap w:val="0"/>
            <w:vAlign w:val="center"/>
          </w:tcPr>
          <w:p w14:paraId="38E7BB72">
            <w:pPr>
              <w:adjustRightInd w:val="0"/>
              <w:snapToGrid w:val="0"/>
              <w:jc w:val="center"/>
              <w:rPr>
                <w:rFonts w:hint="eastAsia" w:ascii="仿宋" w:hAnsi="仿宋" w:eastAsia="仿宋" w:cs="仿宋"/>
                <w:kern w:val="0"/>
                <w:sz w:val="21"/>
                <w:szCs w:val="21"/>
                <w:lang w:val="en-US" w:eastAsia="zh-CN" w:bidi="ar-SA"/>
              </w:rPr>
            </w:pPr>
            <w:r>
              <w:rPr>
                <w:rFonts w:hint="eastAsia" w:ascii="仿宋" w:hAnsi="仿宋" w:eastAsia="仿宋" w:cs="仿宋"/>
                <w:kern w:val="0"/>
                <w:szCs w:val="21"/>
              </w:rPr>
              <w:t>3</w:t>
            </w:r>
          </w:p>
        </w:tc>
        <w:tc>
          <w:tcPr>
            <w:tcW w:w="7673" w:type="dxa"/>
            <w:shd w:val="clear" w:color="auto" w:fill="auto"/>
            <w:noWrap w:val="0"/>
            <w:vAlign w:val="center"/>
          </w:tcPr>
          <w:p w14:paraId="50D18D43">
            <w:pPr>
              <w:adjustRightInd w:val="0"/>
              <w:snapToGrid w:val="0"/>
              <w:ind w:left="25" w:leftChars="12"/>
              <w:rPr>
                <w:rFonts w:hint="eastAsia" w:ascii="仿宋" w:hAnsi="仿宋" w:eastAsia="仿宋" w:cs="仿宋"/>
                <w:kern w:val="2"/>
                <w:sz w:val="21"/>
                <w:szCs w:val="21"/>
                <w:lang w:val="en-US" w:eastAsia="zh-CN" w:bidi="ar-SA"/>
              </w:rPr>
            </w:pPr>
            <w:r>
              <w:rPr>
                <w:rFonts w:hint="eastAsia" w:ascii="仿宋" w:hAnsi="仿宋" w:eastAsia="仿宋" w:cs="仿宋"/>
                <w:szCs w:val="21"/>
              </w:rPr>
              <w:t>残疾人福利性单位声明函</w:t>
            </w:r>
          </w:p>
        </w:tc>
        <w:tc>
          <w:tcPr>
            <w:tcW w:w="765" w:type="dxa"/>
            <w:shd w:val="clear" w:color="auto" w:fill="auto"/>
            <w:noWrap w:val="0"/>
            <w:vAlign w:val="center"/>
          </w:tcPr>
          <w:p w14:paraId="331BA141">
            <w:pPr>
              <w:adjustRightInd w:val="0"/>
              <w:snapToGrid w:val="0"/>
              <w:jc w:val="center"/>
              <w:rPr>
                <w:rFonts w:hint="default" w:ascii="仿宋" w:hAnsi="仿宋" w:eastAsia="仿宋" w:cs="仿宋"/>
                <w:kern w:val="0"/>
                <w:sz w:val="21"/>
                <w:szCs w:val="21"/>
                <w:lang w:val="en-US" w:eastAsia="zh-CN" w:bidi="ar-SA"/>
              </w:rPr>
            </w:pPr>
            <w:r>
              <w:rPr>
                <w:rFonts w:hint="eastAsia" w:ascii="仿宋" w:hAnsi="仿宋" w:eastAsia="仿宋" w:cs="仿宋"/>
                <w:kern w:val="0"/>
                <w:szCs w:val="21"/>
                <w:lang w:val="en-US" w:eastAsia="zh-CN"/>
              </w:rPr>
              <w:t>1</w:t>
            </w:r>
            <w:r>
              <w:rPr>
                <w:rFonts w:hint="eastAsia" w:ascii="仿宋" w:hAnsi="仿宋" w:cs="仿宋"/>
                <w:kern w:val="0"/>
                <w:szCs w:val="21"/>
                <w:lang w:val="en-US" w:eastAsia="zh-CN"/>
              </w:rPr>
              <w:t>9</w:t>
            </w:r>
          </w:p>
        </w:tc>
      </w:tr>
      <w:tr w14:paraId="545EA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5A68A3D5">
            <w:pPr>
              <w:adjustRightInd w:val="0"/>
              <w:snapToGrid w:val="0"/>
              <w:jc w:val="center"/>
              <w:rPr>
                <w:rFonts w:hint="default" w:ascii="仿宋" w:hAnsi="仿宋" w:eastAsia="仿宋" w:cs="仿宋"/>
                <w:kern w:val="0"/>
                <w:sz w:val="21"/>
                <w:szCs w:val="21"/>
                <w:lang w:val="en-US" w:eastAsia="zh-CN" w:bidi="ar-SA"/>
              </w:rPr>
            </w:pPr>
            <w:r>
              <w:rPr>
                <w:rFonts w:hint="eastAsia" w:ascii="仿宋" w:hAnsi="仿宋" w:cs="仿宋"/>
                <w:kern w:val="0"/>
                <w:sz w:val="21"/>
                <w:szCs w:val="21"/>
                <w:lang w:val="en-US" w:eastAsia="zh-CN" w:bidi="ar-SA"/>
              </w:rPr>
              <w:t>4</w:t>
            </w:r>
          </w:p>
        </w:tc>
        <w:tc>
          <w:tcPr>
            <w:tcW w:w="7673" w:type="dxa"/>
            <w:shd w:val="clear" w:color="auto" w:fill="auto"/>
            <w:noWrap w:val="0"/>
            <w:vAlign w:val="center"/>
          </w:tcPr>
          <w:p w14:paraId="28006FA7">
            <w:pPr>
              <w:adjustRightInd w:val="0"/>
              <w:snapToGrid w:val="0"/>
              <w:ind w:left="25" w:leftChars="12"/>
              <w:rPr>
                <w:rFonts w:hint="eastAsia" w:ascii="仿宋" w:hAnsi="仿宋" w:eastAsia="仿宋" w:cs="仿宋"/>
                <w:kern w:val="2"/>
                <w:sz w:val="21"/>
                <w:szCs w:val="21"/>
                <w:lang w:val="en-US" w:eastAsia="zh-CN" w:bidi="ar-SA"/>
              </w:rPr>
            </w:pPr>
            <w:r>
              <w:rPr>
                <w:rFonts w:hint="eastAsia" w:ascii="仿宋" w:hAnsi="仿宋" w:eastAsia="仿宋" w:cs="仿宋"/>
                <w:szCs w:val="21"/>
              </w:rPr>
              <w:t>聘用建档立卡贫困人员物业公司声明函</w:t>
            </w:r>
          </w:p>
        </w:tc>
        <w:tc>
          <w:tcPr>
            <w:tcW w:w="765" w:type="dxa"/>
            <w:shd w:val="clear" w:color="auto" w:fill="auto"/>
            <w:noWrap w:val="0"/>
            <w:vAlign w:val="center"/>
          </w:tcPr>
          <w:p w14:paraId="03823D91">
            <w:pPr>
              <w:adjustRightInd w:val="0"/>
              <w:snapToGrid w:val="0"/>
              <w:jc w:val="center"/>
              <w:rPr>
                <w:rFonts w:hint="default" w:ascii="仿宋" w:hAnsi="仿宋" w:eastAsia="仿宋" w:cs="仿宋"/>
                <w:kern w:val="0"/>
                <w:sz w:val="21"/>
                <w:szCs w:val="21"/>
                <w:lang w:val="en-US" w:eastAsia="zh-CN" w:bidi="ar-SA"/>
              </w:rPr>
            </w:pPr>
            <w:r>
              <w:rPr>
                <w:rFonts w:hint="eastAsia" w:ascii="仿宋" w:hAnsi="仿宋" w:cs="仿宋"/>
                <w:kern w:val="0"/>
                <w:sz w:val="21"/>
                <w:szCs w:val="21"/>
                <w:lang w:val="en-US" w:eastAsia="zh-CN" w:bidi="ar-SA"/>
              </w:rPr>
              <w:t>20</w:t>
            </w:r>
          </w:p>
        </w:tc>
      </w:tr>
      <w:tr w14:paraId="519A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358F43D0">
            <w:pPr>
              <w:adjustRightInd w:val="0"/>
              <w:snapToGrid w:val="0"/>
              <w:jc w:val="center"/>
              <w:rPr>
                <w:rFonts w:hint="default" w:ascii="仿宋" w:hAnsi="仿宋" w:eastAsia="仿宋" w:cs="仿宋"/>
                <w:kern w:val="0"/>
                <w:sz w:val="21"/>
                <w:szCs w:val="21"/>
                <w:lang w:val="en-US" w:eastAsia="zh-CN" w:bidi="ar-SA"/>
              </w:rPr>
            </w:pPr>
            <w:r>
              <w:rPr>
                <w:rFonts w:hint="eastAsia" w:ascii="仿宋" w:hAnsi="仿宋" w:cs="仿宋"/>
                <w:kern w:val="0"/>
                <w:sz w:val="21"/>
                <w:szCs w:val="21"/>
                <w:lang w:val="en-US" w:eastAsia="zh-CN" w:bidi="ar-SA"/>
              </w:rPr>
              <w:t>5</w:t>
            </w:r>
          </w:p>
        </w:tc>
        <w:tc>
          <w:tcPr>
            <w:tcW w:w="7673" w:type="dxa"/>
            <w:shd w:val="clear" w:color="auto" w:fill="auto"/>
            <w:noWrap w:val="0"/>
            <w:vAlign w:val="center"/>
          </w:tcPr>
          <w:p w14:paraId="69962CA0">
            <w:pPr>
              <w:adjustRightInd w:val="0"/>
              <w:snapToGrid w:val="0"/>
              <w:ind w:left="25" w:leftChars="12"/>
              <w:rPr>
                <w:rFonts w:hint="eastAsia" w:ascii="仿宋" w:hAnsi="仿宋" w:eastAsia="仿宋" w:cs="仿宋"/>
                <w:szCs w:val="21"/>
              </w:rPr>
            </w:pPr>
            <w:r>
              <w:rPr>
                <w:rFonts w:hint="eastAsia" w:ascii="仿宋" w:hAnsi="仿宋" w:eastAsia="仿宋" w:cs="仿宋"/>
                <w:szCs w:val="21"/>
              </w:rPr>
              <w:t>列入《辽宁省创新产品和服务目录》内的产品、服务的证明材料（如适用）</w:t>
            </w:r>
          </w:p>
          <w:p w14:paraId="524DB772">
            <w:pPr>
              <w:adjustRightInd w:val="0"/>
              <w:snapToGrid w:val="0"/>
              <w:ind w:left="25" w:leftChars="12"/>
              <w:rPr>
                <w:rFonts w:hint="eastAsia" w:ascii="仿宋" w:hAnsi="仿宋" w:eastAsia="仿宋" w:cs="仿宋"/>
                <w:kern w:val="2"/>
                <w:sz w:val="21"/>
                <w:szCs w:val="21"/>
                <w:lang w:val="en-US" w:eastAsia="zh-CN" w:bidi="ar-SA"/>
              </w:rPr>
            </w:pPr>
            <w:r>
              <w:rPr>
                <w:rFonts w:hint="eastAsia" w:ascii="仿宋" w:hAnsi="仿宋" w:eastAsia="仿宋" w:cs="仿宋"/>
                <w:szCs w:val="21"/>
              </w:rPr>
              <w:t>（此项要求可视实际情况设置在符合性证明材料或其他材料中）</w:t>
            </w:r>
          </w:p>
        </w:tc>
        <w:tc>
          <w:tcPr>
            <w:tcW w:w="765" w:type="dxa"/>
            <w:shd w:val="clear" w:color="auto" w:fill="auto"/>
            <w:noWrap w:val="0"/>
            <w:vAlign w:val="center"/>
          </w:tcPr>
          <w:p w14:paraId="589D8310">
            <w:pPr>
              <w:adjustRightInd w:val="0"/>
              <w:snapToGrid w:val="0"/>
              <w:rPr>
                <w:rFonts w:hint="eastAsia" w:ascii="仿宋" w:hAnsi="仿宋" w:eastAsia="仿宋" w:cs="仿宋"/>
                <w:kern w:val="0"/>
                <w:sz w:val="21"/>
                <w:szCs w:val="21"/>
                <w:lang w:val="en-US" w:eastAsia="zh-CN" w:bidi="ar-SA"/>
              </w:rPr>
            </w:pPr>
          </w:p>
        </w:tc>
      </w:tr>
      <w:tr w14:paraId="701A6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0"/>
            <w:vAlign w:val="center"/>
          </w:tcPr>
          <w:p w14:paraId="4D660BDF">
            <w:pPr>
              <w:adjustRightInd w:val="0"/>
              <w:snapToGrid w:val="0"/>
              <w:jc w:val="center"/>
              <w:rPr>
                <w:rFonts w:hint="default" w:ascii="仿宋" w:hAnsi="仿宋" w:eastAsia="仿宋" w:cs="仿宋"/>
                <w:kern w:val="0"/>
                <w:sz w:val="21"/>
                <w:szCs w:val="21"/>
                <w:lang w:val="en-US" w:eastAsia="zh-CN" w:bidi="ar-SA"/>
              </w:rPr>
            </w:pPr>
            <w:r>
              <w:rPr>
                <w:rFonts w:hint="eastAsia" w:ascii="仿宋" w:hAnsi="仿宋" w:cs="仿宋"/>
                <w:kern w:val="0"/>
                <w:sz w:val="21"/>
                <w:szCs w:val="21"/>
                <w:lang w:val="en-US" w:eastAsia="zh-CN" w:bidi="ar-SA"/>
              </w:rPr>
              <w:t>6</w:t>
            </w:r>
          </w:p>
        </w:tc>
        <w:tc>
          <w:tcPr>
            <w:tcW w:w="7673" w:type="dxa"/>
            <w:shd w:val="clear" w:color="auto" w:fill="auto"/>
            <w:noWrap w:val="0"/>
            <w:vAlign w:val="center"/>
          </w:tcPr>
          <w:p w14:paraId="47CFE503">
            <w:pPr>
              <w:adjustRightInd w:val="0"/>
              <w:snapToGrid w:val="0"/>
              <w:ind w:left="25" w:leftChars="12"/>
              <w:rPr>
                <w:rFonts w:hint="eastAsia" w:ascii="仿宋" w:hAnsi="仿宋" w:eastAsia="仿宋" w:cs="仿宋"/>
                <w:kern w:val="2"/>
                <w:sz w:val="21"/>
                <w:szCs w:val="21"/>
                <w:lang w:val="en-US" w:eastAsia="zh-CN" w:bidi="ar-SA"/>
              </w:rPr>
            </w:pPr>
            <w:r>
              <w:rPr>
                <w:rFonts w:hint="eastAsia" w:ascii="仿宋" w:hAnsi="仿宋" w:eastAsia="仿宋" w:cs="仿宋"/>
                <w:szCs w:val="21"/>
              </w:rPr>
              <w:t>投标人认为有必要且能证明响应评分细则中各项要求的其它资料</w:t>
            </w:r>
          </w:p>
        </w:tc>
        <w:tc>
          <w:tcPr>
            <w:tcW w:w="765" w:type="dxa"/>
            <w:shd w:val="clear" w:color="auto" w:fill="auto"/>
            <w:noWrap w:val="0"/>
            <w:vAlign w:val="center"/>
          </w:tcPr>
          <w:p w14:paraId="58EA5613">
            <w:pPr>
              <w:adjustRightInd w:val="0"/>
              <w:snapToGrid w:val="0"/>
              <w:jc w:val="center"/>
              <w:rPr>
                <w:rFonts w:hint="eastAsia" w:ascii="仿宋" w:hAnsi="仿宋" w:eastAsia="仿宋" w:cs="仿宋"/>
                <w:kern w:val="0"/>
                <w:sz w:val="21"/>
                <w:szCs w:val="21"/>
                <w:lang w:val="en-US" w:eastAsia="zh-CN" w:bidi="ar-SA"/>
              </w:rPr>
            </w:pPr>
            <w:r>
              <w:rPr>
                <w:rFonts w:hint="eastAsia" w:ascii="仿宋" w:hAnsi="仿宋" w:eastAsia="仿宋" w:cs="仿宋"/>
                <w:kern w:val="0"/>
                <w:szCs w:val="21"/>
                <w:lang w:val="en-US" w:eastAsia="zh-CN"/>
              </w:rPr>
              <w:t>2</w:t>
            </w:r>
            <w:r>
              <w:rPr>
                <w:rFonts w:hint="eastAsia" w:ascii="仿宋" w:hAnsi="仿宋" w:cs="仿宋"/>
                <w:kern w:val="0"/>
                <w:szCs w:val="21"/>
                <w:lang w:val="en-US" w:eastAsia="zh-CN"/>
              </w:rPr>
              <w:t>1</w:t>
            </w:r>
          </w:p>
        </w:tc>
      </w:tr>
      <w:tr w14:paraId="7D39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noWrap w:val="0"/>
            <w:vAlign w:val="center"/>
          </w:tcPr>
          <w:p w14:paraId="57172DBC">
            <w:pPr>
              <w:adjustRightInd w:val="0"/>
              <w:snapToGrid w:val="0"/>
              <w:jc w:val="center"/>
              <w:rPr>
                <w:rFonts w:hint="eastAsia" w:ascii="仿宋" w:hAnsi="仿宋" w:eastAsia="仿宋" w:cs="仿宋"/>
                <w:kern w:val="0"/>
                <w:szCs w:val="21"/>
              </w:rPr>
            </w:pPr>
          </w:p>
        </w:tc>
        <w:tc>
          <w:tcPr>
            <w:tcW w:w="7673" w:type="dxa"/>
            <w:noWrap w:val="0"/>
            <w:vAlign w:val="center"/>
          </w:tcPr>
          <w:p w14:paraId="320326B5">
            <w:pPr>
              <w:pStyle w:val="23"/>
              <w:adjustRightInd w:val="0"/>
              <w:snapToGrid w:val="0"/>
              <w:ind w:left="25" w:leftChars="12" w:firstLine="0" w:firstLineChars="0"/>
              <w:rPr>
                <w:rFonts w:hint="eastAsia" w:ascii="仿宋" w:hAnsi="仿宋" w:eastAsia="仿宋" w:cs="仿宋"/>
                <w:kern w:val="0"/>
                <w:szCs w:val="21"/>
              </w:rPr>
            </w:pPr>
            <w:r>
              <w:rPr>
                <w:rFonts w:hint="eastAsia" w:ascii="仿宋" w:hAnsi="仿宋" w:eastAsia="仿宋" w:cs="仿宋"/>
                <w:kern w:val="0"/>
                <w:szCs w:val="21"/>
              </w:rPr>
              <w:t>......</w:t>
            </w:r>
          </w:p>
        </w:tc>
        <w:tc>
          <w:tcPr>
            <w:tcW w:w="765" w:type="dxa"/>
            <w:noWrap w:val="0"/>
            <w:vAlign w:val="center"/>
          </w:tcPr>
          <w:p w14:paraId="75AEE7E4">
            <w:pPr>
              <w:adjustRightInd w:val="0"/>
              <w:snapToGrid w:val="0"/>
              <w:jc w:val="center"/>
              <w:rPr>
                <w:rFonts w:hint="eastAsia" w:ascii="仿宋" w:hAnsi="仿宋" w:eastAsia="仿宋" w:cs="仿宋"/>
                <w:kern w:val="0"/>
                <w:szCs w:val="21"/>
              </w:rPr>
            </w:pPr>
          </w:p>
        </w:tc>
      </w:tr>
    </w:tbl>
    <w:p w14:paraId="5CF49171">
      <w:pPr>
        <w:adjustRightInd w:val="0"/>
        <w:snapToGrid w:val="0"/>
        <w:spacing w:line="360" w:lineRule="auto"/>
        <w:ind w:firstLine="482" w:firstLineChars="200"/>
        <w:rPr>
          <w:rFonts w:hint="eastAsia" w:ascii="仿宋" w:hAnsi="仿宋" w:eastAsia="仿宋" w:cs="仿宋"/>
          <w:b/>
          <w:sz w:val="24"/>
        </w:rPr>
      </w:pPr>
      <w:bookmarkStart w:id="57" w:name="_Toc23127_WPSOffice_Level2"/>
      <w:bookmarkStart w:id="58" w:name="_Toc24011_WPSOffice_Level2"/>
      <w:r>
        <w:rPr>
          <w:rFonts w:hint="eastAsia" w:ascii="仿宋" w:hAnsi="仿宋" w:eastAsia="仿宋" w:cs="仿宋"/>
          <w:b/>
          <w:sz w:val="24"/>
        </w:rPr>
        <w:t>重要提示：</w:t>
      </w:r>
      <w:bookmarkEnd w:id="57"/>
      <w:bookmarkEnd w:id="58"/>
    </w:p>
    <w:p w14:paraId="4C4169DD">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1、投标人提供的证明材料，除需要投标人填报或有特殊说明外，均须按要求提供。</w:t>
      </w:r>
      <w:r>
        <w:rPr>
          <w:rFonts w:hint="eastAsia" w:ascii="仿宋" w:hAnsi="仿宋" w:eastAsia="仿宋" w:cs="仿宋"/>
          <w:b/>
          <w:bCs/>
          <w:szCs w:val="21"/>
        </w:rPr>
        <w:t xml:space="preserve"> </w:t>
      </w:r>
    </w:p>
    <w:p w14:paraId="7AF8C502">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2、投标人在编制投标文件时，对于给定格式的文件内容，必须按照给定的标准格式进行填报；对于没有给定标准格式的文件内容，可以由投标人自行设计。</w:t>
      </w:r>
    </w:p>
    <w:p w14:paraId="3AA2472C">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3、投标文件应用中文书写。投标文件中所附或所引用的材料不是中文时，应附中文译本，并加盖单位公章（自然人投标的，无需加盖单位公章，需要签字）。</w:t>
      </w:r>
    </w:p>
    <w:p w14:paraId="5C0E61F2">
      <w:pPr>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szCs w:val="21"/>
        </w:rPr>
        <w:t>4、</w:t>
      </w:r>
      <w:r>
        <w:rPr>
          <w:rFonts w:hint="eastAsia" w:ascii="仿宋" w:hAnsi="仿宋" w:eastAsia="仿宋" w:cs="仿宋"/>
          <w:b/>
          <w:bCs/>
          <w:szCs w:val="21"/>
        </w:rPr>
        <w:t>“资格证明材料”</w:t>
      </w:r>
      <w:r>
        <w:rPr>
          <w:rFonts w:hint="eastAsia" w:ascii="仿宋" w:hAnsi="仿宋" w:eastAsia="仿宋" w:cs="仿宋"/>
        </w:rPr>
        <w:t>所列内容即为采购项目的资格审查条件，有一项不符合要求，不能进入下一阶段评审。</w:t>
      </w:r>
    </w:p>
    <w:p w14:paraId="0DDDA2CF">
      <w:pPr>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5、</w:t>
      </w:r>
      <w:r>
        <w:rPr>
          <w:rFonts w:hint="eastAsia" w:ascii="仿宋" w:hAnsi="仿宋" w:eastAsia="仿宋" w:cs="仿宋"/>
          <w:b/>
          <w:bCs/>
          <w:szCs w:val="21"/>
        </w:rPr>
        <w:t>“符合性证明材料”</w:t>
      </w:r>
      <w:r>
        <w:rPr>
          <w:rFonts w:hint="eastAsia" w:ascii="仿宋" w:hAnsi="仿宋" w:eastAsia="仿宋" w:cs="仿宋"/>
        </w:rPr>
        <w:t>所列内容即为采购项目的符合性审查条件，有一项不符合要求，不能进入下一阶段评审。</w:t>
      </w:r>
    </w:p>
    <w:p w14:paraId="50DA2937">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rPr>
        <w:t>6、</w:t>
      </w:r>
      <w:r>
        <w:rPr>
          <w:rFonts w:hint="eastAsia" w:ascii="仿宋" w:hAnsi="仿宋" w:eastAsia="仿宋" w:cs="仿宋"/>
          <w:szCs w:val="21"/>
        </w:rPr>
        <w:t>“其他材料”</w:t>
      </w:r>
    </w:p>
    <w:p w14:paraId="42ECB0B0">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szCs w:val="21"/>
        </w:rPr>
        <w:t>（1）</w:t>
      </w:r>
      <w:r>
        <w:rPr>
          <w:rFonts w:hint="eastAsia" w:ascii="仿宋" w:hAnsi="仿宋" w:eastAsia="仿宋" w:cs="仿宋"/>
          <w:kern w:val="0"/>
          <w:szCs w:val="21"/>
        </w:rPr>
        <w:t>综合评分法：</w:t>
      </w:r>
      <w:r>
        <w:rPr>
          <w:rFonts w:hint="eastAsia" w:ascii="仿宋" w:hAnsi="仿宋" w:eastAsia="仿宋" w:cs="仿宋"/>
          <w:szCs w:val="21"/>
        </w:rPr>
        <w:t>投标人可就</w:t>
      </w:r>
      <w:r>
        <w:rPr>
          <w:rFonts w:hint="eastAsia" w:ascii="仿宋" w:hAnsi="仿宋" w:eastAsia="仿宋" w:cs="仿宋"/>
          <w:kern w:val="0"/>
          <w:szCs w:val="21"/>
        </w:rPr>
        <w:t>招标文件要求以及评分细则中各项要求提供相应材料。</w:t>
      </w:r>
    </w:p>
    <w:p w14:paraId="60C86957">
      <w:pPr>
        <w:snapToGrid w:val="0"/>
        <w:spacing w:line="276" w:lineRule="auto"/>
        <w:ind w:firstLine="420" w:firstLineChars="200"/>
        <w:jc w:val="left"/>
        <w:rPr>
          <w:rFonts w:hint="eastAsia" w:ascii="仿宋" w:hAnsi="仿宋" w:eastAsia="仿宋" w:cs="仿宋"/>
          <w:szCs w:val="21"/>
        </w:rPr>
      </w:pPr>
    </w:p>
    <w:p w14:paraId="0FC25987">
      <w:pPr>
        <w:rPr>
          <w:rFonts w:hint="eastAsia" w:ascii="仿宋" w:hAnsi="仿宋" w:eastAsia="仿宋" w:cs="仿宋"/>
        </w:rPr>
      </w:pPr>
      <w:r>
        <w:rPr>
          <w:rFonts w:hint="eastAsia" w:ascii="仿宋" w:hAnsi="仿宋" w:eastAsia="仿宋" w:cs="仿宋"/>
        </w:rPr>
        <w:br w:type="page"/>
      </w:r>
    </w:p>
    <w:p w14:paraId="5EB52279">
      <w:pPr>
        <w:pStyle w:val="3"/>
        <w:adjustRightInd w:val="0"/>
        <w:snapToGrid w:val="0"/>
        <w:spacing w:before="0" w:after="0" w:line="240" w:lineRule="auto"/>
        <w:jc w:val="left"/>
        <w:rPr>
          <w:rFonts w:hint="eastAsia" w:ascii="仿宋" w:hAnsi="仿宋" w:eastAsia="仿宋" w:cs="仿宋"/>
          <w:szCs w:val="28"/>
        </w:rPr>
      </w:pPr>
      <w:r>
        <w:rPr>
          <w:rFonts w:hint="eastAsia" w:ascii="仿宋" w:hAnsi="仿宋" w:eastAsia="仿宋" w:cs="仿宋"/>
          <w:szCs w:val="28"/>
        </w:rPr>
        <w:t>格式1</w:t>
      </w:r>
    </w:p>
    <w:p w14:paraId="5DC61DA1">
      <w:pPr>
        <w:jc w:val="center"/>
        <w:rPr>
          <w:rFonts w:hint="eastAsia" w:ascii="仿宋" w:hAnsi="仿宋" w:eastAsia="仿宋" w:cs="仿宋"/>
          <w:b/>
          <w:bCs/>
          <w:sz w:val="32"/>
          <w:szCs w:val="32"/>
        </w:rPr>
      </w:pPr>
      <w:bookmarkStart w:id="59" w:name="_Toc26322_WPSOffice_Level2"/>
      <w:bookmarkStart w:id="60" w:name="_Toc21090_WPSOffice_Level2"/>
      <w:r>
        <w:rPr>
          <w:rFonts w:hint="eastAsia" w:ascii="仿宋" w:hAnsi="仿宋" w:eastAsia="仿宋" w:cs="仿宋"/>
          <w:b/>
          <w:bCs/>
          <w:sz w:val="32"/>
          <w:szCs w:val="32"/>
        </w:rPr>
        <w:t>投标文件/电子文件U盘外封面、封口格式</w:t>
      </w:r>
      <w:bookmarkEnd w:id="59"/>
      <w:bookmarkEnd w:id="60"/>
    </w:p>
    <w:p w14:paraId="2B718340">
      <w:pPr>
        <w:rPr>
          <w:rFonts w:hint="eastAsia" w:ascii="仿宋" w:hAnsi="仿宋" w:eastAsia="仿宋" w:cs="仿宋"/>
        </w:rPr>
      </w:pPr>
      <w:r>
        <w:rPr>
          <w:rFonts w:hint="eastAsia" w:ascii="仿宋" w:hAnsi="仿宋" w:eastAsia="仿宋" w:cs="仿宋"/>
          <w:sz w:val="28"/>
          <w:szCs w:val="28"/>
        </w:rPr>
        <w:t>封面格式：</w:t>
      </w:r>
    </w:p>
    <w:tbl>
      <w:tblPr>
        <w:tblStyle w:val="16"/>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4285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val="0"/>
            <w:vAlign w:val="top"/>
          </w:tcPr>
          <w:p w14:paraId="7369B801">
            <w:pPr>
              <w:jc w:val="center"/>
              <w:rPr>
                <w:rFonts w:hint="eastAsia" w:ascii="仿宋" w:hAnsi="仿宋" w:eastAsia="仿宋" w:cs="仿宋"/>
                <w:b/>
                <w:bCs/>
              </w:rPr>
            </w:pPr>
          </w:p>
          <w:p w14:paraId="080E79D3">
            <w:pPr>
              <w:jc w:val="center"/>
              <w:rPr>
                <w:rFonts w:hint="eastAsia" w:ascii="仿宋" w:hAnsi="仿宋" w:eastAsia="仿宋" w:cs="仿宋"/>
                <w:b/>
                <w:bCs/>
              </w:rPr>
            </w:pPr>
          </w:p>
          <w:p w14:paraId="56DEF5E0">
            <w:pPr>
              <w:jc w:val="center"/>
              <w:rPr>
                <w:rFonts w:hint="eastAsia" w:ascii="仿宋" w:hAnsi="仿宋" w:eastAsia="仿宋" w:cs="仿宋"/>
                <w:b/>
                <w:bCs/>
              </w:rPr>
            </w:pPr>
          </w:p>
          <w:p w14:paraId="680BF68B">
            <w:pPr>
              <w:jc w:val="center"/>
              <w:rPr>
                <w:rFonts w:hint="eastAsia" w:ascii="仿宋" w:hAnsi="仿宋" w:eastAsia="仿宋" w:cs="仿宋"/>
                <w:b/>
                <w:bCs/>
              </w:rPr>
            </w:pPr>
          </w:p>
          <w:p w14:paraId="4A8D2905">
            <w:pPr>
              <w:jc w:val="center"/>
              <w:rPr>
                <w:rFonts w:hint="eastAsia" w:ascii="仿宋" w:hAnsi="仿宋" w:eastAsia="仿宋" w:cs="仿宋"/>
                <w:b/>
                <w:bCs/>
              </w:rPr>
            </w:pPr>
          </w:p>
          <w:p w14:paraId="5F550176">
            <w:pPr>
              <w:jc w:val="center"/>
              <w:rPr>
                <w:rFonts w:hint="eastAsia" w:ascii="仿宋" w:hAnsi="仿宋" w:eastAsia="仿宋" w:cs="仿宋"/>
                <w:b/>
                <w:bCs/>
              </w:rPr>
            </w:pPr>
            <w:r>
              <w:rPr>
                <w:rFonts w:hint="eastAsia" w:ascii="仿宋" w:hAnsi="仿宋" w:eastAsia="仿宋" w:cs="仿宋"/>
                <w:b/>
                <w:bCs/>
                <w:sz w:val="44"/>
                <w:szCs w:val="52"/>
              </w:rPr>
              <w:t>投标文件</w:t>
            </w:r>
            <w:r>
              <w:rPr>
                <w:rFonts w:hint="eastAsia" w:ascii="仿宋" w:hAnsi="仿宋" w:eastAsia="仿宋" w:cs="仿宋"/>
                <w:b/>
                <w:bCs/>
                <w:color w:val="0C0C0C"/>
                <w:sz w:val="44"/>
                <w:szCs w:val="52"/>
              </w:rPr>
              <w:t>/电子文件U盘</w:t>
            </w:r>
          </w:p>
          <w:p w14:paraId="55FE8A7B">
            <w:pPr>
              <w:jc w:val="left"/>
              <w:rPr>
                <w:rFonts w:hint="eastAsia" w:ascii="仿宋" w:hAnsi="仿宋" w:eastAsia="仿宋" w:cs="仿宋"/>
              </w:rPr>
            </w:pPr>
          </w:p>
          <w:p w14:paraId="5AED4180">
            <w:pPr>
              <w:jc w:val="left"/>
              <w:rPr>
                <w:rFonts w:hint="eastAsia" w:ascii="仿宋" w:hAnsi="仿宋" w:eastAsia="仿宋" w:cs="仿宋"/>
              </w:rPr>
            </w:pPr>
          </w:p>
          <w:p w14:paraId="242547E0">
            <w:pPr>
              <w:jc w:val="left"/>
              <w:rPr>
                <w:rFonts w:hint="eastAsia" w:ascii="仿宋" w:hAnsi="仿宋" w:eastAsia="仿宋" w:cs="仿宋"/>
              </w:rPr>
            </w:pPr>
          </w:p>
          <w:p w14:paraId="6B61B524">
            <w:pPr>
              <w:jc w:val="left"/>
              <w:rPr>
                <w:rFonts w:hint="eastAsia" w:ascii="仿宋" w:hAnsi="仿宋" w:eastAsia="仿宋" w:cs="仿宋"/>
              </w:rPr>
            </w:pPr>
          </w:p>
          <w:p w14:paraId="3C555CB9">
            <w:pPr>
              <w:jc w:val="left"/>
              <w:rPr>
                <w:rFonts w:hint="eastAsia" w:ascii="仿宋" w:hAnsi="仿宋" w:eastAsia="仿宋" w:cs="仿宋"/>
              </w:rPr>
            </w:pPr>
          </w:p>
          <w:p w14:paraId="7553FA10">
            <w:pPr>
              <w:jc w:val="left"/>
              <w:rPr>
                <w:rFonts w:hint="eastAsia" w:ascii="仿宋" w:hAnsi="仿宋" w:eastAsia="仿宋" w:cs="仿宋"/>
              </w:rPr>
            </w:pPr>
          </w:p>
          <w:p w14:paraId="61582F32">
            <w:pPr>
              <w:jc w:val="left"/>
              <w:rPr>
                <w:rFonts w:hint="eastAsia" w:ascii="仿宋" w:hAnsi="仿宋" w:eastAsia="仿宋" w:cs="仿宋"/>
              </w:rPr>
            </w:pPr>
          </w:p>
          <w:p w14:paraId="6A6DDEF2">
            <w:pPr>
              <w:jc w:val="left"/>
              <w:rPr>
                <w:rFonts w:hint="eastAsia" w:ascii="仿宋" w:hAnsi="仿宋" w:eastAsia="仿宋" w:cs="仿宋"/>
                <w:color w:val="0C0C0C"/>
              </w:rPr>
            </w:pPr>
            <w:r>
              <w:rPr>
                <w:rFonts w:hint="eastAsia" w:ascii="仿宋" w:hAnsi="仿宋" w:eastAsia="仿宋" w:cs="仿宋"/>
                <w:color w:val="0C0C0C"/>
              </w:rPr>
              <w:t>所投包号：第  包</w:t>
            </w:r>
          </w:p>
          <w:p w14:paraId="6F444FDB">
            <w:pPr>
              <w:jc w:val="left"/>
              <w:rPr>
                <w:rFonts w:hint="eastAsia" w:ascii="仿宋" w:hAnsi="仿宋" w:eastAsia="仿宋" w:cs="仿宋"/>
                <w:color w:val="0C0C0C"/>
              </w:rPr>
            </w:pPr>
          </w:p>
          <w:p w14:paraId="54F792FD">
            <w:pPr>
              <w:jc w:val="left"/>
              <w:rPr>
                <w:rFonts w:hint="eastAsia" w:ascii="仿宋" w:hAnsi="仿宋" w:eastAsia="仿宋" w:cs="仿宋"/>
                <w:color w:val="0C0C0C"/>
              </w:rPr>
            </w:pPr>
            <w:r>
              <w:rPr>
                <w:rFonts w:hint="eastAsia" w:ascii="仿宋" w:hAnsi="仿宋" w:eastAsia="仿宋" w:cs="仿宋"/>
                <w:color w:val="0C0C0C"/>
              </w:rPr>
              <w:t>项目名称：</w:t>
            </w:r>
          </w:p>
          <w:p w14:paraId="43CF021E">
            <w:pPr>
              <w:jc w:val="left"/>
              <w:rPr>
                <w:rFonts w:hint="eastAsia" w:ascii="仿宋" w:hAnsi="仿宋" w:eastAsia="仿宋" w:cs="仿宋"/>
                <w:color w:val="0C0C0C"/>
              </w:rPr>
            </w:pPr>
          </w:p>
          <w:p w14:paraId="4DC3FBD2">
            <w:pPr>
              <w:jc w:val="left"/>
              <w:rPr>
                <w:rFonts w:hint="eastAsia" w:ascii="仿宋" w:hAnsi="仿宋" w:eastAsia="仿宋" w:cs="仿宋"/>
                <w:color w:val="0C0C0C"/>
              </w:rPr>
            </w:pPr>
            <w:r>
              <w:rPr>
                <w:rFonts w:hint="eastAsia" w:ascii="仿宋" w:hAnsi="仿宋" w:eastAsia="仿宋" w:cs="仿宋"/>
                <w:color w:val="0C0C0C"/>
              </w:rPr>
              <w:t>项目编号：</w:t>
            </w:r>
          </w:p>
          <w:p w14:paraId="0BBA9723">
            <w:pPr>
              <w:jc w:val="center"/>
              <w:rPr>
                <w:rFonts w:hint="eastAsia" w:ascii="仿宋" w:hAnsi="仿宋" w:eastAsia="仿宋" w:cs="仿宋"/>
                <w:color w:val="0C0C0C"/>
              </w:rPr>
            </w:pPr>
          </w:p>
          <w:p w14:paraId="5D93847B">
            <w:pPr>
              <w:rPr>
                <w:rFonts w:hint="eastAsia" w:ascii="仿宋" w:hAnsi="仿宋" w:eastAsia="仿宋" w:cs="仿宋"/>
              </w:rPr>
            </w:pPr>
            <w:r>
              <w:rPr>
                <w:rFonts w:hint="eastAsia" w:ascii="仿宋" w:hAnsi="仿宋" w:eastAsia="仿宋" w:cs="仿宋"/>
                <w:color w:val="0C0C0C"/>
              </w:rPr>
              <w:t>投标人名称（加盖单位公章）</w:t>
            </w:r>
          </w:p>
          <w:p w14:paraId="2B1AF573">
            <w:pPr>
              <w:jc w:val="center"/>
              <w:rPr>
                <w:rFonts w:hint="eastAsia" w:ascii="仿宋" w:hAnsi="仿宋" w:eastAsia="仿宋" w:cs="仿宋"/>
              </w:rPr>
            </w:pPr>
          </w:p>
        </w:tc>
      </w:tr>
    </w:tbl>
    <w:p w14:paraId="743398A4">
      <w:pPr>
        <w:rPr>
          <w:rFonts w:hint="eastAsia" w:ascii="仿宋" w:hAnsi="仿宋" w:eastAsia="仿宋" w:cs="仿宋"/>
        </w:rPr>
      </w:pPr>
    </w:p>
    <w:p w14:paraId="31B3441E">
      <w:pPr>
        <w:rPr>
          <w:rFonts w:hint="eastAsia" w:ascii="仿宋" w:hAnsi="仿宋" w:eastAsia="仿宋" w:cs="仿宋"/>
        </w:rPr>
      </w:pPr>
    </w:p>
    <w:p w14:paraId="5754A62A">
      <w:pPr>
        <w:rPr>
          <w:rFonts w:hint="eastAsia" w:ascii="仿宋" w:hAnsi="仿宋" w:eastAsia="仿宋" w:cs="仿宋"/>
        </w:rPr>
      </w:pPr>
    </w:p>
    <w:p w14:paraId="0BEB550F">
      <w:pPr>
        <w:rPr>
          <w:rFonts w:hint="eastAsia" w:ascii="仿宋" w:hAnsi="仿宋" w:eastAsia="仿宋" w:cs="仿宋"/>
        </w:rPr>
      </w:pPr>
    </w:p>
    <w:p w14:paraId="4E00301E">
      <w:pPr>
        <w:rPr>
          <w:rFonts w:hint="eastAsia" w:ascii="仿宋" w:hAnsi="仿宋" w:eastAsia="仿宋" w:cs="仿宋"/>
          <w:b/>
          <w:sz w:val="28"/>
          <w:szCs w:val="28"/>
        </w:rPr>
      </w:pPr>
      <w:r>
        <w:rPr>
          <w:rFonts w:hint="eastAsia" w:ascii="仿宋" w:hAnsi="仿宋" w:eastAsia="仿宋" w:cs="仿宋"/>
          <w:b/>
          <w:sz w:val="28"/>
          <w:szCs w:val="28"/>
        </w:rPr>
        <w:br w:type="page"/>
      </w:r>
    </w:p>
    <w:p w14:paraId="71A6CAA6">
      <w:pPr>
        <w:pStyle w:val="3"/>
        <w:adjustRightInd w:val="0"/>
        <w:snapToGrid w:val="0"/>
        <w:spacing w:before="0" w:after="0" w:line="240" w:lineRule="auto"/>
        <w:jc w:val="left"/>
        <w:rPr>
          <w:rFonts w:hint="eastAsia" w:ascii="仿宋" w:hAnsi="仿宋" w:eastAsia="仿宋" w:cs="仿宋"/>
          <w:szCs w:val="28"/>
        </w:rPr>
      </w:pPr>
      <w:r>
        <w:rPr>
          <w:rFonts w:hint="eastAsia" w:ascii="仿宋" w:hAnsi="仿宋" w:eastAsia="仿宋" w:cs="仿宋"/>
          <w:szCs w:val="28"/>
        </w:rPr>
        <w:t>格式2</w:t>
      </w:r>
    </w:p>
    <w:p w14:paraId="3A8F9296">
      <w:pPr>
        <w:jc w:val="center"/>
        <w:rPr>
          <w:rFonts w:hint="eastAsia" w:ascii="仿宋" w:hAnsi="仿宋" w:eastAsia="仿宋" w:cs="仿宋"/>
          <w:b/>
          <w:bCs/>
          <w:sz w:val="32"/>
          <w:szCs w:val="32"/>
        </w:rPr>
      </w:pPr>
      <w:r>
        <w:rPr>
          <w:rFonts w:hint="eastAsia" w:ascii="仿宋" w:hAnsi="仿宋" w:eastAsia="仿宋" w:cs="仿宋"/>
          <w:b/>
          <w:bCs/>
          <w:sz w:val="32"/>
          <w:szCs w:val="32"/>
        </w:rPr>
        <w:t>投标文件的封皮</w:t>
      </w:r>
    </w:p>
    <w:p w14:paraId="1238C7E6">
      <w:pPr>
        <w:jc w:val="center"/>
        <w:rPr>
          <w:rFonts w:hint="eastAsia" w:ascii="仿宋" w:hAnsi="仿宋" w:eastAsia="仿宋" w:cs="仿宋"/>
          <w:b/>
          <w:bCs/>
          <w:sz w:val="32"/>
          <w:szCs w:val="32"/>
        </w:rPr>
      </w:pPr>
    </w:p>
    <w:p w14:paraId="24E96B57">
      <w:pPr>
        <w:rPr>
          <w:rFonts w:hint="eastAsia" w:ascii="仿宋" w:hAnsi="仿宋" w:eastAsia="仿宋" w:cs="仿宋"/>
        </w:rPr>
      </w:pPr>
    </w:p>
    <w:p w14:paraId="2AB925EF">
      <w:pPr>
        <w:rPr>
          <w:rFonts w:hint="eastAsia" w:ascii="仿宋" w:hAnsi="仿宋" w:eastAsia="仿宋" w:cs="仿宋"/>
        </w:rPr>
      </w:pPr>
    </w:p>
    <w:p w14:paraId="269DC55A">
      <w:pPr>
        <w:rPr>
          <w:rFonts w:hint="eastAsia" w:ascii="仿宋" w:hAnsi="仿宋" w:eastAsia="仿宋" w:cs="仿宋"/>
        </w:rPr>
      </w:pPr>
      <w:r>
        <w:rPr>
          <w:rFonts w:hint="eastAsia" w:ascii="仿宋" w:hAnsi="仿宋" w:eastAsia="仿宋" w:cs="仿宋"/>
          <w:sz w:val="32"/>
        </w:rPr>
        <mc:AlternateContent>
          <mc:Choice Requires="wps">
            <w:drawing>
              <wp:anchor distT="0" distB="0" distL="114300" distR="114300" simplePos="0" relativeHeight="251659264" behindDoc="0" locked="0" layoutInCell="1" allowOverlap="1">
                <wp:simplePos x="0" y="0"/>
                <wp:positionH relativeFrom="column">
                  <wp:posOffset>4154805</wp:posOffset>
                </wp:positionH>
                <wp:positionV relativeFrom="paragraph">
                  <wp:posOffset>41275</wp:posOffset>
                </wp:positionV>
                <wp:extent cx="1253490" cy="563245"/>
                <wp:effectExtent l="5080" t="4445" r="17780" b="22860"/>
                <wp:wrapNone/>
                <wp:docPr id="10" name="文本框 10"/>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91CDFE0">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1"/>
                    </wps:wsp>
                  </a:graphicData>
                </a:graphic>
              </wp:anchor>
            </w:drawing>
          </mc:Choice>
          <mc:Fallback>
            <w:pict>
              <v:shape id="_x0000_s1026" o:spid="_x0000_s1026" o:spt="202" type="#_x0000_t202" style="position:absolute;left:0pt;margin-left:327.15pt;margin-top:3.25pt;height:44.35pt;width:98.7pt;z-index:251659264;mso-width-relative:page;mso-height-relative:page;" fillcolor="#FFFFFF" filled="t" stroked="t" coordsize="21600,21600" o:gfxdata="UEsDBAoAAAAAAIdO4kAAAAAAAAAAAAAAAAAEAAAAZHJzL1BLAwQUAAAACACHTuJAMofivdkAAAAI&#10;AQAADwAAAGRycy9kb3ducmV2LnhtbE2PwU7DMBBE75X4B2srcamok7ZJ0zROD0gguEFBcHXjbRJh&#10;r4PtpuXvcU9wm9WMZt5Wu4vRbETne0sC0nkCDKmxqqdWwPvbw10BzAdJSmpLKOAHPezqm0klS2XP&#10;9IrjPrQslpAvpYAuhKHk3DcdGunndkCK3tE6I0M8XcuVk+dYbjRfJEnOjewpLnRywPsOm6/9yQgo&#10;Vk/jp39evnw0+VFvwmw9Pn47IW6nabIFFvAS/sJwxY/oUEemgz2R8kwLyLPVMkavAlj0iyxdAzsI&#10;2GQL4HXF/z9Q/wJQSwMEFAAAAAgAh07iQJKbIsMQAgAARgQAAA4AAABkcnMvZTJvRG9jLnhtbK1T&#10;zY7TMBC+I/EOlu803e52xUZNV4JSLgiQFh7AdSaJJf/J4zbpC8AbcOLCnefa59ix0y3dhUMP5OCM&#10;PZ+/mflmvLgdjGY7CKicrfjFZMoZWOlqZduKf/2yfvWaM4zC1kI7CxXfA/Lb5csXi96XMHOd0zUE&#10;RiQWy95XvIvRl0WBsgMjcOI8WHI2LhgRaRvaog6iJ3aji9l0el30LtQ+OAmIdLoanfzAGM4hdE2j&#10;JKyc3BqwcWQNoEWkkrBTHvkyZ9s0IOOnpkGITFecKo15pSBkb9JaLBeibIPwnZKHFMQ5KTyryQhl&#10;KeiRaiWiYNug/qIySgaHrokT6UwxFpIVoSoups+0ueuEh1wLSY3+KDr+P1r5cfc5MFXTJJAkVhjq&#10;+P2P7/c/f9//+sbojATqPZaEu/OEjMMbNxD48RzpMNU9NMGkP1XEyE9c+6O8MEQm06XZ/PLqhlyS&#10;fPPry9nVPNEUf277gPE9OMOSUfFA7cuqit0HjCP0EZKCodOqXiut8ya0m7c6sJ2gVq/zd2B/AtOW&#10;9RW/mc/mlIeg+W1obsg0njRA2+Z4T27gKfE0f/8iTomtBHZjApkhwURpVISQrQ5E/c7WLO49yWzp&#10;efGUjIGaMw30GpOVkVEofQ6StNM2BYE86weVUsPGxiQrDpuBSJO5cfWemrj1QbUdCZzbWCQPjVfu&#10;xOEppPk93ZN9+vyX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KH4r3ZAAAACAEAAA8AAAAAAAAA&#10;AQAgAAAAIgAAAGRycy9kb3ducmV2LnhtbFBLAQIUABQAAAAIAIdO4kCSmyLDEAIAAEYEAAAOAAAA&#10;AAAAAAEAIAAAACgBAABkcnMvZTJvRG9jLnhtbFBLBQYAAAAABgAGAFkBAACqBQAAAAA=&#10;">
                <v:fill on="t" focussize="0,0"/>
                <v:stroke color="#000000" joinstyle="miter"/>
                <v:imagedata o:title=""/>
                <o:lock v:ext="edit" aspectratio="f"/>
                <v:textbox>
                  <w:txbxContent>
                    <w:p w14:paraId="191CDFE0">
                      <w:pPr>
                        <w:jc w:val="cente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p>
    <w:p w14:paraId="5004AA98">
      <w:pPr>
        <w:rPr>
          <w:rFonts w:hint="eastAsia" w:ascii="仿宋" w:hAnsi="仿宋" w:eastAsia="仿宋" w:cs="仿宋"/>
        </w:rPr>
      </w:pPr>
    </w:p>
    <w:p w14:paraId="135FF8C6">
      <w:pPr>
        <w:rPr>
          <w:rFonts w:hint="eastAsia" w:ascii="仿宋" w:hAnsi="仿宋" w:eastAsia="仿宋" w:cs="仿宋"/>
        </w:rPr>
      </w:pPr>
    </w:p>
    <w:p w14:paraId="5343242F">
      <w:pPr>
        <w:rPr>
          <w:rFonts w:hint="eastAsia" w:ascii="仿宋" w:hAnsi="仿宋" w:eastAsia="仿宋" w:cs="仿宋"/>
        </w:rPr>
      </w:pPr>
    </w:p>
    <w:p w14:paraId="2B48333A">
      <w:pPr>
        <w:rPr>
          <w:rFonts w:hint="eastAsia" w:ascii="仿宋" w:hAnsi="仿宋" w:eastAsia="仿宋" w:cs="仿宋"/>
        </w:rPr>
      </w:pPr>
    </w:p>
    <w:p w14:paraId="0873A80B">
      <w:pPr>
        <w:rPr>
          <w:rFonts w:hint="eastAsia" w:ascii="仿宋" w:hAnsi="仿宋" w:eastAsia="仿宋" w:cs="仿宋"/>
        </w:rPr>
      </w:pPr>
    </w:p>
    <w:p w14:paraId="356D5AD7">
      <w:pPr>
        <w:rPr>
          <w:rFonts w:hint="eastAsia" w:ascii="仿宋" w:hAnsi="仿宋" w:eastAsia="仿宋" w:cs="仿宋"/>
        </w:rPr>
      </w:pPr>
    </w:p>
    <w:p w14:paraId="0AEB3590">
      <w:pPr>
        <w:rPr>
          <w:rFonts w:hint="eastAsia" w:ascii="仿宋" w:hAnsi="仿宋" w:eastAsia="仿宋" w:cs="仿宋"/>
        </w:rPr>
      </w:pPr>
    </w:p>
    <w:p w14:paraId="55A03B5E">
      <w:pPr>
        <w:jc w:val="center"/>
        <w:rPr>
          <w:rFonts w:hint="eastAsia" w:ascii="仿宋" w:hAnsi="仿宋" w:eastAsia="仿宋" w:cs="仿宋"/>
          <w:b/>
          <w:bCs/>
          <w:sz w:val="52"/>
          <w:szCs w:val="52"/>
        </w:rPr>
      </w:pPr>
      <w:r>
        <w:rPr>
          <w:rFonts w:hint="eastAsia" w:ascii="仿宋" w:hAnsi="仿宋" w:eastAsia="仿宋" w:cs="仿宋"/>
          <w:b/>
          <w:bCs/>
          <w:sz w:val="52"/>
          <w:szCs w:val="52"/>
        </w:rPr>
        <w:t>投  标  文  件</w:t>
      </w:r>
    </w:p>
    <w:p w14:paraId="2DF960FA">
      <w:pPr>
        <w:rPr>
          <w:rFonts w:hint="eastAsia" w:ascii="仿宋" w:hAnsi="仿宋" w:eastAsia="仿宋" w:cs="仿宋"/>
        </w:rPr>
      </w:pPr>
    </w:p>
    <w:p w14:paraId="50FB82ED">
      <w:pPr>
        <w:rPr>
          <w:rFonts w:hint="eastAsia" w:ascii="仿宋" w:hAnsi="仿宋" w:eastAsia="仿宋" w:cs="仿宋"/>
        </w:rPr>
      </w:pPr>
    </w:p>
    <w:p w14:paraId="7D2AC1AB">
      <w:pPr>
        <w:rPr>
          <w:rFonts w:hint="eastAsia" w:ascii="仿宋" w:hAnsi="仿宋" w:eastAsia="仿宋" w:cs="仿宋"/>
        </w:rPr>
      </w:pPr>
    </w:p>
    <w:p w14:paraId="6309F58A">
      <w:pPr>
        <w:rPr>
          <w:rFonts w:hint="eastAsia" w:ascii="仿宋" w:hAnsi="仿宋" w:eastAsia="仿宋" w:cs="仿宋"/>
          <w:sz w:val="28"/>
          <w:szCs w:val="28"/>
        </w:rPr>
      </w:pPr>
    </w:p>
    <w:p w14:paraId="2D83DB70">
      <w:pPr>
        <w:rPr>
          <w:rFonts w:hint="eastAsia" w:ascii="仿宋" w:hAnsi="仿宋" w:eastAsia="仿宋" w:cs="仿宋"/>
          <w:sz w:val="28"/>
          <w:szCs w:val="28"/>
        </w:rPr>
      </w:pPr>
    </w:p>
    <w:p w14:paraId="6541F248">
      <w:pPr>
        <w:rPr>
          <w:rFonts w:hint="eastAsia" w:ascii="仿宋" w:hAnsi="仿宋" w:eastAsia="仿宋" w:cs="仿宋"/>
          <w:sz w:val="28"/>
          <w:szCs w:val="28"/>
        </w:rPr>
      </w:pPr>
    </w:p>
    <w:p w14:paraId="04E5C89B">
      <w:pPr>
        <w:rPr>
          <w:rFonts w:hint="eastAsia" w:ascii="仿宋" w:hAnsi="仿宋" w:eastAsia="仿宋" w:cs="仿宋"/>
          <w:sz w:val="28"/>
          <w:szCs w:val="28"/>
        </w:rPr>
      </w:pPr>
    </w:p>
    <w:p w14:paraId="13921CA8">
      <w:pPr>
        <w:rPr>
          <w:rFonts w:hint="eastAsia" w:ascii="仿宋" w:hAnsi="仿宋" w:eastAsia="仿宋" w:cs="仿宋"/>
          <w:sz w:val="28"/>
          <w:szCs w:val="28"/>
        </w:rPr>
      </w:pPr>
    </w:p>
    <w:p w14:paraId="0352CACA">
      <w:pPr>
        <w:rPr>
          <w:rFonts w:hint="eastAsia" w:ascii="仿宋" w:hAnsi="仿宋" w:eastAsia="仿宋" w:cs="仿宋"/>
          <w:sz w:val="28"/>
          <w:szCs w:val="28"/>
        </w:rPr>
      </w:pPr>
    </w:p>
    <w:p w14:paraId="574566CD">
      <w:pPr>
        <w:rPr>
          <w:rFonts w:hint="eastAsia" w:ascii="仿宋" w:hAnsi="仿宋" w:eastAsia="仿宋" w:cs="仿宋"/>
          <w:sz w:val="28"/>
          <w:szCs w:val="28"/>
        </w:rPr>
      </w:pPr>
      <w:r>
        <w:rPr>
          <w:rFonts w:hint="eastAsia" w:ascii="仿宋" w:hAnsi="仿宋" w:eastAsia="仿宋" w:cs="仿宋"/>
          <w:sz w:val="28"/>
          <w:szCs w:val="28"/>
        </w:rPr>
        <w:t>所投包号：第  包</w:t>
      </w:r>
    </w:p>
    <w:p w14:paraId="5819A97F">
      <w:pPr>
        <w:rPr>
          <w:rFonts w:hint="eastAsia" w:ascii="仿宋" w:hAnsi="仿宋" w:eastAsia="仿宋" w:cs="仿宋"/>
          <w:sz w:val="28"/>
          <w:szCs w:val="28"/>
        </w:rPr>
      </w:pPr>
      <w:r>
        <w:rPr>
          <w:rFonts w:hint="eastAsia" w:ascii="仿宋" w:hAnsi="仿宋" w:eastAsia="仿宋" w:cs="仿宋"/>
          <w:sz w:val="28"/>
          <w:szCs w:val="28"/>
        </w:rPr>
        <w:t>项目名称：</w:t>
      </w:r>
    </w:p>
    <w:p w14:paraId="5B2FDA1C">
      <w:pPr>
        <w:rPr>
          <w:rFonts w:hint="eastAsia" w:ascii="仿宋" w:hAnsi="仿宋" w:eastAsia="仿宋" w:cs="仿宋"/>
          <w:sz w:val="28"/>
          <w:szCs w:val="28"/>
        </w:rPr>
      </w:pPr>
      <w:r>
        <w:rPr>
          <w:rFonts w:hint="eastAsia" w:ascii="仿宋" w:hAnsi="仿宋" w:eastAsia="仿宋" w:cs="仿宋"/>
          <w:sz w:val="28"/>
          <w:szCs w:val="28"/>
        </w:rPr>
        <w:t>项目编号：</w:t>
      </w:r>
    </w:p>
    <w:p w14:paraId="646A4D0F">
      <w:pPr>
        <w:rPr>
          <w:rFonts w:hint="eastAsia" w:ascii="仿宋" w:hAnsi="仿宋" w:eastAsia="仿宋" w:cs="仿宋"/>
          <w:sz w:val="28"/>
          <w:szCs w:val="28"/>
        </w:rPr>
      </w:pPr>
      <w:r>
        <w:rPr>
          <w:rFonts w:hint="eastAsia" w:ascii="仿宋" w:hAnsi="仿宋" w:eastAsia="仿宋" w:cs="仿宋"/>
          <w:sz w:val="28"/>
          <w:szCs w:val="28"/>
        </w:rPr>
        <w:t>投标人名称 ：</w:t>
      </w:r>
    </w:p>
    <w:p w14:paraId="156C897A">
      <w:pPr>
        <w:rPr>
          <w:rFonts w:hint="eastAsia" w:ascii="仿宋" w:hAnsi="仿宋" w:eastAsia="仿宋" w:cs="仿宋"/>
          <w:sz w:val="28"/>
          <w:szCs w:val="28"/>
        </w:rPr>
      </w:pPr>
    </w:p>
    <w:p w14:paraId="0F19AE8C">
      <w:pPr>
        <w:rPr>
          <w:rFonts w:hint="eastAsia" w:ascii="仿宋" w:hAnsi="仿宋" w:eastAsia="仿宋" w:cs="仿宋"/>
          <w:szCs w:val="28"/>
        </w:rPr>
      </w:pPr>
      <w:r>
        <w:rPr>
          <w:rFonts w:hint="eastAsia" w:ascii="仿宋" w:hAnsi="仿宋" w:eastAsia="仿宋" w:cs="仿宋"/>
          <w:szCs w:val="28"/>
        </w:rPr>
        <w:br w:type="page"/>
      </w:r>
    </w:p>
    <w:p w14:paraId="6D1FD9CE">
      <w:pPr>
        <w:pStyle w:val="3"/>
        <w:adjustRightInd w:val="0"/>
        <w:snapToGrid w:val="0"/>
        <w:spacing w:before="0" w:after="0" w:line="240" w:lineRule="auto"/>
        <w:jc w:val="left"/>
        <w:rPr>
          <w:rFonts w:hint="eastAsia" w:ascii="仿宋" w:hAnsi="仿宋" w:eastAsia="仿宋" w:cs="仿宋"/>
          <w:szCs w:val="28"/>
        </w:rPr>
      </w:pPr>
      <w:r>
        <w:rPr>
          <w:rFonts w:hint="eastAsia" w:ascii="仿宋" w:hAnsi="仿宋" w:eastAsia="仿宋" w:cs="仿宋"/>
          <w:szCs w:val="28"/>
        </w:rPr>
        <w:t>格式3</w:t>
      </w:r>
    </w:p>
    <w:p w14:paraId="5216A56E">
      <w:pPr>
        <w:spacing w:before="319" w:beforeLines="100" w:after="319" w:afterLines="100" w:line="360" w:lineRule="auto"/>
        <w:ind w:right="-21" w:rightChars="-10"/>
        <w:jc w:val="center"/>
        <w:rPr>
          <w:rFonts w:hint="eastAsia" w:ascii="仿宋" w:hAnsi="仿宋" w:eastAsia="仿宋" w:cs="仿宋"/>
          <w:b/>
          <w:sz w:val="32"/>
          <w:szCs w:val="32"/>
        </w:rPr>
      </w:pPr>
      <w:bookmarkStart w:id="61" w:name="_Toc2304_WPSOffice_Level2"/>
      <w:bookmarkStart w:id="62" w:name="_Toc21414_WPSOffice_Level2"/>
      <w:r>
        <w:rPr>
          <w:rFonts w:hint="eastAsia" w:ascii="仿宋" w:hAnsi="仿宋" w:eastAsia="仿宋" w:cs="仿宋"/>
          <w:b/>
          <w:sz w:val="32"/>
          <w:szCs w:val="32"/>
        </w:rPr>
        <w:t>目  录</w:t>
      </w:r>
      <w:bookmarkEnd w:id="61"/>
      <w:bookmarkEnd w:id="62"/>
    </w:p>
    <w:p w14:paraId="02A88F02">
      <w:pPr>
        <w:rPr>
          <w:rFonts w:hint="eastAsia" w:ascii="仿宋" w:hAnsi="仿宋" w:eastAsia="仿宋" w:cs="仿宋"/>
        </w:rPr>
      </w:pPr>
      <w:bookmarkStart w:id="63" w:name="_Toc7636_WPSOffice_Level2"/>
      <w:bookmarkStart w:id="64" w:name="_Toc30940_WPSOffice_Level2"/>
      <w:r>
        <w:rPr>
          <w:rFonts w:hint="eastAsia" w:ascii="仿宋" w:hAnsi="仿宋" w:eastAsia="仿宋" w:cs="仿宋"/>
        </w:rPr>
        <w:t>一、资格证明材料</w:t>
      </w:r>
      <w:bookmarkEnd w:id="63"/>
      <w:bookmarkEnd w:id="64"/>
    </w:p>
    <w:p w14:paraId="54C8BABD">
      <w:pPr>
        <w:rPr>
          <w:rFonts w:hint="eastAsia" w:ascii="仿宋" w:hAnsi="仿宋" w:eastAsia="仿宋" w:cs="仿宋"/>
        </w:rPr>
      </w:pPr>
      <w:r>
        <w:rPr>
          <w:rFonts w:hint="eastAsia" w:ascii="仿宋" w:hAnsi="仿宋" w:eastAsia="仿宋" w:cs="仿宋"/>
        </w:rPr>
        <w:t>……</w:t>
      </w:r>
    </w:p>
    <w:p w14:paraId="63A673D7">
      <w:pPr>
        <w:rPr>
          <w:rFonts w:hint="eastAsia" w:ascii="仿宋" w:hAnsi="仿宋" w:eastAsia="仿宋" w:cs="仿宋"/>
        </w:rPr>
      </w:pPr>
      <w:bookmarkStart w:id="65" w:name="_Toc31702_WPSOffice_Level2"/>
      <w:bookmarkStart w:id="66" w:name="_Toc13950_WPSOffice_Level2"/>
      <w:r>
        <w:rPr>
          <w:rFonts w:hint="eastAsia" w:ascii="仿宋" w:hAnsi="仿宋" w:eastAsia="仿宋" w:cs="仿宋"/>
        </w:rPr>
        <w:t>二、符合性证明材料</w:t>
      </w:r>
      <w:bookmarkEnd w:id="65"/>
      <w:bookmarkEnd w:id="66"/>
    </w:p>
    <w:p w14:paraId="4B0F3D57">
      <w:pPr>
        <w:rPr>
          <w:rFonts w:hint="eastAsia" w:ascii="仿宋" w:hAnsi="仿宋" w:eastAsia="仿宋" w:cs="仿宋"/>
        </w:rPr>
      </w:pPr>
      <w:r>
        <w:rPr>
          <w:rFonts w:hint="eastAsia" w:ascii="仿宋" w:hAnsi="仿宋" w:eastAsia="仿宋" w:cs="仿宋"/>
        </w:rPr>
        <w:t>……</w:t>
      </w:r>
    </w:p>
    <w:p w14:paraId="7029CE51">
      <w:pPr>
        <w:rPr>
          <w:rFonts w:hint="eastAsia" w:ascii="仿宋" w:hAnsi="仿宋" w:eastAsia="仿宋" w:cs="仿宋"/>
        </w:rPr>
      </w:pPr>
      <w:bookmarkStart w:id="67" w:name="_Toc9090_WPSOffice_Level2"/>
      <w:bookmarkStart w:id="68" w:name="_Toc14854_WPSOffice_Level2"/>
      <w:r>
        <w:rPr>
          <w:rFonts w:hint="eastAsia" w:ascii="仿宋" w:hAnsi="仿宋" w:eastAsia="仿宋" w:cs="仿宋"/>
        </w:rPr>
        <w:t>三、其它材料</w:t>
      </w:r>
      <w:bookmarkEnd w:id="67"/>
      <w:bookmarkEnd w:id="68"/>
    </w:p>
    <w:p w14:paraId="4F6107E7">
      <w:pPr>
        <w:rPr>
          <w:rFonts w:hint="eastAsia" w:ascii="仿宋" w:hAnsi="仿宋" w:eastAsia="仿宋" w:cs="仿宋"/>
          <w:szCs w:val="21"/>
        </w:rPr>
      </w:pPr>
      <w:r>
        <w:rPr>
          <w:rFonts w:hint="eastAsia" w:ascii="仿宋" w:hAnsi="仿宋" w:eastAsia="仿宋" w:cs="仿宋"/>
          <w:szCs w:val="21"/>
        </w:rPr>
        <w:t>……</w:t>
      </w:r>
    </w:p>
    <w:p w14:paraId="5D350C18">
      <w:pPr>
        <w:rPr>
          <w:rFonts w:hint="eastAsia" w:ascii="仿宋" w:hAnsi="仿宋" w:eastAsia="仿宋" w:cs="仿宋"/>
          <w:szCs w:val="21"/>
        </w:rPr>
      </w:pPr>
    </w:p>
    <w:p w14:paraId="67F4D08C">
      <w:pPr>
        <w:rPr>
          <w:rFonts w:hint="eastAsia" w:ascii="仿宋" w:hAnsi="仿宋" w:eastAsia="仿宋" w:cs="仿宋"/>
          <w:szCs w:val="21"/>
        </w:rPr>
      </w:pPr>
    </w:p>
    <w:p w14:paraId="029C9199">
      <w:pPr>
        <w:rPr>
          <w:rFonts w:hint="eastAsia" w:ascii="仿宋" w:hAnsi="仿宋" w:eastAsia="仿宋" w:cs="仿宋"/>
          <w:szCs w:val="21"/>
        </w:rPr>
      </w:pPr>
    </w:p>
    <w:p w14:paraId="4456D1A9">
      <w:pPr>
        <w:adjustRightInd w:val="0"/>
        <w:snapToGrid w:val="0"/>
        <w:spacing w:line="360" w:lineRule="auto"/>
        <w:ind w:firstLine="420" w:firstLineChars="200"/>
        <w:rPr>
          <w:rFonts w:hint="eastAsia" w:ascii="仿宋" w:hAnsi="仿宋" w:eastAsia="仿宋" w:cs="仿宋"/>
        </w:rPr>
      </w:pPr>
      <w:r>
        <w:rPr>
          <w:rFonts w:hint="eastAsia" w:ascii="仿宋" w:hAnsi="仿宋" w:eastAsia="仿宋" w:cs="仿宋"/>
        </w:rPr>
        <w:t>我单位的投标文件由资格证明材料、符合性证明材料和其它材料三部分组成，在此加盖单位公章并由法定代表人（或非法人组织负责人）或其授权代表人签字，保证投标文件中所有材料真实、有效。</w:t>
      </w:r>
    </w:p>
    <w:p w14:paraId="179E80EA">
      <w:pPr>
        <w:spacing w:line="360" w:lineRule="auto"/>
        <w:rPr>
          <w:rFonts w:hint="eastAsia" w:ascii="仿宋" w:hAnsi="仿宋" w:eastAsia="仿宋" w:cs="仿宋"/>
        </w:rPr>
      </w:pPr>
    </w:p>
    <w:p w14:paraId="157E1DBD">
      <w:pPr>
        <w:rPr>
          <w:rFonts w:hint="eastAsia" w:ascii="仿宋" w:hAnsi="仿宋" w:eastAsia="仿宋" w:cs="仿宋"/>
        </w:rPr>
      </w:pPr>
    </w:p>
    <w:p w14:paraId="29C45079">
      <w:pPr>
        <w:rPr>
          <w:rFonts w:hint="eastAsia" w:ascii="仿宋" w:hAnsi="仿宋" w:eastAsia="仿宋" w:cs="仿宋"/>
        </w:rPr>
      </w:pPr>
    </w:p>
    <w:p w14:paraId="0BE80776">
      <w:pPr>
        <w:rPr>
          <w:rFonts w:hint="eastAsia" w:ascii="仿宋" w:hAnsi="仿宋" w:eastAsia="仿宋" w:cs="仿宋"/>
        </w:rPr>
      </w:pPr>
    </w:p>
    <w:p w14:paraId="32552933">
      <w:pPr>
        <w:spacing w:line="480" w:lineRule="auto"/>
        <w:rPr>
          <w:rFonts w:hint="eastAsia" w:ascii="仿宋" w:hAnsi="仿宋" w:eastAsia="仿宋" w:cs="仿宋"/>
        </w:rPr>
      </w:pPr>
      <w:r>
        <w:rPr>
          <w:rFonts w:hint="eastAsia" w:ascii="仿宋" w:hAnsi="仿宋" w:eastAsia="仿宋" w:cs="仿宋"/>
        </w:rPr>
        <w:t>投标人名称（加盖单位公章）：</w:t>
      </w:r>
      <w:r>
        <w:rPr>
          <w:rFonts w:hint="eastAsia" w:ascii="仿宋" w:hAnsi="仿宋" w:eastAsia="仿宋" w:cs="仿宋"/>
          <w:u w:val="single"/>
        </w:rPr>
        <w:t xml:space="preserve">           </w:t>
      </w:r>
    </w:p>
    <w:p w14:paraId="694689AD">
      <w:pPr>
        <w:spacing w:line="480" w:lineRule="auto"/>
        <w:rPr>
          <w:rFonts w:hint="eastAsia"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非法人组织负责人）或</w:t>
      </w:r>
      <w:r>
        <w:rPr>
          <w:rFonts w:hint="eastAsia" w:ascii="仿宋" w:hAnsi="仿宋" w:eastAsia="仿宋" w:cs="仿宋"/>
        </w:rPr>
        <w:t>其授权代表人(签字或盖章)：</w:t>
      </w:r>
      <w:r>
        <w:rPr>
          <w:rFonts w:hint="eastAsia" w:ascii="仿宋" w:hAnsi="仿宋" w:eastAsia="仿宋" w:cs="仿宋"/>
          <w:u w:val="single"/>
        </w:rPr>
        <w:t xml:space="preserve">           </w:t>
      </w:r>
    </w:p>
    <w:p w14:paraId="69BCC4AF">
      <w:pPr>
        <w:spacing w:line="480" w:lineRule="auto"/>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p>
    <w:p w14:paraId="407B80B8">
      <w:pPr>
        <w:widowControl/>
        <w:jc w:val="left"/>
        <w:outlineLvl w:val="1"/>
        <w:rPr>
          <w:rFonts w:hint="eastAsia" w:ascii="仿宋" w:hAnsi="仿宋" w:eastAsia="仿宋" w:cs="仿宋"/>
          <w:b/>
          <w:bCs/>
          <w:sz w:val="28"/>
          <w:szCs w:val="28"/>
        </w:rPr>
      </w:pPr>
      <w:r>
        <w:rPr>
          <w:rFonts w:hint="eastAsia" w:ascii="仿宋" w:hAnsi="仿宋" w:eastAsia="仿宋" w:cs="仿宋"/>
        </w:rPr>
        <w:br w:type="page"/>
      </w:r>
      <w:bookmarkStart w:id="69" w:name="_Toc533340152"/>
      <w:bookmarkStart w:id="70" w:name="_Toc4485629"/>
      <w:bookmarkStart w:id="71" w:name="_Toc61118393"/>
      <w:bookmarkStart w:id="72" w:name="_Toc4498_WPSOffice_Level1"/>
      <w:r>
        <w:rPr>
          <w:rFonts w:hint="eastAsia" w:ascii="仿宋" w:hAnsi="仿宋" w:eastAsia="仿宋" w:cs="仿宋"/>
          <w:b/>
          <w:bCs/>
          <w:sz w:val="28"/>
          <w:szCs w:val="28"/>
        </w:rPr>
        <w:t>格式4</w:t>
      </w:r>
      <w:bookmarkEnd w:id="69"/>
      <w:bookmarkEnd w:id="70"/>
    </w:p>
    <w:p w14:paraId="07C4FD64">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法定代表人（或非法人组织负责人）身份证明书</w:t>
      </w:r>
    </w:p>
    <w:p w14:paraId="7E0C88D0">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姓名：</w:t>
      </w:r>
      <w:r>
        <w:rPr>
          <w:rFonts w:hint="eastAsia" w:ascii="仿宋" w:hAnsi="仿宋" w:eastAsia="仿宋" w:cs="仿宋"/>
          <w:szCs w:val="21"/>
          <w:u w:val="single"/>
        </w:rPr>
        <w:t xml:space="preserve">         </w:t>
      </w:r>
      <w:r>
        <w:rPr>
          <w:rFonts w:hint="eastAsia" w:ascii="仿宋" w:hAnsi="仿宋" w:eastAsia="仿宋" w:cs="仿宋"/>
          <w:szCs w:val="21"/>
        </w:rPr>
        <w:t>，性别：</w:t>
      </w:r>
      <w:r>
        <w:rPr>
          <w:rFonts w:hint="eastAsia" w:ascii="仿宋" w:hAnsi="仿宋" w:eastAsia="仿宋" w:cs="仿宋"/>
          <w:szCs w:val="21"/>
          <w:u w:val="single"/>
        </w:rPr>
        <w:t xml:space="preserve">     </w:t>
      </w:r>
      <w:r>
        <w:rPr>
          <w:rFonts w:hint="eastAsia" w:ascii="仿宋" w:hAnsi="仿宋" w:eastAsia="仿宋" w:cs="仿宋"/>
          <w:szCs w:val="21"/>
        </w:rPr>
        <w:t>，出生日期：</w:t>
      </w:r>
      <w:r>
        <w:rPr>
          <w:rFonts w:hint="eastAsia" w:ascii="仿宋" w:hAnsi="仿宋" w:eastAsia="仿宋" w:cs="仿宋"/>
          <w:szCs w:val="21"/>
          <w:u w:val="single"/>
        </w:rPr>
        <w:t xml:space="preserve">           </w:t>
      </w:r>
      <w:r>
        <w:rPr>
          <w:rFonts w:hint="eastAsia" w:ascii="仿宋" w:hAnsi="仿宋" w:eastAsia="仿宋" w:cs="仿宋"/>
          <w:szCs w:val="21"/>
        </w:rPr>
        <w:t>，现任职务：</w:t>
      </w:r>
      <w:r>
        <w:rPr>
          <w:rFonts w:hint="eastAsia" w:ascii="仿宋" w:hAnsi="仿宋" w:eastAsia="仿宋" w:cs="仿宋"/>
          <w:szCs w:val="21"/>
          <w:u w:val="single"/>
        </w:rPr>
        <w:t xml:space="preserve">          </w:t>
      </w:r>
      <w:r>
        <w:rPr>
          <w:rFonts w:hint="eastAsia" w:ascii="仿宋" w:hAnsi="仿宋" w:eastAsia="仿宋" w:cs="仿宋"/>
          <w:szCs w:val="21"/>
        </w:rPr>
        <w:t>，系</w:t>
      </w:r>
      <w:r>
        <w:rPr>
          <w:rFonts w:hint="eastAsia" w:ascii="仿宋" w:hAnsi="仿宋" w:eastAsia="仿宋" w:cs="仿宋"/>
          <w:szCs w:val="21"/>
          <w:u w:val="single"/>
        </w:rPr>
        <w:t xml:space="preserve">            </w:t>
      </w:r>
      <w:r>
        <w:rPr>
          <w:rFonts w:hint="eastAsia" w:ascii="仿宋" w:hAnsi="仿宋" w:eastAsia="仿宋" w:cs="仿宋"/>
          <w:szCs w:val="21"/>
        </w:rPr>
        <w:t>（供应商名称）的法定代表人（或非法人组织负责人）。</w:t>
      </w:r>
    </w:p>
    <w:p w14:paraId="36B8DACC">
      <w:pPr>
        <w:ind w:firstLine="420" w:firstLineChars="200"/>
        <w:rPr>
          <w:rFonts w:hint="eastAsia" w:ascii="仿宋" w:hAnsi="仿宋" w:eastAsia="仿宋" w:cs="仿宋"/>
          <w:szCs w:val="21"/>
        </w:rPr>
      </w:pPr>
    </w:p>
    <w:p w14:paraId="061BAB3F">
      <w:pPr>
        <w:ind w:firstLine="420" w:firstLineChars="200"/>
        <w:rPr>
          <w:rFonts w:hint="eastAsia" w:ascii="仿宋" w:hAnsi="仿宋" w:eastAsia="仿宋" w:cs="仿宋"/>
          <w:szCs w:val="21"/>
        </w:rPr>
      </w:pPr>
      <w:r>
        <w:rPr>
          <w:rFonts w:hint="eastAsia" w:ascii="仿宋" w:hAnsi="仿宋" w:eastAsia="仿宋" w:cs="仿宋"/>
          <w:szCs w:val="21"/>
        </w:rPr>
        <w:t>特此证明。</w:t>
      </w:r>
    </w:p>
    <w:p w14:paraId="1984854A">
      <w:pPr>
        <w:rPr>
          <w:rFonts w:hint="eastAsia" w:ascii="仿宋" w:hAnsi="仿宋" w:eastAsia="仿宋" w:cs="仿宋"/>
          <w:szCs w:val="21"/>
        </w:rPr>
      </w:pPr>
    </w:p>
    <w:p w14:paraId="79B068FB">
      <w:pPr>
        <w:rPr>
          <w:rFonts w:hint="eastAsia" w:ascii="仿宋" w:hAnsi="仿宋" w:eastAsia="仿宋" w:cs="仿宋"/>
          <w:szCs w:val="21"/>
        </w:rPr>
      </w:pPr>
    </w:p>
    <w:p w14:paraId="1C0981B3">
      <w:pPr>
        <w:rPr>
          <w:rFonts w:hint="eastAsia" w:ascii="仿宋" w:hAnsi="仿宋" w:eastAsia="仿宋" w:cs="仿宋"/>
          <w:szCs w:val="21"/>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C1A2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14619B60">
            <w:pPr>
              <w:jc w:val="center"/>
              <w:rPr>
                <w:rFonts w:hint="eastAsia" w:ascii="仿宋" w:hAnsi="仿宋" w:eastAsia="仿宋" w:cs="仿宋"/>
                <w:szCs w:val="21"/>
              </w:rPr>
            </w:pPr>
            <w:r>
              <w:rPr>
                <w:rFonts w:hint="eastAsia" w:ascii="仿宋" w:hAnsi="仿宋" w:eastAsia="仿宋" w:cs="仿宋"/>
                <w:szCs w:val="21"/>
              </w:rPr>
              <w:t>（※法定代表人（或非法人组织负责人）身份证正、反面复印件※）</w:t>
            </w:r>
          </w:p>
        </w:tc>
      </w:tr>
    </w:tbl>
    <w:p w14:paraId="6DEC0695">
      <w:pPr>
        <w:rPr>
          <w:rFonts w:hint="eastAsia" w:ascii="仿宋" w:hAnsi="仿宋" w:eastAsia="仿宋" w:cs="仿宋"/>
          <w:szCs w:val="21"/>
        </w:rPr>
      </w:pPr>
    </w:p>
    <w:p w14:paraId="2BD14BCE">
      <w:pPr>
        <w:rPr>
          <w:rFonts w:hint="eastAsia" w:ascii="仿宋" w:hAnsi="仿宋" w:eastAsia="仿宋" w:cs="仿宋"/>
          <w:szCs w:val="21"/>
        </w:rPr>
      </w:pPr>
    </w:p>
    <w:p w14:paraId="4DEDB874">
      <w:pPr>
        <w:rPr>
          <w:rFonts w:hint="eastAsia" w:ascii="仿宋" w:hAnsi="仿宋" w:eastAsia="仿宋" w:cs="仿宋"/>
          <w:szCs w:val="21"/>
        </w:rPr>
      </w:pPr>
    </w:p>
    <w:p w14:paraId="09FA4766">
      <w:pPr>
        <w:rPr>
          <w:rFonts w:hint="eastAsia" w:ascii="仿宋" w:hAnsi="仿宋" w:eastAsia="仿宋" w:cs="仿宋"/>
          <w:szCs w:val="21"/>
        </w:rPr>
      </w:pPr>
    </w:p>
    <w:p w14:paraId="240960AA">
      <w:pPr>
        <w:rPr>
          <w:rFonts w:hint="eastAsia" w:ascii="仿宋" w:hAnsi="仿宋" w:eastAsia="仿宋" w:cs="仿宋"/>
          <w:szCs w:val="21"/>
        </w:rPr>
      </w:pPr>
    </w:p>
    <w:p w14:paraId="14741A1C">
      <w:pPr>
        <w:rPr>
          <w:rFonts w:hint="eastAsia" w:ascii="仿宋" w:hAnsi="仿宋" w:eastAsia="仿宋" w:cs="仿宋"/>
          <w:szCs w:val="21"/>
        </w:rPr>
      </w:pPr>
    </w:p>
    <w:p w14:paraId="548FDB7C">
      <w:pPr>
        <w:rPr>
          <w:rFonts w:hint="eastAsia" w:ascii="仿宋" w:hAnsi="仿宋" w:eastAsia="仿宋" w:cs="仿宋"/>
          <w:szCs w:val="21"/>
        </w:rPr>
      </w:pPr>
    </w:p>
    <w:p w14:paraId="79FAF50F">
      <w:pPr>
        <w:rPr>
          <w:rFonts w:hint="eastAsia" w:ascii="仿宋" w:hAnsi="仿宋" w:eastAsia="仿宋" w:cs="仿宋"/>
          <w:szCs w:val="21"/>
        </w:rPr>
      </w:pPr>
    </w:p>
    <w:p w14:paraId="0A385EB1">
      <w:pPr>
        <w:spacing w:line="480" w:lineRule="auto"/>
        <w:rPr>
          <w:rFonts w:hint="eastAsia" w:ascii="仿宋" w:hAnsi="仿宋" w:eastAsia="仿宋" w:cs="仿宋"/>
        </w:rPr>
      </w:pPr>
      <w:r>
        <w:rPr>
          <w:rFonts w:hint="eastAsia" w:ascii="仿宋" w:hAnsi="仿宋" w:eastAsia="仿宋" w:cs="仿宋"/>
          <w:lang w:eastAsia="zh-CN"/>
        </w:rPr>
        <w:t>投标人</w:t>
      </w:r>
      <w:r>
        <w:rPr>
          <w:rFonts w:hint="eastAsia" w:ascii="仿宋" w:hAnsi="仿宋" w:eastAsia="仿宋" w:cs="仿宋"/>
        </w:rPr>
        <w:t>名称（加盖单位公章）：</w:t>
      </w:r>
      <w:r>
        <w:rPr>
          <w:rFonts w:hint="eastAsia" w:ascii="仿宋" w:hAnsi="仿宋" w:eastAsia="仿宋" w:cs="仿宋"/>
          <w:u w:val="single"/>
        </w:rPr>
        <w:t xml:space="preserve">           </w:t>
      </w:r>
    </w:p>
    <w:p w14:paraId="48202B67">
      <w:pPr>
        <w:spacing w:line="480" w:lineRule="auto"/>
        <w:rPr>
          <w:rFonts w:hint="eastAsia" w:ascii="仿宋" w:hAnsi="仿宋" w:eastAsia="仿宋" w:cs="仿宋"/>
        </w:rPr>
      </w:pPr>
      <w:r>
        <w:rPr>
          <w:rFonts w:hint="eastAsia" w:ascii="仿宋" w:hAnsi="仿宋" w:eastAsia="仿宋" w:cs="仿宋"/>
        </w:rPr>
        <w:t xml:space="preserve">日期： </w:t>
      </w:r>
      <w:r>
        <w:rPr>
          <w:rFonts w:hint="eastAsia" w:ascii="仿宋" w:hAnsi="仿宋" w:eastAsia="仿宋" w:cs="仿宋"/>
          <w:u w:val="single"/>
        </w:rPr>
        <w:t xml:space="preserve">             </w:t>
      </w:r>
    </w:p>
    <w:p w14:paraId="38A8305E">
      <w:pPr>
        <w:widowControl/>
        <w:jc w:val="left"/>
        <w:outlineLvl w:val="1"/>
        <w:rPr>
          <w:rFonts w:hint="eastAsia" w:ascii="仿宋" w:hAnsi="仿宋" w:eastAsia="仿宋" w:cs="仿宋"/>
          <w:b/>
          <w:bCs/>
          <w:sz w:val="28"/>
          <w:szCs w:val="28"/>
        </w:rPr>
      </w:pPr>
      <w:r>
        <w:rPr>
          <w:rFonts w:hint="eastAsia" w:ascii="仿宋" w:hAnsi="仿宋" w:eastAsia="仿宋" w:cs="仿宋"/>
          <w:szCs w:val="21"/>
        </w:rPr>
        <w:br w:type="page"/>
      </w:r>
      <w:bookmarkStart w:id="73" w:name="_Toc533340153"/>
      <w:bookmarkStart w:id="74" w:name="_Toc4485630"/>
      <w:r>
        <w:rPr>
          <w:rFonts w:hint="eastAsia" w:ascii="仿宋" w:hAnsi="仿宋" w:eastAsia="仿宋" w:cs="仿宋"/>
          <w:b/>
          <w:bCs/>
          <w:sz w:val="28"/>
          <w:szCs w:val="28"/>
        </w:rPr>
        <w:t>格式5</w:t>
      </w:r>
      <w:bookmarkEnd w:id="73"/>
      <w:bookmarkEnd w:id="74"/>
    </w:p>
    <w:p w14:paraId="0991239B">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法定代表人（或非法人组织负责人）授权委托书</w:t>
      </w:r>
    </w:p>
    <w:p w14:paraId="0C358BAD">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单位名称：</w:t>
      </w:r>
      <w:r>
        <w:rPr>
          <w:rFonts w:hint="eastAsia" w:ascii="仿宋" w:hAnsi="仿宋" w:eastAsia="仿宋" w:cs="仿宋"/>
          <w:szCs w:val="21"/>
          <w:u w:val="single"/>
        </w:rPr>
        <w:t xml:space="preserve">           </w:t>
      </w:r>
    </w:p>
    <w:p w14:paraId="4B56CD19">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法定代表人（或非法人组织负责人）姓名：</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39938521">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住所地：</w:t>
      </w:r>
      <w:r>
        <w:rPr>
          <w:rFonts w:hint="eastAsia" w:ascii="仿宋" w:hAnsi="仿宋" w:eastAsia="仿宋" w:cs="仿宋"/>
          <w:szCs w:val="21"/>
          <w:u w:val="single"/>
        </w:rPr>
        <w:t xml:space="preserve">                       </w:t>
      </w:r>
    </w:p>
    <w:p w14:paraId="6E13AC57">
      <w:pPr>
        <w:spacing w:line="360" w:lineRule="auto"/>
        <w:ind w:firstLine="420" w:firstLineChars="200"/>
        <w:rPr>
          <w:rFonts w:hint="eastAsia" w:ascii="仿宋" w:hAnsi="仿宋" w:eastAsia="仿宋" w:cs="仿宋"/>
          <w:szCs w:val="21"/>
          <w:u w:val="single"/>
        </w:rPr>
      </w:pPr>
      <w:r>
        <w:rPr>
          <w:rFonts w:hint="eastAsia" w:ascii="仿宋" w:hAnsi="仿宋" w:eastAsia="仿宋" w:cs="仿宋"/>
        </w:rPr>
        <w:t>授权委托人姓名</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身份证号码：</w:t>
      </w:r>
      <w:r>
        <w:rPr>
          <w:rFonts w:hint="eastAsia" w:ascii="仿宋" w:hAnsi="仿宋" w:eastAsia="仿宋" w:cs="仿宋"/>
          <w:szCs w:val="21"/>
          <w:u w:val="single"/>
        </w:rPr>
        <w:t xml:space="preserve">         </w:t>
      </w:r>
    </w:p>
    <w:p w14:paraId="12E63652">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工作单位：</w:t>
      </w:r>
      <w:r>
        <w:rPr>
          <w:rFonts w:hint="eastAsia" w:ascii="仿宋" w:hAnsi="仿宋" w:eastAsia="仿宋" w:cs="仿宋"/>
          <w:szCs w:val="21"/>
          <w:u w:val="single"/>
        </w:rPr>
        <w:t xml:space="preserve">                    </w:t>
      </w:r>
    </w:p>
    <w:p w14:paraId="071456B6">
      <w:pPr>
        <w:spacing w:line="360" w:lineRule="auto"/>
        <w:ind w:firstLine="420" w:firstLineChars="200"/>
        <w:rPr>
          <w:rFonts w:hint="eastAsia" w:ascii="仿宋" w:hAnsi="仿宋" w:eastAsia="仿宋" w:cs="仿宋"/>
          <w:szCs w:val="21"/>
          <w:u w:val="single"/>
        </w:rPr>
      </w:pPr>
      <w:r>
        <w:rPr>
          <w:rFonts w:hint="eastAsia" w:ascii="仿宋" w:hAnsi="仿宋" w:eastAsia="仿宋" w:cs="仿宋"/>
          <w:szCs w:val="21"/>
        </w:rPr>
        <w:t>住址：</w:t>
      </w:r>
      <w:r>
        <w:rPr>
          <w:rFonts w:hint="eastAsia" w:ascii="仿宋" w:hAnsi="仿宋" w:eastAsia="仿宋" w:cs="仿宋"/>
          <w:szCs w:val="21"/>
          <w:u w:val="single"/>
        </w:rPr>
        <w:t xml:space="preserve">                         </w:t>
      </w:r>
      <w:r>
        <w:rPr>
          <w:rFonts w:hint="eastAsia" w:ascii="仿宋" w:hAnsi="仿宋" w:eastAsia="仿宋" w:cs="仿宋"/>
          <w:szCs w:val="21"/>
        </w:rPr>
        <w:t xml:space="preserve">                电话：</w:t>
      </w:r>
      <w:r>
        <w:rPr>
          <w:rFonts w:hint="eastAsia" w:ascii="仿宋" w:hAnsi="仿宋" w:eastAsia="仿宋" w:cs="仿宋"/>
          <w:szCs w:val="21"/>
          <w:u w:val="single"/>
        </w:rPr>
        <w:t xml:space="preserve">               </w:t>
      </w:r>
    </w:p>
    <w:p w14:paraId="0ED3DF5E">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现委托</w:t>
      </w:r>
      <w:r>
        <w:rPr>
          <w:rFonts w:hint="eastAsia" w:ascii="仿宋" w:hAnsi="仿宋" w:eastAsia="仿宋" w:cs="仿宋"/>
          <w:szCs w:val="21"/>
          <w:u w:val="single"/>
        </w:rPr>
        <w:t xml:space="preserve">           </w:t>
      </w:r>
      <w:r>
        <w:rPr>
          <w:rFonts w:hint="eastAsia" w:ascii="仿宋" w:hAnsi="仿宋" w:eastAsia="仿宋" w:cs="仿宋"/>
          <w:szCs w:val="21"/>
        </w:rPr>
        <w:t>就</w:t>
      </w:r>
      <w:r>
        <w:rPr>
          <w:rFonts w:hint="eastAsia" w:ascii="仿宋" w:hAnsi="仿宋" w:eastAsia="仿宋" w:cs="仿宋"/>
          <w:szCs w:val="21"/>
          <w:u w:val="single"/>
        </w:rPr>
        <w:t>（项目编号、项目名称、包号）</w:t>
      </w:r>
      <w:r>
        <w:rPr>
          <w:rFonts w:hint="eastAsia" w:ascii="仿宋" w:hAnsi="仿宋" w:eastAsia="仿宋" w:cs="仿宋"/>
          <w:szCs w:val="21"/>
        </w:rPr>
        <w:t>政府采购活动，以我单位名义处理一切与之有关的事务。</w:t>
      </w:r>
    </w:p>
    <w:p w14:paraId="32E2C115">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本授权书于</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日签字或盖章</w:t>
      </w:r>
      <w:r>
        <w:rPr>
          <w:rFonts w:hint="eastAsia" w:ascii="仿宋" w:hAnsi="仿宋" w:eastAsia="仿宋" w:cs="仿宋"/>
          <w:b/>
          <w:szCs w:val="21"/>
        </w:rPr>
        <w:t>生效，无转委托，</w:t>
      </w:r>
      <w:r>
        <w:rPr>
          <w:rFonts w:hint="eastAsia" w:ascii="仿宋" w:hAnsi="仿宋" w:eastAsia="仿宋" w:cs="仿宋"/>
          <w:szCs w:val="21"/>
        </w:rPr>
        <w:t>特此声明。</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2248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37B2EB61">
            <w:pPr>
              <w:jc w:val="center"/>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rPr>
              <w:t>授权委托人</w:t>
            </w:r>
            <w:r>
              <w:rPr>
                <w:rFonts w:hint="eastAsia" w:ascii="仿宋" w:hAnsi="仿宋" w:eastAsia="仿宋" w:cs="仿宋"/>
                <w:szCs w:val="21"/>
              </w:rPr>
              <w:t>身份证正、反面复印件※）</w:t>
            </w:r>
          </w:p>
        </w:tc>
      </w:tr>
    </w:tbl>
    <w:p w14:paraId="0967B12C">
      <w:pPr>
        <w:spacing w:line="360" w:lineRule="auto"/>
        <w:rPr>
          <w:rFonts w:hint="eastAsia" w:ascii="仿宋" w:hAnsi="仿宋" w:eastAsia="仿宋" w:cs="仿宋"/>
          <w:szCs w:val="21"/>
        </w:rPr>
      </w:pPr>
    </w:p>
    <w:p w14:paraId="62745ACE">
      <w:pPr>
        <w:spacing w:line="360" w:lineRule="auto"/>
        <w:rPr>
          <w:rFonts w:hint="eastAsia" w:ascii="仿宋" w:hAnsi="仿宋" w:eastAsia="仿宋" w:cs="仿宋"/>
          <w:szCs w:val="21"/>
        </w:rPr>
      </w:pPr>
    </w:p>
    <w:p w14:paraId="698EC7E0">
      <w:pPr>
        <w:spacing w:line="360" w:lineRule="auto"/>
        <w:rPr>
          <w:rFonts w:hint="eastAsia" w:ascii="仿宋" w:hAnsi="仿宋" w:eastAsia="仿宋" w:cs="仿宋"/>
          <w:szCs w:val="21"/>
        </w:rPr>
      </w:pPr>
      <w:r>
        <w:rPr>
          <w:rFonts w:hint="eastAsia" w:ascii="仿宋" w:hAnsi="仿宋" w:eastAsia="仿宋" w:cs="仿宋"/>
          <w:szCs w:val="21"/>
        </w:rPr>
        <w:t>委托人（加盖单位公章）：</w:t>
      </w:r>
      <w:r>
        <w:rPr>
          <w:rFonts w:hint="eastAsia" w:ascii="仿宋" w:hAnsi="仿宋" w:eastAsia="仿宋" w:cs="仿宋"/>
          <w:szCs w:val="21"/>
          <w:u w:val="single"/>
        </w:rPr>
        <w:t xml:space="preserve">          </w:t>
      </w:r>
    </w:p>
    <w:p w14:paraId="4B8CB4E3">
      <w:pPr>
        <w:spacing w:line="360" w:lineRule="auto"/>
        <w:rPr>
          <w:rFonts w:hint="eastAsia" w:ascii="仿宋" w:hAnsi="仿宋" w:eastAsia="仿宋" w:cs="仿宋"/>
          <w:szCs w:val="21"/>
        </w:rPr>
      </w:pPr>
      <w:r>
        <w:rPr>
          <w:rFonts w:hint="eastAsia" w:ascii="仿宋" w:hAnsi="仿宋" w:eastAsia="仿宋" w:cs="仿宋"/>
          <w:szCs w:val="21"/>
        </w:rPr>
        <w:t>法定代表人（或非法人组织负责人）（签字或盖章）：</w:t>
      </w:r>
      <w:r>
        <w:rPr>
          <w:rFonts w:hint="eastAsia" w:ascii="仿宋" w:hAnsi="仿宋" w:eastAsia="仿宋" w:cs="仿宋"/>
          <w:szCs w:val="21"/>
          <w:u w:val="single"/>
        </w:rPr>
        <w:t xml:space="preserve">               </w:t>
      </w:r>
    </w:p>
    <w:p w14:paraId="1DC1B96E">
      <w:pPr>
        <w:spacing w:line="360" w:lineRule="auto"/>
        <w:rPr>
          <w:rFonts w:hint="eastAsia" w:ascii="仿宋" w:hAnsi="仿宋" w:eastAsia="仿宋" w:cs="仿宋"/>
          <w:szCs w:val="21"/>
        </w:rPr>
      </w:pPr>
      <w:r>
        <w:rPr>
          <w:rFonts w:hint="eastAsia" w:ascii="仿宋" w:hAnsi="仿宋" w:eastAsia="仿宋" w:cs="仿宋"/>
        </w:rPr>
        <w:t>授权委托人</w:t>
      </w:r>
      <w:r>
        <w:rPr>
          <w:rFonts w:hint="eastAsia" w:ascii="仿宋" w:hAnsi="仿宋" w:eastAsia="仿宋" w:cs="仿宋"/>
          <w:szCs w:val="21"/>
        </w:rPr>
        <w:t>：（签字或盖章）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0C1BC52E">
      <w:pPr>
        <w:spacing w:line="360" w:lineRule="auto"/>
        <w:rPr>
          <w:rFonts w:hint="eastAsia" w:ascii="仿宋" w:hAnsi="仿宋" w:eastAsia="仿宋" w:cs="仿宋"/>
          <w:szCs w:val="21"/>
        </w:rPr>
      </w:pPr>
      <w:r>
        <w:rPr>
          <w:rFonts w:hint="eastAsia" w:ascii="仿宋" w:hAnsi="仿宋" w:eastAsia="仿宋" w:cs="仿宋"/>
          <w:szCs w:val="21"/>
        </w:rPr>
        <w:t>详细通讯地址：</w:t>
      </w:r>
      <w:r>
        <w:rPr>
          <w:rFonts w:hint="eastAsia" w:ascii="仿宋" w:hAnsi="仿宋" w:eastAsia="仿宋" w:cs="仿宋"/>
          <w:szCs w:val="21"/>
          <w:u w:val="single"/>
        </w:rPr>
        <w:t xml:space="preserve">                </w:t>
      </w:r>
      <w:r>
        <w:rPr>
          <w:rFonts w:hint="eastAsia" w:ascii="仿宋" w:hAnsi="仿宋" w:eastAsia="仿宋" w:cs="仿宋"/>
          <w:szCs w:val="21"/>
        </w:rPr>
        <w:t xml:space="preserve">      邮政编码 ：</w:t>
      </w:r>
      <w:r>
        <w:rPr>
          <w:rFonts w:hint="eastAsia" w:ascii="仿宋" w:hAnsi="仿宋" w:eastAsia="仿宋" w:cs="仿宋"/>
          <w:szCs w:val="21"/>
          <w:u w:val="single"/>
        </w:rPr>
        <w:t xml:space="preserve">              </w:t>
      </w:r>
    </w:p>
    <w:p w14:paraId="5981A1EF">
      <w:pPr>
        <w:spacing w:line="360" w:lineRule="auto"/>
        <w:rPr>
          <w:rFonts w:hint="eastAsia" w:ascii="仿宋" w:hAnsi="仿宋" w:eastAsia="仿宋" w:cs="仿宋"/>
          <w:szCs w:val="21"/>
          <w:u w:val="single"/>
        </w:rPr>
      </w:pPr>
      <w:r>
        <w:rPr>
          <w:rFonts w:hint="eastAsia" w:ascii="仿宋" w:hAnsi="仿宋" w:eastAsia="仿宋" w:cs="仿宋"/>
          <w:szCs w:val="21"/>
        </w:rPr>
        <w:t>传        真：</w:t>
      </w:r>
      <w:r>
        <w:rPr>
          <w:rFonts w:hint="eastAsia" w:ascii="仿宋" w:hAnsi="仿宋" w:eastAsia="仿宋" w:cs="仿宋"/>
          <w:szCs w:val="21"/>
          <w:u w:val="single"/>
        </w:rPr>
        <w:t xml:space="preserve">                </w:t>
      </w:r>
      <w:r>
        <w:rPr>
          <w:rFonts w:hint="eastAsia" w:ascii="仿宋" w:hAnsi="仿宋" w:eastAsia="仿宋" w:cs="仿宋"/>
          <w:szCs w:val="21"/>
        </w:rPr>
        <w:t xml:space="preserve">      电    话：</w:t>
      </w:r>
      <w:r>
        <w:rPr>
          <w:rFonts w:hint="eastAsia" w:ascii="仿宋" w:hAnsi="仿宋" w:eastAsia="仿宋" w:cs="仿宋"/>
          <w:szCs w:val="21"/>
          <w:u w:val="single"/>
        </w:rPr>
        <w:t xml:space="preserve">              </w:t>
      </w:r>
    </w:p>
    <w:p w14:paraId="42447CF7">
      <w:pPr>
        <w:spacing w:line="360" w:lineRule="auto"/>
        <w:jc w:val="left"/>
        <w:rPr>
          <w:rFonts w:hint="eastAsia"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63E4DE2D">
      <w:pPr>
        <w:pStyle w:val="3"/>
        <w:adjustRightInd w:val="0"/>
        <w:snapToGrid w:val="0"/>
        <w:spacing w:before="0" w:after="0" w:line="240" w:lineRule="auto"/>
        <w:jc w:val="left"/>
        <w:rPr>
          <w:rFonts w:hint="eastAsia" w:ascii="仿宋" w:hAnsi="仿宋" w:eastAsia="仿宋" w:cs="仿宋"/>
          <w:szCs w:val="28"/>
        </w:rPr>
      </w:pPr>
      <w:r>
        <w:rPr>
          <w:rFonts w:hint="eastAsia" w:ascii="仿宋" w:hAnsi="仿宋" w:eastAsia="仿宋" w:cs="仿宋"/>
          <w:szCs w:val="21"/>
          <w:u w:val="single"/>
        </w:rPr>
        <w:br w:type="page"/>
      </w:r>
      <w:bookmarkStart w:id="75" w:name="_Toc533340154"/>
      <w:bookmarkStart w:id="76" w:name="_Toc4485631"/>
      <w:r>
        <w:rPr>
          <w:rFonts w:hint="eastAsia" w:ascii="仿宋" w:hAnsi="仿宋" w:eastAsia="仿宋" w:cs="仿宋"/>
          <w:sz w:val="28"/>
        </w:rPr>
        <w:t>格式6</w:t>
      </w:r>
    </w:p>
    <w:p w14:paraId="397509B5">
      <w:pPr>
        <w:spacing w:before="319" w:beforeLines="100" w:after="319" w:afterLines="100" w:line="360" w:lineRule="auto"/>
        <w:ind w:right="-21" w:rightChars="-10"/>
        <w:jc w:val="center"/>
        <w:rPr>
          <w:rFonts w:hint="eastAsia" w:ascii="仿宋" w:hAnsi="仿宋" w:eastAsia="仿宋" w:cs="仿宋"/>
          <w:b/>
          <w:sz w:val="32"/>
          <w:szCs w:val="32"/>
        </w:rPr>
      </w:pPr>
      <w:r>
        <w:rPr>
          <w:rFonts w:hint="eastAsia" w:ascii="仿宋" w:hAnsi="仿宋" w:eastAsia="仿宋" w:cs="仿宋"/>
          <w:b/>
          <w:sz w:val="32"/>
          <w:szCs w:val="32"/>
        </w:rPr>
        <w:t>具有良好的商业信誉和健全的财务会计制度的承诺函</w:t>
      </w:r>
    </w:p>
    <w:p w14:paraId="5A12C0DE">
      <w:pPr>
        <w:spacing w:before="319" w:beforeLines="100" w:after="319" w:afterLines="100" w:line="480" w:lineRule="exact"/>
        <w:ind w:right="630" w:rightChars="300"/>
        <w:jc w:val="center"/>
        <w:rPr>
          <w:rFonts w:hint="eastAsia" w:ascii="仿宋" w:hAnsi="仿宋" w:eastAsia="仿宋" w:cs="仿宋"/>
          <w:sz w:val="28"/>
          <w:szCs w:val="28"/>
        </w:rPr>
      </w:pPr>
      <w:r>
        <w:rPr>
          <w:rFonts w:hint="eastAsia" w:ascii="仿宋" w:hAnsi="仿宋" w:eastAsia="仿宋" w:cs="仿宋"/>
          <w:sz w:val="28"/>
          <w:szCs w:val="28"/>
        </w:rPr>
        <w:t>（格式自拟）</w:t>
      </w:r>
    </w:p>
    <w:p w14:paraId="1BC68CCA">
      <w:pPr>
        <w:adjustRightInd w:val="0"/>
        <w:snapToGrid w:val="0"/>
        <w:spacing w:line="360" w:lineRule="auto"/>
        <w:ind w:right="105" w:rightChars="50" w:firstLine="476" w:firstLineChars="227"/>
        <w:jc w:val="left"/>
        <w:rPr>
          <w:rFonts w:hint="eastAsia" w:ascii="仿宋" w:hAnsi="仿宋" w:eastAsia="仿宋" w:cs="仿宋"/>
          <w:szCs w:val="21"/>
        </w:rPr>
      </w:pPr>
    </w:p>
    <w:p w14:paraId="57E2ECB2">
      <w:pPr>
        <w:adjustRightInd w:val="0"/>
        <w:snapToGrid w:val="0"/>
        <w:spacing w:line="360" w:lineRule="auto"/>
        <w:ind w:right="105" w:rightChars="50" w:firstLine="476" w:firstLineChars="227"/>
        <w:jc w:val="left"/>
        <w:rPr>
          <w:rFonts w:hint="eastAsia" w:ascii="仿宋" w:hAnsi="仿宋" w:eastAsia="仿宋" w:cs="仿宋"/>
          <w:szCs w:val="21"/>
        </w:rPr>
      </w:pPr>
    </w:p>
    <w:p w14:paraId="6A685993">
      <w:pPr>
        <w:adjustRightInd w:val="0"/>
        <w:snapToGrid w:val="0"/>
        <w:spacing w:line="360" w:lineRule="auto"/>
        <w:ind w:right="105" w:rightChars="50" w:firstLine="476" w:firstLineChars="227"/>
        <w:jc w:val="left"/>
        <w:rPr>
          <w:rFonts w:hint="eastAsia" w:ascii="仿宋" w:hAnsi="仿宋" w:eastAsia="仿宋" w:cs="仿宋"/>
          <w:szCs w:val="21"/>
        </w:rPr>
      </w:pPr>
    </w:p>
    <w:p w14:paraId="5F9C68C4">
      <w:pPr>
        <w:adjustRightInd w:val="0"/>
        <w:snapToGrid w:val="0"/>
        <w:spacing w:line="360" w:lineRule="auto"/>
        <w:ind w:right="105" w:rightChars="50" w:firstLine="476" w:firstLineChars="227"/>
        <w:jc w:val="left"/>
        <w:rPr>
          <w:rFonts w:hint="eastAsia" w:ascii="仿宋" w:hAnsi="仿宋" w:eastAsia="仿宋" w:cs="仿宋"/>
          <w:szCs w:val="21"/>
        </w:rPr>
      </w:pPr>
    </w:p>
    <w:p w14:paraId="4B9BA1E7">
      <w:pPr>
        <w:adjustRightInd w:val="0"/>
        <w:snapToGrid w:val="0"/>
        <w:spacing w:line="360" w:lineRule="auto"/>
        <w:ind w:right="105" w:rightChars="50" w:firstLine="476" w:firstLineChars="227"/>
        <w:jc w:val="left"/>
        <w:rPr>
          <w:rFonts w:hint="eastAsia" w:ascii="仿宋" w:hAnsi="仿宋" w:eastAsia="仿宋" w:cs="仿宋"/>
          <w:szCs w:val="21"/>
        </w:rPr>
      </w:pPr>
    </w:p>
    <w:p w14:paraId="0E3A9B0E">
      <w:pPr>
        <w:adjustRightInd w:val="0"/>
        <w:snapToGrid w:val="0"/>
        <w:spacing w:line="360" w:lineRule="auto"/>
        <w:ind w:right="105" w:rightChars="50" w:firstLine="476" w:firstLineChars="227"/>
        <w:jc w:val="left"/>
        <w:rPr>
          <w:rFonts w:hint="eastAsia" w:ascii="仿宋" w:hAnsi="仿宋" w:eastAsia="仿宋" w:cs="仿宋"/>
          <w:szCs w:val="21"/>
        </w:rPr>
      </w:pPr>
    </w:p>
    <w:p w14:paraId="1B350A8E">
      <w:pPr>
        <w:adjustRightInd w:val="0"/>
        <w:snapToGrid w:val="0"/>
        <w:spacing w:line="360" w:lineRule="auto"/>
        <w:ind w:right="105" w:rightChars="50" w:firstLine="476" w:firstLineChars="227"/>
        <w:jc w:val="left"/>
        <w:rPr>
          <w:rFonts w:hint="eastAsia" w:ascii="仿宋" w:hAnsi="仿宋" w:eastAsia="仿宋" w:cs="仿宋"/>
          <w:szCs w:val="21"/>
        </w:rPr>
      </w:pPr>
    </w:p>
    <w:p w14:paraId="72E60018">
      <w:pPr>
        <w:adjustRightInd w:val="0"/>
        <w:snapToGrid w:val="0"/>
        <w:spacing w:line="360" w:lineRule="auto"/>
        <w:ind w:right="105" w:rightChars="50" w:firstLine="476" w:firstLineChars="227"/>
        <w:jc w:val="left"/>
        <w:rPr>
          <w:rFonts w:hint="eastAsia" w:ascii="仿宋" w:hAnsi="仿宋" w:eastAsia="仿宋" w:cs="仿宋"/>
          <w:szCs w:val="21"/>
        </w:rPr>
      </w:pPr>
    </w:p>
    <w:p w14:paraId="0959CD29">
      <w:pPr>
        <w:adjustRightInd w:val="0"/>
        <w:snapToGrid w:val="0"/>
        <w:spacing w:line="360" w:lineRule="auto"/>
        <w:ind w:right="105" w:rightChars="50" w:firstLine="476" w:firstLineChars="227"/>
        <w:jc w:val="left"/>
        <w:rPr>
          <w:rFonts w:hint="eastAsia" w:ascii="仿宋" w:hAnsi="仿宋" w:eastAsia="仿宋" w:cs="仿宋"/>
          <w:szCs w:val="21"/>
        </w:rPr>
      </w:pPr>
    </w:p>
    <w:p w14:paraId="3B1809FF">
      <w:pPr>
        <w:snapToGrid w:val="0"/>
        <w:spacing w:line="480" w:lineRule="auto"/>
        <w:rPr>
          <w:rFonts w:hint="eastAsia" w:ascii="仿宋" w:hAnsi="仿宋" w:eastAsia="仿宋" w:cs="仿宋"/>
        </w:rPr>
      </w:pPr>
      <w:r>
        <w:rPr>
          <w:rFonts w:hint="eastAsia" w:ascii="仿宋" w:hAnsi="仿宋" w:eastAsia="仿宋" w:cs="仿宋"/>
          <w:lang w:eastAsia="zh-CN"/>
        </w:rPr>
        <w:t>投标人</w:t>
      </w:r>
      <w:r>
        <w:rPr>
          <w:rFonts w:hint="eastAsia" w:ascii="仿宋" w:hAnsi="仿宋" w:eastAsia="仿宋" w:cs="仿宋"/>
        </w:rPr>
        <w:t>名称（加盖单位公章）：</w:t>
      </w:r>
      <w:r>
        <w:rPr>
          <w:rFonts w:hint="eastAsia" w:ascii="仿宋" w:hAnsi="仿宋" w:eastAsia="仿宋" w:cs="仿宋"/>
          <w:u w:val="single"/>
        </w:rPr>
        <w:t xml:space="preserve">           </w:t>
      </w:r>
    </w:p>
    <w:p w14:paraId="5EB8BDA8">
      <w:pPr>
        <w:snapToGrid w:val="0"/>
        <w:spacing w:line="480" w:lineRule="auto"/>
        <w:rPr>
          <w:rFonts w:hint="eastAsia"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非法人组织负责人）或</w:t>
      </w:r>
      <w:r>
        <w:rPr>
          <w:rFonts w:hint="eastAsia" w:ascii="仿宋" w:hAnsi="仿宋" w:eastAsia="仿宋" w:cs="仿宋"/>
        </w:rPr>
        <w:t>其授权委托人（签字或盖章）：</w:t>
      </w:r>
      <w:r>
        <w:rPr>
          <w:rFonts w:hint="eastAsia" w:ascii="仿宋" w:hAnsi="仿宋" w:eastAsia="仿宋" w:cs="仿宋"/>
          <w:u w:val="single"/>
        </w:rPr>
        <w:t xml:space="preserve">           </w:t>
      </w:r>
    </w:p>
    <w:p w14:paraId="463D2EBA">
      <w:pPr>
        <w:adjustRightInd w:val="0"/>
        <w:snapToGrid w:val="0"/>
        <w:spacing w:line="360" w:lineRule="auto"/>
        <w:ind w:right="105" w:rightChars="50"/>
        <w:jc w:val="left"/>
        <w:rPr>
          <w:rFonts w:hint="eastAsia" w:ascii="仿宋" w:hAnsi="仿宋" w:eastAsia="仿宋" w:cs="仿宋"/>
          <w:u w:val="single"/>
        </w:rPr>
      </w:pPr>
      <w:r>
        <w:rPr>
          <w:rFonts w:hint="eastAsia" w:ascii="仿宋" w:hAnsi="仿宋" w:eastAsia="仿宋" w:cs="仿宋"/>
        </w:rPr>
        <w:t>日期：</w:t>
      </w:r>
      <w:r>
        <w:rPr>
          <w:rFonts w:hint="eastAsia" w:ascii="仿宋" w:hAnsi="仿宋" w:eastAsia="仿宋" w:cs="仿宋"/>
          <w:u w:val="single"/>
        </w:rPr>
        <w:t xml:space="preserve">                </w:t>
      </w:r>
    </w:p>
    <w:p w14:paraId="3F6B108F">
      <w:pPr>
        <w:adjustRightInd w:val="0"/>
        <w:snapToGrid w:val="0"/>
        <w:spacing w:line="360" w:lineRule="auto"/>
        <w:ind w:right="105" w:rightChars="50"/>
        <w:jc w:val="left"/>
        <w:rPr>
          <w:rFonts w:hint="eastAsia" w:ascii="仿宋" w:hAnsi="仿宋" w:eastAsia="仿宋" w:cs="仿宋"/>
          <w:u w:val="single"/>
        </w:rPr>
      </w:pPr>
    </w:p>
    <w:p w14:paraId="323CF879">
      <w:pPr>
        <w:widowControl/>
        <w:jc w:val="left"/>
        <w:outlineLvl w:val="1"/>
        <w:rPr>
          <w:rFonts w:hint="eastAsia" w:ascii="仿宋" w:hAnsi="仿宋" w:eastAsia="仿宋" w:cs="仿宋"/>
          <w:b/>
          <w:bCs/>
          <w:sz w:val="28"/>
          <w:szCs w:val="28"/>
        </w:rPr>
      </w:pPr>
      <w:r>
        <w:rPr>
          <w:rFonts w:hint="eastAsia" w:ascii="仿宋" w:hAnsi="仿宋" w:eastAsia="仿宋" w:cs="仿宋"/>
          <w:szCs w:val="21"/>
          <w:u w:val="single"/>
        </w:rPr>
        <w:br w:type="page"/>
      </w:r>
      <w:r>
        <w:rPr>
          <w:rFonts w:hint="eastAsia" w:ascii="仿宋" w:hAnsi="仿宋" w:eastAsia="仿宋" w:cs="仿宋"/>
          <w:b/>
          <w:bCs/>
          <w:sz w:val="28"/>
          <w:szCs w:val="28"/>
        </w:rPr>
        <w:t>格式7</w:t>
      </w:r>
      <w:bookmarkEnd w:id="75"/>
      <w:bookmarkEnd w:id="76"/>
    </w:p>
    <w:p w14:paraId="24106803">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具备履行合同所必需的设备和专业技术能力声明函</w:t>
      </w:r>
    </w:p>
    <w:p w14:paraId="277B69A9">
      <w:pPr>
        <w:spacing w:before="319" w:beforeLines="100" w:after="319" w:afterLines="100" w:line="480" w:lineRule="exact"/>
        <w:ind w:right="630" w:rightChars="300"/>
        <w:jc w:val="center"/>
        <w:rPr>
          <w:rFonts w:hint="eastAsia" w:ascii="仿宋" w:hAnsi="仿宋" w:eastAsia="仿宋" w:cs="仿宋"/>
          <w:sz w:val="28"/>
          <w:szCs w:val="28"/>
        </w:rPr>
      </w:pPr>
      <w:r>
        <w:rPr>
          <w:rFonts w:hint="eastAsia" w:ascii="仿宋" w:hAnsi="仿宋" w:eastAsia="仿宋" w:cs="仿宋"/>
          <w:sz w:val="28"/>
          <w:szCs w:val="28"/>
        </w:rPr>
        <w:t>（格式自拟）</w:t>
      </w:r>
    </w:p>
    <w:p w14:paraId="5DE420F2">
      <w:pPr>
        <w:spacing w:before="319" w:beforeLines="100" w:after="319" w:afterLines="100" w:line="480" w:lineRule="exact"/>
        <w:ind w:right="630" w:rightChars="300"/>
        <w:jc w:val="center"/>
        <w:rPr>
          <w:rFonts w:hint="eastAsia" w:ascii="仿宋" w:hAnsi="仿宋" w:eastAsia="仿宋" w:cs="仿宋"/>
          <w:b/>
          <w:sz w:val="28"/>
          <w:szCs w:val="28"/>
        </w:rPr>
      </w:pPr>
    </w:p>
    <w:p w14:paraId="76B00003">
      <w:pPr>
        <w:spacing w:before="319" w:beforeLines="100" w:after="319" w:afterLines="100" w:line="480" w:lineRule="exact"/>
        <w:ind w:right="630" w:rightChars="300"/>
        <w:jc w:val="center"/>
        <w:rPr>
          <w:rFonts w:hint="eastAsia" w:ascii="仿宋" w:hAnsi="仿宋" w:eastAsia="仿宋" w:cs="仿宋"/>
          <w:b/>
          <w:sz w:val="28"/>
          <w:szCs w:val="28"/>
        </w:rPr>
      </w:pPr>
    </w:p>
    <w:p w14:paraId="31C9EF1D">
      <w:pPr>
        <w:spacing w:before="319" w:beforeLines="100" w:after="319" w:afterLines="100" w:line="480" w:lineRule="exact"/>
        <w:ind w:right="630" w:rightChars="300"/>
        <w:jc w:val="center"/>
        <w:rPr>
          <w:rFonts w:hint="eastAsia" w:ascii="仿宋" w:hAnsi="仿宋" w:eastAsia="仿宋" w:cs="仿宋"/>
          <w:b/>
          <w:sz w:val="28"/>
          <w:szCs w:val="28"/>
        </w:rPr>
      </w:pPr>
    </w:p>
    <w:p w14:paraId="06FAB93D">
      <w:pPr>
        <w:spacing w:before="319" w:beforeLines="100" w:after="319" w:afterLines="100" w:line="480" w:lineRule="exact"/>
        <w:ind w:right="630" w:rightChars="300"/>
        <w:jc w:val="center"/>
        <w:rPr>
          <w:rFonts w:hint="eastAsia" w:ascii="仿宋" w:hAnsi="仿宋" w:eastAsia="仿宋" w:cs="仿宋"/>
          <w:b/>
          <w:sz w:val="28"/>
          <w:szCs w:val="28"/>
        </w:rPr>
      </w:pPr>
    </w:p>
    <w:p w14:paraId="02E7F99E">
      <w:pPr>
        <w:spacing w:line="480" w:lineRule="auto"/>
        <w:rPr>
          <w:rFonts w:hint="eastAsia" w:ascii="仿宋" w:hAnsi="仿宋" w:eastAsia="仿宋" w:cs="仿宋"/>
        </w:rPr>
      </w:pPr>
      <w:r>
        <w:rPr>
          <w:rFonts w:hint="eastAsia" w:ascii="仿宋" w:hAnsi="仿宋" w:eastAsia="仿宋" w:cs="仿宋"/>
          <w:lang w:eastAsia="zh-CN"/>
        </w:rPr>
        <w:t>投标人</w:t>
      </w:r>
      <w:r>
        <w:rPr>
          <w:rFonts w:hint="eastAsia" w:ascii="仿宋" w:hAnsi="仿宋" w:eastAsia="仿宋" w:cs="仿宋"/>
        </w:rPr>
        <w:t>名称（加盖单位公章）：</w:t>
      </w:r>
      <w:r>
        <w:rPr>
          <w:rFonts w:hint="eastAsia" w:ascii="仿宋" w:hAnsi="仿宋" w:eastAsia="仿宋" w:cs="仿宋"/>
          <w:u w:val="single"/>
        </w:rPr>
        <w:t xml:space="preserve">           </w:t>
      </w:r>
    </w:p>
    <w:p w14:paraId="102368FE">
      <w:pPr>
        <w:spacing w:line="480" w:lineRule="auto"/>
        <w:rPr>
          <w:rFonts w:hint="eastAsia"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w:t>
      </w:r>
      <w:r>
        <w:rPr>
          <w:rFonts w:hint="eastAsia" w:ascii="仿宋" w:hAnsi="仿宋" w:eastAsia="仿宋" w:cs="仿宋"/>
        </w:rPr>
        <w:t>）</w:t>
      </w:r>
      <w:r>
        <w:rPr>
          <w:rFonts w:hint="eastAsia" w:ascii="仿宋" w:hAnsi="仿宋" w:eastAsia="仿宋" w:cs="仿宋"/>
          <w:szCs w:val="21"/>
        </w:rPr>
        <w:t>或</w:t>
      </w:r>
      <w:r>
        <w:rPr>
          <w:rFonts w:hint="eastAsia" w:ascii="仿宋" w:hAnsi="仿宋" w:eastAsia="仿宋" w:cs="仿宋"/>
        </w:rPr>
        <w:t xml:space="preserve">其授权委托人（签字或盖章）： </w:t>
      </w:r>
      <w:r>
        <w:rPr>
          <w:rFonts w:hint="eastAsia" w:ascii="仿宋" w:hAnsi="仿宋" w:eastAsia="仿宋" w:cs="仿宋"/>
          <w:u w:val="single"/>
        </w:rPr>
        <w:t xml:space="preserve">         </w:t>
      </w:r>
    </w:p>
    <w:p w14:paraId="5BB40342">
      <w:pPr>
        <w:spacing w:line="480" w:lineRule="auto"/>
        <w:rPr>
          <w:rFonts w:hint="eastAsia" w:ascii="仿宋" w:hAnsi="仿宋" w:eastAsia="仿宋" w:cs="仿宋"/>
        </w:rPr>
      </w:pPr>
      <w:r>
        <w:rPr>
          <w:rFonts w:hint="eastAsia" w:ascii="仿宋" w:hAnsi="仿宋" w:eastAsia="仿宋" w:cs="仿宋"/>
        </w:rPr>
        <w:t xml:space="preserve">日期： </w:t>
      </w:r>
      <w:r>
        <w:rPr>
          <w:rFonts w:hint="eastAsia" w:ascii="仿宋" w:hAnsi="仿宋" w:eastAsia="仿宋" w:cs="仿宋"/>
          <w:u w:val="single"/>
        </w:rPr>
        <w:t xml:space="preserve">             </w:t>
      </w:r>
    </w:p>
    <w:p w14:paraId="4458BB27">
      <w:pPr>
        <w:widowControl/>
        <w:jc w:val="left"/>
        <w:outlineLvl w:val="1"/>
        <w:rPr>
          <w:rFonts w:hint="eastAsia" w:ascii="仿宋" w:hAnsi="仿宋" w:eastAsia="仿宋" w:cs="仿宋"/>
          <w:b/>
          <w:bCs/>
          <w:sz w:val="28"/>
          <w:szCs w:val="28"/>
        </w:rPr>
      </w:pPr>
      <w:r>
        <w:rPr>
          <w:rFonts w:hint="eastAsia" w:ascii="仿宋" w:hAnsi="仿宋" w:eastAsia="仿宋" w:cs="仿宋"/>
          <w:b/>
          <w:sz w:val="28"/>
          <w:szCs w:val="28"/>
        </w:rPr>
        <w:br w:type="page"/>
      </w:r>
      <w:bookmarkStart w:id="77" w:name="_Toc4485632"/>
      <w:bookmarkStart w:id="78" w:name="_Toc533340155"/>
      <w:r>
        <w:rPr>
          <w:rFonts w:hint="eastAsia" w:ascii="仿宋" w:hAnsi="仿宋" w:eastAsia="仿宋" w:cs="仿宋"/>
          <w:b/>
          <w:bCs/>
          <w:sz w:val="28"/>
          <w:szCs w:val="28"/>
        </w:rPr>
        <w:t>格式8</w:t>
      </w:r>
      <w:bookmarkEnd w:id="77"/>
      <w:bookmarkEnd w:id="78"/>
    </w:p>
    <w:p w14:paraId="3C0811D0">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 xml:space="preserve"> 参加政府采购活动前3年内在经营活动中没有重大违法记录的书面声明</w:t>
      </w:r>
    </w:p>
    <w:p w14:paraId="5AC7E591">
      <w:pPr>
        <w:spacing w:before="159" w:beforeLines="50" w:after="159" w:afterLines="50" w:line="400" w:lineRule="exact"/>
        <w:ind w:right="630" w:rightChars="300"/>
        <w:rPr>
          <w:rFonts w:hint="eastAsia" w:ascii="仿宋" w:hAnsi="仿宋" w:eastAsia="仿宋" w:cs="仿宋"/>
          <w:sz w:val="24"/>
        </w:rPr>
      </w:pPr>
    </w:p>
    <w:p w14:paraId="225FBA93">
      <w:pPr>
        <w:spacing w:line="360" w:lineRule="auto"/>
        <w:ind w:right="630" w:rightChars="300"/>
        <w:rPr>
          <w:rFonts w:hint="eastAsia" w:ascii="仿宋" w:hAnsi="仿宋" w:eastAsia="仿宋" w:cs="仿宋"/>
          <w:b/>
          <w:szCs w:val="21"/>
        </w:rPr>
      </w:pPr>
      <w:r>
        <w:rPr>
          <w:rFonts w:hint="eastAsia" w:ascii="仿宋" w:hAnsi="仿宋" w:eastAsia="仿宋" w:cs="仿宋"/>
          <w:b/>
          <w:szCs w:val="21"/>
          <w:u w:val="single"/>
        </w:rPr>
        <w:t xml:space="preserve">（采购人或采购代理机构名称） </w:t>
      </w:r>
      <w:r>
        <w:rPr>
          <w:rFonts w:hint="eastAsia" w:ascii="仿宋" w:hAnsi="仿宋" w:eastAsia="仿宋" w:cs="仿宋"/>
          <w:b/>
          <w:szCs w:val="21"/>
        </w:rPr>
        <w:t xml:space="preserve"> ：</w:t>
      </w:r>
    </w:p>
    <w:p w14:paraId="2DFE2228">
      <w:pPr>
        <w:spacing w:line="500" w:lineRule="exact"/>
        <w:ind w:right="-21" w:rightChars="-10" w:firstLine="493" w:firstLineChars="235"/>
        <w:rPr>
          <w:rFonts w:hint="eastAsia" w:ascii="仿宋" w:hAnsi="仿宋" w:eastAsia="仿宋" w:cs="仿宋"/>
          <w:szCs w:val="21"/>
        </w:rPr>
      </w:pPr>
      <w:r>
        <w:rPr>
          <w:rFonts w:hint="eastAsia" w:ascii="仿宋" w:hAnsi="仿宋" w:eastAsia="仿宋" w:cs="仿宋"/>
          <w:bCs/>
          <w:szCs w:val="21"/>
        </w:rPr>
        <w:t>在本项目提交</w:t>
      </w:r>
      <w:r>
        <w:rPr>
          <w:rFonts w:hint="eastAsia" w:ascii="仿宋" w:hAnsi="仿宋" w:cs="仿宋"/>
          <w:bCs/>
          <w:szCs w:val="21"/>
          <w:lang w:eastAsia="zh-CN"/>
        </w:rPr>
        <w:t>投标文件</w:t>
      </w:r>
      <w:r>
        <w:rPr>
          <w:rFonts w:hint="eastAsia" w:ascii="仿宋" w:hAnsi="仿宋" w:eastAsia="仿宋" w:cs="仿宋"/>
          <w:bCs/>
          <w:szCs w:val="21"/>
        </w:rPr>
        <w:t>截止时间前，</w:t>
      </w:r>
      <w:r>
        <w:rPr>
          <w:rFonts w:hint="eastAsia" w:ascii="仿宋" w:hAnsi="仿宋" w:eastAsia="仿宋" w:cs="仿宋"/>
          <w:szCs w:val="21"/>
        </w:rPr>
        <w:t>我单位参加本次政府采购活动前3年内在经营活动中没有因违法经营受到刑事处罚或者责令停产停业、吊销许可证或者执照、较大数额罚款等行政处罚的重大违法记录；通过“信用中国”(www.creditchina.gov.cn) 、“中国政府采购网”(www.ccgp.gov.cn)被列入失信被执行人、重大税收违法失信主体名单、严重失信主体名单、经营（活动）异常名录、政府采购严重违法失信行为记录名单的不得参加本采购项目；参加采购活动前三年内，在经营活动中存在重大违法记录且被裁判文书网载入行贿判决的不得参加本采购项目。</w:t>
      </w:r>
    </w:p>
    <w:p w14:paraId="6350423D">
      <w:pPr>
        <w:tabs>
          <w:tab w:val="left" w:pos="10065"/>
        </w:tabs>
        <w:spacing w:line="500" w:lineRule="exact"/>
        <w:ind w:right="-21" w:rightChars="-10" w:firstLine="371" w:firstLineChars="177"/>
        <w:rPr>
          <w:rFonts w:hint="eastAsia" w:ascii="仿宋" w:hAnsi="仿宋" w:eastAsia="仿宋" w:cs="仿宋"/>
          <w:szCs w:val="21"/>
        </w:rPr>
      </w:pPr>
      <w:r>
        <w:rPr>
          <w:rFonts w:hint="eastAsia" w:ascii="仿宋" w:hAnsi="仿宋" w:eastAsia="仿宋" w:cs="仿宋"/>
          <w:szCs w:val="21"/>
        </w:rPr>
        <w:t>如发现我单位提供的声明函不实时，我单位将按照《政府采购法》有关提供虚假材料的规定，接受处罚。</w:t>
      </w:r>
    </w:p>
    <w:p w14:paraId="65896027">
      <w:pPr>
        <w:spacing w:line="500" w:lineRule="exact"/>
        <w:ind w:right="1050" w:rightChars="500" w:firstLine="420" w:firstLineChars="200"/>
        <w:rPr>
          <w:rFonts w:hint="eastAsia" w:ascii="仿宋" w:hAnsi="仿宋" w:eastAsia="仿宋" w:cs="仿宋"/>
          <w:szCs w:val="21"/>
        </w:rPr>
      </w:pPr>
      <w:r>
        <w:rPr>
          <w:rFonts w:hint="eastAsia" w:ascii="仿宋" w:hAnsi="仿宋" w:eastAsia="仿宋" w:cs="仿宋"/>
          <w:szCs w:val="21"/>
        </w:rPr>
        <w:t>特此声明。</w:t>
      </w:r>
    </w:p>
    <w:p w14:paraId="0E4E5AF3">
      <w:pPr>
        <w:spacing w:line="500" w:lineRule="exact"/>
        <w:ind w:right="1050" w:rightChars="500" w:firstLine="420" w:firstLineChars="200"/>
        <w:rPr>
          <w:rFonts w:hint="eastAsia" w:ascii="仿宋" w:hAnsi="仿宋" w:eastAsia="仿宋" w:cs="仿宋"/>
          <w:szCs w:val="21"/>
        </w:rPr>
      </w:pPr>
    </w:p>
    <w:p w14:paraId="0E310D39">
      <w:pPr>
        <w:spacing w:before="159" w:beforeLines="50" w:after="159" w:afterLines="50" w:line="400" w:lineRule="exact"/>
        <w:ind w:right="1050" w:rightChars="500" w:firstLine="420" w:firstLineChars="200"/>
        <w:rPr>
          <w:rFonts w:hint="eastAsia" w:ascii="仿宋" w:hAnsi="仿宋" w:eastAsia="仿宋" w:cs="仿宋"/>
          <w:szCs w:val="21"/>
        </w:rPr>
      </w:pPr>
    </w:p>
    <w:p w14:paraId="1162F87D">
      <w:pPr>
        <w:spacing w:before="159" w:beforeLines="50" w:after="159" w:afterLines="50" w:line="400" w:lineRule="exact"/>
        <w:ind w:right="1050" w:rightChars="500" w:firstLine="420" w:firstLineChars="200"/>
        <w:rPr>
          <w:rFonts w:hint="eastAsia" w:ascii="仿宋" w:hAnsi="仿宋" w:eastAsia="仿宋" w:cs="仿宋"/>
          <w:szCs w:val="21"/>
        </w:rPr>
      </w:pPr>
    </w:p>
    <w:p w14:paraId="4B8DC2AE">
      <w:pPr>
        <w:spacing w:line="360" w:lineRule="exact"/>
        <w:ind w:left="1050" w:leftChars="500" w:right="1050" w:rightChars="500" w:firstLine="420" w:firstLineChars="200"/>
        <w:rPr>
          <w:rFonts w:hint="eastAsia" w:ascii="仿宋" w:hAnsi="仿宋" w:eastAsia="仿宋" w:cs="仿宋"/>
          <w:szCs w:val="21"/>
        </w:rPr>
      </w:pPr>
    </w:p>
    <w:p w14:paraId="43FBD807">
      <w:pPr>
        <w:spacing w:line="480" w:lineRule="auto"/>
        <w:rPr>
          <w:rFonts w:hint="eastAsia" w:ascii="仿宋" w:hAnsi="仿宋" w:eastAsia="仿宋" w:cs="仿宋"/>
        </w:rPr>
      </w:pPr>
      <w:r>
        <w:rPr>
          <w:rFonts w:hint="eastAsia" w:ascii="仿宋" w:hAnsi="仿宋" w:eastAsia="仿宋" w:cs="仿宋"/>
          <w:lang w:eastAsia="zh-CN"/>
        </w:rPr>
        <w:t>投标人</w:t>
      </w:r>
      <w:r>
        <w:rPr>
          <w:rFonts w:hint="eastAsia" w:ascii="仿宋" w:hAnsi="仿宋" w:eastAsia="仿宋" w:cs="仿宋"/>
        </w:rPr>
        <w:t>名称（加盖单位公章）：</w:t>
      </w:r>
      <w:r>
        <w:rPr>
          <w:rFonts w:hint="eastAsia" w:ascii="仿宋" w:hAnsi="仿宋" w:eastAsia="仿宋" w:cs="仿宋"/>
          <w:u w:val="single"/>
        </w:rPr>
        <w:t xml:space="preserve">           </w:t>
      </w:r>
    </w:p>
    <w:p w14:paraId="484FA221">
      <w:pPr>
        <w:spacing w:line="480" w:lineRule="auto"/>
        <w:rPr>
          <w:rFonts w:hint="eastAsia"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w:t>
      </w:r>
      <w:r>
        <w:rPr>
          <w:rFonts w:hint="eastAsia" w:ascii="仿宋" w:hAnsi="仿宋" w:eastAsia="仿宋" w:cs="仿宋"/>
        </w:rPr>
        <w:t>）</w:t>
      </w:r>
      <w:r>
        <w:rPr>
          <w:rFonts w:hint="eastAsia" w:ascii="仿宋" w:hAnsi="仿宋" w:eastAsia="仿宋" w:cs="仿宋"/>
          <w:szCs w:val="21"/>
        </w:rPr>
        <w:t>或</w:t>
      </w:r>
      <w:r>
        <w:rPr>
          <w:rFonts w:hint="eastAsia" w:ascii="仿宋" w:hAnsi="仿宋" w:eastAsia="仿宋" w:cs="仿宋"/>
        </w:rPr>
        <w:t xml:space="preserve">其授权委托人（签字或盖章）： </w:t>
      </w:r>
      <w:r>
        <w:rPr>
          <w:rFonts w:hint="eastAsia" w:ascii="仿宋" w:hAnsi="仿宋" w:eastAsia="仿宋" w:cs="仿宋"/>
          <w:u w:val="single"/>
        </w:rPr>
        <w:t xml:space="preserve">         </w:t>
      </w:r>
    </w:p>
    <w:p w14:paraId="7A3099DF">
      <w:pPr>
        <w:spacing w:line="480" w:lineRule="auto"/>
        <w:rPr>
          <w:rFonts w:hint="eastAsia" w:ascii="仿宋" w:hAnsi="仿宋" w:eastAsia="仿宋" w:cs="仿宋"/>
        </w:rPr>
      </w:pPr>
      <w:r>
        <w:rPr>
          <w:rFonts w:hint="eastAsia" w:ascii="仿宋" w:hAnsi="仿宋" w:eastAsia="仿宋" w:cs="仿宋"/>
        </w:rPr>
        <w:t xml:space="preserve">日期： </w:t>
      </w:r>
      <w:r>
        <w:rPr>
          <w:rFonts w:hint="eastAsia" w:ascii="仿宋" w:hAnsi="仿宋" w:eastAsia="仿宋" w:cs="仿宋"/>
          <w:u w:val="single"/>
        </w:rPr>
        <w:t xml:space="preserve">             </w:t>
      </w:r>
    </w:p>
    <w:p w14:paraId="584C970E">
      <w:pPr>
        <w:rPr>
          <w:rFonts w:hint="eastAsia" w:ascii="仿宋" w:hAnsi="仿宋" w:eastAsia="仿宋" w:cs="仿宋"/>
        </w:rPr>
      </w:pPr>
      <w:bookmarkStart w:id="79" w:name="_Toc4485633"/>
      <w:bookmarkStart w:id="80" w:name="_Toc533340156"/>
    </w:p>
    <w:p w14:paraId="7A177CB4">
      <w:pPr>
        <w:pStyle w:val="3"/>
        <w:adjustRightInd w:val="0"/>
        <w:snapToGrid w:val="0"/>
        <w:spacing w:line="240" w:lineRule="auto"/>
        <w:jc w:val="left"/>
        <w:rPr>
          <w:rFonts w:hint="eastAsia" w:ascii="仿宋" w:hAnsi="仿宋" w:eastAsia="仿宋" w:cs="仿宋"/>
          <w:sz w:val="28"/>
          <w:szCs w:val="28"/>
          <w:lang w:eastAsia="zh-CN"/>
        </w:rPr>
      </w:pPr>
      <w:r>
        <w:rPr>
          <w:rFonts w:hint="eastAsia" w:ascii="仿宋" w:hAnsi="仿宋" w:eastAsia="仿宋" w:cs="仿宋"/>
          <w:sz w:val="28"/>
          <w:szCs w:val="28"/>
        </w:rPr>
        <w:br w:type="page"/>
      </w:r>
      <w:r>
        <w:rPr>
          <w:rFonts w:hint="eastAsia" w:ascii="仿宋" w:hAnsi="仿宋" w:eastAsia="仿宋" w:cs="仿宋"/>
          <w:sz w:val="28"/>
          <w:szCs w:val="28"/>
        </w:rPr>
        <w:t>格式</w:t>
      </w:r>
      <w:bookmarkEnd w:id="79"/>
      <w:bookmarkEnd w:id="80"/>
      <w:r>
        <w:rPr>
          <w:rFonts w:hint="eastAsia" w:ascii="仿宋" w:hAnsi="仿宋" w:eastAsia="仿宋" w:cs="仿宋"/>
          <w:sz w:val="28"/>
          <w:szCs w:val="28"/>
          <w:lang w:val="en-US" w:eastAsia="zh-CN"/>
        </w:rPr>
        <w:t>9</w:t>
      </w:r>
    </w:p>
    <w:p w14:paraId="3229B64A">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lang w:eastAsia="zh-CN"/>
        </w:rPr>
        <w:t>投标</w:t>
      </w:r>
      <w:r>
        <w:rPr>
          <w:rFonts w:hint="eastAsia" w:ascii="仿宋" w:hAnsi="仿宋" w:eastAsia="仿宋" w:cs="仿宋"/>
          <w:b/>
          <w:bCs/>
          <w:sz w:val="32"/>
          <w:szCs w:val="32"/>
        </w:rPr>
        <w:t>函</w:t>
      </w:r>
    </w:p>
    <w:p w14:paraId="6C7E2BEB">
      <w:pPr>
        <w:adjustRightInd w:val="0"/>
        <w:snapToGrid w:val="0"/>
        <w:spacing w:line="360" w:lineRule="auto"/>
        <w:ind w:right="630" w:rightChars="300"/>
        <w:rPr>
          <w:rFonts w:hint="eastAsia" w:ascii="仿宋" w:hAnsi="仿宋" w:eastAsia="仿宋" w:cs="仿宋"/>
          <w:szCs w:val="21"/>
          <w:u w:val="single"/>
        </w:rPr>
      </w:pPr>
      <w:r>
        <w:rPr>
          <w:rFonts w:hint="eastAsia" w:ascii="仿宋" w:hAnsi="仿宋" w:eastAsia="仿宋" w:cs="仿宋"/>
          <w:b/>
          <w:szCs w:val="21"/>
          <w:u w:val="single"/>
        </w:rPr>
        <w:t>（采购人或采购代理机构名称）</w:t>
      </w:r>
      <w:r>
        <w:rPr>
          <w:rFonts w:hint="eastAsia" w:ascii="仿宋" w:hAnsi="仿宋" w:eastAsia="仿宋" w:cs="仿宋"/>
          <w:szCs w:val="21"/>
          <w:u w:val="single"/>
        </w:rPr>
        <w:t>：</w:t>
      </w:r>
    </w:p>
    <w:p w14:paraId="28296916">
      <w:pPr>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 xml:space="preserve">    根据贵方</w:t>
      </w:r>
      <w:r>
        <w:rPr>
          <w:rFonts w:hint="eastAsia" w:ascii="仿宋" w:hAnsi="仿宋" w:eastAsia="仿宋" w:cs="仿宋"/>
          <w:szCs w:val="21"/>
          <w:u w:val="single"/>
        </w:rPr>
        <w:t>(项目名称)</w:t>
      </w:r>
      <w:r>
        <w:rPr>
          <w:rFonts w:hint="eastAsia" w:ascii="仿宋" w:hAnsi="仿宋" w:eastAsia="仿宋" w:cs="仿宋"/>
          <w:szCs w:val="21"/>
        </w:rPr>
        <w:t>项目的招标公告</w:t>
      </w:r>
      <w:r>
        <w:rPr>
          <w:rFonts w:hint="eastAsia" w:ascii="仿宋" w:hAnsi="仿宋" w:eastAsia="仿宋" w:cs="仿宋"/>
          <w:szCs w:val="21"/>
          <w:u w:val="single"/>
        </w:rPr>
        <w:t>(招标编号)</w:t>
      </w:r>
      <w:r>
        <w:rPr>
          <w:rFonts w:hint="eastAsia" w:ascii="仿宋" w:hAnsi="仿宋" w:eastAsia="仿宋" w:cs="仿宋"/>
          <w:szCs w:val="21"/>
        </w:rPr>
        <w:t>,签字代表</w:t>
      </w:r>
      <w:r>
        <w:rPr>
          <w:rFonts w:hint="eastAsia" w:ascii="仿宋" w:hAnsi="仿宋" w:eastAsia="仿宋" w:cs="仿宋"/>
          <w:szCs w:val="21"/>
          <w:u w:val="single"/>
        </w:rPr>
        <w:t>(姓名、职务)</w:t>
      </w:r>
      <w:r>
        <w:rPr>
          <w:rFonts w:hint="eastAsia" w:ascii="仿宋" w:hAnsi="仿宋" w:eastAsia="仿宋" w:cs="仿宋"/>
          <w:szCs w:val="21"/>
        </w:rPr>
        <w:t>经正式授权并代表投标人</w:t>
      </w:r>
      <w:r>
        <w:rPr>
          <w:rFonts w:hint="eastAsia" w:ascii="仿宋" w:hAnsi="仿宋" w:eastAsia="仿宋" w:cs="仿宋"/>
          <w:szCs w:val="21"/>
          <w:u w:val="single"/>
        </w:rPr>
        <w:t>（名称、地址）</w:t>
      </w:r>
      <w:r>
        <w:rPr>
          <w:rFonts w:hint="eastAsia" w:ascii="仿宋" w:hAnsi="仿宋" w:eastAsia="仿宋" w:cs="仿宋"/>
          <w:szCs w:val="21"/>
        </w:rPr>
        <w:t>。提交下述文件正本</w:t>
      </w:r>
      <w:r>
        <w:rPr>
          <w:rFonts w:hint="eastAsia" w:ascii="仿宋" w:hAnsi="仿宋" w:cs="仿宋"/>
          <w:szCs w:val="21"/>
          <w:lang w:val="en-US" w:eastAsia="zh-CN"/>
        </w:rPr>
        <w:t>2</w:t>
      </w:r>
      <w:r>
        <w:rPr>
          <w:rFonts w:hint="eastAsia" w:ascii="仿宋" w:hAnsi="仿宋" w:eastAsia="仿宋" w:cs="仿宋"/>
          <w:szCs w:val="21"/>
        </w:rPr>
        <w:t>份、副本</w:t>
      </w:r>
      <w:r>
        <w:rPr>
          <w:rFonts w:hint="eastAsia" w:ascii="仿宋" w:hAnsi="仿宋" w:cs="仿宋"/>
          <w:szCs w:val="21"/>
          <w:lang w:val="en-US" w:eastAsia="zh-CN"/>
        </w:rPr>
        <w:t>3</w:t>
      </w:r>
      <w:r>
        <w:rPr>
          <w:rFonts w:hint="eastAsia" w:ascii="仿宋" w:hAnsi="仿宋" w:eastAsia="仿宋" w:cs="仿宋"/>
          <w:szCs w:val="21"/>
        </w:rPr>
        <w:t>份及电子</w:t>
      </w:r>
      <w:r>
        <w:rPr>
          <w:rFonts w:hint="eastAsia" w:ascii="仿宋" w:hAnsi="仿宋" w:cs="仿宋"/>
          <w:szCs w:val="21"/>
          <w:lang w:val="en-US" w:eastAsia="zh-CN"/>
        </w:rPr>
        <w:t>投标</w:t>
      </w:r>
      <w:r>
        <w:rPr>
          <w:rFonts w:hint="eastAsia" w:ascii="仿宋" w:hAnsi="仿宋" w:eastAsia="仿宋" w:cs="仿宋"/>
          <w:szCs w:val="21"/>
        </w:rPr>
        <w:t>文件</w:t>
      </w:r>
      <w:r>
        <w:rPr>
          <w:rFonts w:hint="eastAsia" w:ascii="仿宋" w:hAnsi="仿宋" w:cs="仿宋"/>
          <w:szCs w:val="21"/>
          <w:lang w:val="en-US" w:eastAsia="zh-CN"/>
        </w:rPr>
        <w:t>1</w:t>
      </w:r>
      <w:r>
        <w:rPr>
          <w:rFonts w:hint="eastAsia" w:ascii="仿宋" w:hAnsi="仿宋" w:eastAsia="仿宋" w:cs="仿宋"/>
          <w:szCs w:val="21"/>
        </w:rPr>
        <w:t xml:space="preserve">份。 </w:t>
      </w:r>
    </w:p>
    <w:p w14:paraId="01F31ED3">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据此，签字代表宣布同意如下：</w:t>
      </w:r>
    </w:p>
    <w:p w14:paraId="433117B6">
      <w:pPr>
        <w:numPr>
          <w:ilvl w:val="0"/>
          <w:numId w:val="5"/>
        </w:num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本项目投标报价详见开标一览表。</w:t>
      </w:r>
    </w:p>
    <w:p w14:paraId="7F2E9237">
      <w:pPr>
        <w:numPr>
          <w:ilvl w:val="0"/>
          <w:numId w:val="5"/>
        </w:num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本投标有效期为自递交投标文件截止之日起</w:t>
      </w:r>
      <w:r>
        <w:rPr>
          <w:rFonts w:hint="eastAsia" w:ascii="仿宋" w:hAnsi="仿宋" w:eastAsia="仿宋" w:cs="仿宋"/>
          <w:szCs w:val="21"/>
          <w:u w:val="single"/>
        </w:rPr>
        <w:t>90</w:t>
      </w:r>
      <w:r>
        <w:rPr>
          <w:rFonts w:hint="eastAsia" w:ascii="仿宋" w:hAnsi="仿宋" w:eastAsia="仿宋" w:cs="仿宋"/>
          <w:szCs w:val="21"/>
        </w:rPr>
        <w:t>日历日。</w:t>
      </w:r>
    </w:p>
    <w:p w14:paraId="54E9A881">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（3）已详细审查全部招标文件，包括所有补充通知（如果有的话）。</w:t>
      </w:r>
    </w:p>
    <w:p w14:paraId="2EF851E0">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（4）在规定的开标时间后，遵守招标文件中有关保证金的规定。</w:t>
      </w:r>
    </w:p>
    <w:p w14:paraId="7B0D9378">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（5）我方不是为本项目提供整体设计、规范编制或者项目管理、监理、检测等服务的供应商，我方不是采购代理机构的附属机构。</w:t>
      </w:r>
    </w:p>
    <w:p w14:paraId="2C9F4E51">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（6）在领取中标通知书的同时按招标文件规定的形式，向采购代理机构一次性支付采购代理服务费（适用于中标人支付采购代理服务费情形）。</w:t>
      </w:r>
    </w:p>
    <w:p w14:paraId="2D6C4C58">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（7）按照贵方可能要求，提供与其投标有关的一切数据或资料，完全理解贵方不一定接受最低价的投标或收到的任何投标。</w:t>
      </w:r>
    </w:p>
    <w:p w14:paraId="04A5A865">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（8）按照招标文件的规定履行合同责任和义务。</w:t>
      </w:r>
    </w:p>
    <w:p w14:paraId="48EDE84F">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（9）我方承诺投标文件中的证明材料真实、合法、有效。</w:t>
      </w:r>
    </w:p>
    <w:p w14:paraId="59DF16E3">
      <w:pPr>
        <w:adjustRightInd w:val="0"/>
        <w:snapToGrid w:val="0"/>
        <w:spacing w:line="360" w:lineRule="auto"/>
        <w:ind w:right="-21" w:rightChars="-10" w:firstLine="420" w:firstLineChars="200"/>
        <w:rPr>
          <w:rFonts w:hint="eastAsia" w:ascii="仿宋" w:hAnsi="仿宋" w:eastAsia="仿宋" w:cs="仿宋"/>
          <w:szCs w:val="21"/>
        </w:rPr>
      </w:pPr>
      <w:r>
        <w:rPr>
          <w:rFonts w:hint="eastAsia" w:ascii="仿宋" w:hAnsi="仿宋" w:eastAsia="仿宋" w:cs="仿宋"/>
          <w:szCs w:val="21"/>
        </w:rPr>
        <w:t>其他事项：</w:t>
      </w:r>
      <w:r>
        <w:rPr>
          <w:rFonts w:hint="eastAsia" w:ascii="仿宋" w:hAnsi="仿宋" w:eastAsia="仿宋" w:cs="仿宋"/>
          <w:szCs w:val="21"/>
          <w:u w:val="single"/>
        </w:rPr>
        <w:t xml:space="preserve">                                                      </w:t>
      </w:r>
      <w:r>
        <w:rPr>
          <w:rFonts w:hint="eastAsia" w:ascii="仿宋" w:hAnsi="仿宋" w:eastAsia="仿宋" w:cs="仿宋"/>
          <w:szCs w:val="21"/>
        </w:rPr>
        <w:t>。</w:t>
      </w:r>
    </w:p>
    <w:p w14:paraId="02AB672D">
      <w:pPr>
        <w:tabs>
          <w:tab w:val="left" w:pos="10467"/>
        </w:tabs>
        <w:adjustRightInd w:val="0"/>
        <w:snapToGrid w:val="0"/>
        <w:spacing w:line="360" w:lineRule="auto"/>
        <w:ind w:right="1050" w:rightChars="500"/>
        <w:rPr>
          <w:rFonts w:hint="eastAsia" w:ascii="仿宋" w:hAnsi="仿宋" w:eastAsia="仿宋" w:cs="仿宋"/>
          <w:szCs w:val="21"/>
        </w:rPr>
      </w:pPr>
    </w:p>
    <w:p w14:paraId="52F20B05">
      <w:pPr>
        <w:tabs>
          <w:tab w:val="left" w:pos="10467"/>
        </w:tabs>
        <w:adjustRightInd w:val="0"/>
        <w:snapToGrid w:val="0"/>
        <w:spacing w:line="360" w:lineRule="auto"/>
        <w:ind w:right="1050" w:rightChars="500"/>
        <w:rPr>
          <w:rFonts w:hint="eastAsia" w:ascii="仿宋" w:hAnsi="仿宋" w:eastAsia="仿宋" w:cs="仿宋"/>
          <w:szCs w:val="21"/>
        </w:rPr>
      </w:pPr>
    </w:p>
    <w:p w14:paraId="5B614799">
      <w:pPr>
        <w:tabs>
          <w:tab w:val="left" w:pos="10467"/>
        </w:tabs>
        <w:adjustRightInd w:val="0"/>
        <w:snapToGrid w:val="0"/>
        <w:spacing w:line="360" w:lineRule="auto"/>
        <w:ind w:right="1050" w:rightChars="500"/>
        <w:rPr>
          <w:rFonts w:hint="eastAsia" w:ascii="仿宋" w:hAnsi="仿宋" w:eastAsia="仿宋" w:cs="仿宋"/>
          <w:szCs w:val="21"/>
        </w:rPr>
      </w:pPr>
      <w:r>
        <w:rPr>
          <w:rFonts w:hint="eastAsia" w:ascii="仿宋" w:hAnsi="仿宋" w:eastAsia="仿宋" w:cs="仿宋"/>
          <w:szCs w:val="21"/>
        </w:rPr>
        <w:t>与本项目有关的一切往来通信请寄</w:t>
      </w:r>
    </w:p>
    <w:p w14:paraId="759FF87A">
      <w:pPr>
        <w:tabs>
          <w:tab w:val="left" w:pos="10467"/>
        </w:tabs>
        <w:adjustRightInd w:val="0"/>
        <w:snapToGrid w:val="0"/>
        <w:spacing w:line="360" w:lineRule="auto"/>
        <w:ind w:right="-21" w:rightChars="-10"/>
        <w:rPr>
          <w:rFonts w:hint="eastAsia" w:ascii="仿宋" w:hAnsi="仿宋" w:eastAsia="仿宋" w:cs="仿宋"/>
          <w:szCs w:val="21"/>
          <w:u w:val="single"/>
        </w:rPr>
      </w:pPr>
      <w:r>
        <w:rPr>
          <w:rFonts w:hint="eastAsia" w:ascii="仿宋" w:hAnsi="仿宋" w:eastAsia="仿宋" w:cs="仿宋"/>
          <w:szCs w:val="21"/>
        </w:rPr>
        <w:t>地    址：</w:t>
      </w:r>
      <w:r>
        <w:rPr>
          <w:rFonts w:hint="eastAsia" w:ascii="仿宋" w:hAnsi="仿宋" w:eastAsia="仿宋" w:cs="仿宋"/>
          <w:szCs w:val="21"/>
          <w:u w:val="single"/>
        </w:rPr>
        <w:t xml:space="preserve">                       </w:t>
      </w:r>
      <w:r>
        <w:rPr>
          <w:rFonts w:hint="eastAsia" w:ascii="仿宋" w:hAnsi="仿宋" w:eastAsia="仿宋" w:cs="仿宋"/>
          <w:szCs w:val="21"/>
        </w:rPr>
        <w:t xml:space="preserve">     传    真：</w:t>
      </w:r>
      <w:r>
        <w:rPr>
          <w:rFonts w:hint="eastAsia" w:ascii="仿宋" w:hAnsi="仿宋" w:eastAsia="仿宋" w:cs="仿宋"/>
          <w:szCs w:val="21"/>
          <w:u w:val="single"/>
        </w:rPr>
        <w:t xml:space="preserve">                     </w:t>
      </w:r>
    </w:p>
    <w:p w14:paraId="019BB34D">
      <w:pPr>
        <w:tabs>
          <w:tab w:val="left" w:pos="10467"/>
        </w:tabs>
        <w:adjustRightInd w:val="0"/>
        <w:snapToGrid w:val="0"/>
        <w:spacing w:line="360" w:lineRule="auto"/>
        <w:ind w:right="-21" w:rightChars="-10"/>
        <w:rPr>
          <w:rFonts w:hint="eastAsia" w:ascii="仿宋" w:hAnsi="仿宋" w:eastAsia="仿宋" w:cs="仿宋"/>
          <w:szCs w:val="21"/>
        </w:rPr>
      </w:pPr>
      <w:r>
        <w:rPr>
          <w:rFonts w:hint="eastAsia" w:ascii="仿宋" w:hAnsi="仿宋" w:eastAsia="仿宋" w:cs="仿宋"/>
          <w:szCs w:val="21"/>
        </w:rPr>
        <w:t>电    话：</w:t>
      </w:r>
      <w:r>
        <w:rPr>
          <w:rFonts w:hint="eastAsia" w:ascii="仿宋" w:hAnsi="仿宋" w:eastAsia="仿宋" w:cs="仿宋"/>
          <w:szCs w:val="21"/>
          <w:u w:val="single"/>
        </w:rPr>
        <w:t xml:space="preserve">                       </w:t>
      </w:r>
      <w:r>
        <w:rPr>
          <w:rFonts w:hint="eastAsia" w:ascii="仿宋" w:hAnsi="仿宋" w:eastAsia="仿宋" w:cs="仿宋"/>
          <w:szCs w:val="21"/>
        </w:rPr>
        <w:t xml:space="preserve">     电子邮件：</w:t>
      </w:r>
      <w:r>
        <w:rPr>
          <w:rFonts w:hint="eastAsia" w:ascii="仿宋" w:hAnsi="仿宋" w:eastAsia="仿宋" w:cs="仿宋"/>
          <w:szCs w:val="21"/>
          <w:u w:val="single"/>
        </w:rPr>
        <w:t xml:space="preserve">                     </w:t>
      </w:r>
    </w:p>
    <w:p w14:paraId="5771856B">
      <w:pPr>
        <w:tabs>
          <w:tab w:val="left" w:pos="10467"/>
        </w:tabs>
        <w:adjustRightInd w:val="0"/>
        <w:snapToGrid w:val="0"/>
        <w:spacing w:line="360" w:lineRule="auto"/>
        <w:ind w:right="260" w:rightChars="124"/>
        <w:rPr>
          <w:rFonts w:hint="eastAsia" w:ascii="仿宋" w:hAnsi="仿宋" w:eastAsia="仿宋" w:cs="仿宋"/>
          <w:szCs w:val="21"/>
        </w:rPr>
      </w:pPr>
      <w:r>
        <w:rPr>
          <w:rFonts w:hint="eastAsia" w:ascii="仿宋" w:hAnsi="仿宋" w:eastAsia="仿宋" w:cs="仿宋"/>
          <w:szCs w:val="21"/>
        </w:rPr>
        <w:t>法定代表人（非法人组织负责人）或其授权委托人（</w:t>
      </w:r>
      <w:r>
        <w:rPr>
          <w:rFonts w:hint="eastAsia" w:ascii="仿宋" w:hAnsi="仿宋" w:eastAsia="仿宋" w:cs="仿宋"/>
        </w:rPr>
        <w:t>签字或盖章）</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1C9B5A14">
      <w:pPr>
        <w:tabs>
          <w:tab w:val="left" w:pos="10467"/>
        </w:tabs>
        <w:adjustRightInd w:val="0"/>
        <w:snapToGrid w:val="0"/>
        <w:spacing w:line="360" w:lineRule="auto"/>
        <w:ind w:right="260" w:rightChars="124"/>
        <w:rPr>
          <w:rFonts w:hint="eastAsia" w:ascii="仿宋" w:hAnsi="仿宋" w:eastAsia="仿宋" w:cs="仿宋"/>
          <w:szCs w:val="21"/>
        </w:rPr>
      </w:pPr>
      <w:r>
        <w:rPr>
          <w:rFonts w:hint="eastAsia" w:ascii="仿宋" w:hAnsi="仿宋" w:eastAsia="仿宋" w:cs="仿宋"/>
          <w:szCs w:val="21"/>
        </w:rPr>
        <w:t>供应商名称（加盖单位公章）：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23B9E201">
      <w:pPr>
        <w:tabs>
          <w:tab w:val="left" w:pos="10467"/>
        </w:tabs>
        <w:adjustRightInd w:val="0"/>
        <w:snapToGrid w:val="0"/>
        <w:spacing w:line="360" w:lineRule="auto"/>
        <w:ind w:right="260" w:rightChars="124"/>
        <w:rPr>
          <w:rFonts w:hint="eastAsia" w:ascii="仿宋" w:hAnsi="仿宋" w:eastAsia="仿宋" w:cs="仿宋"/>
          <w:szCs w:val="21"/>
        </w:rPr>
      </w:pPr>
      <w:r>
        <w:rPr>
          <w:rFonts w:hint="eastAsia" w:ascii="仿宋" w:hAnsi="仿宋" w:eastAsia="仿宋" w:cs="仿宋"/>
          <w:szCs w:val="21"/>
        </w:rPr>
        <w:t>供应商开户银行（全称）：</w:t>
      </w:r>
      <w:r>
        <w:rPr>
          <w:rFonts w:hint="eastAsia" w:ascii="仿宋" w:hAnsi="仿宋" w:eastAsia="仿宋" w:cs="仿宋"/>
          <w:szCs w:val="21"/>
          <w:u w:val="single"/>
        </w:rPr>
        <w:t xml:space="preserve">         </w:t>
      </w:r>
    </w:p>
    <w:p w14:paraId="060D3174">
      <w:pPr>
        <w:tabs>
          <w:tab w:val="left" w:pos="10467"/>
        </w:tabs>
        <w:adjustRightInd w:val="0"/>
        <w:snapToGrid w:val="0"/>
        <w:spacing w:line="360" w:lineRule="auto"/>
        <w:ind w:right="260" w:rightChars="124"/>
        <w:rPr>
          <w:rFonts w:hint="eastAsia" w:ascii="仿宋" w:hAnsi="仿宋" w:eastAsia="仿宋" w:cs="仿宋"/>
          <w:szCs w:val="21"/>
        </w:rPr>
      </w:pPr>
      <w:r>
        <w:rPr>
          <w:rFonts w:hint="eastAsia" w:ascii="仿宋" w:hAnsi="仿宋" w:eastAsia="仿宋" w:cs="仿宋"/>
          <w:szCs w:val="21"/>
        </w:rPr>
        <w:t>供应商银行账号：</w:t>
      </w:r>
      <w:r>
        <w:rPr>
          <w:rFonts w:hint="eastAsia" w:ascii="仿宋" w:hAnsi="仿宋" w:eastAsia="仿宋" w:cs="仿宋"/>
          <w:szCs w:val="21"/>
          <w:u w:val="single"/>
        </w:rPr>
        <w:t xml:space="preserve">                 </w:t>
      </w:r>
    </w:p>
    <w:p w14:paraId="483A13C9">
      <w:pPr>
        <w:adjustRightInd w:val="0"/>
        <w:snapToGrid w:val="0"/>
        <w:spacing w:line="360" w:lineRule="auto"/>
        <w:ind w:right="1050" w:rightChars="500"/>
        <w:rPr>
          <w:rFonts w:hint="eastAsia" w:ascii="仿宋" w:hAnsi="仿宋" w:eastAsia="仿宋" w:cs="仿宋"/>
          <w:szCs w:val="21"/>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014A9D0E">
      <w:pPr>
        <w:tabs>
          <w:tab w:val="left" w:pos="10467"/>
        </w:tabs>
        <w:adjustRightInd w:val="0"/>
        <w:snapToGrid w:val="0"/>
        <w:spacing w:line="360" w:lineRule="auto"/>
        <w:ind w:right="1050" w:rightChars="500"/>
        <w:rPr>
          <w:rFonts w:hint="eastAsia" w:ascii="仿宋" w:hAnsi="仿宋" w:eastAsia="仿宋" w:cs="仿宋"/>
          <w:szCs w:val="21"/>
        </w:rPr>
      </w:pPr>
    </w:p>
    <w:p w14:paraId="78296F1A">
      <w:pPr>
        <w:pStyle w:val="3"/>
        <w:adjustRightInd w:val="0"/>
        <w:snapToGrid w:val="0"/>
        <w:spacing w:line="240" w:lineRule="auto"/>
        <w:jc w:val="left"/>
        <w:rPr>
          <w:rFonts w:hint="eastAsia" w:ascii="仿宋" w:hAnsi="仿宋" w:eastAsia="仿宋" w:cs="仿宋"/>
          <w:sz w:val="28"/>
          <w:szCs w:val="28"/>
          <w:lang w:val="en-US" w:eastAsia="zh-CN"/>
        </w:rPr>
      </w:pPr>
      <w:r>
        <w:rPr>
          <w:rFonts w:hint="eastAsia" w:ascii="仿宋" w:hAnsi="仿宋" w:eastAsia="仿宋" w:cs="仿宋"/>
          <w:szCs w:val="21"/>
        </w:rPr>
        <w:br w:type="page"/>
      </w:r>
      <w:bookmarkStart w:id="81" w:name="_Toc533340158"/>
      <w:bookmarkStart w:id="82" w:name="_Toc4485634"/>
      <w:r>
        <w:rPr>
          <w:rFonts w:hint="eastAsia" w:ascii="仿宋" w:hAnsi="仿宋" w:eastAsia="仿宋" w:cs="仿宋"/>
          <w:sz w:val="28"/>
          <w:szCs w:val="28"/>
        </w:rPr>
        <w:t>格式</w:t>
      </w:r>
      <w:bookmarkEnd w:id="81"/>
      <w:bookmarkEnd w:id="82"/>
      <w:r>
        <w:rPr>
          <w:rFonts w:hint="eastAsia" w:ascii="仿宋" w:hAnsi="仿宋" w:eastAsia="仿宋" w:cs="仿宋"/>
          <w:sz w:val="28"/>
          <w:szCs w:val="28"/>
          <w:lang w:val="en-US" w:eastAsia="zh-CN"/>
        </w:rPr>
        <w:t>10</w:t>
      </w:r>
    </w:p>
    <w:p w14:paraId="5D0249F9">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报价一览表</w:t>
      </w:r>
    </w:p>
    <w:p w14:paraId="7D02ADC3">
      <w:pPr>
        <w:adjustRightInd w:val="0"/>
        <w:snapToGrid w:val="0"/>
        <w:spacing w:line="360" w:lineRule="auto"/>
        <w:ind w:right="105" w:rightChars="50"/>
        <w:jc w:val="left"/>
        <w:rPr>
          <w:rFonts w:hint="eastAsia" w:ascii="仿宋" w:hAnsi="仿宋" w:eastAsia="仿宋" w:cs="仿宋"/>
          <w:b/>
          <w:bCs/>
          <w:szCs w:val="21"/>
        </w:rPr>
      </w:pPr>
      <w:r>
        <w:rPr>
          <w:rFonts w:hint="eastAsia" w:ascii="仿宋" w:hAnsi="仿宋" w:eastAsia="仿宋" w:cs="仿宋"/>
          <w:b/>
          <w:bCs/>
          <w:szCs w:val="21"/>
        </w:rPr>
        <w:t xml:space="preserve">包号：                                                      </w:t>
      </w:r>
      <w:r>
        <w:rPr>
          <w:rFonts w:hint="eastAsia" w:ascii="仿宋" w:hAnsi="仿宋" w:cs="仿宋"/>
          <w:b/>
          <w:bCs/>
          <w:szCs w:val="21"/>
          <w:lang w:val="en-US" w:eastAsia="zh-CN"/>
        </w:rPr>
        <w:t xml:space="preserve">                  </w:t>
      </w:r>
      <w:r>
        <w:rPr>
          <w:rFonts w:hint="eastAsia" w:ascii="仿宋" w:hAnsi="仿宋" w:eastAsia="仿宋" w:cs="仿宋"/>
          <w:b/>
          <w:bCs/>
          <w:szCs w:val="21"/>
        </w:rPr>
        <w:t>报价单位：</w:t>
      </w:r>
      <w:r>
        <w:rPr>
          <w:rFonts w:hint="eastAsia" w:ascii="仿宋" w:hAnsi="仿宋" w:eastAsia="仿宋" w:cs="仿宋"/>
          <w:szCs w:val="21"/>
        </w:rPr>
        <w:t>%</w:t>
      </w:r>
    </w:p>
    <w:tbl>
      <w:tblPr>
        <w:tblStyle w:val="16"/>
        <w:tblW w:w="50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3112"/>
        <w:gridCol w:w="1964"/>
        <w:gridCol w:w="1555"/>
        <w:gridCol w:w="1236"/>
      </w:tblGrid>
      <w:tr w14:paraId="70619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05" w:type="pct"/>
            <w:tcBorders>
              <w:top w:val="single" w:color="auto" w:sz="4" w:space="0"/>
              <w:left w:val="single" w:color="auto" w:sz="4" w:space="0"/>
              <w:bottom w:val="single" w:color="auto" w:sz="4" w:space="0"/>
              <w:right w:val="single" w:color="auto" w:sz="4" w:space="0"/>
            </w:tcBorders>
            <w:noWrap w:val="0"/>
            <w:vAlign w:val="center"/>
          </w:tcPr>
          <w:p w14:paraId="1883B9B1">
            <w:pPr>
              <w:adjustRightInd w:val="0"/>
              <w:snapToGrid w:val="0"/>
              <w:ind w:left="-55" w:leftChars="-26" w:right="-46" w:rightChars="-22"/>
              <w:jc w:val="center"/>
              <w:rPr>
                <w:rFonts w:hint="eastAsia" w:ascii="仿宋" w:hAnsi="仿宋" w:eastAsia="仿宋" w:cs="仿宋"/>
                <w:szCs w:val="21"/>
              </w:rPr>
            </w:pPr>
            <w:r>
              <w:rPr>
                <w:rFonts w:hint="eastAsia" w:ascii="仿宋" w:hAnsi="仿宋" w:eastAsia="仿宋" w:cs="仿宋"/>
                <w:szCs w:val="21"/>
              </w:rPr>
              <w:t>服务名称</w:t>
            </w:r>
          </w:p>
        </w:tc>
        <w:tc>
          <w:tcPr>
            <w:tcW w:w="1619" w:type="pct"/>
            <w:tcBorders>
              <w:top w:val="single" w:color="auto" w:sz="4" w:space="0"/>
              <w:left w:val="single" w:color="auto" w:sz="4" w:space="0"/>
              <w:bottom w:val="single" w:color="auto" w:sz="4" w:space="0"/>
              <w:right w:val="single" w:color="auto" w:sz="4" w:space="0"/>
            </w:tcBorders>
            <w:noWrap w:val="0"/>
            <w:vAlign w:val="center"/>
          </w:tcPr>
          <w:p w14:paraId="27C17320">
            <w:pPr>
              <w:adjustRightInd w:val="0"/>
              <w:snapToGrid w:val="0"/>
              <w:ind w:left="-55" w:leftChars="-26" w:right="-46" w:rightChars="-22"/>
              <w:jc w:val="center"/>
              <w:rPr>
                <w:rFonts w:hint="eastAsia" w:ascii="仿宋" w:hAnsi="仿宋" w:eastAsia="仿宋" w:cs="仿宋"/>
                <w:szCs w:val="21"/>
              </w:rPr>
            </w:pPr>
            <w:r>
              <w:rPr>
                <w:rFonts w:hint="eastAsia" w:ascii="仿宋" w:hAnsi="仿宋" w:eastAsia="仿宋" w:cs="仿宋"/>
                <w:szCs w:val="21"/>
              </w:rPr>
              <w:t>投标报价</w:t>
            </w:r>
          </w:p>
        </w:tc>
        <w:tc>
          <w:tcPr>
            <w:tcW w:w="1022" w:type="pct"/>
            <w:tcBorders>
              <w:top w:val="single" w:color="auto" w:sz="4" w:space="0"/>
              <w:left w:val="single" w:color="auto" w:sz="4" w:space="0"/>
              <w:bottom w:val="single" w:color="auto" w:sz="4" w:space="0"/>
              <w:right w:val="single" w:color="auto" w:sz="4" w:space="0"/>
            </w:tcBorders>
            <w:noWrap w:val="0"/>
            <w:vAlign w:val="center"/>
          </w:tcPr>
          <w:p w14:paraId="39BA29FD">
            <w:pPr>
              <w:adjustRightInd w:val="0"/>
              <w:snapToGrid w:val="0"/>
              <w:ind w:right="-34" w:rightChars="-16"/>
              <w:jc w:val="center"/>
              <w:rPr>
                <w:rFonts w:hint="eastAsia" w:ascii="仿宋" w:hAnsi="仿宋" w:eastAsia="仿宋" w:cs="仿宋"/>
                <w:szCs w:val="21"/>
              </w:rPr>
            </w:pPr>
            <w:r>
              <w:rPr>
                <w:rFonts w:hint="eastAsia" w:ascii="仿宋" w:hAnsi="仿宋" w:eastAsia="仿宋" w:cs="仿宋"/>
                <w:szCs w:val="21"/>
              </w:rPr>
              <w:t>履约期限</w:t>
            </w:r>
          </w:p>
        </w:tc>
        <w:tc>
          <w:tcPr>
            <w:tcW w:w="809" w:type="pct"/>
            <w:tcBorders>
              <w:top w:val="single" w:color="auto" w:sz="4" w:space="0"/>
              <w:left w:val="single" w:color="auto" w:sz="4" w:space="0"/>
              <w:bottom w:val="single" w:color="auto" w:sz="4" w:space="0"/>
              <w:right w:val="single" w:color="auto" w:sz="4" w:space="0"/>
            </w:tcBorders>
            <w:noWrap w:val="0"/>
            <w:vAlign w:val="center"/>
          </w:tcPr>
          <w:p w14:paraId="0DF1FDB1">
            <w:pPr>
              <w:adjustRightInd w:val="0"/>
              <w:snapToGrid w:val="0"/>
              <w:ind w:right="-42" w:rightChars="-20"/>
              <w:jc w:val="center"/>
              <w:rPr>
                <w:rFonts w:hint="eastAsia" w:ascii="仿宋" w:hAnsi="仿宋" w:eastAsia="仿宋" w:cs="仿宋"/>
                <w:szCs w:val="21"/>
              </w:rPr>
            </w:pPr>
            <w:r>
              <w:rPr>
                <w:rFonts w:hint="eastAsia" w:ascii="仿宋" w:hAnsi="仿宋" w:eastAsia="仿宋" w:cs="仿宋"/>
                <w:szCs w:val="21"/>
              </w:rPr>
              <w:t>履约地点</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22250571">
            <w:pPr>
              <w:adjustRightInd w:val="0"/>
              <w:snapToGrid w:val="0"/>
              <w:ind w:left="-55" w:leftChars="-26" w:right="-46" w:rightChars="-22"/>
              <w:jc w:val="center"/>
              <w:rPr>
                <w:rFonts w:hint="eastAsia" w:ascii="仿宋" w:hAnsi="仿宋" w:eastAsia="仿宋" w:cs="仿宋"/>
                <w:szCs w:val="21"/>
              </w:rPr>
            </w:pPr>
            <w:r>
              <w:rPr>
                <w:rFonts w:hint="eastAsia" w:ascii="仿宋" w:hAnsi="仿宋" w:eastAsia="仿宋" w:cs="仿宋"/>
                <w:szCs w:val="21"/>
              </w:rPr>
              <w:t>备注</w:t>
            </w:r>
          </w:p>
        </w:tc>
      </w:tr>
      <w:tr w14:paraId="64CA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8" w:hRule="atLeast"/>
          <w:jc w:val="center"/>
        </w:trPr>
        <w:tc>
          <w:tcPr>
            <w:tcW w:w="905" w:type="pct"/>
            <w:tcBorders>
              <w:top w:val="single" w:color="auto" w:sz="4" w:space="0"/>
              <w:left w:val="single" w:color="auto" w:sz="4" w:space="0"/>
              <w:bottom w:val="single" w:color="auto" w:sz="4" w:space="0"/>
              <w:right w:val="single" w:color="auto" w:sz="4" w:space="0"/>
            </w:tcBorders>
            <w:noWrap w:val="0"/>
            <w:vAlign w:val="center"/>
          </w:tcPr>
          <w:p w14:paraId="5B30760B">
            <w:pPr>
              <w:adjustRightInd w:val="0"/>
              <w:snapToGrid w:val="0"/>
              <w:ind w:left="-55" w:leftChars="-26" w:right="-46" w:rightChars="-22"/>
              <w:jc w:val="center"/>
              <w:rPr>
                <w:rFonts w:hint="eastAsia" w:ascii="仿宋" w:hAnsi="仿宋" w:eastAsia="仿宋" w:cs="仿宋"/>
                <w:szCs w:val="21"/>
              </w:rPr>
            </w:pPr>
            <w:r>
              <w:rPr>
                <w:rFonts w:hint="eastAsia" w:ascii="仿宋" w:hAnsi="仿宋" w:eastAsia="仿宋" w:cs="仿宋"/>
                <w:szCs w:val="21"/>
              </w:rPr>
              <w:t>检验项目</w:t>
            </w:r>
          </w:p>
          <w:p w14:paraId="0F27CF99">
            <w:pPr>
              <w:adjustRightInd w:val="0"/>
              <w:snapToGrid w:val="0"/>
              <w:ind w:left="-55" w:leftChars="-26" w:right="-46" w:rightChars="-22"/>
              <w:jc w:val="center"/>
              <w:rPr>
                <w:rFonts w:hint="eastAsia" w:ascii="仿宋" w:hAnsi="仿宋" w:eastAsia="仿宋" w:cs="仿宋"/>
                <w:szCs w:val="21"/>
              </w:rPr>
            </w:pPr>
            <w:r>
              <w:rPr>
                <w:rFonts w:hint="eastAsia" w:ascii="仿宋" w:hAnsi="仿宋" w:eastAsia="仿宋" w:cs="仿宋"/>
                <w:szCs w:val="21"/>
              </w:rPr>
              <w:t>外送服务</w:t>
            </w:r>
          </w:p>
        </w:tc>
        <w:tc>
          <w:tcPr>
            <w:tcW w:w="1619" w:type="pct"/>
            <w:tcBorders>
              <w:top w:val="single" w:color="auto" w:sz="4" w:space="0"/>
              <w:left w:val="single" w:color="auto" w:sz="4" w:space="0"/>
              <w:bottom w:val="single" w:color="auto" w:sz="4" w:space="0"/>
              <w:right w:val="single" w:color="auto" w:sz="4" w:space="0"/>
            </w:tcBorders>
            <w:noWrap w:val="0"/>
            <w:vAlign w:val="center"/>
          </w:tcPr>
          <w:p w14:paraId="6FA2BDB6">
            <w:pPr>
              <w:adjustRightInd w:val="0"/>
              <w:snapToGrid w:val="0"/>
              <w:ind w:left="-55" w:leftChars="-26" w:right="-46" w:rightChars="-22"/>
              <w:jc w:val="left"/>
              <w:rPr>
                <w:rFonts w:hint="eastAsia" w:ascii="仿宋" w:hAnsi="仿宋" w:eastAsia="仿宋" w:cs="仿宋"/>
                <w:szCs w:val="21"/>
              </w:rPr>
            </w:pPr>
            <w:r>
              <w:rPr>
                <w:rFonts w:hint="eastAsia" w:ascii="仿宋" w:hAnsi="仿宋" w:eastAsia="仿宋" w:cs="仿宋"/>
                <w:szCs w:val="21"/>
              </w:rPr>
              <w:t>检验项目外送服务收费最高限价为辽宁省政府相关规定的收费标准的55%为基准价，投标人承诺检验项目外送服务收费为基准价的</w:t>
            </w:r>
            <w:r>
              <w:rPr>
                <w:rFonts w:hint="eastAsia" w:ascii="仿宋" w:hAnsi="仿宋" w:eastAsia="仿宋" w:cs="仿宋"/>
                <w:szCs w:val="21"/>
                <w:u w:val="single"/>
              </w:rPr>
              <w:t xml:space="preserve">   </w:t>
            </w:r>
            <w:r>
              <w:rPr>
                <w:rFonts w:hint="eastAsia" w:ascii="仿宋" w:hAnsi="仿宋" w:eastAsia="仿宋" w:cs="仿宋"/>
                <w:szCs w:val="21"/>
              </w:rPr>
              <w:t xml:space="preserve">%。（保留小数点后两位） </w:t>
            </w:r>
          </w:p>
        </w:tc>
        <w:tc>
          <w:tcPr>
            <w:tcW w:w="1022" w:type="pct"/>
            <w:tcBorders>
              <w:top w:val="single" w:color="auto" w:sz="4" w:space="0"/>
              <w:left w:val="single" w:color="auto" w:sz="4" w:space="0"/>
              <w:bottom w:val="single" w:color="auto" w:sz="4" w:space="0"/>
              <w:right w:val="single" w:color="auto" w:sz="4" w:space="0"/>
            </w:tcBorders>
            <w:noWrap w:val="0"/>
            <w:vAlign w:val="center"/>
          </w:tcPr>
          <w:p w14:paraId="430DE7DC">
            <w:pPr>
              <w:adjustRightInd w:val="0"/>
              <w:snapToGrid w:val="0"/>
              <w:ind w:left="-55" w:leftChars="-26" w:right="-46" w:rightChars="-22"/>
              <w:jc w:val="left"/>
              <w:rPr>
                <w:rFonts w:hint="eastAsia" w:ascii="仿宋" w:hAnsi="仿宋" w:eastAsia="仿宋" w:cs="仿宋"/>
                <w:szCs w:val="21"/>
              </w:rPr>
            </w:pPr>
          </w:p>
        </w:tc>
        <w:tc>
          <w:tcPr>
            <w:tcW w:w="809" w:type="pct"/>
            <w:tcBorders>
              <w:top w:val="single" w:color="auto" w:sz="4" w:space="0"/>
              <w:left w:val="single" w:color="auto" w:sz="4" w:space="0"/>
              <w:bottom w:val="single" w:color="auto" w:sz="4" w:space="0"/>
              <w:right w:val="single" w:color="auto" w:sz="4" w:space="0"/>
            </w:tcBorders>
            <w:noWrap w:val="0"/>
            <w:vAlign w:val="center"/>
          </w:tcPr>
          <w:p w14:paraId="5C9C23E7">
            <w:pPr>
              <w:adjustRightInd w:val="0"/>
              <w:snapToGrid w:val="0"/>
              <w:ind w:right="-42" w:rightChars="-20"/>
              <w:jc w:val="center"/>
              <w:rPr>
                <w:rFonts w:hint="eastAsia" w:ascii="仿宋" w:hAnsi="仿宋" w:eastAsia="仿宋" w:cs="仿宋"/>
                <w:szCs w:val="21"/>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56D92CB1">
            <w:pPr>
              <w:adjustRightInd w:val="0"/>
              <w:snapToGrid w:val="0"/>
              <w:ind w:left="-55" w:leftChars="-26" w:right="-46" w:rightChars="-22"/>
              <w:jc w:val="left"/>
              <w:rPr>
                <w:rFonts w:hint="eastAsia" w:ascii="仿宋" w:hAnsi="仿宋" w:eastAsia="仿宋" w:cs="仿宋"/>
                <w:szCs w:val="21"/>
              </w:rPr>
            </w:pPr>
          </w:p>
        </w:tc>
      </w:tr>
    </w:tbl>
    <w:p w14:paraId="774B5CAF">
      <w:pPr>
        <w:adjustRightInd w:val="0"/>
        <w:snapToGrid w:val="0"/>
        <w:spacing w:line="360" w:lineRule="auto"/>
        <w:ind w:right="105" w:rightChars="50"/>
        <w:jc w:val="left"/>
        <w:rPr>
          <w:rFonts w:hint="eastAsia" w:ascii="仿宋" w:hAnsi="仿宋" w:eastAsia="仿宋" w:cs="仿宋"/>
          <w:szCs w:val="21"/>
        </w:rPr>
      </w:pPr>
    </w:p>
    <w:p w14:paraId="5B2C638D">
      <w:pPr>
        <w:adjustRightInd w:val="0"/>
        <w:snapToGrid w:val="0"/>
        <w:spacing w:line="360" w:lineRule="auto"/>
        <w:ind w:right="105" w:rightChars="50"/>
        <w:jc w:val="left"/>
        <w:rPr>
          <w:rFonts w:hint="eastAsia" w:ascii="仿宋" w:hAnsi="仿宋" w:eastAsia="仿宋" w:cs="仿宋"/>
          <w:szCs w:val="21"/>
        </w:rPr>
      </w:pPr>
      <w:r>
        <w:rPr>
          <w:rFonts w:hint="eastAsia" w:ascii="仿宋" w:hAnsi="仿宋" w:eastAsia="仿宋" w:cs="仿宋"/>
          <w:szCs w:val="21"/>
        </w:rPr>
        <w:t>注：1、此表中，响应总价应和服务价格明细表的总价相一致。</w:t>
      </w:r>
    </w:p>
    <w:p w14:paraId="1CF583DB">
      <w:pPr>
        <w:adjustRightInd w:val="0"/>
        <w:snapToGrid w:val="0"/>
        <w:spacing w:line="360" w:lineRule="auto"/>
        <w:ind w:right="105" w:rightChars="50"/>
        <w:jc w:val="left"/>
        <w:rPr>
          <w:rFonts w:hint="eastAsia" w:ascii="仿宋" w:hAnsi="仿宋" w:eastAsia="仿宋" w:cs="仿宋"/>
          <w:szCs w:val="21"/>
        </w:rPr>
      </w:pPr>
    </w:p>
    <w:p w14:paraId="06B62215">
      <w:pPr>
        <w:adjustRightInd w:val="0"/>
        <w:snapToGrid w:val="0"/>
        <w:spacing w:line="360" w:lineRule="auto"/>
        <w:ind w:right="105" w:rightChars="50"/>
        <w:jc w:val="left"/>
        <w:rPr>
          <w:rFonts w:hint="eastAsia" w:ascii="仿宋" w:hAnsi="仿宋" w:eastAsia="仿宋" w:cs="仿宋"/>
          <w:szCs w:val="21"/>
        </w:rPr>
      </w:pPr>
    </w:p>
    <w:p w14:paraId="4F69A648">
      <w:pPr>
        <w:adjustRightInd w:val="0"/>
        <w:snapToGrid w:val="0"/>
        <w:spacing w:line="360" w:lineRule="auto"/>
        <w:ind w:right="105" w:rightChars="50"/>
        <w:jc w:val="left"/>
        <w:rPr>
          <w:rFonts w:hint="eastAsia" w:ascii="仿宋" w:hAnsi="仿宋" w:eastAsia="仿宋" w:cs="仿宋"/>
          <w:szCs w:val="21"/>
        </w:rPr>
      </w:pPr>
    </w:p>
    <w:p w14:paraId="6F131C7A">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lang w:eastAsia="zh-CN"/>
        </w:rPr>
        <w:t>投标人</w:t>
      </w:r>
      <w:r>
        <w:rPr>
          <w:rFonts w:hint="eastAsia" w:ascii="仿宋" w:hAnsi="仿宋" w:eastAsia="仿宋" w:cs="仿宋"/>
          <w:szCs w:val="21"/>
        </w:rPr>
        <w:t>（加盖单位公章）:</w:t>
      </w:r>
      <w:r>
        <w:rPr>
          <w:rFonts w:hint="eastAsia" w:ascii="仿宋" w:hAnsi="仿宋" w:eastAsia="仿宋" w:cs="仿宋"/>
          <w:szCs w:val="21"/>
          <w:u w:val="single"/>
        </w:rPr>
        <w:t xml:space="preserve">               </w:t>
      </w:r>
    </w:p>
    <w:p w14:paraId="76D8D7A6">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rPr>
        <w:t>法定代表人（或非法人组织负责人）或其</w:t>
      </w:r>
      <w:r>
        <w:rPr>
          <w:rFonts w:hint="eastAsia" w:ascii="仿宋" w:hAnsi="仿宋" w:eastAsia="仿宋" w:cs="仿宋"/>
        </w:rPr>
        <w:t>授权委托人（签字或盖章）</w:t>
      </w:r>
      <w:r>
        <w:rPr>
          <w:rFonts w:hint="eastAsia" w:ascii="仿宋" w:hAnsi="仿宋" w:eastAsia="仿宋" w:cs="仿宋"/>
          <w:szCs w:val="21"/>
        </w:rPr>
        <w:t>:</w:t>
      </w:r>
      <w:r>
        <w:rPr>
          <w:rFonts w:hint="eastAsia" w:ascii="仿宋" w:hAnsi="仿宋" w:eastAsia="仿宋" w:cs="仿宋"/>
          <w:szCs w:val="21"/>
          <w:u w:val="single"/>
        </w:rPr>
        <w:t xml:space="preserve">               </w:t>
      </w:r>
    </w:p>
    <w:p w14:paraId="4B7E0AB3">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p>
    <w:p w14:paraId="7545CAE6">
      <w:pPr>
        <w:adjustRightInd w:val="0"/>
        <w:snapToGrid w:val="0"/>
        <w:spacing w:line="360" w:lineRule="auto"/>
        <w:ind w:right="105" w:rightChars="50"/>
        <w:jc w:val="left"/>
        <w:rPr>
          <w:rFonts w:hint="eastAsia" w:ascii="仿宋" w:hAnsi="仿宋" w:eastAsia="仿宋" w:cs="仿宋"/>
          <w:szCs w:val="21"/>
        </w:rPr>
      </w:pPr>
    </w:p>
    <w:p w14:paraId="192F72E4">
      <w:pPr>
        <w:widowControl/>
        <w:jc w:val="left"/>
        <w:outlineLvl w:val="1"/>
        <w:rPr>
          <w:rFonts w:hint="eastAsia" w:ascii="仿宋" w:hAnsi="仿宋" w:eastAsia="仿宋" w:cs="仿宋"/>
          <w:b/>
          <w:bCs/>
          <w:sz w:val="28"/>
          <w:szCs w:val="28"/>
          <w:lang w:eastAsia="zh-CN"/>
        </w:rPr>
      </w:pPr>
      <w:r>
        <w:rPr>
          <w:rFonts w:hint="eastAsia" w:ascii="仿宋" w:hAnsi="仿宋" w:eastAsia="仿宋" w:cs="仿宋"/>
          <w:szCs w:val="21"/>
        </w:rPr>
        <w:br w:type="page"/>
      </w:r>
      <w:bookmarkStart w:id="83" w:name="_Toc533340159"/>
      <w:bookmarkStart w:id="84" w:name="_Toc4485635"/>
      <w:r>
        <w:rPr>
          <w:rFonts w:hint="eastAsia" w:ascii="仿宋" w:hAnsi="仿宋" w:eastAsia="仿宋" w:cs="仿宋"/>
          <w:b/>
          <w:bCs/>
          <w:sz w:val="28"/>
          <w:szCs w:val="28"/>
        </w:rPr>
        <w:t>格式1</w:t>
      </w:r>
      <w:bookmarkEnd w:id="83"/>
      <w:bookmarkEnd w:id="84"/>
      <w:r>
        <w:rPr>
          <w:rFonts w:hint="eastAsia" w:ascii="仿宋" w:hAnsi="仿宋" w:eastAsia="仿宋" w:cs="仿宋"/>
          <w:b/>
          <w:bCs/>
          <w:sz w:val="28"/>
          <w:szCs w:val="28"/>
          <w:lang w:val="en-US" w:eastAsia="zh-CN"/>
        </w:rPr>
        <w:t>1</w:t>
      </w:r>
    </w:p>
    <w:p w14:paraId="59BA36A0">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r>
        <w:rPr>
          <w:rFonts w:hint="eastAsia" w:ascii="仿宋" w:hAnsi="仿宋" w:cs="仿宋"/>
          <w:b/>
          <w:bCs/>
          <w:sz w:val="32"/>
          <w:szCs w:val="32"/>
          <w:lang w:val="en-US" w:eastAsia="zh-CN"/>
        </w:rPr>
        <w:t>服务价格明细表</w:t>
      </w:r>
    </w:p>
    <w:p w14:paraId="4B1B463C">
      <w:pPr>
        <w:adjustRightInd w:val="0"/>
        <w:snapToGrid w:val="0"/>
        <w:spacing w:line="360" w:lineRule="auto"/>
        <w:ind w:right="105" w:rightChars="50"/>
        <w:jc w:val="left"/>
        <w:rPr>
          <w:rFonts w:hint="eastAsia" w:ascii="仿宋" w:hAnsi="仿宋" w:eastAsia="仿宋" w:cs="仿宋"/>
          <w:b/>
          <w:bCs/>
          <w:szCs w:val="21"/>
        </w:rPr>
      </w:pPr>
      <w:r>
        <w:rPr>
          <w:rFonts w:hint="eastAsia" w:ascii="仿宋" w:hAnsi="仿宋" w:eastAsia="仿宋" w:cs="仿宋"/>
          <w:b/>
          <w:bCs/>
          <w:szCs w:val="21"/>
        </w:rPr>
        <w:t xml:space="preserve">包号：001                                                      </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4805"/>
        <w:gridCol w:w="1838"/>
        <w:gridCol w:w="1745"/>
      </w:tblGrid>
      <w:tr w14:paraId="6604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9" w:hRule="atLeast"/>
          <w:jc w:val="center"/>
        </w:trPr>
        <w:tc>
          <w:tcPr>
            <w:tcW w:w="496" w:type="pct"/>
            <w:noWrap w:val="0"/>
            <w:vAlign w:val="center"/>
          </w:tcPr>
          <w:p w14:paraId="4243CCA2">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2013" w:type="pct"/>
            <w:noWrap w:val="0"/>
            <w:vAlign w:val="center"/>
          </w:tcPr>
          <w:p w14:paraId="1D153571">
            <w:pPr>
              <w:adjustRightInd w:val="0"/>
              <w:snapToGrid w:val="0"/>
              <w:ind w:left="-65" w:leftChars="-31"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770" w:type="pct"/>
            <w:noWrap w:val="0"/>
            <w:vAlign w:val="center"/>
          </w:tcPr>
          <w:p w14:paraId="749533E1">
            <w:pPr>
              <w:adjustRightInd w:val="0"/>
              <w:snapToGrid w:val="0"/>
              <w:ind w:left="-65" w:leftChars="-31" w:right="-46" w:rightChars="-22"/>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最高限价（%）</w:t>
            </w:r>
          </w:p>
        </w:tc>
        <w:tc>
          <w:tcPr>
            <w:tcW w:w="731" w:type="pct"/>
            <w:noWrap w:val="0"/>
            <w:vAlign w:val="center"/>
          </w:tcPr>
          <w:p w14:paraId="32A515D7">
            <w:pPr>
              <w:adjustRightInd w:val="0"/>
              <w:snapToGrid w:val="0"/>
              <w:ind w:left="-65" w:leftChars="-31" w:right="-46" w:rightChars="-22"/>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投标折扣（%）</w:t>
            </w:r>
          </w:p>
        </w:tc>
      </w:tr>
      <w:tr w14:paraId="0488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496" w:type="pct"/>
            <w:noWrap w:val="0"/>
            <w:vAlign w:val="center"/>
          </w:tcPr>
          <w:p w14:paraId="26C2C126">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w:t>
            </w:r>
          </w:p>
        </w:tc>
        <w:tc>
          <w:tcPr>
            <w:tcW w:w="2013" w:type="pct"/>
            <w:noWrap w:val="0"/>
            <w:vAlign w:val="center"/>
          </w:tcPr>
          <w:p w14:paraId="743850CD">
            <w:pPr>
              <w:adjustRightInd w:val="0"/>
              <w:snapToGrid w:val="0"/>
              <w:ind w:left="-65" w:leftChars="-31" w:right="-46" w:rightChars="-22"/>
              <w:jc w:val="center"/>
              <w:rPr>
                <w:rFonts w:hint="eastAsia" w:ascii="仿宋_GB2312" w:hAnsi="仿宋_GB2312" w:eastAsia="仿宋_GB2312" w:cs="仿宋_GB2312"/>
                <w:szCs w:val="21"/>
              </w:rPr>
            </w:pPr>
            <w:r>
              <w:rPr>
                <w:rFonts w:hint="eastAsia" w:ascii="仿宋" w:hAnsi="仿宋" w:eastAsia="仿宋" w:cs="仿宋"/>
                <w:color w:val="auto"/>
                <w:kern w:val="0"/>
                <w:sz w:val="21"/>
                <w:szCs w:val="21"/>
                <w:lang w:val="en-US" w:eastAsia="zh-CN"/>
              </w:rPr>
              <w:t>(001)义县县域医共体与第三方医学检验机构联合建设区域检验与病理中心项目</w:t>
            </w:r>
          </w:p>
        </w:tc>
        <w:tc>
          <w:tcPr>
            <w:tcW w:w="770" w:type="pct"/>
            <w:noWrap w:val="0"/>
            <w:vAlign w:val="center"/>
          </w:tcPr>
          <w:p w14:paraId="6B18AD13">
            <w:pPr>
              <w:adjustRightInd w:val="0"/>
              <w:snapToGrid w:val="0"/>
              <w:ind w:right="105" w:rightChars="50"/>
              <w:jc w:val="right"/>
              <w:rPr>
                <w:rFonts w:hint="eastAsia" w:ascii="仿宋_GB2312" w:hAnsi="仿宋_GB2312" w:eastAsia="仿宋_GB2312" w:cs="仿宋_GB2312"/>
                <w:szCs w:val="21"/>
                <w:lang w:val="en-US" w:eastAsia="zh-CN"/>
              </w:rPr>
            </w:pPr>
          </w:p>
        </w:tc>
        <w:tc>
          <w:tcPr>
            <w:tcW w:w="731" w:type="pct"/>
            <w:noWrap w:val="0"/>
            <w:vAlign w:val="center"/>
          </w:tcPr>
          <w:p w14:paraId="1AB58238">
            <w:pPr>
              <w:adjustRightInd w:val="0"/>
              <w:snapToGrid w:val="0"/>
              <w:ind w:right="105" w:rightChars="50"/>
              <w:jc w:val="right"/>
              <w:rPr>
                <w:rFonts w:ascii="仿宋_GB2312" w:hAnsi="仿宋_GB2312" w:eastAsia="仿宋_GB2312" w:cs="仿宋_GB2312"/>
                <w:szCs w:val="21"/>
              </w:rPr>
            </w:pPr>
          </w:p>
        </w:tc>
      </w:tr>
    </w:tbl>
    <w:p w14:paraId="0EC10A0E">
      <w:pPr>
        <w:adjustRightInd w:val="0"/>
        <w:snapToGrid w:val="0"/>
        <w:spacing w:line="360" w:lineRule="auto"/>
        <w:ind w:right="105" w:rightChars="50"/>
        <w:jc w:val="left"/>
        <w:rPr>
          <w:rFonts w:hint="eastAsia" w:ascii="仿宋" w:hAnsi="仿宋" w:eastAsia="仿宋" w:cs="仿宋"/>
          <w:szCs w:val="21"/>
        </w:rPr>
      </w:pPr>
    </w:p>
    <w:p w14:paraId="29A76523">
      <w:pPr>
        <w:adjustRightInd w:val="0"/>
        <w:snapToGrid w:val="0"/>
        <w:spacing w:line="360" w:lineRule="auto"/>
        <w:ind w:right="105" w:rightChars="50" w:firstLine="420" w:firstLineChars="200"/>
        <w:jc w:val="left"/>
        <w:rPr>
          <w:rFonts w:hint="eastAsia" w:ascii="仿宋" w:hAnsi="仿宋" w:eastAsia="仿宋" w:cs="仿宋"/>
          <w:szCs w:val="21"/>
        </w:rPr>
      </w:pPr>
      <w:r>
        <w:rPr>
          <w:rFonts w:hint="eastAsia" w:ascii="仿宋" w:hAnsi="仿宋" w:eastAsia="仿宋" w:cs="仿宋"/>
          <w:szCs w:val="21"/>
        </w:rPr>
        <w:t>注：1.此表中，总价应和报价一览表的响应总价相一致。</w:t>
      </w:r>
    </w:p>
    <w:p w14:paraId="77E3D216">
      <w:pPr>
        <w:adjustRightInd w:val="0"/>
        <w:snapToGrid w:val="0"/>
        <w:spacing w:line="360" w:lineRule="auto"/>
        <w:ind w:right="105" w:rightChars="50" w:firstLine="843" w:firstLineChars="400"/>
        <w:jc w:val="left"/>
        <w:rPr>
          <w:rFonts w:hint="eastAsia" w:ascii="仿宋" w:hAnsi="仿宋" w:eastAsia="仿宋" w:cs="仿宋"/>
          <w:b/>
          <w:bCs/>
          <w:szCs w:val="21"/>
        </w:rPr>
      </w:pPr>
      <w:r>
        <w:rPr>
          <w:rFonts w:hint="eastAsia" w:ascii="仿宋" w:hAnsi="仿宋" w:eastAsia="仿宋" w:cs="仿宋"/>
          <w:b/>
          <w:bCs/>
          <w:szCs w:val="21"/>
        </w:rPr>
        <w:t>2.本表须根据实际情况进行拓展。</w:t>
      </w:r>
    </w:p>
    <w:p w14:paraId="2E2B3CE5">
      <w:pPr>
        <w:adjustRightInd w:val="0"/>
        <w:snapToGrid w:val="0"/>
        <w:spacing w:line="360" w:lineRule="auto"/>
        <w:ind w:right="105" w:rightChars="50" w:firstLine="420" w:firstLineChars="200"/>
        <w:jc w:val="left"/>
        <w:rPr>
          <w:rFonts w:hint="eastAsia" w:ascii="仿宋" w:hAnsi="仿宋" w:eastAsia="仿宋" w:cs="仿宋"/>
          <w:szCs w:val="21"/>
        </w:rPr>
      </w:pPr>
    </w:p>
    <w:p w14:paraId="463BAB3F">
      <w:pPr>
        <w:adjustRightInd w:val="0"/>
        <w:snapToGrid w:val="0"/>
        <w:spacing w:line="360" w:lineRule="auto"/>
        <w:ind w:right="105" w:rightChars="50" w:firstLine="420" w:firstLineChars="200"/>
        <w:jc w:val="left"/>
        <w:rPr>
          <w:rFonts w:hint="eastAsia" w:ascii="仿宋" w:hAnsi="仿宋" w:eastAsia="仿宋" w:cs="仿宋"/>
          <w:szCs w:val="21"/>
        </w:rPr>
      </w:pPr>
    </w:p>
    <w:p w14:paraId="2213AFD8">
      <w:pPr>
        <w:adjustRightInd w:val="0"/>
        <w:snapToGrid w:val="0"/>
        <w:spacing w:line="360" w:lineRule="auto"/>
        <w:ind w:right="105" w:rightChars="50"/>
        <w:jc w:val="left"/>
        <w:rPr>
          <w:rFonts w:hint="eastAsia" w:ascii="仿宋" w:hAnsi="仿宋" w:eastAsia="仿宋" w:cs="仿宋"/>
          <w:szCs w:val="21"/>
        </w:rPr>
      </w:pPr>
    </w:p>
    <w:p w14:paraId="159ABBD7">
      <w:pPr>
        <w:adjustRightInd w:val="0"/>
        <w:snapToGrid w:val="0"/>
        <w:spacing w:line="360" w:lineRule="auto"/>
        <w:ind w:right="105" w:rightChars="50"/>
        <w:jc w:val="left"/>
        <w:rPr>
          <w:rFonts w:hint="eastAsia" w:ascii="仿宋" w:hAnsi="仿宋" w:eastAsia="仿宋" w:cs="仿宋"/>
          <w:szCs w:val="21"/>
        </w:rPr>
      </w:pPr>
    </w:p>
    <w:p w14:paraId="57891465">
      <w:pPr>
        <w:adjustRightInd w:val="0"/>
        <w:snapToGrid w:val="0"/>
        <w:spacing w:line="480" w:lineRule="auto"/>
        <w:rPr>
          <w:rFonts w:hint="eastAsia" w:ascii="仿宋" w:hAnsi="仿宋" w:eastAsia="仿宋" w:cs="仿宋"/>
        </w:rPr>
      </w:pPr>
      <w:r>
        <w:rPr>
          <w:rFonts w:hint="eastAsia" w:ascii="仿宋" w:hAnsi="仿宋" w:eastAsia="仿宋" w:cs="仿宋"/>
        </w:rPr>
        <w:t>投标人名称（加盖单位公章）：</w:t>
      </w:r>
      <w:r>
        <w:rPr>
          <w:rFonts w:hint="eastAsia" w:ascii="仿宋" w:hAnsi="仿宋" w:eastAsia="仿宋" w:cs="仿宋"/>
          <w:u w:val="single"/>
        </w:rPr>
        <w:t xml:space="preserve">           </w:t>
      </w:r>
    </w:p>
    <w:p w14:paraId="1EB6E0DB">
      <w:pPr>
        <w:adjustRightInd w:val="0"/>
        <w:snapToGrid w:val="0"/>
        <w:spacing w:line="480" w:lineRule="auto"/>
        <w:rPr>
          <w:rFonts w:hint="eastAsia" w:ascii="仿宋" w:hAnsi="仿宋" w:eastAsia="仿宋" w:cs="仿宋"/>
        </w:rPr>
      </w:pPr>
      <w:r>
        <w:rPr>
          <w:rFonts w:hint="eastAsia" w:ascii="仿宋" w:hAnsi="仿宋" w:eastAsia="仿宋" w:cs="仿宋"/>
        </w:rPr>
        <w:t>法定代表人（或</w:t>
      </w:r>
      <w:r>
        <w:rPr>
          <w:rFonts w:hint="eastAsia" w:ascii="仿宋" w:hAnsi="仿宋" w:eastAsia="仿宋" w:cs="仿宋"/>
          <w:szCs w:val="21"/>
        </w:rPr>
        <w:t>非法人组织负责人）或</w:t>
      </w:r>
      <w:r>
        <w:rPr>
          <w:rFonts w:hint="eastAsia" w:ascii="仿宋" w:hAnsi="仿宋" w:eastAsia="仿宋" w:cs="仿宋"/>
        </w:rPr>
        <w:t>其</w:t>
      </w:r>
      <w:r>
        <w:rPr>
          <w:rFonts w:hint="eastAsia" w:ascii="仿宋" w:hAnsi="仿宋" w:eastAsia="仿宋" w:cs="仿宋"/>
          <w:szCs w:val="21"/>
        </w:rPr>
        <w:t>授权</w:t>
      </w:r>
      <w:r>
        <w:rPr>
          <w:rFonts w:hint="eastAsia" w:ascii="仿宋" w:hAnsi="仿宋" w:eastAsia="仿宋" w:cs="仿宋"/>
        </w:rPr>
        <w:t>委托</w:t>
      </w:r>
      <w:r>
        <w:rPr>
          <w:rFonts w:hint="eastAsia" w:ascii="仿宋" w:hAnsi="仿宋" w:eastAsia="仿宋" w:cs="仿宋"/>
          <w:szCs w:val="21"/>
        </w:rPr>
        <w:t>人</w:t>
      </w:r>
      <w:r>
        <w:rPr>
          <w:rFonts w:hint="eastAsia" w:ascii="仿宋" w:hAnsi="仿宋" w:eastAsia="仿宋" w:cs="仿宋"/>
        </w:rPr>
        <w:t>(签字或盖章)：</w:t>
      </w:r>
      <w:r>
        <w:rPr>
          <w:rFonts w:hint="eastAsia" w:ascii="仿宋" w:hAnsi="仿宋" w:eastAsia="仿宋" w:cs="仿宋"/>
          <w:u w:val="single"/>
        </w:rPr>
        <w:t xml:space="preserve">           </w:t>
      </w:r>
    </w:p>
    <w:p w14:paraId="4850BA31">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rPr>
        <w:t>日期：</w:t>
      </w:r>
      <w:r>
        <w:rPr>
          <w:rFonts w:hint="eastAsia" w:ascii="仿宋" w:hAnsi="仿宋" w:eastAsia="仿宋" w:cs="仿宋"/>
          <w:u w:val="single"/>
        </w:rPr>
        <w:t xml:space="preserve">               </w:t>
      </w:r>
    </w:p>
    <w:p w14:paraId="694043A5">
      <w:pPr>
        <w:adjustRightInd w:val="0"/>
        <w:snapToGrid w:val="0"/>
        <w:spacing w:line="360" w:lineRule="auto"/>
        <w:ind w:right="105" w:rightChars="50"/>
        <w:jc w:val="left"/>
        <w:rPr>
          <w:rFonts w:hint="eastAsia" w:ascii="仿宋" w:hAnsi="仿宋" w:eastAsia="仿宋" w:cs="仿宋"/>
          <w:b/>
          <w:sz w:val="28"/>
          <w:szCs w:val="28"/>
        </w:rPr>
      </w:pPr>
    </w:p>
    <w:p w14:paraId="0D8B9116">
      <w:pPr>
        <w:pStyle w:val="3"/>
        <w:adjustRightInd w:val="0"/>
        <w:snapToGrid w:val="0"/>
        <w:spacing w:before="120" w:after="0" w:line="240" w:lineRule="auto"/>
        <w:jc w:val="left"/>
        <w:rPr>
          <w:rFonts w:hint="eastAsia" w:ascii="仿宋" w:hAnsi="仿宋" w:eastAsia="仿宋" w:cs="仿宋"/>
          <w:sz w:val="28"/>
          <w:szCs w:val="28"/>
          <w:lang w:eastAsia="zh-CN"/>
        </w:rPr>
      </w:pPr>
      <w:r>
        <w:rPr>
          <w:rFonts w:hint="eastAsia" w:ascii="仿宋" w:hAnsi="仿宋" w:eastAsia="仿宋" w:cs="仿宋"/>
          <w:b w:val="0"/>
          <w:sz w:val="28"/>
          <w:szCs w:val="28"/>
        </w:rPr>
        <w:br w:type="page"/>
      </w:r>
      <w:r>
        <w:rPr>
          <w:rFonts w:hint="eastAsia" w:ascii="仿宋" w:hAnsi="仿宋" w:eastAsia="仿宋" w:cs="仿宋"/>
          <w:sz w:val="28"/>
          <w:szCs w:val="28"/>
        </w:rPr>
        <w:t>格式1</w:t>
      </w:r>
      <w:r>
        <w:rPr>
          <w:rFonts w:hint="eastAsia" w:ascii="仿宋" w:hAnsi="仿宋" w:eastAsia="仿宋" w:cs="仿宋"/>
          <w:sz w:val="28"/>
          <w:szCs w:val="28"/>
          <w:lang w:val="en-US" w:eastAsia="zh-CN"/>
        </w:rPr>
        <w:t>2</w:t>
      </w:r>
    </w:p>
    <w:p w14:paraId="6812F74E">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服务需求响应表</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5"/>
        <w:gridCol w:w="3635"/>
        <w:gridCol w:w="830"/>
        <w:gridCol w:w="774"/>
        <w:gridCol w:w="842"/>
      </w:tblGrid>
      <w:tr w14:paraId="66ED9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9776" w:type="dxa"/>
            <w:gridSpan w:val="5"/>
            <w:tcBorders>
              <w:top w:val="single" w:color="auto" w:sz="4" w:space="0"/>
              <w:left w:val="single" w:color="auto" w:sz="4" w:space="0"/>
              <w:bottom w:val="single" w:color="auto" w:sz="4" w:space="0"/>
              <w:right w:val="single" w:color="auto" w:sz="4" w:space="0"/>
            </w:tcBorders>
            <w:noWrap w:val="0"/>
            <w:vAlign w:val="center"/>
          </w:tcPr>
          <w:p w14:paraId="63B34FF3">
            <w:pPr>
              <w:adjustRightInd w:val="0"/>
              <w:snapToGrid w:val="0"/>
              <w:ind w:right="105" w:rightChars="50"/>
              <w:jc w:val="left"/>
              <w:rPr>
                <w:rFonts w:hint="eastAsia" w:ascii="仿宋" w:hAnsi="仿宋" w:eastAsia="仿宋" w:cs="仿宋"/>
                <w:szCs w:val="21"/>
              </w:rPr>
            </w:pPr>
            <w:r>
              <w:rPr>
                <w:rFonts w:hint="eastAsia" w:ascii="仿宋" w:hAnsi="仿宋" w:eastAsia="仿宋" w:cs="仿宋"/>
                <w:szCs w:val="21"/>
              </w:rPr>
              <w:t>包号/序号：</w:t>
            </w:r>
          </w:p>
          <w:p w14:paraId="4BF4C38B">
            <w:pPr>
              <w:tabs>
                <w:tab w:val="left" w:pos="0"/>
              </w:tabs>
              <w:adjustRightInd w:val="0"/>
              <w:snapToGrid w:val="0"/>
              <w:rPr>
                <w:rFonts w:hint="eastAsia" w:ascii="仿宋" w:hAnsi="仿宋" w:eastAsia="仿宋" w:cs="仿宋"/>
                <w:szCs w:val="21"/>
              </w:rPr>
            </w:pPr>
            <w:r>
              <w:rPr>
                <w:rFonts w:hint="eastAsia" w:ascii="仿宋" w:hAnsi="仿宋" w:eastAsia="仿宋" w:cs="仿宋"/>
                <w:szCs w:val="21"/>
              </w:rPr>
              <w:t>服务内容：</w:t>
            </w:r>
          </w:p>
        </w:tc>
      </w:tr>
      <w:tr w14:paraId="041B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trPr>
        <w:tc>
          <w:tcPr>
            <w:tcW w:w="3695" w:type="dxa"/>
            <w:tcBorders>
              <w:top w:val="single" w:color="auto" w:sz="4" w:space="0"/>
              <w:left w:val="single" w:color="auto" w:sz="4" w:space="0"/>
              <w:bottom w:val="single" w:color="auto" w:sz="4" w:space="0"/>
              <w:right w:val="single" w:color="auto" w:sz="4" w:space="0"/>
            </w:tcBorders>
            <w:noWrap w:val="0"/>
            <w:vAlign w:val="center"/>
          </w:tcPr>
          <w:p w14:paraId="02C449D7">
            <w:pPr>
              <w:jc w:val="center"/>
              <w:rPr>
                <w:rFonts w:hint="eastAsia" w:ascii="仿宋" w:hAnsi="仿宋" w:eastAsia="仿宋" w:cs="仿宋"/>
                <w:szCs w:val="21"/>
              </w:rPr>
            </w:pPr>
            <w:r>
              <w:rPr>
                <w:rFonts w:hint="eastAsia" w:ascii="仿宋" w:hAnsi="仿宋" w:eastAsia="仿宋" w:cs="仿宋"/>
                <w:szCs w:val="21"/>
              </w:rPr>
              <w:t>采购文件要求</w:t>
            </w:r>
          </w:p>
          <w:p w14:paraId="25EEE33A">
            <w:pPr>
              <w:ind w:hanging="1"/>
              <w:rPr>
                <w:rFonts w:hint="eastAsia" w:ascii="仿宋" w:hAnsi="仿宋" w:eastAsia="仿宋" w:cs="仿宋"/>
                <w:b/>
                <w:szCs w:val="21"/>
              </w:rPr>
            </w:pPr>
            <w:r>
              <w:rPr>
                <w:rFonts w:hint="eastAsia" w:ascii="仿宋" w:hAnsi="仿宋" w:eastAsia="仿宋" w:cs="仿宋"/>
                <w:b/>
                <w:sz w:val="18"/>
                <w:szCs w:val="18"/>
              </w:rPr>
              <w:t>重要提示：实质性要求及重要指标用★标注（“★”必须标注在序号前），★标注项不得负偏离，如果负偏离，则</w:t>
            </w:r>
            <w:r>
              <w:rPr>
                <w:rFonts w:hint="eastAsia" w:ascii="仿宋" w:hAnsi="仿宋" w:cs="仿宋"/>
                <w:b/>
                <w:sz w:val="18"/>
                <w:szCs w:val="18"/>
                <w:lang w:eastAsia="zh-CN"/>
              </w:rPr>
              <w:t>投标文件</w:t>
            </w:r>
            <w:r>
              <w:rPr>
                <w:rFonts w:hint="eastAsia" w:ascii="仿宋" w:hAnsi="仿宋" w:eastAsia="仿宋" w:cs="仿宋"/>
                <w:b/>
                <w:sz w:val="18"/>
                <w:szCs w:val="18"/>
              </w:rPr>
              <w:t>无效。</w:t>
            </w:r>
          </w:p>
        </w:tc>
        <w:tc>
          <w:tcPr>
            <w:tcW w:w="3635" w:type="dxa"/>
            <w:tcBorders>
              <w:top w:val="single" w:color="auto" w:sz="4" w:space="0"/>
              <w:left w:val="single" w:color="auto" w:sz="4" w:space="0"/>
              <w:bottom w:val="single" w:color="auto" w:sz="4" w:space="0"/>
              <w:right w:val="single" w:color="auto" w:sz="4" w:space="0"/>
            </w:tcBorders>
            <w:noWrap w:val="0"/>
            <w:vAlign w:val="center"/>
          </w:tcPr>
          <w:p w14:paraId="2CF81825">
            <w:pPr>
              <w:jc w:val="center"/>
              <w:rPr>
                <w:rFonts w:hint="eastAsia" w:ascii="仿宋" w:hAnsi="仿宋" w:eastAsia="仿宋" w:cs="仿宋"/>
                <w:szCs w:val="21"/>
                <w:lang w:eastAsia="zh-CN"/>
              </w:rPr>
            </w:pPr>
            <w:r>
              <w:rPr>
                <w:rFonts w:hint="eastAsia" w:ascii="仿宋" w:hAnsi="仿宋" w:cs="仿宋"/>
                <w:szCs w:val="21"/>
                <w:lang w:eastAsia="zh-CN"/>
              </w:rPr>
              <w:t>投标文件</w:t>
            </w:r>
          </w:p>
          <w:p w14:paraId="3CACCC68">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响应内容</w:t>
            </w:r>
          </w:p>
        </w:tc>
        <w:tc>
          <w:tcPr>
            <w:tcW w:w="830" w:type="dxa"/>
            <w:tcBorders>
              <w:top w:val="single" w:color="auto" w:sz="4" w:space="0"/>
              <w:left w:val="single" w:color="auto" w:sz="4" w:space="0"/>
              <w:bottom w:val="single" w:color="auto" w:sz="4" w:space="0"/>
              <w:right w:val="single" w:color="auto" w:sz="4" w:space="0"/>
            </w:tcBorders>
            <w:noWrap w:val="0"/>
            <w:vAlign w:val="center"/>
          </w:tcPr>
          <w:p w14:paraId="729AB596">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偏离程度</w:t>
            </w:r>
          </w:p>
        </w:tc>
        <w:tc>
          <w:tcPr>
            <w:tcW w:w="774" w:type="dxa"/>
            <w:tcBorders>
              <w:top w:val="single" w:color="auto" w:sz="4" w:space="0"/>
              <w:left w:val="single" w:color="auto" w:sz="4" w:space="0"/>
              <w:bottom w:val="single" w:color="auto" w:sz="4" w:space="0"/>
              <w:right w:val="single" w:color="auto" w:sz="4" w:space="0"/>
            </w:tcBorders>
            <w:noWrap w:val="0"/>
            <w:vAlign w:val="center"/>
          </w:tcPr>
          <w:p w14:paraId="1D71023B">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偏离说明</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56F3F92F">
            <w:pPr>
              <w:tabs>
                <w:tab w:val="left" w:pos="0"/>
              </w:tabs>
              <w:spacing w:line="240" w:lineRule="exact"/>
              <w:jc w:val="center"/>
              <w:rPr>
                <w:rFonts w:hint="eastAsia" w:ascii="仿宋" w:hAnsi="仿宋" w:eastAsia="仿宋" w:cs="仿宋"/>
                <w:kern w:val="0"/>
                <w:szCs w:val="21"/>
              </w:rPr>
            </w:pPr>
            <w:r>
              <w:rPr>
                <w:rFonts w:hint="eastAsia" w:ascii="仿宋" w:hAnsi="仿宋" w:eastAsia="仿宋" w:cs="仿宋"/>
                <w:szCs w:val="21"/>
              </w:rPr>
              <w:t>证明资料</w:t>
            </w:r>
          </w:p>
        </w:tc>
      </w:tr>
      <w:tr w14:paraId="47761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1" w:hRule="atLeast"/>
        </w:trPr>
        <w:tc>
          <w:tcPr>
            <w:tcW w:w="3695" w:type="dxa"/>
            <w:tcBorders>
              <w:top w:val="single" w:color="auto" w:sz="4" w:space="0"/>
              <w:left w:val="single" w:color="auto" w:sz="4" w:space="0"/>
              <w:bottom w:val="single" w:color="auto" w:sz="4" w:space="0"/>
              <w:right w:val="single" w:color="auto" w:sz="4" w:space="0"/>
            </w:tcBorders>
            <w:noWrap w:val="0"/>
            <w:vAlign w:val="center"/>
          </w:tcPr>
          <w:p w14:paraId="6D8A5ED0">
            <w:pPr>
              <w:adjustRightInd w:val="0"/>
              <w:snapToGrid w:val="0"/>
              <w:ind w:hanging="1"/>
              <w:jc w:val="center"/>
              <w:rPr>
                <w:rFonts w:hint="eastAsia" w:ascii="仿宋" w:hAnsi="仿宋" w:eastAsia="仿宋" w:cs="仿宋"/>
                <w:szCs w:val="21"/>
                <w:lang w:val="en-US" w:eastAsia="zh-CN"/>
              </w:rPr>
            </w:pPr>
            <w:r>
              <w:rPr>
                <w:rFonts w:hint="eastAsia" w:ascii="仿宋" w:hAnsi="仿宋" w:eastAsia="仿宋" w:cs="仿宋"/>
                <w:szCs w:val="21"/>
                <w:lang w:val="en-US" w:eastAsia="zh-CN"/>
              </w:rPr>
              <w:t>按第三章服务需求填写</w:t>
            </w:r>
          </w:p>
        </w:tc>
        <w:tc>
          <w:tcPr>
            <w:tcW w:w="3635" w:type="dxa"/>
            <w:tcBorders>
              <w:top w:val="single" w:color="auto" w:sz="4" w:space="0"/>
              <w:left w:val="single" w:color="auto" w:sz="4" w:space="0"/>
              <w:bottom w:val="single" w:color="auto" w:sz="4" w:space="0"/>
              <w:right w:val="single" w:color="auto" w:sz="4" w:space="0"/>
            </w:tcBorders>
            <w:noWrap w:val="0"/>
            <w:vAlign w:val="center"/>
          </w:tcPr>
          <w:p w14:paraId="03056C7C">
            <w:pPr>
              <w:tabs>
                <w:tab w:val="left" w:pos="0"/>
              </w:tabs>
              <w:adjustRightInd w:val="0"/>
              <w:snapToGrid w:val="0"/>
              <w:jc w:val="center"/>
              <w:rPr>
                <w:rFonts w:hint="eastAsia" w:ascii="仿宋" w:hAnsi="仿宋" w:eastAsia="仿宋" w:cs="仿宋"/>
                <w:kern w:val="0"/>
                <w:szCs w:val="21"/>
              </w:rPr>
            </w:pPr>
          </w:p>
        </w:tc>
        <w:tc>
          <w:tcPr>
            <w:tcW w:w="830" w:type="dxa"/>
            <w:tcBorders>
              <w:top w:val="single" w:color="auto" w:sz="4" w:space="0"/>
              <w:left w:val="single" w:color="auto" w:sz="4" w:space="0"/>
              <w:bottom w:val="single" w:color="auto" w:sz="4" w:space="0"/>
              <w:right w:val="single" w:color="auto" w:sz="4" w:space="0"/>
            </w:tcBorders>
            <w:noWrap w:val="0"/>
            <w:vAlign w:val="center"/>
          </w:tcPr>
          <w:p w14:paraId="377E06DD">
            <w:pPr>
              <w:tabs>
                <w:tab w:val="left" w:pos="0"/>
              </w:tabs>
              <w:spacing w:line="240" w:lineRule="exact"/>
              <w:jc w:val="center"/>
              <w:rPr>
                <w:rFonts w:hint="eastAsia" w:ascii="仿宋" w:hAnsi="仿宋" w:eastAsia="仿宋" w:cs="仿宋"/>
                <w:kern w:val="0"/>
                <w:szCs w:val="21"/>
              </w:rPr>
            </w:pPr>
          </w:p>
        </w:tc>
        <w:tc>
          <w:tcPr>
            <w:tcW w:w="774" w:type="dxa"/>
            <w:tcBorders>
              <w:top w:val="single" w:color="auto" w:sz="4" w:space="0"/>
              <w:left w:val="single" w:color="auto" w:sz="4" w:space="0"/>
              <w:bottom w:val="single" w:color="auto" w:sz="4" w:space="0"/>
              <w:right w:val="single" w:color="auto" w:sz="4" w:space="0"/>
            </w:tcBorders>
            <w:noWrap w:val="0"/>
            <w:vAlign w:val="center"/>
          </w:tcPr>
          <w:p w14:paraId="6A92DABE">
            <w:pPr>
              <w:tabs>
                <w:tab w:val="left" w:pos="0"/>
              </w:tabs>
              <w:spacing w:line="240" w:lineRule="exact"/>
              <w:jc w:val="center"/>
              <w:rPr>
                <w:rFonts w:hint="eastAsia" w:ascii="仿宋" w:hAnsi="仿宋" w:eastAsia="仿宋" w:cs="仿宋"/>
                <w:kern w:val="0"/>
                <w:szCs w:val="21"/>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572E3F3D">
            <w:pPr>
              <w:tabs>
                <w:tab w:val="left" w:pos="0"/>
              </w:tabs>
              <w:spacing w:line="240" w:lineRule="exact"/>
              <w:jc w:val="center"/>
              <w:rPr>
                <w:rFonts w:hint="eastAsia" w:ascii="仿宋" w:hAnsi="仿宋" w:eastAsia="仿宋" w:cs="仿宋"/>
                <w:kern w:val="0"/>
                <w:szCs w:val="21"/>
              </w:rPr>
            </w:pPr>
          </w:p>
        </w:tc>
      </w:tr>
      <w:tr w14:paraId="0184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trPr>
        <w:tc>
          <w:tcPr>
            <w:tcW w:w="3695" w:type="dxa"/>
            <w:tcBorders>
              <w:top w:val="single" w:color="auto" w:sz="4" w:space="0"/>
              <w:left w:val="single" w:color="auto" w:sz="4" w:space="0"/>
              <w:bottom w:val="single" w:color="auto" w:sz="4" w:space="0"/>
              <w:right w:val="single" w:color="auto" w:sz="4" w:space="0"/>
            </w:tcBorders>
            <w:noWrap w:val="0"/>
            <w:vAlign w:val="center"/>
          </w:tcPr>
          <w:p w14:paraId="584A23C2">
            <w:pPr>
              <w:adjustRightInd w:val="0"/>
              <w:snapToGrid w:val="0"/>
              <w:ind w:hanging="1"/>
              <w:jc w:val="center"/>
              <w:rPr>
                <w:rFonts w:hint="eastAsia" w:ascii="仿宋" w:hAnsi="仿宋" w:eastAsia="仿宋" w:cs="仿宋"/>
                <w:szCs w:val="21"/>
              </w:rPr>
            </w:pPr>
            <w:r>
              <w:rPr>
                <w:rFonts w:hint="eastAsia" w:ascii="仿宋" w:hAnsi="仿宋" w:eastAsia="仿宋" w:cs="仿宋"/>
                <w:szCs w:val="21"/>
              </w:rPr>
              <w:t>其它</w:t>
            </w:r>
          </w:p>
        </w:tc>
        <w:tc>
          <w:tcPr>
            <w:tcW w:w="3635" w:type="dxa"/>
            <w:tcBorders>
              <w:top w:val="single" w:color="auto" w:sz="4" w:space="0"/>
              <w:left w:val="single" w:color="auto" w:sz="4" w:space="0"/>
              <w:bottom w:val="single" w:color="auto" w:sz="4" w:space="0"/>
              <w:right w:val="single" w:color="auto" w:sz="4" w:space="0"/>
            </w:tcBorders>
            <w:noWrap w:val="0"/>
            <w:vAlign w:val="center"/>
          </w:tcPr>
          <w:p w14:paraId="0A992D9E">
            <w:pPr>
              <w:tabs>
                <w:tab w:val="left" w:pos="0"/>
              </w:tabs>
              <w:adjustRightInd w:val="0"/>
              <w:snapToGrid w:val="0"/>
              <w:jc w:val="center"/>
              <w:rPr>
                <w:rFonts w:hint="eastAsia" w:ascii="仿宋" w:hAnsi="仿宋" w:eastAsia="仿宋" w:cs="仿宋"/>
                <w:kern w:val="0"/>
                <w:szCs w:val="21"/>
              </w:rPr>
            </w:pPr>
            <w:r>
              <w:rPr>
                <w:rFonts w:hint="eastAsia" w:ascii="仿宋" w:hAnsi="仿宋" w:eastAsia="仿宋" w:cs="仿宋"/>
                <w:szCs w:val="21"/>
              </w:rPr>
              <w:t>采购单位未提供需求而供应商认为需说明及补充的内容在此填列</w:t>
            </w:r>
          </w:p>
        </w:tc>
        <w:tc>
          <w:tcPr>
            <w:tcW w:w="830" w:type="dxa"/>
            <w:tcBorders>
              <w:top w:val="single" w:color="auto" w:sz="4" w:space="0"/>
              <w:left w:val="single" w:color="auto" w:sz="4" w:space="0"/>
              <w:bottom w:val="single" w:color="auto" w:sz="4" w:space="0"/>
              <w:right w:val="single" w:color="auto" w:sz="4" w:space="0"/>
            </w:tcBorders>
            <w:noWrap w:val="0"/>
            <w:vAlign w:val="center"/>
          </w:tcPr>
          <w:p w14:paraId="6320EB04">
            <w:pPr>
              <w:tabs>
                <w:tab w:val="left" w:pos="0"/>
              </w:tabs>
              <w:spacing w:line="240" w:lineRule="exact"/>
              <w:jc w:val="center"/>
              <w:rPr>
                <w:rFonts w:hint="eastAsia" w:ascii="仿宋" w:hAnsi="仿宋" w:eastAsia="仿宋" w:cs="仿宋"/>
                <w:kern w:val="0"/>
                <w:szCs w:val="21"/>
              </w:rPr>
            </w:pPr>
          </w:p>
        </w:tc>
        <w:tc>
          <w:tcPr>
            <w:tcW w:w="774" w:type="dxa"/>
            <w:tcBorders>
              <w:top w:val="single" w:color="auto" w:sz="4" w:space="0"/>
              <w:left w:val="single" w:color="auto" w:sz="4" w:space="0"/>
              <w:bottom w:val="single" w:color="auto" w:sz="4" w:space="0"/>
              <w:right w:val="single" w:color="auto" w:sz="4" w:space="0"/>
            </w:tcBorders>
            <w:noWrap w:val="0"/>
            <w:vAlign w:val="center"/>
          </w:tcPr>
          <w:p w14:paraId="48E2EF35">
            <w:pPr>
              <w:tabs>
                <w:tab w:val="left" w:pos="0"/>
              </w:tabs>
              <w:spacing w:line="240" w:lineRule="exact"/>
              <w:jc w:val="center"/>
              <w:rPr>
                <w:rFonts w:hint="eastAsia" w:ascii="仿宋" w:hAnsi="仿宋" w:eastAsia="仿宋" w:cs="仿宋"/>
                <w:kern w:val="0"/>
                <w:szCs w:val="21"/>
              </w:rPr>
            </w:pPr>
          </w:p>
        </w:tc>
        <w:tc>
          <w:tcPr>
            <w:tcW w:w="842" w:type="dxa"/>
            <w:tcBorders>
              <w:top w:val="single" w:color="auto" w:sz="4" w:space="0"/>
              <w:left w:val="single" w:color="auto" w:sz="4" w:space="0"/>
              <w:bottom w:val="single" w:color="auto" w:sz="4" w:space="0"/>
              <w:right w:val="single" w:color="auto" w:sz="4" w:space="0"/>
            </w:tcBorders>
            <w:noWrap w:val="0"/>
            <w:vAlign w:val="center"/>
          </w:tcPr>
          <w:p w14:paraId="6F61920B">
            <w:pPr>
              <w:tabs>
                <w:tab w:val="left" w:pos="0"/>
              </w:tabs>
              <w:spacing w:line="240" w:lineRule="exact"/>
              <w:jc w:val="center"/>
              <w:rPr>
                <w:rFonts w:hint="eastAsia" w:ascii="仿宋" w:hAnsi="仿宋" w:eastAsia="仿宋" w:cs="仿宋"/>
                <w:kern w:val="0"/>
                <w:szCs w:val="21"/>
              </w:rPr>
            </w:pPr>
          </w:p>
        </w:tc>
      </w:tr>
    </w:tbl>
    <w:p w14:paraId="0E084081">
      <w:pPr>
        <w:adjustRightInd w:val="0"/>
        <w:snapToGrid w:val="0"/>
        <w:spacing w:line="360" w:lineRule="auto"/>
        <w:ind w:right="105" w:rightChars="50" w:firstLine="479" w:firstLineChars="227"/>
        <w:jc w:val="left"/>
        <w:rPr>
          <w:rFonts w:hint="eastAsia" w:ascii="仿宋" w:hAnsi="仿宋" w:eastAsia="仿宋" w:cs="仿宋"/>
          <w:szCs w:val="21"/>
        </w:rPr>
      </w:pPr>
      <w:r>
        <w:rPr>
          <w:rFonts w:hint="eastAsia" w:ascii="仿宋" w:hAnsi="仿宋" w:eastAsia="仿宋" w:cs="仿宋"/>
          <w:b/>
          <w:szCs w:val="21"/>
        </w:rPr>
        <w:t>填表说明：</w:t>
      </w:r>
    </w:p>
    <w:p w14:paraId="2D9E0F16">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1．“</w:t>
      </w:r>
      <w:r>
        <w:rPr>
          <w:rFonts w:hint="eastAsia" w:ascii="仿宋" w:hAnsi="仿宋" w:cs="仿宋"/>
          <w:szCs w:val="21"/>
          <w:lang w:eastAsia="zh-CN"/>
        </w:rPr>
        <w:t>投标文件</w:t>
      </w:r>
      <w:r>
        <w:rPr>
          <w:rFonts w:hint="eastAsia" w:ascii="仿宋" w:hAnsi="仿宋" w:eastAsia="仿宋" w:cs="仿宋"/>
          <w:szCs w:val="21"/>
        </w:rPr>
        <w:t>响应内容”一栏由供应商填写。</w:t>
      </w:r>
    </w:p>
    <w:p w14:paraId="2E3F4C3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2．“偏离程度”一栏根据“</w:t>
      </w:r>
      <w:r>
        <w:rPr>
          <w:rFonts w:hint="eastAsia" w:ascii="仿宋" w:hAnsi="仿宋" w:cs="仿宋"/>
          <w:szCs w:val="21"/>
          <w:lang w:eastAsia="zh-CN"/>
        </w:rPr>
        <w:t>投标文件</w:t>
      </w:r>
      <w:r>
        <w:rPr>
          <w:rFonts w:hint="eastAsia" w:ascii="仿宋" w:hAnsi="仿宋" w:eastAsia="仿宋" w:cs="仿宋"/>
          <w:szCs w:val="21"/>
        </w:rPr>
        <w:t>响应内容”与采购文件逐项对照的结果填写。偏离必须用 “正偏离、负偏离或无偏离”三个名称中的一种进行标注。</w:t>
      </w:r>
    </w:p>
    <w:p w14:paraId="65E91F5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3．“偏离说明”一栏由供应商对偏离的情况作详细说明。</w:t>
      </w:r>
    </w:p>
    <w:p w14:paraId="6E08C00C">
      <w:pPr>
        <w:adjustRightInd w:val="0"/>
        <w:snapToGrid w:val="0"/>
        <w:spacing w:line="360" w:lineRule="auto"/>
        <w:ind w:right="105" w:rightChars="50" w:firstLine="476" w:firstLineChars="227"/>
        <w:jc w:val="left"/>
        <w:rPr>
          <w:rFonts w:hint="eastAsia" w:ascii="仿宋" w:hAnsi="仿宋" w:eastAsia="仿宋" w:cs="仿宋"/>
          <w:szCs w:val="21"/>
        </w:rPr>
      </w:pPr>
    </w:p>
    <w:p w14:paraId="37C2FED3">
      <w:pPr>
        <w:adjustRightInd w:val="0"/>
        <w:snapToGrid w:val="0"/>
        <w:spacing w:line="360" w:lineRule="auto"/>
        <w:ind w:right="105" w:rightChars="50" w:firstLine="476" w:firstLineChars="227"/>
        <w:jc w:val="left"/>
        <w:rPr>
          <w:rFonts w:hint="eastAsia" w:ascii="仿宋" w:hAnsi="仿宋" w:eastAsia="仿宋" w:cs="仿宋"/>
          <w:szCs w:val="21"/>
        </w:rPr>
      </w:pPr>
    </w:p>
    <w:p w14:paraId="6B266BB5">
      <w:pPr>
        <w:adjustRightInd w:val="0"/>
        <w:snapToGrid w:val="0"/>
        <w:spacing w:line="360" w:lineRule="auto"/>
        <w:ind w:right="105" w:rightChars="50" w:firstLine="476" w:firstLineChars="227"/>
        <w:jc w:val="left"/>
        <w:rPr>
          <w:rFonts w:hint="eastAsia" w:ascii="仿宋" w:hAnsi="仿宋" w:eastAsia="仿宋" w:cs="仿宋"/>
          <w:szCs w:val="21"/>
        </w:rPr>
      </w:pPr>
    </w:p>
    <w:p w14:paraId="09DB7F1A">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lang w:eastAsia="zh-CN"/>
        </w:rPr>
        <w:t>投标人</w:t>
      </w:r>
      <w:r>
        <w:rPr>
          <w:rFonts w:hint="eastAsia" w:ascii="仿宋" w:hAnsi="仿宋" w:eastAsia="仿宋" w:cs="仿宋"/>
          <w:szCs w:val="21"/>
        </w:rPr>
        <w:t>（加盖单位公章）:</w:t>
      </w:r>
      <w:r>
        <w:rPr>
          <w:rFonts w:hint="eastAsia" w:ascii="仿宋" w:hAnsi="仿宋" w:eastAsia="仿宋" w:cs="仿宋"/>
          <w:szCs w:val="21"/>
          <w:u w:val="single"/>
        </w:rPr>
        <w:t xml:space="preserve">               </w:t>
      </w:r>
    </w:p>
    <w:p w14:paraId="132DE965">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rPr>
        <w:t>法定代表人（或非法人组织负责人）或其授权委托人（</w:t>
      </w:r>
      <w:r>
        <w:rPr>
          <w:rFonts w:hint="eastAsia" w:ascii="仿宋" w:hAnsi="仿宋" w:eastAsia="仿宋" w:cs="仿宋"/>
        </w:rPr>
        <w:t>签字或盖章）</w:t>
      </w:r>
      <w:r>
        <w:rPr>
          <w:rFonts w:hint="eastAsia" w:ascii="仿宋" w:hAnsi="仿宋" w:eastAsia="仿宋" w:cs="仿宋"/>
          <w:szCs w:val="21"/>
        </w:rPr>
        <w:t>:</w:t>
      </w:r>
      <w:r>
        <w:rPr>
          <w:rFonts w:hint="eastAsia" w:ascii="仿宋" w:hAnsi="仿宋" w:eastAsia="仿宋" w:cs="仿宋"/>
          <w:szCs w:val="21"/>
          <w:u w:val="single"/>
        </w:rPr>
        <w:t xml:space="preserve">               </w:t>
      </w:r>
    </w:p>
    <w:p w14:paraId="19052886">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6772E71B">
      <w:pPr>
        <w:pStyle w:val="3"/>
        <w:adjustRightInd w:val="0"/>
        <w:snapToGrid w:val="0"/>
        <w:spacing w:before="0" w:after="0" w:line="240" w:lineRule="auto"/>
        <w:jc w:val="left"/>
        <w:rPr>
          <w:rFonts w:hint="eastAsia" w:ascii="仿宋" w:hAnsi="仿宋" w:eastAsia="仿宋" w:cs="仿宋"/>
          <w:color w:val="auto"/>
          <w:szCs w:val="28"/>
          <w:lang w:eastAsia="zh-CN"/>
        </w:rPr>
      </w:pPr>
      <w:r>
        <w:rPr>
          <w:rFonts w:hint="eastAsia" w:ascii="仿宋" w:hAnsi="仿宋" w:eastAsia="仿宋" w:cs="仿宋"/>
          <w:b/>
          <w:sz w:val="28"/>
          <w:szCs w:val="28"/>
        </w:rPr>
        <w:br w:type="page"/>
      </w:r>
      <w:bookmarkStart w:id="85" w:name="_Toc4485637"/>
      <w:bookmarkStart w:id="86" w:name="_Toc533340161"/>
      <w:r>
        <w:rPr>
          <w:rFonts w:hint="eastAsia" w:ascii="仿宋" w:hAnsi="仿宋" w:eastAsia="仿宋" w:cs="仿宋"/>
          <w:color w:val="auto"/>
          <w:szCs w:val="28"/>
        </w:rPr>
        <w:t>格式1</w:t>
      </w:r>
      <w:r>
        <w:rPr>
          <w:rFonts w:hint="eastAsia" w:ascii="仿宋" w:hAnsi="仿宋" w:eastAsia="仿宋" w:cs="仿宋"/>
          <w:color w:val="auto"/>
          <w:szCs w:val="28"/>
          <w:lang w:eastAsia="zh-CN"/>
        </w:rPr>
        <w:t>3</w:t>
      </w:r>
    </w:p>
    <w:p w14:paraId="61CEC336">
      <w:pPr>
        <w:keepNext w:val="0"/>
        <w:keepLines w:val="0"/>
        <w:pageBreakBefore w:val="0"/>
        <w:widowControl/>
        <w:kinsoku w:val="0"/>
        <w:wordWrap/>
        <w:overflowPunct/>
        <w:topLinePunct w:val="0"/>
        <w:autoSpaceDE w:val="0"/>
        <w:autoSpaceDN w:val="0"/>
        <w:bidi w:val="0"/>
        <w:adjustRightInd w:val="0"/>
        <w:snapToGrid w:val="0"/>
        <w:spacing w:before="101" w:line="300" w:lineRule="exact"/>
        <w:ind w:firstLine="3820" w:firstLineChars="1200"/>
        <w:textAlignment w:val="baseline"/>
        <w:rPr>
          <w:rFonts w:hint="eastAsia" w:ascii="方正仿宋_GB18030" w:hAnsi="方正仿宋_GB18030" w:eastAsia="方正仿宋_GB18030" w:cs="方正仿宋_GB18030"/>
          <w:color w:val="auto"/>
          <w:sz w:val="31"/>
          <w:szCs w:val="31"/>
          <w:lang w:eastAsia="zh-CN"/>
        </w:rPr>
      </w:pPr>
      <w:r>
        <w:rPr>
          <w:rFonts w:hint="eastAsia" w:ascii="方正仿宋_GB18030" w:hAnsi="方正仿宋_GB18030" w:eastAsia="方正仿宋_GB18030" w:cs="方正仿宋_GB18030"/>
          <w:b/>
          <w:bCs/>
          <w:color w:val="auto"/>
          <w:spacing w:val="4"/>
          <w:sz w:val="31"/>
          <w:szCs w:val="31"/>
        </w:rPr>
        <w:t>技术规格偏离表</w:t>
      </w:r>
    </w:p>
    <w:p w14:paraId="228C5D8D">
      <w:pPr>
        <w:keepNext w:val="0"/>
        <w:keepLines w:val="0"/>
        <w:pageBreakBefore w:val="0"/>
        <w:widowControl/>
        <w:kinsoku w:val="0"/>
        <w:wordWrap/>
        <w:overflowPunct/>
        <w:topLinePunct w:val="0"/>
        <w:autoSpaceDE w:val="0"/>
        <w:autoSpaceDN w:val="0"/>
        <w:bidi w:val="0"/>
        <w:adjustRightInd w:val="0"/>
        <w:snapToGrid w:val="0"/>
        <w:spacing w:before="158"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1D2BA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960" w:type="dxa"/>
            <w:gridSpan w:val="5"/>
            <w:vAlign w:val="top"/>
          </w:tcPr>
          <w:p w14:paraId="0A23F3B3">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w:t>
            </w:r>
          </w:p>
          <w:p w14:paraId="6E2B5188">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产品名称：全自动生化免疫流水线(根据实验室具体情况更新）</w:t>
            </w:r>
          </w:p>
          <w:p w14:paraId="7B0845D4">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数量：1台</w:t>
            </w:r>
          </w:p>
          <w:p w14:paraId="57C504BD">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49B4A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8" w:type="dxa"/>
            <w:vAlign w:val="top"/>
          </w:tcPr>
          <w:p w14:paraId="4FD7E59C">
            <w:pPr>
              <w:pStyle w:val="24"/>
              <w:keepNext w:val="0"/>
              <w:keepLines w:val="0"/>
              <w:pageBreakBefore w:val="0"/>
              <w:widowControl/>
              <w:kinsoku w:val="0"/>
              <w:wordWrap/>
              <w:overflowPunct/>
              <w:topLinePunct w:val="0"/>
              <w:autoSpaceDE w:val="0"/>
              <w:autoSpaceDN w:val="0"/>
              <w:bidi w:val="0"/>
              <w:adjustRightInd w:val="0"/>
              <w:snapToGrid w:val="0"/>
              <w:spacing w:before="132"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1B34AF11">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42C8204A">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929626E">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2832A346">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C0E1FED">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2CFF8B0C">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0B891F8">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023B71EF">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68CD051">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708B7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48" w:type="dxa"/>
            <w:vAlign w:val="top"/>
          </w:tcPr>
          <w:p w14:paraId="6437E543">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全自动生化免疫流水线需具备：至少一台生化分析仪和一台化学发光分析仪以上数量进行连接。</w:t>
            </w:r>
          </w:p>
          <w:p w14:paraId="2B7D45DA">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生化模块测试速度：单模块生化比色分析速度≥2000测试/小时</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单模块ISE速度≥600测试/小时。 </w:t>
            </w:r>
          </w:p>
          <w:p w14:paraId="57BE9328">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生化模块系统：试剂盘≥1</w:t>
            </w:r>
            <w:r>
              <w:rPr>
                <w:rFonts w:hint="eastAsia" w:ascii="方正仿宋_GB18030" w:hAnsi="方正仿宋_GB18030" w:eastAsia="方正仿宋_GB18030" w:cs="方正仿宋_GB18030"/>
                <w:snapToGrid w:val="0"/>
                <w:color w:val="auto"/>
                <w:spacing w:val="0"/>
                <w:kern w:val="0"/>
                <w:sz w:val="20"/>
                <w:szCs w:val="20"/>
                <w:lang w:val="en-US" w:eastAsia="zh-CN" w:bidi="ar-SA"/>
              </w:rPr>
              <w:t>2</w:t>
            </w:r>
            <w:r>
              <w:rPr>
                <w:rFonts w:hint="eastAsia" w:ascii="方正仿宋_GB18030" w:hAnsi="方正仿宋_GB18030" w:eastAsia="方正仿宋_GB18030" w:cs="方正仿宋_GB18030"/>
                <w:snapToGrid w:val="0"/>
                <w:color w:val="auto"/>
                <w:spacing w:val="0"/>
                <w:kern w:val="0"/>
                <w:sz w:val="20"/>
                <w:szCs w:val="20"/>
                <w:lang w:val="en-US" w:eastAsia="en-US" w:bidi="ar-SA"/>
              </w:rPr>
              <w:t>0个试剂位。</w:t>
            </w:r>
          </w:p>
          <w:p w14:paraId="32316F22">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zh-CN"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生化模块最小反应体积：80ul。</w:t>
            </w:r>
            <w:bookmarkStart w:id="87" w:name="OLE_LINK2"/>
            <w:bookmarkStart w:id="88" w:name="OLE_LINK1"/>
          </w:p>
          <w:bookmarkEnd w:id="87"/>
          <w:bookmarkEnd w:id="88"/>
          <w:p w14:paraId="05CCACF9">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5.</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化学发光免疫模块测试速度：配置最大测试速度≥500T测试/小时。 </w:t>
            </w:r>
          </w:p>
          <w:p w14:paraId="181472C0">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6.</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检测项目：具有甲状腺、性腺激素、肿瘤标记物、传染病、心标记、降钙素原等检测，全部检测项目要≥40 项。 </w:t>
            </w:r>
          </w:p>
          <w:p w14:paraId="63E84E9A">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w:t>
            </w:r>
            <w:r>
              <w:rPr>
                <w:rFonts w:hint="eastAsia" w:ascii="方正仿宋_GB18030" w:hAnsi="方正仿宋_GB18030" w:eastAsia="方正仿宋_GB18030" w:cs="方正仿宋_GB18030"/>
                <w:snapToGrid w:val="0"/>
                <w:color w:val="auto"/>
                <w:spacing w:val="0"/>
                <w:kern w:val="0"/>
                <w:sz w:val="20"/>
                <w:szCs w:val="20"/>
                <w:lang w:val="en-US" w:eastAsia="zh-CN" w:bidi="ar-SA"/>
              </w:rPr>
              <w:t>7.</w:t>
            </w:r>
            <w:r>
              <w:rPr>
                <w:rFonts w:hint="eastAsia" w:ascii="方正仿宋_GB18030" w:hAnsi="方正仿宋_GB18030" w:eastAsia="方正仿宋_GB18030" w:cs="方正仿宋_GB18030"/>
                <w:snapToGrid w:val="0"/>
                <w:color w:val="auto"/>
                <w:spacing w:val="0"/>
                <w:kern w:val="0"/>
                <w:sz w:val="20"/>
                <w:szCs w:val="20"/>
                <w:lang w:val="en-US" w:eastAsia="en-US" w:bidi="ar-SA"/>
              </w:rPr>
              <w:t>化学发光单台或单模块试剂位：≥3</w:t>
            </w:r>
            <w:r>
              <w:rPr>
                <w:rFonts w:hint="eastAsia" w:ascii="方正仿宋_GB18030" w:hAnsi="方正仿宋_GB18030" w:eastAsia="方正仿宋_GB18030" w:cs="方正仿宋_GB18030"/>
                <w:snapToGrid w:val="0"/>
                <w:color w:val="auto"/>
                <w:spacing w:val="0"/>
                <w:kern w:val="0"/>
                <w:sz w:val="20"/>
                <w:szCs w:val="20"/>
                <w:lang w:val="en-US" w:eastAsia="zh-CN" w:bidi="ar-SA"/>
              </w:rPr>
              <w:t>0</w:t>
            </w:r>
            <w:r>
              <w:rPr>
                <w:rFonts w:hint="eastAsia" w:ascii="方正仿宋_GB18030" w:hAnsi="方正仿宋_GB18030" w:eastAsia="方正仿宋_GB18030" w:cs="方正仿宋_GB18030"/>
                <w:snapToGrid w:val="0"/>
                <w:color w:val="auto"/>
                <w:spacing w:val="0"/>
                <w:kern w:val="0"/>
                <w:sz w:val="20"/>
                <w:szCs w:val="20"/>
                <w:lang w:val="en-US" w:eastAsia="en-US" w:bidi="ar-SA"/>
              </w:rPr>
              <w:t>个。</w:t>
            </w:r>
          </w:p>
        </w:tc>
        <w:tc>
          <w:tcPr>
            <w:tcW w:w="1449" w:type="dxa"/>
            <w:vAlign w:val="top"/>
          </w:tcPr>
          <w:p w14:paraId="7611D0B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0E375FA8">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358AED4B">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08F973BA">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0CFD329D">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63F0CE79">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797C1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960" w:type="dxa"/>
            <w:gridSpan w:val="5"/>
            <w:vAlign w:val="top"/>
          </w:tcPr>
          <w:p w14:paraId="59D89818">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序号：2</w:t>
            </w:r>
          </w:p>
          <w:p w14:paraId="16863CA0">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产品名称：全自动血液分析流水线(根据实验室具体情况更新）</w:t>
            </w:r>
          </w:p>
          <w:p w14:paraId="09181658">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数量：1台</w:t>
            </w:r>
          </w:p>
          <w:p w14:paraId="590CD69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5E1DC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8" w:type="dxa"/>
            <w:vAlign w:val="top"/>
          </w:tcPr>
          <w:p w14:paraId="6A318257">
            <w:pPr>
              <w:pStyle w:val="24"/>
              <w:keepNext w:val="0"/>
              <w:keepLines w:val="0"/>
              <w:pageBreakBefore w:val="0"/>
              <w:widowControl/>
              <w:kinsoku w:val="0"/>
              <w:wordWrap/>
              <w:overflowPunct/>
              <w:topLinePunct w:val="0"/>
              <w:autoSpaceDE w:val="0"/>
              <w:autoSpaceDN w:val="0"/>
              <w:bidi w:val="0"/>
              <w:adjustRightInd w:val="0"/>
              <w:snapToGrid w:val="0"/>
              <w:spacing w:before="132"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26B0000B">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713A5C1F">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8266E8D">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495497C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C48E0A0">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4A00864C">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07DD74E">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0EAB1C4D">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05C8E0B">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30F27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0" w:hRule="atLeast"/>
        </w:trPr>
        <w:tc>
          <w:tcPr>
            <w:tcW w:w="5748" w:type="dxa"/>
            <w:vAlign w:val="top"/>
          </w:tcPr>
          <w:p w14:paraId="014DC216">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全自动血液分析流水线由至少2台全自动五分类血液细胞分析仪及1台糖化血红蛋白分析仪通过轨道连接组成。 </w:t>
            </w:r>
          </w:p>
          <w:p w14:paraId="3BDC3FC2">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报告参数：血液分析报告参数≥37个，三维散点图≥3个，CRP报告参数≥2 个。 </w:t>
            </w:r>
          </w:p>
          <w:p w14:paraId="4E1F8459">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血细胞分析仪单机检测速度：CBC＋DIFF≥100个样本/小时。 </w:t>
            </w:r>
          </w:p>
          <w:p w14:paraId="5E469023">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4.</w:t>
            </w:r>
            <w:r>
              <w:rPr>
                <w:rFonts w:hint="eastAsia" w:ascii="方正仿宋_GB18030" w:hAnsi="方正仿宋_GB18030" w:eastAsia="方正仿宋_GB18030" w:cs="方正仿宋_GB18030"/>
                <w:snapToGrid w:val="0"/>
                <w:color w:val="auto"/>
                <w:spacing w:val="0"/>
                <w:kern w:val="0"/>
                <w:sz w:val="20"/>
                <w:szCs w:val="20"/>
                <w:lang w:val="en-US" w:eastAsia="en-US" w:bidi="ar-SA"/>
              </w:rPr>
              <w:t>糖化血红蛋白分析仪检测速度：≥</w:t>
            </w:r>
            <w:r>
              <w:rPr>
                <w:rFonts w:hint="eastAsia" w:ascii="方正仿宋_GB18030" w:hAnsi="方正仿宋_GB18030" w:eastAsia="方正仿宋_GB18030" w:cs="方正仿宋_GB18030"/>
                <w:snapToGrid w:val="0"/>
                <w:color w:val="auto"/>
                <w:spacing w:val="0"/>
                <w:kern w:val="0"/>
                <w:sz w:val="20"/>
                <w:szCs w:val="20"/>
                <w:lang w:val="en-US" w:eastAsia="zh-CN" w:bidi="ar-SA"/>
              </w:rPr>
              <w:t>3</w:t>
            </w:r>
            <w:r>
              <w:rPr>
                <w:rFonts w:hint="eastAsia" w:ascii="方正仿宋_GB18030" w:hAnsi="方正仿宋_GB18030" w:eastAsia="方正仿宋_GB18030" w:cs="方正仿宋_GB18030"/>
                <w:snapToGrid w:val="0"/>
                <w:color w:val="auto"/>
                <w:spacing w:val="0"/>
                <w:kern w:val="0"/>
                <w:sz w:val="20"/>
                <w:szCs w:val="20"/>
                <w:lang w:val="en-US" w:eastAsia="en-US" w:bidi="ar-SA"/>
              </w:rPr>
              <w:t>0样本/小时。</w:t>
            </w:r>
          </w:p>
        </w:tc>
        <w:tc>
          <w:tcPr>
            <w:tcW w:w="1449" w:type="dxa"/>
            <w:vAlign w:val="top"/>
          </w:tcPr>
          <w:p w14:paraId="151107BB">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5F9878A8">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3C63A563">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2323E1E7">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37C393DB">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59724CF7">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sectPr>
          <w:footerReference r:id="rId6" w:type="default"/>
          <w:pgSz w:w="11906" w:h="16839"/>
          <w:pgMar w:top="1247" w:right="1134" w:bottom="1247" w:left="1417" w:header="964" w:footer="971" w:gutter="0"/>
          <w:pgNumType w:fmt="numberInDash" w:start="1"/>
          <w:cols w:space="720" w:num="1"/>
        </w:sectPr>
      </w:pPr>
    </w:p>
    <w:p w14:paraId="4A9A209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59693A0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4F5F5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0" w:hRule="atLeast"/>
        </w:trPr>
        <w:tc>
          <w:tcPr>
            <w:tcW w:w="9960" w:type="dxa"/>
            <w:gridSpan w:val="5"/>
            <w:vAlign w:val="top"/>
          </w:tcPr>
          <w:p w14:paraId="365B8109">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序号：3</w:t>
            </w:r>
          </w:p>
          <w:p w14:paraId="0979356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产品名称：全自动尿液分析流水线(根据实验室具体情况更新）</w:t>
            </w:r>
          </w:p>
          <w:p w14:paraId="4E70424E">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2FA9CC10">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341DF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8" w:type="dxa"/>
            <w:vAlign w:val="top"/>
          </w:tcPr>
          <w:p w14:paraId="534AD0DF">
            <w:pPr>
              <w:pStyle w:val="24"/>
              <w:keepNext w:val="0"/>
              <w:keepLines w:val="0"/>
              <w:pageBreakBefore w:val="0"/>
              <w:widowControl/>
              <w:kinsoku w:val="0"/>
              <w:wordWrap/>
              <w:overflowPunct/>
              <w:topLinePunct w:val="0"/>
              <w:autoSpaceDE w:val="0"/>
              <w:autoSpaceDN w:val="0"/>
              <w:bidi w:val="0"/>
              <w:adjustRightInd w:val="0"/>
              <w:snapToGrid w:val="0"/>
              <w:spacing w:before="132"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12B20CE7">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44B9C280">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24BC924">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12013526">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27E136C">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5516541D">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1256215">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2F3A9DC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ECECD32">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15B05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3" w:hRule="atLeast"/>
        </w:trPr>
        <w:tc>
          <w:tcPr>
            <w:tcW w:w="5748" w:type="dxa"/>
            <w:vAlign w:val="top"/>
          </w:tcPr>
          <w:p w14:paraId="6E023D4C">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设备构成：由尿液干化学分析模块、尿液有型成分分析模块、样本装载与传输轨道模块及上位机操作分析软件系统构成。 </w:t>
            </w:r>
          </w:p>
          <w:p w14:paraId="66F678BB">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2.</w:t>
            </w:r>
            <w:r>
              <w:rPr>
                <w:rFonts w:hint="eastAsia" w:ascii="方正仿宋_GB18030" w:hAnsi="方正仿宋_GB18030" w:eastAsia="方正仿宋_GB18030" w:cs="方正仿宋_GB18030"/>
                <w:snapToGrid w:val="0"/>
                <w:color w:val="auto"/>
                <w:spacing w:val="0"/>
                <w:kern w:val="0"/>
                <w:sz w:val="20"/>
                <w:szCs w:val="20"/>
                <w:lang w:val="en-US" w:eastAsia="en-US" w:bidi="ar-SA"/>
              </w:rPr>
              <w:t>检测项目：不少于干化学测试项目14项，同时能提供微量白蛋白和肌酐的比值（ACR）、蛋白质与肌酐比值（PCR）；理学、颜色（RGB 三原色法）</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浊度（散射法）</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比重（折射法）；有形成分自动识别测试项目</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5</w:t>
            </w:r>
            <w:r>
              <w:rPr>
                <w:rFonts w:hint="eastAsia" w:ascii="方正仿宋_GB18030" w:hAnsi="方正仿宋_GB18030" w:eastAsia="方正仿宋_GB18030" w:cs="方正仿宋_GB18030"/>
                <w:snapToGrid w:val="0"/>
                <w:color w:val="auto"/>
                <w:spacing w:val="0"/>
                <w:kern w:val="0"/>
                <w:sz w:val="20"/>
                <w:szCs w:val="20"/>
                <w:lang w:val="en-US" w:eastAsia="en-US" w:bidi="ar-SA"/>
              </w:rPr>
              <w:t>项。</w:t>
            </w:r>
          </w:p>
          <w:p w14:paraId="18827BF9">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测试速度：单模块干化学检测：≥240测试/小时，单模块有形成分检测</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≥120测试/小时。</w:t>
            </w:r>
          </w:p>
          <w:p w14:paraId="60DAB15C">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样本装载容量：一次装载≥</w:t>
            </w:r>
            <w:r>
              <w:rPr>
                <w:rFonts w:hint="eastAsia" w:ascii="方正仿宋_GB18030" w:hAnsi="方正仿宋_GB18030" w:eastAsia="方正仿宋_GB18030" w:cs="方正仿宋_GB18030"/>
                <w:snapToGrid w:val="0"/>
                <w:color w:val="auto"/>
                <w:spacing w:val="0"/>
                <w:kern w:val="0"/>
                <w:sz w:val="20"/>
                <w:szCs w:val="20"/>
                <w:lang w:val="en-US" w:eastAsia="zh-CN" w:bidi="ar-SA"/>
              </w:rPr>
              <w:t>60</w:t>
            </w:r>
            <w:r>
              <w:rPr>
                <w:rFonts w:hint="eastAsia" w:ascii="方正仿宋_GB18030" w:hAnsi="方正仿宋_GB18030" w:eastAsia="方正仿宋_GB18030" w:cs="方正仿宋_GB18030"/>
                <w:snapToGrid w:val="0"/>
                <w:color w:val="auto"/>
                <w:spacing w:val="0"/>
                <w:kern w:val="0"/>
                <w:sz w:val="20"/>
                <w:szCs w:val="20"/>
                <w:lang w:val="en-US" w:eastAsia="en-US" w:bidi="ar-SA"/>
              </w:rPr>
              <w:t>个标本。</w:t>
            </w:r>
          </w:p>
          <w:p w14:paraId="24C95BA0">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5</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干化学试纸装载量：≥200条。</w:t>
            </w:r>
          </w:p>
        </w:tc>
        <w:tc>
          <w:tcPr>
            <w:tcW w:w="1449" w:type="dxa"/>
            <w:vAlign w:val="top"/>
          </w:tcPr>
          <w:p w14:paraId="40A2931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54050F8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771978D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0458CD25">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1560B954">
      <w:pPr>
        <w:keepNext w:val="0"/>
        <w:keepLines w:val="0"/>
        <w:pageBreakBefore w:val="0"/>
        <w:widowControl/>
        <w:kinsoku w:val="0"/>
        <w:wordWrap/>
        <w:overflowPunct/>
        <w:topLinePunct w:val="0"/>
        <w:autoSpaceDE w:val="0"/>
        <w:autoSpaceDN w:val="0"/>
        <w:bidi w:val="0"/>
        <w:adjustRightInd w:val="0"/>
        <w:snapToGrid w:val="0"/>
        <w:spacing w:before="31" w:line="300" w:lineRule="exact"/>
        <w:textAlignment w:val="baseline"/>
        <w:rPr>
          <w:rFonts w:hint="eastAsia" w:ascii="方正仿宋_GB18030" w:hAnsi="方正仿宋_GB18030" w:eastAsia="方正仿宋_GB18030" w:cs="方正仿宋_GB18030"/>
          <w:color w:val="auto"/>
        </w:rPr>
      </w:pPr>
    </w:p>
    <w:p w14:paraId="130F7D68">
      <w:pPr>
        <w:keepNext w:val="0"/>
        <w:keepLines w:val="0"/>
        <w:pageBreakBefore w:val="0"/>
        <w:widowControl/>
        <w:kinsoku w:val="0"/>
        <w:wordWrap/>
        <w:overflowPunct/>
        <w:topLinePunct w:val="0"/>
        <w:autoSpaceDE w:val="0"/>
        <w:autoSpaceDN w:val="0"/>
        <w:bidi w:val="0"/>
        <w:adjustRightInd w:val="0"/>
        <w:snapToGrid w:val="0"/>
        <w:spacing w:before="31"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4F726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7BD762F3">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序号：4</w:t>
            </w:r>
          </w:p>
          <w:p w14:paraId="000512A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产品名称：急诊全自动生化免疫流水线</w:t>
            </w:r>
          </w:p>
          <w:p w14:paraId="4BDB7E7D">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57FEAE0B">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5D41C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8" w:type="dxa"/>
            <w:vAlign w:val="top"/>
          </w:tcPr>
          <w:p w14:paraId="73DE34B5">
            <w:pPr>
              <w:pStyle w:val="24"/>
              <w:keepNext w:val="0"/>
              <w:keepLines w:val="0"/>
              <w:pageBreakBefore w:val="0"/>
              <w:widowControl/>
              <w:kinsoku w:val="0"/>
              <w:wordWrap/>
              <w:overflowPunct/>
              <w:topLinePunct w:val="0"/>
              <w:autoSpaceDE w:val="0"/>
              <w:autoSpaceDN w:val="0"/>
              <w:bidi w:val="0"/>
              <w:adjustRightInd w:val="0"/>
              <w:snapToGrid w:val="0"/>
              <w:spacing w:before="132"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73C1E8EE">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1184CE80">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F8D0FBD">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7C291F87">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5EE860D5">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53F6C4D1">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3935A0F">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73439BCB">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5E660C42">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3B52B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48" w:type="dxa"/>
            <w:vAlign w:val="top"/>
          </w:tcPr>
          <w:p w14:paraId="2F3CCEC6">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生化模块仪器类型：分立式全自动生化分析仪。</w:t>
            </w:r>
          </w:p>
          <w:p w14:paraId="0E32B62E">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样本进样数量：≥220个样本上机检测。 </w:t>
            </w:r>
          </w:p>
          <w:p w14:paraId="4A83C060">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生化模块测试速度：单模块生化比色分析恒速≥1000测试/小时</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选配ISE速度≥</w:t>
            </w:r>
            <w:r>
              <w:rPr>
                <w:rFonts w:hint="eastAsia" w:ascii="方正仿宋_GB18030" w:hAnsi="方正仿宋_GB18030" w:eastAsia="方正仿宋_GB18030" w:cs="方正仿宋_GB18030"/>
                <w:snapToGrid w:val="0"/>
                <w:color w:val="auto"/>
                <w:spacing w:val="0"/>
                <w:kern w:val="0"/>
                <w:sz w:val="20"/>
                <w:szCs w:val="20"/>
                <w:lang w:val="en-US" w:eastAsia="zh-CN" w:bidi="ar-SA"/>
              </w:rPr>
              <w:t>600</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测试/小时。 </w:t>
            </w:r>
          </w:p>
          <w:p w14:paraId="3B780F86">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生化模块系统：试剂盘≥</w:t>
            </w:r>
            <w:r>
              <w:rPr>
                <w:rFonts w:hint="eastAsia" w:ascii="方正仿宋_GB18030" w:hAnsi="方正仿宋_GB18030" w:eastAsia="方正仿宋_GB18030" w:cs="方正仿宋_GB18030"/>
                <w:snapToGrid w:val="0"/>
                <w:color w:val="auto"/>
                <w:spacing w:val="0"/>
                <w:kern w:val="0"/>
                <w:sz w:val="20"/>
                <w:szCs w:val="20"/>
                <w:lang w:val="en-US" w:eastAsia="zh-CN" w:bidi="ar-SA"/>
              </w:rPr>
              <w:t>12</w:t>
            </w:r>
            <w:r>
              <w:rPr>
                <w:rFonts w:hint="eastAsia" w:ascii="方正仿宋_GB18030" w:hAnsi="方正仿宋_GB18030" w:eastAsia="方正仿宋_GB18030" w:cs="方正仿宋_GB18030"/>
                <w:snapToGrid w:val="0"/>
                <w:color w:val="auto"/>
                <w:spacing w:val="0"/>
                <w:kern w:val="0"/>
                <w:sz w:val="20"/>
                <w:szCs w:val="20"/>
                <w:lang w:val="en-US" w:eastAsia="en-US" w:bidi="ar-SA"/>
              </w:rPr>
              <w:t>0个试剂位。</w:t>
            </w:r>
          </w:p>
          <w:p w14:paraId="5B2FE61D">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bookmarkStart w:id="89" w:name="OLE_LINK4"/>
            <w:bookmarkStart w:id="90" w:name="OLE_LINK3"/>
            <w:r>
              <w:rPr>
                <w:rFonts w:hint="eastAsia" w:ascii="方正仿宋_GB18030" w:hAnsi="方正仿宋_GB18030" w:eastAsia="方正仿宋_GB18030" w:cs="方正仿宋_GB18030"/>
                <w:snapToGrid w:val="0"/>
                <w:color w:val="auto"/>
                <w:spacing w:val="0"/>
                <w:kern w:val="0"/>
                <w:sz w:val="20"/>
                <w:szCs w:val="20"/>
                <w:lang w:val="en-US" w:eastAsia="en-US" w:bidi="ar-SA"/>
              </w:rPr>
              <w:t>5</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反应波长数量：≥</w:t>
            </w:r>
            <w:r>
              <w:rPr>
                <w:rFonts w:hint="eastAsia" w:ascii="方正仿宋_GB18030" w:hAnsi="方正仿宋_GB18030" w:eastAsia="方正仿宋_GB18030" w:cs="方正仿宋_GB18030"/>
                <w:snapToGrid w:val="0"/>
                <w:color w:val="auto"/>
                <w:spacing w:val="0"/>
                <w:kern w:val="0"/>
                <w:sz w:val="20"/>
                <w:szCs w:val="20"/>
                <w:lang w:val="en-US" w:eastAsia="zh-CN" w:bidi="ar-SA"/>
              </w:rPr>
              <w:t>13</w:t>
            </w:r>
            <w:r>
              <w:rPr>
                <w:rFonts w:hint="eastAsia" w:ascii="方正仿宋_GB18030" w:hAnsi="方正仿宋_GB18030" w:eastAsia="方正仿宋_GB18030" w:cs="方正仿宋_GB18030"/>
                <w:snapToGrid w:val="0"/>
                <w:color w:val="auto"/>
                <w:spacing w:val="0"/>
                <w:kern w:val="0"/>
                <w:sz w:val="20"/>
                <w:szCs w:val="20"/>
                <w:lang w:val="en-US" w:eastAsia="en-US" w:bidi="ar-SA"/>
              </w:rPr>
              <w:t>个</w:t>
            </w:r>
            <w:bookmarkEnd w:id="89"/>
            <w:bookmarkEnd w:id="90"/>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 </w:t>
            </w:r>
          </w:p>
          <w:p w14:paraId="7A8C2116">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6.</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化学发光免疫模块测试速度：≥240个测试/小时。 </w:t>
            </w:r>
          </w:p>
        </w:tc>
        <w:tc>
          <w:tcPr>
            <w:tcW w:w="1449" w:type="dxa"/>
            <w:vAlign w:val="top"/>
          </w:tcPr>
          <w:p w14:paraId="45458280">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58BFE503">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79162B4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5CD67EBF">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41EAECAB">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4688DF0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sectPr>
          <w:pgSz w:w="11906" w:h="16839"/>
          <w:pgMar w:top="755" w:right="970" w:bottom="1398" w:left="856" w:header="0" w:footer="971" w:gutter="0"/>
          <w:pgNumType w:fmt="numberInDash"/>
          <w:cols w:space="720" w:num="1"/>
        </w:sectPr>
      </w:pPr>
    </w:p>
    <w:p w14:paraId="0EFCDE37">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64F2EF9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20"/>
        <w:gridCol w:w="1377"/>
        <w:gridCol w:w="1184"/>
        <w:gridCol w:w="687"/>
        <w:gridCol w:w="892"/>
      </w:tblGrid>
      <w:tr w14:paraId="52313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0993B714">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序号：5</w:t>
            </w:r>
          </w:p>
          <w:p w14:paraId="4793E0A8">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产品名称：血培养仪</w:t>
            </w:r>
          </w:p>
          <w:p w14:paraId="7810EB90">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27F40F92">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0DADF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820" w:type="dxa"/>
            <w:vAlign w:val="top"/>
          </w:tcPr>
          <w:p w14:paraId="72BB7631">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132F7FC1">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377" w:type="dxa"/>
            <w:vAlign w:val="top"/>
          </w:tcPr>
          <w:p w14:paraId="47F671E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B6FD4FC">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48FAF0E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276CC16">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4A86B46A">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FB60D36">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45EE2263">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1FF50855">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4048C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5820" w:type="dxa"/>
            <w:vAlign w:val="top"/>
          </w:tcPr>
          <w:p w14:paraId="712D617F">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检测原理：采用显色测量技术，支持瓶外非侵入式、多种菌群的培养和实时检测。 </w:t>
            </w:r>
          </w:p>
          <w:p w14:paraId="58B0EAC3">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检测容量：≥60瓶位。 </w:t>
            </w:r>
          </w:p>
          <w:p w14:paraId="719B5E40">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检测方法：多种检测运算方法，缩短报阳时间，降低误报率。 </w:t>
            </w:r>
          </w:p>
          <w:p w14:paraId="6D2BA4FA">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lang w:eastAsia="zh-CN"/>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报警功能：提供温度失控、系统故障、误操作、错置瓶位等报警；具有声</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光、色报警功能</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p>
        </w:tc>
        <w:tc>
          <w:tcPr>
            <w:tcW w:w="1377" w:type="dxa"/>
            <w:vAlign w:val="top"/>
          </w:tcPr>
          <w:p w14:paraId="4A2E283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4801B44D">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3037E4C0">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357E88E7">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5D441808">
      <w:pPr>
        <w:keepNext w:val="0"/>
        <w:keepLines w:val="0"/>
        <w:pageBreakBefore w:val="0"/>
        <w:widowControl/>
        <w:kinsoku w:val="0"/>
        <w:wordWrap/>
        <w:overflowPunct/>
        <w:topLinePunct w:val="0"/>
        <w:autoSpaceDE w:val="0"/>
        <w:autoSpaceDN w:val="0"/>
        <w:bidi w:val="0"/>
        <w:adjustRightInd w:val="0"/>
        <w:snapToGrid w:val="0"/>
        <w:spacing w:before="89" w:line="300" w:lineRule="exact"/>
        <w:textAlignment w:val="baseline"/>
        <w:rPr>
          <w:rFonts w:hint="eastAsia" w:ascii="方正仿宋_GB18030" w:hAnsi="方正仿宋_GB18030" w:eastAsia="方正仿宋_GB18030" w:cs="方正仿宋_GB18030"/>
          <w:color w:val="auto"/>
        </w:rPr>
      </w:pPr>
    </w:p>
    <w:p w14:paraId="1503EE91">
      <w:pPr>
        <w:keepNext w:val="0"/>
        <w:keepLines w:val="0"/>
        <w:pageBreakBefore w:val="0"/>
        <w:widowControl/>
        <w:kinsoku w:val="0"/>
        <w:wordWrap/>
        <w:overflowPunct/>
        <w:topLinePunct w:val="0"/>
        <w:autoSpaceDE w:val="0"/>
        <w:autoSpaceDN w:val="0"/>
        <w:bidi w:val="0"/>
        <w:adjustRightInd w:val="0"/>
        <w:snapToGrid w:val="0"/>
        <w:spacing w:before="89" w:line="300" w:lineRule="exact"/>
        <w:textAlignment w:val="baseline"/>
        <w:rPr>
          <w:rFonts w:hint="eastAsia" w:ascii="方正仿宋_GB18030" w:hAnsi="方正仿宋_GB18030" w:eastAsia="方正仿宋_GB18030" w:cs="方正仿宋_GB18030"/>
          <w:color w:val="auto"/>
        </w:rPr>
      </w:pPr>
    </w:p>
    <w:tbl>
      <w:tblPr>
        <w:tblStyle w:val="25"/>
        <w:tblW w:w="9960" w:type="dxa"/>
        <w:tblInd w:w="12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6"/>
        <w:gridCol w:w="1449"/>
        <w:gridCol w:w="1184"/>
        <w:gridCol w:w="687"/>
        <w:gridCol w:w="894"/>
      </w:tblGrid>
      <w:tr w14:paraId="1A724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4623DB25">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序号：6</w:t>
            </w:r>
          </w:p>
          <w:p w14:paraId="1F8B054D">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产品名称：全自动微生物鉴定药敏分析系统</w:t>
            </w:r>
          </w:p>
          <w:p w14:paraId="2F2E8EBE">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1CA71E1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77289E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6" w:type="dxa"/>
            <w:vAlign w:val="top"/>
          </w:tcPr>
          <w:p w14:paraId="14B61FF6">
            <w:pPr>
              <w:pStyle w:val="24"/>
              <w:keepNext w:val="0"/>
              <w:keepLines w:val="0"/>
              <w:pageBreakBefore w:val="0"/>
              <w:widowControl/>
              <w:kinsoku w:val="0"/>
              <w:wordWrap/>
              <w:overflowPunct/>
              <w:topLinePunct w:val="0"/>
              <w:autoSpaceDE w:val="0"/>
              <w:autoSpaceDN w:val="0"/>
              <w:bidi w:val="0"/>
              <w:adjustRightInd w:val="0"/>
              <w:snapToGrid w:val="0"/>
              <w:spacing w:before="134"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1C1C06CE">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6" w:right="58"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6"/>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4"/>
                <w:w w:val="88"/>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62548191">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93D64DF">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74977911">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AADA006">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6A189A26">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63D750C">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4" w:type="dxa"/>
            <w:vAlign w:val="top"/>
          </w:tcPr>
          <w:p w14:paraId="2619EF44">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1B3B5BEE">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4EA4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3" w:hRule="atLeast"/>
        </w:trPr>
        <w:tc>
          <w:tcPr>
            <w:tcW w:w="5746" w:type="dxa"/>
            <w:vAlign w:val="top"/>
          </w:tcPr>
          <w:p w14:paraId="55FE471B">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测试方法：比色法和透射比浊法。 </w:t>
            </w:r>
          </w:p>
          <w:p w14:paraId="29B0E97B">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鉴定细菌种类：检测不少于500余种细菌。 </w:t>
            </w:r>
          </w:p>
          <w:p w14:paraId="449C331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标本容量：可同时进行≥60块测试卡测定。 </w:t>
            </w:r>
          </w:p>
          <w:p w14:paraId="59EE0ACC">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检测波长：≥4波长，保障检测灵敏度。</w:t>
            </w:r>
          </w:p>
          <w:p w14:paraId="4F67F2AD">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5</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测试性能：鉴定准确性≥95%，药敏准确性 CA≥95%，药敏重现性≥95%。</w:t>
            </w:r>
          </w:p>
        </w:tc>
        <w:tc>
          <w:tcPr>
            <w:tcW w:w="1449" w:type="dxa"/>
            <w:vAlign w:val="top"/>
          </w:tcPr>
          <w:p w14:paraId="3D4E0EE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09E985D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4E2D6A8F">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4" w:type="dxa"/>
            <w:vAlign w:val="top"/>
          </w:tcPr>
          <w:p w14:paraId="38CDAD05">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2F54F6AC">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6575632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sectPr>
          <w:pgSz w:w="11906" w:h="16839"/>
          <w:pgMar w:top="755" w:right="960" w:bottom="1398" w:left="856" w:header="0" w:footer="971" w:gutter="0"/>
          <w:pgNumType w:fmt="numberInDash"/>
          <w:cols w:space="720" w:num="1"/>
        </w:sectPr>
      </w:pPr>
    </w:p>
    <w:p w14:paraId="56F9CD78">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606A8607">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0A79A9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073B19DF">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序号：7</w:t>
            </w:r>
          </w:p>
          <w:p w14:paraId="430E7B45">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产品名称：血液细胞分析仪（17 家乡镇卫生院+义县妇幼保健院）</w:t>
            </w:r>
          </w:p>
          <w:p w14:paraId="43AC6015">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数量：18 台</w:t>
            </w:r>
          </w:p>
          <w:p w14:paraId="5386590B">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6720F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8" w:type="dxa"/>
            <w:vAlign w:val="top"/>
          </w:tcPr>
          <w:p w14:paraId="59F812C7">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57090944">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6FBB4647">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3C13D53C">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0832AF4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5210DCB7">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65A95D6B">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7467D1C">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54F3E6B9">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51C03C0">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4C59F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34" w:hRule="atLeast"/>
        </w:trPr>
        <w:tc>
          <w:tcPr>
            <w:tcW w:w="5748" w:type="dxa"/>
            <w:vAlign w:val="top"/>
          </w:tcPr>
          <w:p w14:paraId="401541A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仪器可做血细胞计数、白细胞分类以及C-反应蛋白等项目的检测。</w:t>
            </w:r>
          </w:p>
          <w:p w14:paraId="0D4A4F1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检测原理：采用激光散射法对白细胞进行准确的五分类检测，采用免疫散射比浊法进行C-反应蛋白（CRP）测定。</w:t>
            </w:r>
          </w:p>
          <w:p w14:paraId="04A5B127">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检测速度：五分类+CRP模式≥60 个样本/小时。</w:t>
            </w:r>
          </w:p>
          <w:p w14:paraId="38439AE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进样模式：具有独立的静脉全血、末梢全血、预稀释血检测模式。</w:t>
            </w:r>
          </w:p>
          <w:p w14:paraId="5D07A186">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5</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用血量：五分类+CRP 模式≤35μl </w:t>
            </w:r>
          </w:p>
          <w:p w14:paraId="551DA9B8">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6</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检测参数：≥25 项可报告参数（不含散点图和直方图）。</w:t>
            </w:r>
          </w:p>
        </w:tc>
        <w:tc>
          <w:tcPr>
            <w:tcW w:w="1449" w:type="dxa"/>
            <w:vAlign w:val="top"/>
          </w:tcPr>
          <w:p w14:paraId="4F0D8C0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p>
        </w:tc>
        <w:tc>
          <w:tcPr>
            <w:tcW w:w="1184" w:type="dxa"/>
            <w:vAlign w:val="top"/>
          </w:tcPr>
          <w:p w14:paraId="7FAD1C3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7BEB8898">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03E2402F">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46BBD28E">
      <w:pPr>
        <w:keepNext w:val="0"/>
        <w:keepLines w:val="0"/>
        <w:pageBreakBefore w:val="0"/>
        <w:widowControl/>
        <w:kinsoku w:val="0"/>
        <w:wordWrap/>
        <w:overflowPunct/>
        <w:topLinePunct w:val="0"/>
        <w:autoSpaceDE w:val="0"/>
        <w:autoSpaceDN w:val="0"/>
        <w:bidi w:val="0"/>
        <w:adjustRightInd w:val="0"/>
        <w:snapToGrid w:val="0"/>
        <w:spacing w:before="18" w:line="300" w:lineRule="exact"/>
        <w:textAlignment w:val="baseline"/>
        <w:rPr>
          <w:rFonts w:hint="eastAsia" w:ascii="方正仿宋_GB18030" w:hAnsi="方正仿宋_GB18030" w:eastAsia="方正仿宋_GB18030" w:cs="方正仿宋_GB18030"/>
          <w:color w:val="auto"/>
        </w:rPr>
      </w:pPr>
    </w:p>
    <w:p w14:paraId="7E7C791F">
      <w:pPr>
        <w:keepNext w:val="0"/>
        <w:keepLines w:val="0"/>
        <w:pageBreakBefore w:val="0"/>
        <w:widowControl/>
        <w:kinsoku w:val="0"/>
        <w:wordWrap/>
        <w:overflowPunct/>
        <w:topLinePunct w:val="0"/>
        <w:autoSpaceDE w:val="0"/>
        <w:autoSpaceDN w:val="0"/>
        <w:bidi w:val="0"/>
        <w:adjustRightInd w:val="0"/>
        <w:snapToGrid w:val="0"/>
        <w:spacing w:before="17" w:line="300" w:lineRule="exact"/>
        <w:textAlignment w:val="baseline"/>
        <w:rPr>
          <w:rFonts w:hint="eastAsia" w:ascii="方正仿宋_GB18030" w:hAnsi="方正仿宋_GB18030" w:eastAsia="方正仿宋_GB18030" w:cs="方正仿宋_GB18030"/>
          <w:color w:val="auto"/>
        </w:rPr>
      </w:pPr>
    </w:p>
    <w:p w14:paraId="401BECE6">
      <w:pPr>
        <w:keepNext w:val="0"/>
        <w:keepLines w:val="0"/>
        <w:pageBreakBefore w:val="0"/>
        <w:widowControl/>
        <w:kinsoku w:val="0"/>
        <w:wordWrap/>
        <w:overflowPunct/>
        <w:topLinePunct w:val="0"/>
        <w:autoSpaceDE w:val="0"/>
        <w:autoSpaceDN w:val="0"/>
        <w:bidi w:val="0"/>
        <w:adjustRightInd w:val="0"/>
        <w:snapToGrid w:val="0"/>
        <w:spacing w:before="17" w:line="300" w:lineRule="exact"/>
        <w:textAlignment w:val="baseline"/>
        <w:rPr>
          <w:rFonts w:hint="eastAsia" w:ascii="方正仿宋_GB18030" w:hAnsi="方正仿宋_GB18030" w:eastAsia="方正仿宋_GB18030" w:cs="方正仿宋_GB18030"/>
          <w:color w:val="auto"/>
        </w:rPr>
      </w:pPr>
    </w:p>
    <w:tbl>
      <w:tblPr>
        <w:tblStyle w:val="25"/>
        <w:tblW w:w="996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6"/>
        <w:gridCol w:w="1449"/>
        <w:gridCol w:w="1184"/>
        <w:gridCol w:w="687"/>
        <w:gridCol w:w="894"/>
      </w:tblGrid>
      <w:tr w14:paraId="6129F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3CF2546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序号：8</w:t>
            </w:r>
          </w:p>
          <w:p w14:paraId="7B07FF43">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产品名称：尿液分析仪（17 家乡镇卫生院）</w:t>
            </w:r>
          </w:p>
          <w:p w14:paraId="41CE557F">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数量：17 台</w:t>
            </w:r>
          </w:p>
          <w:p w14:paraId="5B86106D">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2AD7B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1" w:hRule="atLeast"/>
        </w:trPr>
        <w:tc>
          <w:tcPr>
            <w:tcW w:w="5746" w:type="dxa"/>
            <w:vAlign w:val="top"/>
          </w:tcPr>
          <w:p w14:paraId="721EB094">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6"/>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7D18E58F">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6" w:right="57"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6"/>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4"/>
                <w:w w:val="88"/>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54D79B3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308F532">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04045F08">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9FFD6D0">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0C0B17CF">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4ED3ED3">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4" w:type="dxa"/>
            <w:vAlign w:val="top"/>
          </w:tcPr>
          <w:p w14:paraId="4BEA6C9C">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FE57F6A">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282C3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46" w:type="dxa"/>
            <w:vAlign w:val="top"/>
          </w:tcPr>
          <w:p w14:paraId="49DB8CDC">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测试项目：≥11项 </w:t>
            </w:r>
          </w:p>
          <w:p w14:paraId="529FC056">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测定原理：反射率及色品分析 </w:t>
            </w:r>
          </w:p>
          <w:p w14:paraId="54522F8F">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测定速度：≥600个/小时 </w:t>
            </w:r>
          </w:p>
          <w:p w14:paraId="5AA1511D">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测定波长：≥3个</w:t>
            </w:r>
          </w:p>
        </w:tc>
        <w:tc>
          <w:tcPr>
            <w:tcW w:w="1449" w:type="dxa"/>
            <w:vAlign w:val="top"/>
          </w:tcPr>
          <w:p w14:paraId="1B4C87C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1118BA69">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4947DDD3">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4" w:type="dxa"/>
            <w:vAlign w:val="top"/>
          </w:tcPr>
          <w:p w14:paraId="2A0F532B">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3E5F5654">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224DDB0A">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sectPr>
          <w:pgSz w:w="11906" w:h="16839"/>
          <w:pgMar w:top="755" w:right="970" w:bottom="1398" w:left="856" w:header="0" w:footer="971" w:gutter="0"/>
          <w:pgNumType w:fmt="numberInDash"/>
          <w:cols w:space="720" w:num="1"/>
        </w:sectPr>
      </w:pPr>
    </w:p>
    <w:p w14:paraId="30E5EF58">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56513218">
      <w:pPr>
        <w:keepNext w:val="0"/>
        <w:keepLines w:val="0"/>
        <w:pageBreakBefore w:val="0"/>
        <w:widowControl/>
        <w:kinsoku w:val="0"/>
        <w:wordWrap/>
        <w:overflowPunct/>
        <w:topLinePunct w:val="0"/>
        <w:autoSpaceDE w:val="0"/>
        <w:autoSpaceDN w:val="0"/>
        <w:bidi w:val="0"/>
        <w:adjustRightInd w:val="0"/>
        <w:snapToGrid w:val="0"/>
        <w:spacing w:before="93" w:line="300" w:lineRule="exact"/>
        <w:textAlignment w:val="baseline"/>
        <w:rPr>
          <w:rFonts w:hint="eastAsia" w:ascii="方正仿宋_GB18030" w:hAnsi="方正仿宋_GB18030" w:eastAsia="方正仿宋_GB18030" w:cs="方正仿宋_GB18030"/>
          <w:color w:val="auto"/>
        </w:rPr>
      </w:pPr>
    </w:p>
    <w:p w14:paraId="1C238E74">
      <w:pPr>
        <w:keepNext w:val="0"/>
        <w:keepLines w:val="0"/>
        <w:pageBreakBefore w:val="0"/>
        <w:widowControl/>
        <w:kinsoku w:val="0"/>
        <w:wordWrap/>
        <w:overflowPunct/>
        <w:topLinePunct w:val="0"/>
        <w:autoSpaceDE w:val="0"/>
        <w:autoSpaceDN w:val="0"/>
        <w:bidi w:val="0"/>
        <w:adjustRightInd w:val="0"/>
        <w:snapToGrid w:val="0"/>
        <w:spacing w:before="93"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5DFE05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347A346E">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序号：9</w:t>
            </w:r>
          </w:p>
          <w:p w14:paraId="32B26DD6">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产品名称：荧光免疫分析仪</w:t>
            </w:r>
          </w:p>
          <w:p w14:paraId="2DA45572">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0D2906A2">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7B2BD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1" w:hRule="atLeast"/>
        </w:trPr>
        <w:tc>
          <w:tcPr>
            <w:tcW w:w="5748" w:type="dxa"/>
            <w:vAlign w:val="top"/>
          </w:tcPr>
          <w:p w14:paraId="116370A5">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4FBDBC8C">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0D498B20">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58771CE">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5C77458A">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5998B4A">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3C6BEB86">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CE6F229">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391CCC10">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1BFBCBB">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3B137F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748" w:type="dxa"/>
            <w:vAlign w:val="top"/>
          </w:tcPr>
          <w:p w14:paraId="0FA2E7BF">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1.检测方法：荧光免疫</w:t>
            </w:r>
          </w:p>
          <w:p w14:paraId="704FD8FD">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2.检测速度：≥160T/H</w:t>
            </w:r>
          </w:p>
          <w:p w14:paraId="6D74E580">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3.检测通道：≥20 个</w:t>
            </w:r>
          </w:p>
          <w:p w14:paraId="472046F7">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4.通讯支持：支持LIS 链接</w:t>
            </w:r>
          </w:p>
          <w:p w14:paraId="6D14EF62">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5.工作模式：支持多项目同时检测</w:t>
            </w:r>
          </w:p>
        </w:tc>
        <w:tc>
          <w:tcPr>
            <w:tcW w:w="1449" w:type="dxa"/>
            <w:vAlign w:val="top"/>
          </w:tcPr>
          <w:p w14:paraId="21036F7A">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05B1DF6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39F51665">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3A0F7130">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5A460A6A">
      <w:pPr>
        <w:keepNext w:val="0"/>
        <w:keepLines w:val="0"/>
        <w:pageBreakBefore w:val="0"/>
        <w:widowControl/>
        <w:kinsoku w:val="0"/>
        <w:wordWrap/>
        <w:overflowPunct/>
        <w:topLinePunct w:val="0"/>
        <w:autoSpaceDE w:val="0"/>
        <w:autoSpaceDN w:val="0"/>
        <w:bidi w:val="0"/>
        <w:adjustRightInd w:val="0"/>
        <w:snapToGrid w:val="0"/>
        <w:spacing w:before="21" w:line="300" w:lineRule="exact"/>
        <w:textAlignment w:val="baseline"/>
        <w:rPr>
          <w:rFonts w:hint="eastAsia" w:ascii="方正仿宋_GB18030" w:hAnsi="方正仿宋_GB18030" w:eastAsia="方正仿宋_GB18030" w:cs="方正仿宋_GB18030"/>
          <w:color w:val="auto"/>
        </w:rPr>
      </w:pPr>
    </w:p>
    <w:p w14:paraId="36BE1080">
      <w:pPr>
        <w:keepNext w:val="0"/>
        <w:keepLines w:val="0"/>
        <w:pageBreakBefore w:val="0"/>
        <w:widowControl/>
        <w:kinsoku w:val="0"/>
        <w:wordWrap/>
        <w:overflowPunct/>
        <w:topLinePunct w:val="0"/>
        <w:autoSpaceDE w:val="0"/>
        <w:autoSpaceDN w:val="0"/>
        <w:bidi w:val="0"/>
        <w:adjustRightInd w:val="0"/>
        <w:snapToGrid w:val="0"/>
        <w:spacing w:before="21" w:line="300" w:lineRule="exact"/>
        <w:textAlignment w:val="baseline"/>
        <w:rPr>
          <w:rFonts w:hint="eastAsia" w:ascii="方正仿宋_GB18030" w:hAnsi="方正仿宋_GB18030" w:eastAsia="方正仿宋_GB18030" w:cs="方正仿宋_GB18030"/>
          <w:color w:val="auto"/>
        </w:rPr>
      </w:pPr>
    </w:p>
    <w:tbl>
      <w:tblPr>
        <w:tblStyle w:val="25"/>
        <w:tblW w:w="9960" w:type="dxa"/>
        <w:tblInd w:w="12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6"/>
        <w:gridCol w:w="1449"/>
        <w:gridCol w:w="1184"/>
        <w:gridCol w:w="687"/>
        <w:gridCol w:w="894"/>
      </w:tblGrid>
      <w:tr w14:paraId="0841D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5ED5A79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序号：10</w:t>
            </w:r>
          </w:p>
          <w:p w14:paraId="69EF66D2">
            <w:pPr>
              <w:pStyle w:val="24"/>
              <w:keepNext w:val="0"/>
              <w:keepLines w:val="0"/>
              <w:pageBreakBefore w:val="0"/>
              <w:widowControl/>
              <w:kinsoku w:val="0"/>
              <w:wordWrap/>
              <w:overflowPunct/>
              <w:topLinePunct w:val="0"/>
              <w:autoSpaceDE w:val="0"/>
              <w:autoSpaceDN w:val="0"/>
              <w:bidi w:val="0"/>
              <w:adjustRightInd w:val="0"/>
              <w:snapToGrid w:val="0"/>
              <w:spacing w:before="21" w:line="300" w:lineRule="exact"/>
              <w:ind w:left="122"/>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产品名称：全自动血型分析仪</w:t>
            </w:r>
          </w:p>
          <w:p w14:paraId="2FBC0934">
            <w:pPr>
              <w:pStyle w:val="24"/>
              <w:keepNext w:val="0"/>
              <w:keepLines w:val="0"/>
              <w:pageBreakBefore w:val="0"/>
              <w:widowControl/>
              <w:kinsoku w:val="0"/>
              <w:wordWrap/>
              <w:overflowPunct/>
              <w:topLinePunct w:val="0"/>
              <w:autoSpaceDE w:val="0"/>
              <w:autoSpaceDN w:val="0"/>
              <w:bidi w:val="0"/>
              <w:adjustRightInd w:val="0"/>
              <w:snapToGrid w:val="0"/>
              <w:spacing w:before="23" w:line="300" w:lineRule="exact"/>
              <w:ind w:left="119"/>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27D7B906">
            <w:pPr>
              <w:pStyle w:val="24"/>
              <w:keepNext w:val="0"/>
              <w:keepLines w:val="0"/>
              <w:pageBreakBefore w:val="0"/>
              <w:widowControl/>
              <w:kinsoku w:val="0"/>
              <w:wordWrap/>
              <w:overflowPunct/>
              <w:topLinePunct w:val="0"/>
              <w:autoSpaceDE w:val="0"/>
              <w:autoSpaceDN w:val="0"/>
              <w:bidi w:val="0"/>
              <w:adjustRightInd w:val="0"/>
              <w:snapToGrid w:val="0"/>
              <w:spacing w:before="24" w:line="300" w:lineRule="exact"/>
              <w:ind w:left="125"/>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1A9D0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6" w:type="dxa"/>
            <w:vAlign w:val="top"/>
          </w:tcPr>
          <w:p w14:paraId="0242E4EB">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60248148">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6" w:right="58"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6"/>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4"/>
                <w:w w:val="88"/>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0F9FE277">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2FFAF56">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668F69FF">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357E7CC5">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61467D55">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32B195D4">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4" w:type="dxa"/>
            <w:vAlign w:val="top"/>
          </w:tcPr>
          <w:p w14:paraId="389DEF7A">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3104DA49">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65167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4" w:hRule="atLeast"/>
        </w:trPr>
        <w:tc>
          <w:tcPr>
            <w:tcW w:w="5746" w:type="dxa"/>
            <w:vAlign w:val="top"/>
          </w:tcPr>
          <w:p w14:paraId="3E942768">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1.用途：全自动完成 ABO、Rh（D）血型及不规则抗体筛选、交叉配血等实验</w:t>
            </w:r>
          </w:p>
          <w:p w14:paraId="74D9BB1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2.处理速度：自标本扫码到结果报告，每小时可完成血型鉴定≥42 卡/小时</w:t>
            </w:r>
          </w:p>
          <w:p w14:paraId="65E795B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3.加样通道：≥2 个加样通道，液体置换加样原理。采用固定 式的永久性加样钢针，避免加样针耗材费用，保证气密性及 便于吸取红细胞样本。</w:t>
            </w:r>
          </w:p>
          <w:p w14:paraId="32A2D754">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4.标本位：≥96个，原始标本试管上机</w:t>
            </w:r>
          </w:p>
          <w:p w14:paraId="4C65E0F3">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5.离心机：每台离心机卡位≥24卡位，转速：0～2000r/min。</w:t>
            </w:r>
          </w:p>
        </w:tc>
        <w:tc>
          <w:tcPr>
            <w:tcW w:w="1449" w:type="dxa"/>
            <w:vAlign w:val="top"/>
          </w:tcPr>
          <w:p w14:paraId="55FC407B">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2AEB819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1D994D29">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4" w:type="dxa"/>
            <w:vAlign w:val="top"/>
          </w:tcPr>
          <w:p w14:paraId="7403179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5DB80BE5">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7B443177">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sectPr>
          <w:pgSz w:w="11906" w:h="16839"/>
          <w:pgMar w:top="755" w:right="960" w:bottom="1398" w:left="856" w:header="0" w:footer="971" w:gutter="0"/>
          <w:pgNumType w:fmt="numberInDash"/>
          <w:cols w:space="720" w:num="1"/>
        </w:sectPr>
      </w:pPr>
    </w:p>
    <w:p w14:paraId="56E4B263">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6B0E6FA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0E9B6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56984AB5">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序号：11</w:t>
            </w:r>
          </w:p>
          <w:p w14:paraId="256CEAED">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产品名称：全自动过敏原检测仪</w:t>
            </w:r>
          </w:p>
          <w:p w14:paraId="3523BD90">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38BFCCD9">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6B808D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8" w:type="dxa"/>
            <w:vAlign w:val="top"/>
          </w:tcPr>
          <w:p w14:paraId="45D158AB">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323B1131">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45AE7513">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51F3FAA">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0E7639E4">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56AAFCC8">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40ABC6D4">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CC9146D">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4506D76C">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C8BD68F">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28617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0" w:hRule="atLeast"/>
        </w:trPr>
        <w:tc>
          <w:tcPr>
            <w:tcW w:w="5748" w:type="dxa"/>
            <w:vAlign w:val="top"/>
          </w:tcPr>
          <w:p w14:paraId="7B8E0B5E">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1.操作系统:中文操作界面</w:t>
            </w:r>
          </w:p>
          <w:p w14:paraId="02CDD674">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2.检测通道:≥7通道,实现多卡联检。</w:t>
            </w:r>
          </w:p>
          <w:p w14:paraId="641C200C">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3.检测速度:测试</w:t>
            </w:r>
            <w:r>
              <w:rPr>
                <w:rFonts w:hint="eastAsia" w:ascii="方正仿宋_GB18030" w:hAnsi="方正仿宋_GB18030" w:eastAsia="方正仿宋_GB18030" w:cs="方正仿宋_GB18030"/>
                <w:snapToGrid w:val="0"/>
                <w:color w:val="auto"/>
                <w:spacing w:val="0"/>
                <w:kern w:val="0"/>
                <w:sz w:val="20"/>
                <w:szCs w:val="20"/>
                <w:lang w:val="en-US" w:eastAsia="zh-CN" w:bidi="ar-SA"/>
              </w:rPr>
              <w:t>7</w:t>
            </w:r>
            <w:r>
              <w:rPr>
                <w:rFonts w:hint="eastAsia" w:ascii="方正仿宋_GB18030" w:hAnsi="方正仿宋_GB18030" w:eastAsia="方正仿宋_GB18030" w:cs="方正仿宋_GB18030"/>
                <w:snapToGrid w:val="0"/>
                <w:color w:val="auto"/>
                <w:spacing w:val="0"/>
                <w:kern w:val="0"/>
                <w:sz w:val="20"/>
                <w:szCs w:val="20"/>
                <w:lang w:val="en-US" w:eastAsia="en-US" w:bidi="ar-SA"/>
              </w:rPr>
              <w:t>份样本时间≤60秒</w:t>
            </w:r>
          </w:p>
          <w:p w14:paraId="03D4A1BB">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4.检测能力:可持续不间断测。</w:t>
            </w:r>
          </w:p>
          <w:p w14:paraId="60D59E51">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5.联机功能:可连接医院LIS 系统</w:t>
            </w:r>
          </w:p>
          <w:p w14:paraId="43B5C66D">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6.检测项目</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至少包含过敏原及食物不耐受</w:t>
            </w:r>
          </w:p>
        </w:tc>
        <w:tc>
          <w:tcPr>
            <w:tcW w:w="1449" w:type="dxa"/>
            <w:vAlign w:val="top"/>
          </w:tcPr>
          <w:p w14:paraId="7519B665">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463C5300">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2B52445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0F846A65">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41A17974">
      <w:pPr>
        <w:keepNext w:val="0"/>
        <w:keepLines w:val="0"/>
        <w:pageBreakBefore w:val="0"/>
        <w:widowControl/>
        <w:kinsoku w:val="0"/>
        <w:wordWrap/>
        <w:overflowPunct/>
        <w:topLinePunct w:val="0"/>
        <w:autoSpaceDE w:val="0"/>
        <w:autoSpaceDN w:val="0"/>
        <w:bidi w:val="0"/>
        <w:adjustRightInd w:val="0"/>
        <w:snapToGrid w:val="0"/>
        <w:spacing w:before="85" w:line="300" w:lineRule="exact"/>
        <w:textAlignment w:val="baseline"/>
        <w:rPr>
          <w:rFonts w:hint="eastAsia" w:ascii="方正仿宋_GB18030" w:hAnsi="方正仿宋_GB18030" w:eastAsia="方正仿宋_GB18030" w:cs="方正仿宋_GB18030"/>
          <w:color w:val="auto"/>
        </w:rPr>
      </w:pPr>
    </w:p>
    <w:p w14:paraId="7FB8FC0E">
      <w:pPr>
        <w:keepNext w:val="0"/>
        <w:keepLines w:val="0"/>
        <w:pageBreakBefore w:val="0"/>
        <w:widowControl/>
        <w:kinsoku w:val="0"/>
        <w:wordWrap/>
        <w:overflowPunct/>
        <w:topLinePunct w:val="0"/>
        <w:autoSpaceDE w:val="0"/>
        <w:autoSpaceDN w:val="0"/>
        <w:bidi w:val="0"/>
        <w:adjustRightInd w:val="0"/>
        <w:snapToGrid w:val="0"/>
        <w:spacing w:before="84" w:line="300" w:lineRule="exact"/>
        <w:textAlignment w:val="baseline"/>
        <w:rPr>
          <w:rFonts w:hint="eastAsia" w:ascii="方正仿宋_GB18030" w:hAnsi="方正仿宋_GB18030" w:eastAsia="方正仿宋_GB18030" w:cs="方正仿宋_GB18030"/>
          <w:color w:val="auto"/>
        </w:rPr>
      </w:pPr>
    </w:p>
    <w:tbl>
      <w:tblPr>
        <w:tblStyle w:val="25"/>
        <w:tblW w:w="9960" w:type="dxa"/>
        <w:tblInd w:w="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6"/>
        <w:gridCol w:w="1449"/>
        <w:gridCol w:w="1184"/>
        <w:gridCol w:w="687"/>
        <w:gridCol w:w="894"/>
      </w:tblGrid>
      <w:tr w14:paraId="363A3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0DB254AF">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序号：12</w:t>
            </w:r>
          </w:p>
          <w:p w14:paraId="6013DF4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产品名称：实验室用纯水机</w:t>
            </w:r>
          </w:p>
          <w:p w14:paraId="4039021C">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56DA9C4B">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45073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6" w:type="dxa"/>
            <w:vAlign w:val="top"/>
          </w:tcPr>
          <w:p w14:paraId="1CBC4C49">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7"/>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2323D3AA">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8" w:right="59" w:firstLine="5"/>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69317676">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B5F92AF">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327902BC">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3C05F88">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7598AA45">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BA198C4">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4" w:type="dxa"/>
            <w:vAlign w:val="top"/>
          </w:tcPr>
          <w:p w14:paraId="444521F2">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3A1C7791">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21B99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1" w:hRule="atLeast"/>
        </w:trPr>
        <w:tc>
          <w:tcPr>
            <w:tcW w:w="5746" w:type="dxa"/>
            <w:vAlign w:val="top"/>
          </w:tcPr>
          <w:p w14:paraId="300D3A2B">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1.原水水质：城市自来水</w:t>
            </w:r>
          </w:p>
          <w:p w14:paraId="3DB3C9A1">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2.脱盐装置：反渗透+离子交换，脱盐率高达98%以上</w:t>
            </w:r>
          </w:p>
          <w:p w14:paraId="68B5F3C1">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★3.产水量：≥100L/H（25℃)</w:t>
            </w:r>
          </w:p>
          <w:p w14:paraId="3EBA4BA6">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★4.产水水质：10MΩ•cm 以上（绝对满足生化分析机的用水要求）符合GB6682-92《分析实验用水规格及试验方法》的用水标准</w:t>
            </w:r>
          </w:p>
        </w:tc>
        <w:tc>
          <w:tcPr>
            <w:tcW w:w="1449" w:type="dxa"/>
            <w:vAlign w:val="top"/>
          </w:tcPr>
          <w:p w14:paraId="56E4F49A">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5207C1DA">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348E877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4" w:type="dxa"/>
            <w:vAlign w:val="top"/>
          </w:tcPr>
          <w:p w14:paraId="2B234EA1">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6E66BCBD">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1DC98682">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sectPr>
          <w:pgSz w:w="11906" w:h="16839"/>
          <w:pgMar w:top="755" w:right="970" w:bottom="1398" w:left="856" w:header="0" w:footer="971" w:gutter="0"/>
          <w:pgNumType w:fmt="numberInDash"/>
          <w:cols w:space="720" w:num="1"/>
        </w:sectPr>
      </w:pPr>
    </w:p>
    <w:p w14:paraId="2BA47F20">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32E12875">
      <w:pPr>
        <w:keepNext w:val="0"/>
        <w:keepLines w:val="0"/>
        <w:pageBreakBefore w:val="0"/>
        <w:widowControl/>
        <w:kinsoku w:val="0"/>
        <w:wordWrap/>
        <w:overflowPunct/>
        <w:topLinePunct w:val="0"/>
        <w:autoSpaceDE w:val="0"/>
        <w:autoSpaceDN w:val="0"/>
        <w:bidi w:val="0"/>
        <w:adjustRightInd w:val="0"/>
        <w:snapToGrid w:val="0"/>
        <w:spacing w:before="93" w:line="300" w:lineRule="exact"/>
        <w:textAlignment w:val="baseline"/>
        <w:rPr>
          <w:rFonts w:hint="eastAsia" w:ascii="方正仿宋_GB18030" w:hAnsi="方正仿宋_GB18030" w:eastAsia="方正仿宋_GB18030" w:cs="方正仿宋_GB18030"/>
          <w:color w:val="auto"/>
        </w:rPr>
      </w:pPr>
    </w:p>
    <w:p w14:paraId="21C1CC95">
      <w:pPr>
        <w:keepNext w:val="0"/>
        <w:keepLines w:val="0"/>
        <w:pageBreakBefore w:val="0"/>
        <w:widowControl/>
        <w:kinsoku w:val="0"/>
        <w:wordWrap/>
        <w:overflowPunct/>
        <w:topLinePunct w:val="0"/>
        <w:autoSpaceDE w:val="0"/>
        <w:autoSpaceDN w:val="0"/>
        <w:bidi w:val="0"/>
        <w:adjustRightInd w:val="0"/>
        <w:snapToGrid w:val="0"/>
        <w:spacing w:before="93" w:line="300" w:lineRule="exact"/>
        <w:textAlignment w:val="baseline"/>
        <w:rPr>
          <w:rFonts w:hint="eastAsia" w:ascii="方正仿宋_GB18030" w:hAnsi="方正仿宋_GB18030" w:eastAsia="方正仿宋_GB18030" w:cs="方正仿宋_GB18030"/>
          <w:color w:val="auto"/>
        </w:rPr>
      </w:pPr>
    </w:p>
    <w:tbl>
      <w:tblPr>
        <w:tblStyle w:val="25"/>
        <w:tblW w:w="9960" w:type="dxa"/>
        <w:tblInd w:w="1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20783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199" w:hRule="atLeast"/>
        </w:trPr>
        <w:tc>
          <w:tcPr>
            <w:tcW w:w="9960" w:type="dxa"/>
            <w:gridSpan w:val="5"/>
            <w:vAlign w:val="top"/>
          </w:tcPr>
          <w:p w14:paraId="219F9425">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序号：13</w:t>
            </w:r>
          </w:p>
          <w:p w14:paraId="7358B94A">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产品名称：显微镜</w:t>
            </w:r>
          </w:p>
          <w:p w14:paraId="7BBFA49E">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18840A96">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0EF12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1" w:hRule="atLeast"/>
        </w:trPr>
        <w:tc>
          <w:tcPr>
            <w:tcW w:w="5748" w:type="dxa"/>
            <w:vAlign w:val="top"/>
          </w:tcPr>
          <w:p w14:paraId="0166586D">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419104C0">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104BCEC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2F49F4B">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2EA66FBB">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F7FED94">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083858A0">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35FACFA4">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2" w:type="dxa"/>
            <w:vAlign w:val="top"/>
          </w:tcPr>
          <w:p w14:paraId="07F5E8B2">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182C2904">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7C5DC7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trPr>
        <w:tc>
          <w:tcPr>
            <w:tcW w:w="5748" w:type="dxa"/>
            <w:vAlign w:val="top"/>
          </w:tcPr>
          <w:p w14:paraId="515628C5">
            <w:pPr>
              <w:pStyle w:val="24"/>
              <w:keepNext w:val="0"/>
              <w:keepLines w:val="0"/>
              <w:pageBreakBefore w:val="0"/>
              <w:widowControl/>
              <w:kinsoku w:val="0"/>
              <w:wordWrap/>
              <w:overflowPunct/>
              <w:topLinePunct w:val="0"/>
              <w:autoSpaceDE w:val="0"/>
              <w:autoSpaceDN w:val="0"/>
              <w:bidi w:val="0"/>
              <w:adjustRightInd w:val="0"/>
              <w:snapToGrid w:val="0"/>
              <w:spacing w:before="55" w:line="300" w:lineRule="exact"/>
              <w:ind w:left="129"/>
              <w:textAlignment w:val="baseline"/>
              <w:rPr>
                <w:rFonts w:hint="eastAsia" w:ascii="方正仿宋_GB18030" w:hAnsi="方正仿宋_GB18030" w:eastAsia="方正仿宋_GB18030" w:cs="方正仿宋_GB18030"/>
                <w:color w:val="auto"/>
                <w:spacing w:val="7"/>
              </w:rPr>
            </w:pPr>
            <w:r>
              <w:rPr>
                <w:rFonts w:hint="eastAsia" w:ascii="方正仿宋_GB18030" w:hAnsi="方正仿宋_GB18030" w:eastAsia="方正仿宋_GB18030" w:cs="方正仿宋_GB18030"/>
                <w:color w:val="auto"/>
                <w:spacing w:val="7"/>
              </w:rPr>
              <w:t xml:space="preserve">1.光学系统：齐焦距离为≦45 </w:t>
            </w:r>
            <w:r>
              <w:rPr>
                <w:rFonts w:hint="eastAsia" w:ascii="方正仿宋_GB18030" w:hAnsi="方正仿宋_GB18030" w:eastAsia="方正仿宋_GB18030" w:cs="方正仿宋_GB18030"/>
                <w:color w:val="auto"/>
              </w:rPr>
              <w:t>mm</w:t>
            </w:r>
          </w:p>
          <w:p w14:paraId="7DD68750">
            <w:pPr>
              <w:pStyle w:val="24"/>
              <w:keepNext w:val="0"/>
              <w:keepLines w:val="0"/>
              <w:pageBreakBefore w:val="0"/>
              <w:widowControl/>
              <w:kinsoku w:val="0"/>
              <w:wordWrap/>
              <w:overflowPunct/>
              <w:topLinePunct w:val="0"/>
              <w:autoSpaceDE w:val="0"/>
              <w:autoSpaceDN w:val="0"/>
              <w:bidi w:val="0"/>
              <w:adjustRightInd w:val="0"/>
              <w:snapToGrid w:val="0"/>
              <w:spacing w:before="57" w:line="300" w:lineRule="exact"/>
              <w:ind w:left="117"/>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2.放大倍率：</w:t>
            </w:r>
            <w:r>
              <w:rPr>
                <w:rFonts w:hint="eastAsia" w:ascii="方正仿宋_GB18030" w:hAnsi="方正仿宋_GB18030" w:eastAsia="方正仿宋_GB18030" w:cs="方正仿宋_GB18030"/>
                <w:color w:val="auto"/>
                <w:spacing w:val="7"/>
                <w:lang w:val="en-US" w:eastAsia="zh-CN"/>
              </w:rPr>
              <w:t>≥</w:t>
            </w:r>
            <w:r>
              <w:rPr>
                <w:rFonts w:hint="eastAsia" w:ascii="方正仿宋_GB18030" w:hAnsi="方正仿宋_GB18030" w:eastAsia="方正仿宋_GB18030" w:cs="方正仿宋_GB18030"/>
                <w:color w:val="auto"/>
                <w:spacing w:val="5"/>
              </w:rPr>
              <w:t>40-1000</w:t>
            </w:r>
            <w:r>
              <w:rPr>
                <w:rFonts w:hint="eastAsia" w:ascii="方正仿宋_GB18030" w:hAnsi="方正仿宋_GB18030" w:eastAsia="方正仿宋_GB18030" w:cs="方正仿宋_GB18030"/>
                <w:color w:val="auto"/>
                <w:spacing w:val="-24"/>
              </w:rPr>
              <w:t xml:space="preserve"> </w:t>
            </w:r>
            <w:r>
              <w:rPr>
                <w:rFonts w:hint="eastAsia" w:ascii="方正仿宋_GB18030" w:hAnsi="方正仿宋_GB18030" w:eastAsia="方正仿宋_GB18030" w:cs="方正仿宋_GB18030"/>
                <w:color w:val="auto"/>
                <w:spacing w:val="5"/>
              </w:rPr>
              <w:t>倍</w:t>
            </w:r>
          </w:p>
          <w:p w14:paraId="395CB9B3">
            <w:pPr>
              <w:pStyle w:val="24"/>
              <w:keepNext w:val="0"/>
              <w:keepLines w:val="0"/>
              <w:pageBreakBefore w:val="0"/>
              <w:widowControl/>
              <w:kinsoku w:val="0"/>
              <w:wordWrap/>
              <w:overflowPunct/>
              <w:topLinePunct w:val="0"/>
              <w:autoSpaceDE w:val="0"/>
              <w:autoSpaceDN w:val="0"/>
              <w:bidi w:val="0"/>
              <w:adjustRightInd w:val="0"/>
              <w:snapToGrid w:val="0"/>
              <w:spacing w:before="57" w:line="300" w:lineRule="exact"/>
              <w:ind w:left="11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3.照明系统：</w:t>
            </w:r>
            <w:r>
              <w:rPr>
                <w:rFonts w:hint="eastAsia" w:ascii="方正仿宋_GB18030" w:hAnsi="方正仿宋_GB18030" w:eastAsia="方正仿宋_GB18030" w:cs="方正仿宋_GB18030"/>
                <w:color w:val="auto"/>
                <w:spacing w:val="-50"/>
              </w:rPr>
              <w:t xml:space="preserve"> </w:t>
            </w:r>
            <w:r>
              <w:rPr>
                <w:rFonts w:hint="eastAsia" w:ascii="方正仿宋_GB18030" w:hAnsi="方正仿宋_GB18030" w:eastAsia="方正仿宋_GB18030" w:cs="方正仿宋_GB18030"/>
                <w:color w:val="auto"/>
                <w:spacing w:val="5"/>
              </w:rPr>
              <w:t>内置</w:t>
            </w:r>
            <w:r>
              <w:rPr>
                <w:rFonts w:hint="eastAsia" w:ascii="方正仿宋_GB18030" w:hAnsi="方正仿宋_GB18030" w:eastAsia="方正仿宋_GB18030" w:cs="方正仿宋_GB18030"/>
                <w:color w:val="auto"/>
                <w:spacing w:val="-42"/>
              </w:rPr>
              <w:t xml:space="preserve"> </w:t>
            </w:r>
            <w:r>
              <w:rPr>
                <w:rFonts w:hint="eastAsia" w:ascii="方正仿宋_GB18030" w:hAnsi="方正仿宋_GB18030" w:eastAsia="方正仿宋_GB18030" w:cs="方正仿宋_GB18030"/>
                <w:color w:val="auto"/>
              </w:rPr>
              <w:t>LED</w:t>
            </w:r>
            <w:r>
              <w:rPr>
                <w:rFonts w:hint="eastAsia" w:ascii="方正仿宋_GB18030" w:hAnsi="方正仿宋_GB18030" w:eastAsia="方正仿宋_GB18030" w:cs="方正仿宋_GB18030"/>
                <w:color w:val="auto"/>
                <w:spacing w:val="-30"/>
              </w:rPr>
              <w:t xml:space="preserve"> </w:t>
            </w:r>
            <w:r>
              <w:rPr>
                <w:rFonts w:hint="eastAsia" w:ascii="方正仿宋_GB18030" w:hAnsi="方正仿宋_GB18030" w:eastAsia="方正仿宋_GB18030" w:cs="方正仿宋_GB18030"/>
                <w:color w:val="auto"/>
                <w:spacing w:val="5"/>
              </w:rPr>
              <w:t>光源，使用寿命≥6000</w:t>
            </w:r>
            <w:r>
              <w:rPr>
                <w:rFonts w:hint="eastAsia" w:ascii="方正仿宋_GB18030" w:hAnsi="方正仿宋_GB18030" w:eastAsia="方正仿宋_GB18030" w:cs="方正仿宋_GB18030"/>
                <w:color w:val="auto"/>
                <w:spacing w:val="4"/>
              </w:rPr>
              <w:t>0</w:t>
            </w:r>
            <w:r>
              <w:rPr>
                <w:rFonts w:hint="eastAsia" w:ascii="方正仿宋_GB18030" w:hAnsi="方正仿宋_GB18030" w:eastAsia="方正仿宋_GB18030" w:cs="方正仿宋_GB18030"/>
                <w:color w:val="auto"/>
                <w:spacing w:val="-32"/>
              </w:rPr>
              <w:t xml:space="preserve"> </w:t>
            </w:r>
            <w:r>
              <w:rPr>
                <w:rFonts w:hint="eastAsia" w:ascii="方正仿宋_GB18030" w:hAnsi="方正仿宋_GB18030" w:eastAsia="方正仿宋_GB18030" w:cs="方正仿宋_GB18030"/>
                <w:color w:val="auto"/>
                <w:spacing w:val="4"/>
              </w:rPr>
              <w:t>小时</w:t>
            </w:r>
          </w:p>
          <w:p w14:paraId="1333E147">
            <w:pPr>
              <w:pStyle w:val="24"/>
              <w:keepNext w:val="0"/>
              <w:keepLines w:val="0"/>
              <w:pageBreakBefore w:val="0"/>
              <w:widowControl/>
              <w:kinsoku w:val="0"/>
              <w:wordWrap/>
              <w:overflowPunct/>
              <w:topLinePunct w:val="0"/>
              <w:autoSpaceDE w:val="0"/>
              <w:autoSpaceDN w:val="0"/>
              <w:bidi w:val="0"/>
              <w:adjustRightInd w:val="0"/>
              <w:snapToGrid w:val="0"/>
              <w:spacing w:before="57" w:line="300" w:lineRule="exact"/>
              <w:ind w:left="113"/>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4.物镜：包含</w:t>
            </w:r>
            <w:r>
              <w:rPr>
                <w:rFonts w:hint="eastAsia" w:ascii="方正仿宋_GB18030" w:hAnsi="方正仿宋_GB18030" w:eastAsia="方正仿宋_GB18030" w:cs="方正仿宋_GB18030"/>
                <w:color w:val="auto"/>
                <w:spacing w:val="-37"/>
              </w:rPr>
              <w:t xml:space="preserve"> </w:t>
            </w:r>
            <w:r>
              <w:rPr>
                <w:rFonts w:hint="eastAsia" w:ascii="方正仿宋_GB18030" w:hAnsi="方正仿宋_GB18030" w:eastAsia="方正仿宋_GB18030" w:cs="方正仿宋_GB18030"/>
                <w:color w:val="auto"/>
                <w:spacing w:val="6"/>
              </w:rPr>
              <w:t>4X、10X、40X、100X</w:t>
            </w:r>
          </w:p>
        </w:tc>
        <w:tc>
          <w:tcPr>
            <w:tcW w:w="1449" w:type="dxa"/>
            <w:vAlign w:val="top"/>
          </w:tcPr>
          <w:p w14:paraId="4529366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3D5A728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5225D63F">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7763319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49196ED9">
      <w:pPr>
        <w:keepNext w:val="0"/>
        <w:keepLines w:val="0"/>
        <w:pageBreakBefore w:val="0"/>
        <w:widowControl/>
        <w:kinsoku w:val="0"/>
        <w:wordWrap/>
        <w:overflowPunct/>
        <w:topLinePunct w:val="0"/>
        <w:autoSpaceDE w:val="0"/>
        <w:autoSpaceDN w:val="0"/>
        <w:bidi w:val="0"/>
        <w:adjustRightInd w:val="0"/>
        <w:snapToGrid w:val="0"/>
        <w:spacing w:before="219" w:line="300" w:lineRule="exact"/>
        <w:textAlignment w:val="baseline"/>
        <w:rPr>
          <w:rFonts w:hint="eastAsia" w:ascii="方正仿宋_GB18030" w:hAnsi="方正仿宋_GB18030" w:eastAsia="方正仿宋_GB18030" w:cs="方正仿宋_GB18030"/>
          <w:color w:val="auto"/>
        </w:rPr>
      </w:pPr>
    </w:p>
    <w:tbl>
      <w:tblPr>
        <w:tblStyle w:val="25"/>
        <w:tblW w:w="9960" w:type="dxa"/>
        <w:tblInd w:w="1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6"/>
        <w:gridCol w:w="1449"/>
        <w:gridCol w:w="1184"/>
        <w:gridCol w:w="687"/>
        <w:gridCol w:w="894"/>
      </w:tblGrid>
      <w:tr w14:paraId="43EF1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trPr>
        <w:tc>
          <w:tcPr>
            <w:tcW w:w="9960" w:type="dxa"/>
            <w:gridSpan w:val="5"/>
            <w:vAlign w:val="top"/>
          </w:tcPr>
          <w:p w14:paraId="24752832">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序号：14</w:t>
            </w:r>
          </w:p>
          <w:p w14:paraId="6BFE8620">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产品名称：病理远程会诊系统</w:t>
            </w:r>
          </w:p>
          <w:p w14:paraId="2222D917">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7470F799">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6A6EB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trPr>
        <w:tc>
          <w:tcPr>
            <w:tcW w:w="5746" w:type="dxa"/>
            <w:vAlign w:val="top"/>
          </w:tcPr>
          <w:p w14:paraId="2B59CCA6">
            <w:pPr>
              <w:pStyle w:val="24"/>
              <w:keepNext w:val="0"/>
              <w:keepLines w:val="0"/>
              <w:pageBreakBefore w:val="0"/>
              <w:widowControl/>
              <w:kinsoku w:val="0"/>
              <w:wordWrap/>
              <w:overflowPunct/>
              <w:topLinePunct w:val="0"/>
              <w:autoSpaceDE w:val="0"/>
              <w:autoSpaceDN w:val="0"/>
              <w:bidi w:val="0"/>
              <w:adjustRightInd w:val="0"/>
              <w:snapToGrid w:val="0"/>
              <w:spacing w:before="134" w:line="300" w:lineRule="exact"/>
              <w:ind w:left="2257"/>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4BE7007F">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5"/>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40E1D383">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0A295A0">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1184" w:type="dxa"/>
            <w:vAlign w:val="top"/>
          </w:tcPr>
          <w:p w14:paraId="797A3A02">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95A135D">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55AF4415">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AF48ACD">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偏离说明</w:t>
            </w:r>
          </w:p>
        </w:tc>
        <w:tc>
          <w:tcPr>
            <w:tcW w:w="894" w:type="dxa"/>
            <w:vAlign w:val="top"/>
          </w:tcPr>
          <w:p w14:paraId="3A855A48">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28A26D6A">
            <w:pPr>
              <w:pStyle w:val="24"/>
              <w:keepNext w:val="0"/>
              <w:keepLines w:val="0"/>
              <w:pageBreakBefore w:val="0"/>
              <w:widowControl/>
              <w:kinsoku w:val="0"/>
              <w:wordWrap/>
              <w:overflowPunct/>
              <w:topLinePunct w:val="0"/>
              <w:autoSpaceDE w:val="0"/>
              <w:autoSpaceDN w:val="0"/>
              <w:bidi w:val="0"/>
              <w:adjustRightInd w:val="0"/>
              <w:snapToGrid w:val="0"/>
              <w:spacing w:before="66"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76C3A4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3" w:hRule="atLeast"/>
        </w:trPr>
        <w:tc>
          <w:tcPr>
            <w:tcW w:w="5746" w:type="dxa"/>
            <w:vAlign w:val="top"/>
          </w:tcPr>
          <w:p w14:paraId="5FF2E185">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1</w:t>
            </w:r>
            <w:r>
              <w:rPr>
                <w:rFonts w:hint="eastAsia" w:ascii="方正仿宋_GB18030" w:hAnsi="方正仿宋_GB18030" w:eastAsia="方正仿宋_GB18030" w:cs="方正仿宋_GB18030"/>
                <w:snapToGrid w:val="0"/>
                <w:color w:val="auto"/>
                <w:spacing w:val="0"/>
                <w:kern w:val="0"/>
                <w:sz w:val="20"/>
                <w:szCs w:val="20"/>
                <w:lang w:val="en-US" w:eastAsia="en-US" w:bidi="ar-SA"/>
              </w:rPr>
              <w:t>.扫描速度（组织区域 15*15mm）：20X≤40s；40X≤100s</w:t>
            </w:r>
          </w:p>
          <w:p w14:paraId="241EF8A3">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2</w:t>
            </w:r>
            <w:r>
              <w:rPr>
                <w:rFonts w:hint="eastAsia" w:ascii="方正仿宋_GB18030" w:hAnsi="方正仿宋_GB18030" w:eastAsia="方正仿宋_GB18030" w:cs="方正仿宋_GB18030"/>
                <w:snapToGrid w:val="0"/>
                <w:color w:val="auto"/>
                <w:spacing w:val="0"/>
                <w:kern w:val="0"/>
                <w:sz w:val="20"/>
                <w:szCs w:val="20"/>
                <w:lang w:val="en-US" w:eastAsia="en-US" w:bidi="ar-SA"/>
              </w:rPr>
              <w:t>.扫描模式：支持单层、多层及多层融合扫描</w:t>
            </w:r>
          </w:p>
          <w:p w14:paraId="4DB09FEF">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3</w:t>
            </w:r>
            <w:r>
              <w:rPr>
                <w:rFonts w:hint="eastAsia" w:ascii="方正仿宋_GB18030" w:hAnsi="方正仿宋_GB18030" w:eastAsia="方正仿宋_GB18030" w:cs="方正仿宋_GB18030"/>
                <w:snapToGrid w:val="0"/>
                <w:color w:val="auto"/>
                <w:spacing w:val="0"/>
                <w:kern w:val="0"/>
                <w:sz w:val="20"/>
                <w:szCs w:val="20"/>
                <w:lang w:val="en-US" w:eastAsia="en-US" w:bidi="ar-SA"/>
              </w:rPr>
              <w:t>.对焦方式：全自动/手动</w:t>
            </w:r>
          </w:p>
          <w:p w14:paraId="25FF9E7F">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4</w:t>
            </w:r>
            <w:r>
              <w:rPr>
                <w:rFonts w:hint="eastAsia" w:ascii="方正仿宋_GB18030" w:hAnsi="方正仿宋_GB18030" w:eastAsia="方正仿宋_GB18030" w:cs="方正仿宋_GB18030"/>
                <w:snapToGrid w:val="0"/>
                <w:color w:val="auto"/>
                <w:spacing w:val="0"/>
                <w:kern w:val="0"/>
                <w:sz w:val="20"/>
                <w:szCs w:val="20"/>
                <w:lang w:val="en-US" w:eastAsia="en-US" w:bidi="ar-SA"/>
              </w:rPr>
              <w:t>.区域识别：自动识别组织区域</w:t>
            </w:r>
          </w:p>
          <w:p w14:paraId="27095D71">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snapToGrid w:val="0"/>
                <w:color w:val="auto"/>
                <w:spacing w:val="0"/>
                <w:kern w:val="0"/>
                <w:sz w:val="20"/>
                <w:szCs w:val="20"/>
                <w:lang w:val="en-US" w:eastAsia="zh-CN" w:bidi="ar-SA"/>
              </w:rPr>
              <w:t>5</w:t>
            </w:r>
            <w:r>
              <w:rPr>
                <w:rFonts w:hint="eastAsia" w:ascii="方正仿宋_GB18030" w:hAnsi="方正仿宋_GB18030" w:eastAsia="方正仿宋_GB18030" w:cs="方正仿宋_GB18030"/>
                <w:snapToGrid w:val="0"/>
                <w:color w:val="auto"/>
                <w:spacing w:val="0"/>
                <w:kern w:val="0"/>
                <w:sz w:val="20"/>
                <w:szCs w:val="20"/>
                <w:lang w:val="en-US" w:eastAsia="en-US" w:bidi="ar-SA"/>
              </w:rPr>
              <w:t>.含图像浏览管理软件</w:t>
            </w:r>
          </w:p>
        </w:tc>
        <w:tc>
          <w:tcPr>
            <w:tcW w:w="1449" w:type="dxa"/>
            <w:vAlign w:val="top"/>
          </w:tcPr>
          <w:p w14:paraId="17F7A5A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20BDFC9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7B0584EF">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4" w:type="dxa"/>
            <w:vAlign w:val="top"/>
          </w:tcPr>
          <w:p w14:paraId="4C747AB9">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594401BA">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79E8A64F">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sectPr>
          <w:pgSz w:w="11906" w:h="16839"/>
          <w:pgMar w:top="755" w:right="954" w:bottom="1398" w:left="856" w:header="0" w:footer="971" w:gutter="0"/>
          <w:pgNumType w:fmt="numberInDash"/>
          <w:cols w:space="720" w:num="1"/>
        </w:sectPr>
      </w:pPr>
    </w:p>
    <w:p w14:paraId="0C7A5B0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2817FF8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tbl>
      <w:tblPr>
        <w:tblStyle w:val="25"/>
        <w:tblW w:w="99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8"/>
        <w:gridCol w:w="1449"/>
        <w:gridCol w:w="1184"/>
        <w:gridCol w:w="687"/>
        <w:gridCol w:w="892"/>
      </w:tblGrid>
      <w:tr w14:paraId="363A68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jc w:val="center"/>
        </w:trPr>
        <w:tc>
          <w:tcPr>
            <w:tcW w:w="9960" w:type="dxa"/>
            <w:gridSpan w:val="5"/>
            <w:vAlign w:val="top"/>
          </w:tcPr>
          <w:p w14:paraId="7FD9ABA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序号：15</w:t>
            </w:r>
          </w:p>
          <w:p w14:paraId="2E9C6165">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产品名称：液基细胞学制片机(TCT)</w:t>
            </w:r>
          </w:p>
          <w:p w14:paraId="77229327">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数量：1 台</w:t>
            </w:r>
          </w:p>
          <w:p w14:paraId="15E58F88">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74B0A1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2" w:hRule="atLeast"/>
          <w:jc w:val="center"/>
        </w:trPr>
        <w:tc>
          <w:tcPr>
            <w:tcW w:w="5748" w:type="dxa"/>
            <w:vAlign w:val="top"/>
          </w:tcPr>
          <w:p w14:paraId="5B84187D">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8"/>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1A196135">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7" w:right="59" w:firstLine="7"/>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449" w:type="dxa"/>
            <w:vAlign w:val="top"/>
          </w:tcPr>
          <w:p w14:paraId="1E0B6D6A">
            <w:pPr>
              <w:keepNext w:val="0"/>
              <w:keepLines w:val="0"/>
              <w:pageBreakBefore w:val="0"/>
              <w:widowControl/>
              <w:kinsoku w:val="0"/>
              <w:wordWrap/>
              <w:overflowPunct/>
              <w:topLinePunct w:val="0"/>
              <w:autoSpaceDE w:val="0"/>
              <w:autoSpaceDN w:val="0"/>
              <w:bidi w:val="0"/>
              <w:adjustRightInd w:val="0"/>
              <w:snapToGrid w:val="0"/>
              <w:spacing w:line="300" w:lineRule="exact"/>
              <w:jc w:val="both"/>
              <w:textAlignment w:val="baseline"/>
              <w:rPr>
                <w:rFonts w:hint="eastAsia" w:ascii="方正仿宋_GB18030" w:hAnsi="方正仿宋_GB18030" w:eastAsia="方正仿宋_GB18030" w:cs="方正仿宋_GB18030"/>
                <w:color w:val="auto"/>
                <w:sz w:val="21"/>
              </w:rPr>
            </w:pPr>
          </w:p>
          <w:p w14:paraId="0725DBAE">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ind w:left="314"/>
              <w:jc w:val="both"/>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p>
          <w:p w14:paraId="1A183AE1">
            <w:pPr>
              <w:pStyle w:val="24"/>
              <w:keepNext w:val="0"/>
              <w:keepLines w:val="0"/>
              <w:pageBreakBefore w:val="0"/>
              <w:widowControl/>
              <w:kinsoku w:val="0"/>
              <w:wordWrap/>
              <w:overflowPunct/>
              <w:topLinePunct w:val="0"/>
              <w:autoSpaceDE w:val="0"/>
              <w:autoSpaceDN w:val="0"/>
              <w:bidi w:val="0"/>
              <w:adjustRightInd w:val="0"/>
              <w:snapToGrid w:val="0"/>
              <w:spacing w:before="23" w:line="300" w:lineRule="exact"/>
              <w:ind w:left="322"/>
              <w:jc w:val="both"/>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4"/>
              </w:rPr>
              <w:t>响应内容</w:t>
            </w:r>
          </w:p>
        </w:tc>
        <w:tc>
          <w:tcPr>
            <w:tcW w:w="1184" w:type="dxa"/>
            <w:vAlign w:val="top"/>
          </w:tcPr>
          <w:p w14:paraId="5AA1890D">
            <w:pPr>
              <w:keepNext w:val="0"/>
              <w:keepLines w:val="0"/>
              <w:pageBreakBefore w:val="0"/>
              <w:widowControl/>
              <w:kinsoku w:val="0"/>
              <w:wordWrap/>
              <w:overflowPunct/>
              <w:topLinePunct w:val="0"/>
              <w:autoSpaceDE w:val="0"/>
              <w:autoSpaceDN w:val="0"/>
              <w:bidi w:val="0"/>
              <w:adjustRightInd w:val="0"/>
              <w:snapToGrid w:val="0"/>
              <w:spacing w:line="300" w:lineRule="exact"/>
              <w:jc w:val="both"/>
              <w:textAlignment w:val="baseline"/>
              <w:rPr>
                <w:rFonts w:hint="eastAsia" w:ascii="方正仿宋_GB18030" w:hAnsi="方正仿宋_GB18030" w:eastAsia="方正仿宋_GB18030" w:cs="方正仿宋_GB18030"/>
                <w:color w:val="auto"/>
                <w:sz w:val="21"/>
              </w:rPr>
            </w:pPr>
          </w:p>
          <w:p w14:paraId="003EAFBB">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687" w:type="dxa"/>
            <w:vAlign w:val="top"/>
          </w:tcPr>
          <w:p w14:paraId="1CBC6ACC">
            <w:pPr>
              <w:keepNext w:val="0"/>
              <w:keepLines w:val="0"/>
              <w:pageBreakBefore w:val="0"/>
              <w:widowControl/>
              <w:kinsoku w:val="0"/>
              <w:wordWrap/>
              <w:overflowPunct/>
              <w:topLinePunct w:val="0"/>
              <w:autoSpaceDE w:val="0"/>
              <w:autoSpaceDN w:val="0"/>
              <w:bidi w:val="0"/>
              <w:adjustRightInd w:val="0"/>
              <w:snapToGrid w:val="0"/>
              <w:spacing w:line="300" w:lineRule="exact"/>
              <w:jc w:val="both"/>
              <w:textAlignment w:val="baseline"/>
              <w:rPr>
                <w:rFonts w:hint="eastAsia" w:ascii="方正仿宋_GB18030" w:hAnsi="方正仿宋_GB18030" w:eastAsia="方正仿宋_GB18030" w:cs="方正仿宋_GB18030"/>
                <w:color w:val="auto"/>
                <w:sz w:val="21"/>
              </w:rPr>
            </w:pPr>
          </w:p>
          <w:p w14:paraId="167D5CC5">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ind w:left="148"/>
              <w:jc w:val="both"/>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w:t>
            </w:r>
          </w:p>
          <w:p w14:paraId="4C3DF57A">
            <w:pPr>
              <w:pStyle w:val="24"/>
              <w:keepNext w:val="0"/>
              <w:keepLines w:val="0"/>
              <w:pageBreakBefore w:val="0"/>
              <w:widowControl/>
              <w:kinsoku w:val="0"/>
              <w:wordWrap/>
              <w:overflowPunct/>
              <w:topLinePunct w:val="0"/>
              <w:autoSpaceDE w:val="0"/>
              <w:autoSpaceDN w:val="0"/>
              <w:bidi w:val="0"/>
              <w:adjustRightInd w:val="0"/>
              <w:snapToGrid w:val="0"/>
              <w:spacing w:line="300" w:lineRule="exact"/>
              <w:ind w:left="148"/>
              <w:jc w:val="both"/>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说明</w:t>
            </w:r>
          </w:p>
        </w:tc>
        <w:tc>
          <w:tcPr>
            <w:tcW w:w="892" w:type="dxa"/>
            <w:vAlign w:val="top"/>
          </w:tcPr>
          <w:p w14:paraId="15741E9A">
            <w:pPr>
              <w:keepNext w:val="0"/>
              <w:keepLines w:val="0"/>
              <w:pageBreakBefore w:val="0"/>
              <w:widowControl/>
              <w:kinsoku w:val="0"/>
              <w:wordWrap/>
              <w:overflowPunct/>
              <w:topLinePunct w:val="0"/>
              <w:autoSpaceDE w:val="0"/>
              <w:autoSpaceDN w:val="0"/>
              <w:bidi w:val="0"/>
              <w:adjustRightInd w:val="0"/>
              <w:snapToGrid w:val="0"/>
              <w:spacing w:line="300" w:lineRule="exact"/>
              <w:jc w:val="both"/>
              <w:textAlignment w:val="baseline"/>
              <w:rPr>
                <w:rFonts w:hint="eastAsia" w:ascii="方正仿宋_GB18030" w:hAnsi="方正仿宋_GB18030" w:eastAsia="方正仿宋_GB18030" w:cs="方正仿宋_GB18030"/>
                <w:color w:val="auto"/>
                <w:sz w:val="21"/>
              </w:rPr>
            </w:pPr>
          </w:p>
          <w:p w14:paraId="43DF2776">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ind w:left="246"/>
              <w:jc w:val="both"/>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p>
          <w:p w14:paraId="4B860287">
            <w:pPr>
              <w:pStyle w:val="24"/>
              <w:keepNext w:val="0"/>
              <w:keepLines w:val="0"/>
              <w:pageBreakBefore w:val="0"/>
              <w:widowControl/>
              <w:kinsoku w:val="0"/>
              <w:wordWrap/>
              <w:overflowPunct/>
              <w:topLinePunct w:val="0"/>
              <w:autoSpaceDE w:val="0"/>
              <w:autoSpaceDN w:val="0"/>
              <w:bidi w:val="0"/>
              <w:adjustRightInd w:val="0"/>
              <w:snapToGrid w:val="0"/>
              <w:spacing w:line="300" w:lineRule="exact"/>
              <w:ind w:left="258"/>
              <w:jc w:val="both"/>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4"/>
              </w:rPr>
              <w:t>资料</w:t>
            </w:r>
          </w:p>
        </w:tc>
      </w:tr>
      <w:tr w14:paraId="4EE3B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5748" w:type="dxa"/>
            <w:vAlign w:val="top"/>
          </w:tcPr>
          <w:p w14:paraId="4F3743C9">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1.设备原理</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采用膜式沉降技术原理</w:t>
            </w:r>
          </w:p>
          <w:p w14:paraId="0DDCE0ED">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2.制片染色机</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一批处理量≥2</w:t>
            </w:r>
            <w:r>
              <w:rPr>
                <w:rFonts w:hint="eastAsia" w:ascii="方正仿宋_GB18030" w:hAnsi="方正仿宋_GB18030" w:eastAsia="方正仿宋_GB18030" w:cs="方正仿宋_GB18030"/>
                <w:snapToGrid w:val="0"/>
                <w:color w:val="auto"/>
                <w:spacing w:val="0"/>
                <w:kern w:val="0"/>
                <w:sz w:val="20"/>
                <w:szCs w:val="20"/>
                <w:lang w:val="en-US" w:eastAsia="zh-CN" w:bidi="ar-SA"/>
              </w:rPr>
              <w:t>0</w:t>
            </w:r>
            <w:r>
              <w:rPr>
                <w:rFonts w:hint="eastAsia" w:ascii="方正仿宋_GB18030" w:hAnsi="方正仿宋_GB18030" w:eastAsia="方正仿宋_GB18030" w:cs="方正仿宋_GB18030"/>
                <w:snapToGrid w:val="0"/>
                <w:color w:val="auto"/>
                <w:spacing w:val="0"/>
                <w:kern w:val="0"/>
                <w:sz w:val="20"/>
                <w:szCs w:val="20"/>
                <w:lang w:val="en-US" w:eastAsia="en-US" w:bidi="ar-SA"/>
              </w:rPr>
              <w:t xml:space="preserve"> 个标本，样本自动加样制片，自动完成巴氏染色。</w:t>
            </w:r>
          </w:p>
          <w:p w14:paraId="7BA7EFBF">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zh-CN"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3.样本保存瓶直接上机，无需离心处理，分离、制片、染色一站式全自动完成</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p>
          <w:p w14:paraId="26A24F07">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4.自动独立染色，可任意选定起始步骤。</w:t>
            </w:r>
          </w:p>
          <w:p w14:paraId="25903772">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zh-CN"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5.染色制片程序全程由电脑控制，无批间差</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p>
          <w:p w14:paraId="13947C69">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zh-CN"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6.可实现移动终端(平板电脑)对设备的本连接操作、控制和信息实时显示</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p>
          <w:p w14:paraId="536ED378">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zh-CN"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7.具备安全保护上液位过低报警及电机停转报警</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p>
          <w:p w14:paraId="1172C44D">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color w:val="auto"/>
                <w:lang w:eastAsia="zh-CN"/>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8.图文报告系统：中文报告系统</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p>
        </w:tc>
        <w:tc>
          <w:tcPr>
            <w:tcW w:w="1449" w:type="dxa"/>
            <w:vAlign w:val="top"/>
          </w:tcPr>
          <w:p w14:paraId="3854D53A">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184" w:type="dxa"/>
            <w:vAlign w:val="top"/>
          </w:tcPr>
          <w:p w14:paraId="73C9FCB7">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687" w:type="dxa"/>
            <w:vAlign w:val="top"/>
          </w:tcPr>
          <w:p w14:paraId="60E65C45">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2" w:type="dxa"/>
            <w:vAlign w:val="top"/>
          </w:tcPr>
          <w:p w14:paraId="085E0EFA">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0C31E44B">
      <w:pPr>
        <w:keepNext w:val="0"/>
        <w:keepLines w:val="0"/>
        <w:pageBreakBefore w:val="0"/>
        <w:widowControl/>
        <w:kinsoku w:val="0"/>
        <w:wordWrap/>
        <w:overflowPunct/>
        <w:topLinePunct w:val="0"/>
        <w:autoSpaceDE w:val="0"/>
        <w:autoSpaceDN w:val="0"/>
        <w:bidi w:val="0"/>
        <w:adjustRightInd w:val="0"/>
        <w:snapToGrid w:val="0"/>
        <w:spacing w:before="17" w:line="300" w:lineRule="exact"/>
        <w:textAlignment w:val="baseline"/>
        <w:rPr>
          <w:rFonts w:hint="eastAsia" w:ascii="方正仿宋_GB18030" w:hAnsi="方正仿宋_GB18030" w:eastAsia="方正仿宋_GB18030" w:cs="方正仿宋_GB18030"/>
          <w:color w:val="auto"/>
        </w:rPr>
      </w:pPr>
    </w:p>
    <w:p w14:paraId="5C056CF5">
      <w:pPr>
        <w:keepNext w:val="0"/>
        <w:keepLines w:val="0"/>
        <w:pageBreakBefore w:val="0"/>
        <w:widowControl/>
        <w:kinsoku w:val="0"/>
        <w:wordWrap/>
        <w:overflowPunct/>
        <w:topLinePunct w:val="0"/>
        <w:autoSpaceDE w:val="0"/>
        <w:autoSpaceDN w:val="0"/>
        <w:bidi w:val="0"/>
        <w:adjustRightInd w:val="0"/>
        <w:snapToGrid w:val="0"/>
        <w:spacing w:before="16" w:line="300" w:lineRule="exact"/>
        <w:textAlignment w:val="baseline"/>
        <w:rPr>
          <w:rFonts w:hint="eastAsia" w:ascii="方正仿宋_GB18030" w:hAnsi="方正仿宋_GB18030" w:eastAsia="方正仿宋_GB18030" w:cs="方正仿宋_GB18030"/>
          <w:color w:val="auto"/>
        </w:rPr>
      </w:pPr>
    </w:p>
    <w:p w14:paraId="21265437">
      <w:pPr>
        <w:keepNext w:val="0"/>
        <w:keepLines w:val="0"/>
        <w:pageBreakBefore w:val="0"/>
        <w:widowControl/>
        <w:kinsoku w:val="0"/>
        <w:wordWrap/>
        <w:overflowPunct/>
        <w:topLinePunct w:val="0"/>
        <w:autoSpaceDE w:val="0"/>
        <w:autoSpaceDN w:val="0"/>
        <w:bidi w:val="0"/>
        <w:adjustRightInd w:val="0"/>
        <w:snapToGrid w:val="0"/>
        <w:spacing w:before="16" w:line="300" w:lineRule="exact"/>
        <w:textAlignment w:val="baseline"/>
        <w:rPr>
          <w:rFonts w:hint="eastAsia" w:ascii="方正仿宋_GB18030" w:hAnsi="方正仿宋_GB18030" w:eastAsia="方正仿宋_GB18030" w:cs="方正仿宋_GB18030"/>
          <w:color w:val="auto"/>
        </w:rPr>
      </w:pPr>
    </w:p>
    <w:p w14:paraId="083F786F">
      <w:pPr>
        <w:keepNext w:val="0"/>
        <w:keepLines w:val="0"/>
        <w:pageBreakBefore w:val="0"/>
        <w:widowControl/>
        <w:kinsoku w:val="0"/>
        <w:wordWrap/>
        <w:overflowPunct/>
        <w:topLinePunct w:val="0"/>
        <w:autoSpaceDE w:val="0"/>
        <w:autoSpaceDN w:val="0"/>
        <w:bidi w:val="0"/>
        <w:adjustRightInd w:val="0"/>
        <w:snapToGrid w:val="0"/>
        <w:spacing w:before="16" w:line="300" w:lineRule="exact"/>
        <w:textAlignment w:val="baseline"/>
        <w:rPr>
          <w:rFonts w:hint="eastAsia" w:ascii="方正仿宋_GB18030" w:hAnsi="方正仿宋_GB18030" w:eastAsia="方正仿宋_GB18030" w:cs="方正仿宋_GB18030"/>
          <w:color w:val="auto"/>
        </w:rPr>
      </w:pPr>
    </w:p>
    <w:tbl>
      <w:tblPr>
        <w:tblStyle w:val="25"/>
        <w:tblW w:w="99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6"/>
        <w:gridCol w:w="1346"/>
        <w:gridCol w:w="960"/>
        <w:gridCol w:w="1014"/>
        <w:gridCol w:w="894"/>
      </w:tblGrid>
      <w:tr w14:paraId="612ED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9" w:hRule="atLeast"/>
          <w:jc w:val="center"/>
        </w:trPr>
        <w:tc>
          <w:tcPr>
            <w:tcW w:w="9960" w:type="dxa"/>
            <w:gridSpan w:val="5"/>
            <w:vAlign w:val="top"/>
          </w:tcPr>
          <w:p w14:paraId="3DCE6046">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序号：16</w:t>
            </w:r>
          </w:p>
          <w:p w14:paraId="3D9D9098">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产品名称：离心机</w:t>
            </w:r>
          </w:p>
          <w:p w14:paraId="0AF3C7B1">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spacing w:val="0"/>
              </w:rPr>
            </w:pPr>
            <w:r>
              <w:rPr>
                <w:rFonts w:hint="eastAsia" w:ascii="方正仿宋_GB18030" w:hAnsi="方正仿宋_GB18030" w:eastAsia="方正仿宋_GB18030" w:cs="方正仿宋_GB18030"/>
                <w:color w:val="auto"/>
                <w:spacing w:val="0"/>
              </w:rPr>
              <w:t>数量：4 台</w:t>
            </w:r>
          </w:p>
          <w:p w14:paraId="73FB6C04">
            <w:pPr>
              <w:pStyle w:val="24"/>
              <w:keepNext w:val="0"/>
              <w:keepLines w:val="0"/>
              <w:pageBreakBefore w:val="0"/>
              <w:widowControl/>
              <w:kinsoku w:val="0"/>
              <w:wordWrap/>
              <w:overflowPunct/>
              <w:topLinePunct w:val="0"/>
              <w:autoSpaceDE w:val="0"/>
              <w:autoSpaceDN w:val="0"/>
              <w:bidi w:val="0"/>
              <w:adjustRightInd w:val="0"/>
              <w:snapToGrid w:val="0"/>
              <w:spacing w:before="86" w:line="300" w:lineRule="exact"/>
              <w:ind w:left="120"/>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0"/>
              </w:rPr>
              <w:t>交货地点：采购人指定地点</w:t>
            </w:r>
          </w:p>
        </w:tc>
      </w:tr>
      <w:tr w14:paraId="4962A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1" w:hRule="atLeast"/>
          <w:jc w:val="center"/>
        </w:trPr>
        <w:tc>
          <w:tcPr>
            <w:tcW w:w="5746" w:type="dxa"/>
            <w:vAlign w:val="top"/>
          </w:tcPr>
          <w:p w14:paraId="0C3331B7">
            <w:pPr>
              <w:pStyle w:val="24"/>
              <w:keepNext w:val="0"/>
              <w:keepLines w:val="0"/>
              <w:pageBreakBefore w:val="0"/>
              <w:widowControl/>
              <w:kinsoku w:val="0"/>
              <w:wordWrap/>
              <w:overflowPunct/>
              <w:topLinePunct w:val="0"/>
              <w:autoSpaceDE w:val="0"/>
              <w:autoSpaceDN w:val="0"/>
              <w:bidi w:val="0"/>
              <w:adjustRightInd w:val="0"/>
              <w:snapToGrid w:val="0"/>
              <w:spacing w:before="133" w:line="300" w:lineRule="exact"/>
              <w:ind w:left="2257"/>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7"/>
              </w:rPr>
              <w:t>采购文件要求</w:t>
            </w:r>
          </w:p>
          <w:p w14:paraId="778C3325">
            <w:pPr>
              <w:pStyle w:val="24"/>
              <w:keepNext w:val="0"/>
              <w:keepLines w:val="0"/>
              <w:pageBreakBefore w:val="0"/>
              <w:widowControl/>
              <w:kinsoku w:val="0"/>
              <w:wordWrap/>
              <w:overflowPunct/>
              <w:topLinePunct w:val="0"/>
              <w:autoSpaceDE w:val="0"/>
              <w:autoSpaceDN w:val="0"/>
              <w:bidi w:val="0"/>
              <w:adjustRightInd w:val="0"/>
              <w:snapToGrid w:val="0"/>
              <w:spacing w:before="77" w:line="300" w:lineRule="exact"/>
              <w:ind w:left="118" w:right="59" w:firstLine="5"/>
              <w:textAlignment w:val="baseline"/>
              <w:rPr>
                <w:rFonts w:hint="eastAsia" w:ascii="方正仿宋_GB18030" w:hAnsi="方正仿宋_GB18030" w:eastAsia="方正仿宋_GB18030" w:cs="方正仿宋_GB18030"/>
                <w:color w:val="auto"/>
                <w:sz w:val="18"/>
                <w:szCs w:val="18"/>
              </w:rPr>
            </w:pPr>
            <w:r>
              <w:rPr>
                <w:rFonts w:hint="eastAsia" w:ascii="方正仿宋_GB18030" w:hAnsi="方正仿宋_GB18030" w:eastAsia="方正仿宋_GB18030" w:cs="方正仿宋_GB18030"/>
                <w:b/>
                <w:bCs/>
                <w:color w:val="auto"/>
                <w:spacing w:val="-8"/>
                <w:sz w:val="18"/>
                <w:szCs w:val="18"/>
              </w:rPr>
              <w:t>重要提示：实质性要求及重要指标用★标注(“★</w:t>
            </w:r>
            <w:r>
              <w:rPr>
                <w:rFonts w:hint="eastAsia" w:ascii="方正仿宋_GB18030" w:hAnsi="方正仿宋_GB18030" w:eastAsia="方正仿宋_GB18030" w:cs="方正仿宋_GB18030"/>
                <w:color w:val="auto"/>
                <w:spacing w:val="-61"/>
                <w:sz w:val="18"/>
                <w:szCs w:val="18"/>
              </w:rPr>
              <w:t xml:space="preserve"> </w:t>
            </w:r>
            <w:r>
              <w:rPr>
                <w:rFonts w:hint="eastAsia" w:ascii="方正仿宋_GB18030" w:hAnsi="方正仿宋_GB18030" w:eastAsia="方正仿宋_GB18030" w:cs="方正仿宋_GB18030"/>
                <w:b/>
                <w:bCs/>
                <w:color w:val="auto"/>
                <w:spacing w:val="-8"/>
                <w:sz w:val="18"/>
                <w:szCs w:val="18"/>
              </w:rPr>
              <w:t>”必须标注在序号前</w:t>
            </w:r>
            <w:r>
              <w:rPr>
                <w:rFonts w:hint="eastAsia" w:ascii="方正仿宋_GB18030" w:hAnsi="方正仿宋_GB18030" w:eastAsia="方正仿宋_GB18030" w:cs="方正仿宋_GB18030"/>
                <w:b/>
                <w:bCs/>
                <w:color w:val="auto"/>
                <w:spacing w:val="-43"/>
                <w:w w:val="86"/>
                <w:sz w:val="18"/>
                <w:szCs w:val="18"/>
              </w:rPr>
              <w:t>），</w:t>
            </w:r>
            <w:r>
              <w:rPr>
                <w:rFonts w:hint="eastAsia" w:ascii="方正仿宋_GB18030" w:hAnsi="方正仿宋_GB18030" w:eastAsia="方正仿宋_GB18030" w:cs="方正仿宋_GB18030"/>
                <w:color w:val="auto"/>
                <w:sz w:val="18"/>
                <w:szCs w:val="18"/>
              </w:rPr>
              <w:t xml:space="preserve"> </w:t>
            </w:r>
            <w:r>
              <w:rPr>
                <w:rFonts w:hint="eastAsia" w:ascii="方正仿宋_GB18030" w:hAnsi="方正仿宋_GB18030" w:eastAsia="方正仿宋_GB18030" w:cs="方正仿宋_GB18030"/>
                <w:b/>
                <w:bCs/>
                <w:color w:val="auto"/>
                <w:spacing w:val="-2"/>
                <w:sz w:val="18"/>
                <w:szCs w:val="18"/>
              </w:rPr>
              <w:t>★标注项不得负偏离，如果负偏离，则投标文件无效。</w:t>
            </w:r>
          </w:p>
        </w:tc>
        <w:tc>
          <w:tcPr>
            <w:tcW w:w="1346" w:type="dxa"/>
            <w:vAlign w:val="top"/>
          </w:tcPr>
          <w:p w14:paraId="75A13A1D">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0BB27F36">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6"/>
              </w:rPr>
              <w:t>投标文件</w:t>
            </w:r>
            <w:r>
              <w:rPr>
                <w:rFonts w:hint="eastAsia" w:ascii="方正仿宋_GB18030" w:hAnsi="方正仿宋_GB18030" w:eastAsia="方正仿宋_GB18030" w:cs="方正仿宋_GB18030"/>
                <w:color w:val="auto"/>
                <w:spacing w:val="6"/>
                <w:lang w:val="en-US" w:eastAsia="zh-CN"/>
              </w:rPr>
              <w:t xml:space="preserve"> </w:t>
            </w:r>
            <w:r>
              <w:rPr>
                <w:rFonts w:hint="eastAsia" w:ascii="方正仿宋_GB18030" w:hAnsi="方正仿宋_GB18030" w:eastAsia="方正仿宋_GB18030" w:cs="方正仿宋_GB18030"/>
                <w:color w:val="auto"/>
                <w:spacing w:val="4"/>
              </w:rPr>
              <w:t>响应内容</w:t>
            </w:r>
          </w:p>
        </w:tc>
        <w:tc>
          <w:tcPr>
            <w:tcW w:w="960" w:type="dxa"/>
            <w:vAlign w:val="top"/>
          </w:tcPr>
          <w:p w14:paraId="76E69C2C">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66FDE9E7">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5"/>
              </w:rPr>
              <w:t>偏离</w:t>
            </w:r>
            <w:r>
              <w:rPr>
                <w:rFonts w:hint="eastAsia" w:ascii="方正仿宋_GB18030" w:hAnsi="方正仿宋_GB18030" w:eastAsia="方正仿宋_GB18030" w:cs="方正仿宋_GB18030"/>
                <w:color w:val="auto"/>
                <w:spacing w:val="5"/>
                <w:lang w:val="en-US" w:eastAsia="zh-CN"/>
              </w:rPr>
              <w:t xml:space="preserve">  </w:t>
            </w:r>
            <w:r>
              <w:rPr>
                <w:rFonts w:hint="eastAsia" w:ascii="方正仿宋_GB18030" w:hAnsi="方正仿宋_GB18030" w:eastAsia="方正仿宋_GB18030" w:cs="方正仿宋_GB18030"/>
                <w:color w:val="auto"/>
                <w:spacing w:val="5"/>
              </w:rPr>
              <w:t>程度</w:t>
            </w:r>
          </w:p>
        </w:tc>
        <w:tc>
          <w:tcPr>
            <w:tcW w:w="1014" w:type="dxa"/>
            <w:vAlign w:val="top"/>
          </w:tcPr>
          <w:p w14:paraId="521C0E64">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7B7B483C">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1"/>
              </w:rPr>
              <w:t>偏离</w:t>
            </w:r>
            <w:r>
              <w:rPr>
                <w:rFonts w:hint="eastAsia" w:ascii="方正仿宋_GB18030" w:hAnsi="方正仿宋_GB18030" w:eastAsia="方正仿宋_GB18030" w:cs="方正仿宋_GB18030"/>
                <w:color w:val="auto"/>
                <w:spacing w:val="1"/>
                <w:lang w:val="en-US" w:eastAsia="zh-CN"/>
              </w:rPr>
              <w:t xml:space="preserve">   </w:t>
            </w:r>
            <w:r>
              <w:rPr>
                <w:rFonts w:hint="eastAsia" w:ascii="方正仿宋_GB18030" w:hAnsi="方正仿宋_GB18030" w:eastAsia="方正仿宋_GB18030" w:cs="方正仿宋_GB18030"/>
                <w:color w:val="auto"/>
                <w:spacing w:val="1"/>
              </w:rPr>
              <w:t>说明</w:t>
            </w:r>
          </w:p>
        </w:tc>
        <w:tc>
          <w:tcPr>
            <w:tcW w:w="894" w:type="dxa"/>
            <w:vAlign w:val="top"/>
          </w:tcPr>
          <w:p w14:paraId="6EF4D0BE">
            <w:pPr>
              <w:keepNext w:val="0"/>
              <w:keepLines w:val="0"/>
              <w:pageBreakBefore w:val="0"/>
              <w:widowControl/>
              <w:kinsoku w:val="0"/>
              <w:wordWrap/>
              <w:overflowPunct/>
              <w:topLinePunct w:val="0"/>
              <w:autoSpaceDE w:val="0"/>
              <w:autoSpaceDN w:val="0"/>
              <w:bidi w:val="0"/>
              <w:adjustRightInd w:val="0"/>
              <w:snapToGrid w:val="0"/>
              <w:spacing w:line="300" w:lineRule="exact"/>
              <w:jc w:val="center"/>
              <w:textAlignment w:val="baseline"/>
              <w:rPr>
                <w:rFonts w:hint="eastAsia" w:ascii="方正仿宋_GB18030" w:hAnsi="方正仿宋_GB18030" w:eastAsia="方正仿宋_GB18030" w:cs="方正仿宋_GB18030"/>
                <w:color w:val="auto"/>
                <w:sz w:val="21"/>
              </w:rPr>
            </w:pPr>
          </w:p>
          <w:p w14:paraId="491F6DE1">
            <w:pPr>
              <w:pStyle w:val="24"/>
              <w:keepNext w:val="0"/>
              <w:keepLines w:val="0"/>
              <w:pageBreakBefore w:val="0"/>
              <w:widowControl/>
              <w:kinsoku w:val="0"/>
              <w:wordWrap/>
              <w:overflowPunct/>
              <w:topLinePunct w:val="0"/>
              <w:autoSpaceDE w:val="0"/>
              <w:autoSpaceDN w:val="0"/>
              <w:bidi w:val="0"/>
              <w:adjustRightInd w:val="0"/>
              <w:snapToGrid w:val="0"/>
              <w:spacing w:before="65" w:line="300" w:lineRule="exact"/>
              <w:jc w:val="center"/>
              <w:textAlignment w:val="baseline"/>
              <w:rPr>
                <w:rFonts w:hint="eastAsia" w:ascii="方正仿宋_GB18030" w:hAnsi="方正仿宋_GB18030" w:eastAsia="方正仿宋_GB18030" w:cs="方正仿宋_GB18030"/>
                <w:color w:val="auto"/>
              </w:rPr>
            </w:pPr>
            <w:r>
              <w:rPr>
                <w:rFonts w:hint="eastAsia" w:ascii="方正仿宋_GB18030" w:hAnsi="方正仿宋_GB18030" w:eastAsia="方正仿宋_GB18030" w:cs="方正仿宋_GB18030"/>
                <w:color w:val="auto"/>
                <w:spacing w:val="2"/>
              </w:rPr>
              <w:t>证明</w:t>
            </w:r>
            <w:r>
              <w:rPr>
                <w:rFonts w:hint="eastAsia" w:ascii="方正仿宋_GB18030" w:hAnsi="方正仿宋_GB18030" w:eastAsia="方正仿宋_GB18030" w:cs="方正仿宋_GB18030"/>
                <w:color w:val="auto"/>
                <w:spacing w:val="2"/>
                <w:lang w:val="en-US" w:eastAsia="zh-CN"/>
              </w:rPr>
              <w:t xml:space="preserve">  </w:t>
            </w:r>
            <w:r>
              <w:rPr>
                <w:rFonts w:hint="eastAsia" w:ascii="方正仿宋_GB18030" w:hAnsi="方正仿宋_GB18030" w:eastAsia="方正仿宋_GB18030" w:cs="方正仿宋_GB18030"/>
                <w:color w:val="auto"/>
                <w:spacing w:val="-4"/>
              </w:rPr>
              <w:t>资料</w:t>
            </w:r>
          </w:p>
        </w:tc>
      </w:tr>
      <w:tr w14:paraId="40FC9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5" w:hRule="atLeast"/>
          <w:jc w:val="center"/>
        </w:trPr>
        <w:tc>
          <w:tcPr>
            <w:tcW w:w="5746" w:type="dxa"/>
            <w:vAlign w:val="top"/>
          </w:tcPr>
          <w:p w14:paraId="4C00C5CE">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1</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最高转速：</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6000rpm</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10rpm，最大相对离心力：</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550</w:t>
            </w:r>
            <w:r>
              <w:rPr>
                <w:rFonts w:hint="eastAsia" w:ascii="方正仿宋_GB18030" w:hAnsi="方正仿宋_GB18030" w:eastAsia="方正仿宋_GB18030" w:cs="方正仿宋_GB18030"/>
                <w:snapToGrid w:val="0"/>
                <w:color w:val="auto"/>
                <w:spacing w:val="0"/>
                <w:kern w:val="0"/>
                <w:sz w:val="20"/>
                <w:szCs w:val="20"/>
                <w:lang w:val="en-US" w:eastAsia="zh-CN" w:bidi="ar-SA"/>
              </w:rPr>
              <w:t>0</w:t>
            </w:r>
            <w:r>
              <w:rPr>
                <w:rFonts w:hint="eastAsia" w:ascii="方正仿宋_GB18030" w:hAnsi="方正仿宋_GB18030" w:eastAsia="方正仿宋_GB18030" w:cs="方正仿宋_GB18030"/>
                <w:snapToGrid w:val="0"/>
                <w:color w:val="auto"/>
                <w:spacing w:val="0"/>
                <w:kern w:val="0"/>
                <w:sz w:val="20"/>
                <w:szCs w:val="20"/>
                <w:lang w:val="en-US" w:eastAsia="en-US" w:bidi="ar-SA"/>
              </w:rPr>
              <w:t>xg</w:t>
            </w:r>
          </w:p>
          <w:p w14:paraId="7BBFD857">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2</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工作程序选择：</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20 组</w:t>
            </w:r>
          </w:p>
          <w:p w14:paraId="409E9563">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3</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升降速档：</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15加速档/15减速档</w:t>
            </w:r>
          </w:p>
          <w:p w14:paraId="1A86DCFF">
            <w:pPr>
              <w:keepNext w:val="0"/>
              <w:keepLines w:val="0"/>
              <w:pageBreakBefore w:val="0"/>
              <w:widowControl/>
              <w:kinsoku w:val="0"/>
              <w:wordWrap/>
              <w:overflowPunct/>
              <w:topLinePunct w:val="0"/>
              <w:autoSpaceDE w:val="0"/>
              <w:autoSpaceDN w:val="0"/>
              <w:bidi w:val="0"/>
              <w:adjustRightInd w:val="0"/>
              <w:snapToGrid w:val="0"/>
              <w:spacing w:line="300" w:lineRule="exact"/>
              <w:ind w:firstLine="200" w:firstLineChars="100"/>
              <w:textAlignment w:val="baseline"/>
              <w:rPr>
                <w:rFonts w:hint="eastAsia" w:ascii="方正仿宋_GB18030" w:hAnsi="方正仿宋_GB18030" w:eastAsia="方正仿宋_GB18030" w:cs="方正仿宋_GB18030"/>
                <w:snapToGrid w:val="0"/>
                <w:color w:val="auto"/>
                <w:spacing w:val="0"/>
                <w:kern w:val="0"/>
                <w:sz w:val="20"/>
                <w:szCs w:val="20"/>
                <w:lang w:val="en-US" w:eastAsia="en-US" w:bidi="ar-SA"/>
              </w:rPr>
            </w:pPr>
            <w:r>
              <w:rPr>
                <w:rFonts w:hint="eastAsia" w:ascii="方正仿宋_GB18030" w:hAnsi="方正仿宋_GB18030" w:eastAsia="方正仿宋_GB18030" w:cs="方正仿宋_GB18030"/>
                <w:snapToGrid w:val="0"/>
                <w:color w:val="auto"/>
                <w:spacing w:val="0"/>
                <w:kern w:val="0"/>
                <w:sz w:val="20"/>
                <w:szCs w:val="20"/>
                <w:lang w:val="en-US" w:eastAsia="en-US" w:bidi="ar-SA"/>
              </w:rPr>
              <w:t>4</w:t>
            </w:r>
            <w:r>
              <w:rPr>
                <w:rFonts w:hint="eastAsia" w:ascii="方正仿宋_GB18030" w:hAnsi="方正仿宋_GB18030" w:eastAsia="方正仿宋_GB18030" w:cs="方正仿宋_GB18030"/>
                <w:snapToGrid w:val="0"/>
                <w:color w:val="auto"/>
                <w:spacing w:val="0"/>
                <w:kern w:val="0"/>
                <w:sz w:val="20"/>
                <w:szCs w:val="20"/>
                <w:lang w:val="en-US" w:eastAsia="zh-CN" w:bidi="ar-SA"/>
              </w:rPr>
              <w:t>.</w:t>
            </w:r>
            <w:r>
              <w:rPr>
                <w:rFonts w:hint="eastAsia" w:ascii="方正仿宋_GB18030" w:hAnsi="方正仿宋_GB18030" w:eastAsia="方正仿宋_GB18030" w:cs="方正仿宋_GB18030"/>
                <w:snapToGrid w:val="0"/>
                <w:color w:val="auto"/>
                <w:spacing w:val="0"/>
                <w:kern w:val="0"/>
                <w:sz w:val="20"/>
                <w:szCs w:val="20"/>
                <w:lang w:val="en-US" w:eastAsia="en-US" w:bidi="ar-SA"/>
              </w:rPr>
              <w:t>具</w:t>
            </w:r>
            <w:r>
              <w:rPr>
                <w:rFonts w:hint="eastAsia" w:ascii="方正仿宋_GB18030" w:hAnsi="方正仿宋_GB18030" w:eastAsia="方正仿宋_GB18030" w:cs="方正仿宋_GB18030"/>
                <w:snapToGrid w:val="0"/>
                <w:color w:val="auto"/>
                <w:spacing w:val="0"/>
                <w:kern w:val="0"/>
                <w:sz w:val="20"/>
                <w:szCs w:val="20"/>
                <w:lang w:val="en-US" w:eastAsia="zh-CN" w:bidi="ar-SA"/>
              </w:rPr>
              <w:t>备</w:t>
            </w:r>
            <w:r>
              <w:rPr>
                <w:rFonts w:hint="eastAsia" w:ascii="方正仿宋_GB18030" w:hAnsi="方正仿宋_GB18030" w:eastAsia="方正仿宋_GB18030" w:cs="方正仿宋_GB18030"/>
                <w:snapToGrid w:val="0"/>
                <w:color w:val="auto"/>
                <w:spacing w:val="0"/>
                <w:kern w:val="0"/>
                <w:sz w:val="20"/>
                <w:szCs w:val="20"/>
                <w:lang w:val="en-US" w:eastAsia="en-US" w:bidi="ar-SA"/>
              </w:rPr>
              <w:t>定速计时</w:t>
            </w:r>
            <w:r>
              <w:rPr>
                <w:rFonts w:hint="eastAsia" w:ascii="方正仿宋_GB18030" w:hAnsi="方正仿宋_GB18030" w:eastAsia="方正仿宋_GB18030" w:cs="方正仿宋_GB18030"/>
                <w:snapToGrid w:val="0"/>
                <w:color w:val="auto"/>
                <w:spacing w:val="0"/>
                <w:kern w:val="0"/>
                <w:sz w:val="20"/>
                <w:szCs w:val="20"/>
                <w:lang w:val="en-US" w:eastAsia="zh-CN" w:bidi="ar-SA"/>
              </w:rPr>
              <w:t>功能</w:t>
            </w:r>
            <w:r>
              <w:rPr>
                <w:rFonts w:hint="eastAsia" w:ascii="方正仿宋_GB18030" w:hAnsi="方正仿宋_GB18030" w:eastAsia="方正仿宋_GB18030" w:cs="方正仿宋_GB18030"/>
                <w:snapToGrid w:val="0"/>
                <w:color w:val="auto"/>
                <w:spacing w:val="0"/>
                <w:kern w:val="0"/>
                <w:sz w:val="20"/>
                <w:szCs w:val="20"/>
                <w:lang w:val="en-US" w:eastAsia="en-US" w:bidi="ar-SA"/>
              </w:rPr>
              <w:t>、启动计时</w:t>
            </w:r>
            <w:r>
              <w:rPr>
                <w:rFonts w:hint="eastAsia" w:ascii="方正仿宋_GB18030" w:hAnsi="方正仿宋_GB18030" w:eastAsia="方正仿宋_GB18030" w:cs="方正仿宋_GB18030"/>
                <w:snapToGrid w:val="0"/>
                <w:color w:val="auto"/>
                <w:spacing w:val="0"/>
                <w:kern w:val="0"/>
                <w:sz w:val="20"/>
                <w:szCs w:val="20"/>
                <w:lang w:val="en-US" w:eastAsia="zh-CN" w:bidi="ar-SA"/>
              </w:rPr>
              <w:t>功能</w:t>
            </w:r>
          </w:p>
        </w:tc>
        <w:tc>
          <w:tcPr>
            <w:tcW w:w="1346" w:type="dxa"/>
            <w:vAlign w:val="top"/>
          </w:tcPr>
          <w:p w14:paraId="6C9535BE">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960" w:type="dxa"/>
            <w:vAlign w:val="top"/>
          </w:tcPr>
          <w:p w14:paraId="7DC9CDF4">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1014" w:type="dxa"/>
            <w:vAlign w:val="top"/>
          </w:tcPr>
          <w:p w14:paraId="7F6C8155">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c>
          <w:tcPr>
            <w:tcW w:w="894" w:type="dxa"/>
            <w:vAlign w:val="top"/>
          </w:tcPr>
          <w:p w14:paraId="57DD50C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sz w:val="21"/>
              </w:rPr>
            </w:pPr>
          </w:p>
        </w:tc>
      </w:tr>
    </w:tbl>
    <w:p w14:paraId="5FC50981">
      <w:pPr>
        <w:pStyle w:val="7"/>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hint="eastAsia" w:ascii="方正仿宋_GB18030" w:hAnsi="方正仿宋_GB18030" w:eastAsia="方正仿宋_GB18030" w:cs="方正仿宋_GB18030"/>
          <w:color w:val="auto"/>
        </w:rPr>
      </w:pPr>
    </w:p>
    <w:p w14:paraId="6F9F9F99">
      <w:pPr>
        <w:rPr>
          <w:rFonts w:hint="eastAsia" w:ascii="仿宋" w:hAnsi="仿宋" w:eastAsia="仿宋" w:cs="仿宋"/>
          <w:b/>
          <w:sz w:val="28"/>
          <w:szCs w:val="28"/>
        </w:rPr>
      </w:pPr>
      <w:r>
        <w:rPr>
          <w:rFonts w:hint="eastAsia" w:ascii="方正仿宋_GB18030" w:hAnsi="方正仿宋_GB18030" w:eastAsia="方正仿宋_GB18030" w:cs="方正仿宋_GB18030"/>
          <w:b/>
          <w:color w:val="0000FF"/>
          <w:sz w:val="28"/>
          <w:szCs w:val="28"/>
        </w:rPr>
        <w:br w:type="page"/>
      </w:r>
    </w:p>
    <w:p w14:paraId="6A5CDE69">
      <w:pPr>
        <w:adjustRightInd w:val="0"/>
        <w:snapToGrid w:val="0"/>
        <w:spacing w:line="360" w:lineRule="auto"/>
        <w:ind w:right="105" w:rightChars="50"/>
        <w:jc w:val="left"/>
        <w:outlineLvl w:val="1"/>
        <w:rPr>
          <w:rFonts w:hint="eastAsia" w:ascii="仿宋" w:hAnsi="仿宋" w:eastAsia="仿宋" w:cs="仿宋"/>
          <w:b/>
          <w:bCs/>
          <w:sz w:val="28"/>
          <w:szCs w:val="28"/>
          <w:lang w:eastAsia="zh-CN"/>
        </w:rPr>
      </w:pPr>
      <w:r>
        <w:rPr>
          <w:rFonts w:hint="eastAsia" w:ascii="仿宋" w:hAnsi="仿宋" w:eastAsia="仿宋" w:cs="仿宋"/>
          <w:b/>
          <w:bCs/>
          <w:sz w:val="28"/>
          <w:szCs w:val="28"/>
        </w:rPr>
        <w:t>格式1</w:t>
      </w:r>
      <w:bookmarkEnd w:id="85"/>
      <w:bookmarkEnd w:id="86"/>
      <w:r>
        <w:rPr>
          <w:rFonts w:hint="eastAsia" w:ascii="仿宋" w:hAnsi="仿宋" w:eastAsia="仿宋" w:cs="仿宋"/>
          <w:b/>
          <w:bCs/>
          <w:sz w:val="28"/>
          <w:szCs w:val="28"/>
          <w:lang w:val="en-US" w:eastAsia="zh-CN"/>
        </w:rPr>
        <w:t>4</w:t>
      </w:r>
    </w:p>
    <w:p w14:paraId="18DED809">
      <w:pPr>
        <w:adjustRightInd w:val="0"/>
        <w:snapToGrid w:val="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商务条款偏离表</w:t>
      </w:r>
    </w:p>
    <w:p w14:paraId="496EA972">
      <w:pPr>
        <w:adjustRightInd w:val="0"/>
        <w:snapToGrid w:val="0"/>
        <w:spacing w:line="360" w:lineRule="auto"/>
        <w:ind w:right="105" w:rightChars="50"/>
        <w:jc w:val="left"/>
        <w:rPr>
          <w:rFonts w:hint="eastAsia" w:ascii="仿宋" w:hAnsi="仿宋" w:eastAsia="仿宋" w:cs="仿宋"/>
          <w:b/>
          <w:bCs/>
          <w:szCs w:val="21"/>
          <w:highlight w:val="none"/>
        </w:rPr>
      </w:pPr>
      <w:r>
        <w:rPr>
          <w:rFonts w:hint="eastAsia" w:ascii="仿宋" w:hAnsi="仿宋" w:eastAsia="仿宋" w:cs="仿宋"/>
          <w:b/>
          <w:bCs/>
          <w:szCs w:val="21"/>
          <w:highlight w:val="none"/>
        </w:rPr>
        <w:t xml:space="preserve">包号：        </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4403"/>
        <w:gridCol w:w="2357"/>
        <w:gridCol w:w="1006"/>
        <w:gridCol w:w="1100"/>
      </w:tblGrid>
      <w:tr w14:paraId="0FC36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761" w:type="dxa"/>
            <w:noWrap w:val="0"/>
            <w:vAlign w:val="center"/>
          </w:tcPr>
          <w:p w14:paraId="490661B6">
            <w:pPr>
              <w:adjustRightInd w:val="0"/>
              <w:snapToGrid w:val="0"/>
              <w:ind w:right="-48" w:rightChars="-23"/>
              <w:jc w:val="center"/>
              <w:rPr>
                <w:rFonts w:hint="eastAsia" w:ascii="仿宋" w:hAnsi="仿宋" w:eastAsia="仿宋" w:cs="仿宋"/>
                <w:szCs w:val="21"/>
                <w:highlight w:val="none"/>
              </w:rPr>
            </w:pPr>
            <w:r>
              <w:rPr>
                <w:rFonts w:hint="eastAsia" w:ascii="仿宋" w:hAnsi="仿宋" w:eastAsia="仿宋" w:cs="仿宋"/>
                <w:szCs w:val="21"/>
                <w:highlight w:val="none"/>
              </w:rPr>
              <w:t>序号</w:t>
            </w:r>
          </w:p>
        </w:tc>
        <w:tc>
          <w:tcPr>
            <w:tcW w:w="4403" w:type="dxa"/>
            <w:noWrap w:val="0"/>
            <w:vAlign w:val="center"/>
          </w:tcPr>
          <w:p w14:paraId="1034A534">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采购文件的商务条款</w:t>
            </w:r>
          </w:p>
          <w:p w14:paraId="18E7A177">
            <w:pPr>
              <w:adjustRightInd w:val="0"/>
              <w:snapToGrid w:val="0"/>
              <w:ind w:right="-73" w:rightChars="-35"/>
              <w:jc w:val="center"/>
              <w:rPr>
                <w:rFonts w:hint="eastAsia" w:ascii="仿宋" w:hAnsi="仿宋" w:eastAsia="仿宋" w:cs="仿宋"/>
                <w:szCs w:val="21"/>
                <w:highlight w:val="none"/>
              </w:rPr>
            </w:pPr>
            <w:r>
              <w:rPr>
                <w:rFonts w:hint="eastAsia" w:ascii="仿宋" w:hAnsi="仿宋" w:eastAsia="仿宋" w:cs="仿宋"/>
                <w:szCs w:val="21"/>
                <w:highlight w:val="none"/>
              </w:rPr>
              <w:t>（</w:t>
            </w:r>
            <w:r>
              <w:rPr>
                <w:rFonts w:hint="eastAsia" w:ascii="仿宋" w:hAnsi="仿宋" w:eastAsia="仿宋" w:cs="仿宋"/>
                <w:b/>
                <w:sz w:val="18"/>
                <w:szCs w:val="18"/>
                <w:highlight w:val="none"/>
              </w:rPr>
              <w:t>实质性要求及重要指标用★标注，★标注项不得负偏离，如果负偏离，则</w:t>
            </w:r>
            <w:r>
              <w:rPr>
                <w:rFonts w:hint="eastAsia" w:ascii="仿宋" w:hAnsi="仿宋" w:cs="仿宋"/>
                <w:b/>
                <w:sz w:val="18"/>
                <w:szCs w:val="18"/>
                <w:highlight w:val="none"/>
                <w:lang w:eastAsia="zh-CN"/>
              </w:rPr>
              <w:t>投标文件</w:t>
            </w:r>
            <w:r>
              <w:rPr>
                <w:rFonts w:hint="eastAsia" w:ascii="仿宋" w:hAnsi="仿宋" w:eastAsia="仿宋" w:cs="仿宋"/>
                <w:b/>
                <w:sz w:val="18"/>
                <w:szCs w:val="18"/>
                <w:highlight w:val="none"/>
              </w:rPr>
              <w:t>无效。</w:t>
            </w:r>
            <w:r>
              <w:rPr>
                <w:rFonts w:hint="eastAsia" w:ascii="仿宋" w:hAnsi="仿宋" w:eastAsia="仿宋" w:cs="仿宋"/>
                <w:szCs w:val="21"/>
                <w:highlight w:val="none"/>
              </w:rPr>
              <w:t>）</w:t>
            </w:r>
          </w:p>
        </w:tc>
        <w:tc>
          <w:tcPr>
            <w:tcW w:w="2357" w:type="dxa"/>
            <w:noWrap w:val="0"/>
            <w:vAlign w:val="center"/>
          </w:tcPr>
          <w:p w14:paraId="53DA7D8E">
            <w:pPr>
              <w:adjustRightInd w:val="0"/>
              <w:snapToGrid w:val="0"/>
              <w:ind w:right="-107" w:rightChars="-51"/>
              <w:jc w:val="center"/>
              <w:rPr>
                <w:rFonts w:hint="eastAsia" w:ascii="仿宋" w:hAnsi="仿宋" w:eastAsia="仿宋" w:cs="仿宋"/>
                <w:szCs w:val="21"/>
                <w:highlight w:val="none"/>
              </w:rPr>
            </w:pPr>
            <w:r>
              <w:rPr>
                <w:rFonts w:hint="eastAsia" w:ascii="仿宋" w:hAnsi="仿宋" w:cs="仿宋"/>
                <w:szCs w:val="21"/>
                <w:highlight w:val="none"/>
                <w:lang w:eastAsia="zh-CN"/>
              </w:rPr>
              <w:t>投标文件</w:t>
            </w:r>
            <w:r>
              <w:rPr>
                <w:rFonts w:hint="eastAsia" w:ascii="仿宋" w:hAnsi="仿宋" w:eastAsia="仿宋" w:cs="仿宋"/>
                <w:szCs w:val="21"/>
                <w:highlight w:val="none"/>
              </w:rPr>
              <w:t>响应内容</w:t>
            </w:r>
          </w:p>
        </w:tc>
        <w:tc>
          <w:tcPr>
            <w:tcW w:w="1006" w:type="dxa"/>
            <w:noWrap w:val="0"/>
            <w:vAlign w:val="center"/>
          </w:tcPr>
          <w:p w14:paraId="404DB5B8">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偏离程度</w:t>
            </w:r>
          </w:p>
        </w:tc>
        <w:tc>
          <w:tcPr>
            <w:tcW w:w="1100" w:type="dxa"/>
            <w:noWrap w:val="0"/>
            <w:vAlign w:val="center"/>
          </w:tcPr>
          <w:p w14:paraId="61ED1D82">
            <w:pPr>
              <w:adjustRightInd w:val="0"/>
              <w:snapToGrid w:val="0"/>
              <w:ind w:right="-107" w:rightChars="-51"/>
              <w:jc w:val="center"/>
              <w:rPr>
                <w:rFonts w:hint="eastAsia" w:ascii="仿宋" w:hAnsi="仿宋" w:eastAsia="仿宋" w:cs="仿宋"/>
                <w:szCs w:val="21"/>
                <w:highlight w:val="none"/>
              </w:rPr>
            </w:pPr>
            <w:r>
              <w:rPr>
                <w:rFonts w:hint="eastAsia" w:ascii="仿宋" w:hAnsi="仿宋" w:eastAsia="仿宋" w:cs="仿宋"/>
                <w:szCs w:val="21"/>
                <w:highlight w:val="none"/>
              </w:rPr>
              <w:t>偏离说明</w:t>
            </w:r>
          </w:p>
        </w:tc>
      </w:tr>
      <w:tr w14:paraId="70CAD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1" w:type="dxa"/>
            <w:noWrap w:val="0"/>
            <w:vAlign w:val="center"/>
          </w:tcPr>
          <w:p w14:paraId="502538D9">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1</w:t>
            </w:r>
          </w:p>
        </w:tc>
        <w:tc>
          <w:tcPr>
            <w:tcW w:w="4403" w:type="dxa"/>
            <w:noWrap w:val="0"/>
            <w:vAlign w:val="center"/>
          </w:tcPr>
          <w:p w14:paraId="6C49BD48">
            <w:pPr>
              <w:adjustRightInd w:val="0"/>
              <w:snapToGrid w:val="0"/>
              <w:rPr>
                <w:rFonts w:hint="eastAsia" w:ascii="仿宋" w:hAnsi="仿宋" w:eastAsia="仿宋" w:cs="仿宋"/>
                <w:szCs w:val="21"/>
                <w:highlight w:val="none"/>
                <w:lang w:eastAsia="zh-CN"/>
              </w:rPr>
            </w:pPr>
            <w:r>
              <w:rPr>
                <w:rFonts w:hint="eastAsia" w:ascii="仿宋" w:hAnsi="仿宋" w:eastAsia="仿宋" w:cs="仿宋"/>
                <w:szCs w:val="21"/>
                <w:highlight w:val="none"/>
              </w:rPr>
              <w:t>★履约期限：5年。合同期届满后双方无异议，可续签合同，续签期不超过3年。</w:t>
            </w:r>
          </w:p>
        </w:tc>
        <w:tc>
          <w:tcPr>
            <w:tcW w:w="2357" w:type="dxa"/>
            <w:noWrap w:val="0"/>
            <w:vAlign w:val="center"/>
          </w:tcPr>
          <w:p w14:paraId="600930CF">
            <w:pPr>
              <w:adjustRightInd w:val="0"/>
              <w:snapToGrid w:val="0"/>
              <w:ind w:right="105" w:rightChars="50"/>
              <w:jc w:val="center"/>
              <w:rPr>
                <w:rFonts w:hint="eastAsia" w:ascii="仿宋" w:hAnsi="仿宋" w:eastAsia="仿宋" w:cs="仿宋"/>
                <w:szCs w:val="21"/>
                <w:highlight w:val="none"/>
              </w:rPr>
            </w:pPr>
          </w:p>
        </w:tc>
        <w:tc>
          <w:tcPr>
            <w:tcW w:w="1006" w:type="dxa"/>
            <w:noWrap w:val="0"/>
            <w:vAlign w:val="center"/>
          </w:tcPr>
          <w:p w14:paraId="2E932C7E">
            <w:pPr>
              <w:adjustRightInd w:val="0"/>
              <w:snapToGrid w:val="0"/>
              <w:ind w:right="105" w:rightChars="50"/>
              <w:jc w:val="center"/>
              <w:rPr>
                <w:rFonts w:hint="eastAsia" w:ascii="仿宋" w:hAnsi="仿宋" w:eastAsia="仿宋" w:cs="仿宋"/>
                <w:szCs w:val="21"/>
                <w:highlight w:val="none"/>
              </w:rPr>
            </w:pPr>
          </w:p>
        </w:tc>
        <w:tc>
          <w:tcPr>
            <w:tcW w:w="1100" w:type="dxa"/>
            <w:noWrap w:val="0"/>
            <w:vAlign w:val="center"/>
          </w:tcPr>
          <w:p w14:paraId="6A220AFD">
            <w:pPr>
              <w:adjustRightInd w:val="0"/>
              <w:snapToGrid w:val="0"/>
              <w:ind w:right="105" w:rightChars="50"/>
              <w:jc w:val="center"/>
              <w:rPr>
                <w:rFonts w:hint="eastAsia" w:ascii="仿宋" w:hAnsi="仿宋" w:eastAsia="仿宋" w:cs="仿宋"/>
                <w:szCs w:val="21"/>
                <w:highlight w:val="none"/>
              </w:rPr>
            </w:pPr>
          </w:p>
        </w:tc>
      </w:tr>
      <w:tr w14:paraId="1F74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1" w:type="dxa"/>
            <w:noWrap w:val="0"/>
            <w:vAlign w:val="center"/>
          </w:tcPr>
          <w:p w14:paraId="6531CB57">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2</w:t>
            </w:r>
          </w:p>
        </w:tc>
        <w:tc>
          <w:tcPr>
            <w:tcW w:w="4403" w:type="dxa"/>
            <w:noWrap w:val="0"/>
            <w:vAlign w:val="center"/>
          </w:tcPr>
          <w:p w14:paraId="344A93C3">
            <w:pPr>
              <w:adjustRightInd w:val="0"/>
              <w:snapToGrid w:val="0"/>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履约地点：采购人指定地点</w:t>
            </w:r>
          </w:p>
        </w:tc>
        <w:tc>
          <w:tcPr>
            <w:tcW w:w="2357" w:type="dxa"/>
            <w:noWrap w:val="0"/>
            <w:vAlign w:val="center"/>
          </w:tcPr>
          <w:p w14:paraId="4A669FB1">
            <w:pPr>
              <w:adjustRightInd w:val="0"/>
              <w:snapToGrid w:val="0"/>
              <w:ind w:right="105" w:rightChars="50"/>
              <w:jc w:val="center"/>
              <w:rPr>
                <w:rFonts w:hint="eastAsia" w:ascii="仿宋" w:hAnsi="仿宋" w:eastAsia="仿宋" w:cs="仿宋"/>
                <w:szCs w:val="21"/>
                <w:highlight w:val="none"/>
              </w:rPr>
            </w:pPr>
          </w:p>
        </w:tc>
        <w:tc>
          <w:tcPr>
            <w:tcW w:w="1006" w:type="dxa"/>
            <w:noWrap w:val="0"/>
            <w:vAlign w:val="center"/>
          </w:tcPr>
          <w:p w14:paraId="06B99688">
            <w:pPr>
              <w:adjustRightInd w:val="0"/>
              <w:snapToGrid w:val="0"/>
              <w:ind w:right="105" w:rightChars="50"/>
              <w:jc w:val="center"/>
              <w:rPr>
                <w:rFonts w:hint="eastAsia" w:ascii="仿宋" w:hAnsi="仿宋" w:eastAsia="仿宋" w:cs="仿宋"/>
                <w:szCs w:val="21"/>
                <w:highlight w:val="none"/>
              </w:rPr>
            </w:pPr>
          </w:p>
        </w:tc>
        <w:tc>
          <w:tcPr>
            <w:tcW w:w="1100" w:type="dxa"/>
            <w:noWrap w:val="0"/>
            <w:vAlign w:val="center"/>
          </w:tcPr>
          <w:p w14:paraId="7E92ECC6">
            <w:pPr>
              <w:adjustRightInd w:val="0"/>
              <w:snapToGrid w:val="0"/>
              <w:ind w:right="105" w:rightChars="50"/>
              <w:jc w:val="center"/>
              <w:rPr>
                <w:rFonts w:hint="eastAsia" w:ascii="仿宋" w:hAnsi="仿宋" w:eastAsia="仿宋" w:cs="仿宋"/>
                <w:szCs w:val="21"/>
                <w:highlight w:val="none"/>
              </w:rPr>
            </w:pPr>
          </w:p>
        </w:tc>
      </w:tr>
      <w:tr w14:paraId="23FF3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61" w:type="dxa"/>
            <w:noWrap w:val="0"/>
            <w:vAlign w:val="center"/>
          </w:tcPr>
          <w:p w14:paraId="76BEBACD">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4403" w:type="dxa"/>
            <w:noWrap w:val="0"/>
            <w:vAlign w:val="center"/>
          </w:tcPr>
          <w:p w14:paraId="1BE31632">
            <w:pPr>
              <w:adjustRightInd w:val="0"/>
              <w:snapToGrid w:val="0"/>
              <w:spacing w:line="276" w:lineRule="auto"/>
              <w:rPr>
                <w:rFonts w:hint="eastAsia" w:ascii="仿宋" w:hAnsi="仿宋" w:eastAsia="仿宋" w:cs="仿宋"/>
                <w:color w:val="auto"/>
                <w:szCs w:val="21"/>
                <w:highlight w:val="none"/>
              </w:rPr>
            </w:pPr>
            <w:r>
              <w:rPr>
                <w:rFonts w:hint="eastAsia" w:ascii="仿宋" w:hAnsi="仿宋" w:eastAsia="仿宋" w:cs="仿宋"/>
                <w:b/>
                <w:color w:val="auto"/>
                <w:sz w:val="18"/>
                <w:szCs w:val="18"/>
                <w:highlight w:val="none"/>
              </w:rPr>
              <w:t>★</w:t>
            </w:r>
            <w:r>
              <w:rPr>
                <w:rFonts w:hint="eastAsia" w:ascii="仿宋" w:hAnsi="仿宋" w:eastAsia="仿宋" w:cs="仿宋"/>
                <w:color w:val="auto"/>
                <w:szCs w:val="21"/>
                <w:highlight w:val="none"/>
              </w:rPr>
              <w:t>付款方式及条件：</w:t>
            </w:r>
            <w:r>
              <w:rPr>
                <w:rFonts w:hint="eastAsia" w:ascii="仿宋" w:hAnsi="仿宋" w:eastAsia="仿宋" w:cs="仿宋"/>
                <w:color w:val="auto"/>
                <w:szCs w:val="21"/>
                <w:highlight w:val="none"/>
                <w:lang w:val="en-US" w:eastAsia="zh-CN"/>
              </w:rPr>
              <w:t>甲乙双方合同中约定</w:t>
            </w:r>
            <w:r>
              <w:rPr>
                <w:rFonts w:hint="eastAsia" w:ascii="仿宋" w:hAnsi="仿宋" w:eastAsia="仿宋" w:cs="仿宋"/>
                <w:color w:val="auto"/>
                <w:szCs w:val="21"/>
                <w:highlight w:val="none"/>
              </w:rPr>
              <w:t>。</w:t>
            </w:r>
          </w:p>
        </w:tc>
        <w:tc>
          <w:tcPr>
            <w:tcW w:w="2357" w:type="dxa"/>
            <w:noWrap w:val="0"/>
            <w:vAlign w:val="center"/>
          </w:tcPr>
          <w:p w14:paraId="57FB11A1">
            <w:pPr>
              <w:adjustRightInd w:val="0"/>
              <w:snapToGrid w:val="0"/>
              <w:ind w:right="105" w:rightChars="50"/>
              <w:jc w:val="center"/>
              <w:rPr>
                <w:rFonts w:hint="eastAsia" w:ascii="仿宋" w:hAnsi="仿宋" w:eastAsia="仿宋" w:cs="仿宋"/>
                <w:color w:val="auto"/>
                <w:szCs w:val="21"/>
                <w:highlight w:val="none"/>
              </w:rPr>
            </w:pPr>
          </w:p>
        </w:tc>
        <w:tc>
          <w:tcPr>
            <w:tcW w:w="1006" w:type="dxa"/>
            <w:noWrap w:val="0"/>
            <w:vAlign w:val="center"/>
          </w:tcPr>
          <w:p w14:paraId="4BC306CA">
            <w:pPr>
              <w:adjustRightInd w:val="0"/>
              <w:snapToGrid w:val="0"/>
              <w:ind w:right="105" w:rightChars="50"/>
              <w:jc w:val="center"/>
              <w:rPr>
                <w:rFonts w:hint="eastAsia" w:ascii="仿宋" w:hAnsi="仿宋" w:eastAsia="仿宋" w:cs="仿宋"/>
                <w:color w:val="auto"/>
                <w:szCs w:val="21"/>
                <w:highlight w:val="none"/>
              </w:rPr>
            </w:pPr>
          </w:p>
        </w:tc>
        <w:tc>
          <w:tcPr>
            <w:tcW w:w="1100" w:type="dxa"/>
            <w:noWrap w:val="0"/>
            <w:vAlign w:val="center"/>
          </w:tcPr>
          <w:p w14:paraId="6E6BCAB3">
            <w:pPr>
              <w:adjustRightInd w:val="0"/>
              <w:snapToGrid w:val="0"/>
              <w:ind w:right="105" w:rightChars="50"/>
              <w:jc w:val="center"/>
              <w:rPr>
                <w:rFonts w:hint="eastAsia" w:ascii="仿宋" w:hAnsi="仿宋" w:eastAsia="仿宋" w:cs="仿宋"/>
                <w:color w:val="auto"/>
                <w:szCs w:val="21"/>
                <w:highlight w:val="none"/>
              </w:rPr>
            </w:pPr>
          </w:p>
        </w:tc>
      </w:tr>
      <w:tr w14:paraId="36515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61" w:type="dxa"/>
            <w:noWrap w:val="0"/>
            <w:vAlign w:val="center"/>
          </w:tcPr>
          <w:p w14:paraId="4F8C7D98">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4</w:t>
            </w:r>
          </w:p>
        </w:tc>
        <w:tc>
          <w:tcPr>
            <w:tcW w:w="4403" w:type="dxa"/>
            <w:noWrap w:val="0"/>
            <w:vAlign w:val="center"/>
          </w:tcPr>
          <w:p w14:paraId="4AB81196">
            <w:pPr>
              <w:adjustRightInd w:val="0"/>
              <w:snapToGrid w:val="0"/>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验收标准：严格按照政府采购相关法律法规以及《辽宁省政府采购履约验收管理办法》（辽财采〔2017〕603号）的要求进行验收。</w:t>
            </w:r>
          </w:p>
          <w:p w14:paraId="16C741F1">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验收程序：本项目采购人或委托的采购代理机构。</w:t>
            </w:r>
          </w:p>
          <w:p w14:paraId="22AC89AB">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验收报告：采购人或采购代理机构出具</w:t>
            </w:r>
          </w:p>
          <w:p w14:paraId="3A525A63">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组织验收主体：本项目的履约验收工作由采购人依法组织实施。</w:t>
            </w:r>
          </w:p>
        </w:tc>
        <w:tc>
          <w:tcPr>
            <w:tcW w:w="2357" w:type="dxa"/>
            <w:noWrap w:val="0"/>
            <w:vAlign w:val="center"/>
          </w:tcPr>
          <w:p w14:paraId="29414CAC">
            <w:pPr>
              <w:adjustRightInd w:val="0"/>
              <w:snapToGrid w:val="0"/>
              <w:ind w:right="105" w:rightChars="50"/>
              <w:jc w:val="center"/>
              <w:rPr>
                <w:rFonts w:hint="eastAsia" w:ascii="仿宋" w:hAnsi="仿宋" w:eastAsia="仿宋" w:cs="仿宋"/>
                <w:szCs w:val="21"/>
                <w:highlight w:val="none"/>
              </w:rPr>
            </w:pPr>
          </w:p>
        </w:tc>
        <w:tc>
          <w:tcPr>
            <w:tcW w:w="1006" w:type="dxa"/>
            <w:noWrap w:val="0"/>
            <w:vAlign w:val="center"/>
          </w:tcPr>
          <w:p w14:paraId="13EA5077">
            <w:pPr>
              <w:adjustRightInd w:val="0"/>
              <w:snapToGrid w:val="0"/>
              <w:ind w:right="105" w:rightChars="50"/>
              <w:jc w:val="center"/>
              <w:rPr>
                <w:rFonts w:hint="eastAsia" w:ascii="仿宋" w:hAnsi="仿宋" w:eastAsia="仿宋" w:cs="仿宋"/>
                <w:szCs w:val="21"/>
                <w:highlight w:val="none"/>
              </w:rPr>
            </w:pPr>
          </w:p>
        </w:tc>
        <w:tc>
          <w:tcPr>
            <w:tcW w:w="1100" w:type="dxa"/>
            <w:noWrap w:val="0"/>
            <w:vAlign w:val="center"/>
          </w:tcPr>
          <w:p w14:paraId="225ADA0B">
            <w:pPr>
              <w:adjustRightInd w:val="0"/>
              <w:snapToGrid w:val="0"/>
              <w:ind w:right="105" w:rightChars="50"/>
              <w:jc w:val="center"/>
              <w:rPr>
                <w:rFonts w:hint="eastAsia" w:ascii="仿宋" w:hAnsi="仿宋" w:eastAsia="仿宋" w:cs="仿宋"/>
                <w:szCs w:val="21"/>
                <w:highlight w:val="none"/>
              </w:rPr>
            </w:pPr>
          </w:p>
        </w:tc>
      </w:tr>
      <w:tr w14:paraId="35586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761" w:type="dxa"/>
            <w:noWrap w:val="0"/>
            <w:vAlign w:val="center"/>
          </w:tcPr>
          <w:p w14:paraId="1C462D16">
            <w:pPr>
              <w:adjustRightInd w:val="0"/>
              <w:snapToGrid w:val="0"/>
              <w:ind w:right="105" w:rightChars="50"/>
              <w:jc w:val="center"/>
              <w:rPr>
                <w:rFonts w:hint="eastAsia" w:ascii="仿宋" w:hAnsi="仿宋" w:eastAsia="仿宋" w:cs="仿宋"/>
                <w:szCs w:val="21"/>
                <w:highlight w:val="none"/>
                <w:lang w:val="en-US" w:eastAsia="zh-CN"/>
              </w:rPr>
            </w:pPr>
            <w:r>
              <w:rPr>
                <w:rFonts w:hint="eastAsia" w:ascii="仿宋" w:hAnsi="仿宋" w:eastAsia="仿宋" w:cs="仿宋"/>
                <w:szCs w:val="21"/>
                <w:highlight w:val="none"/>
                <w:lang w:val="en-US" w:eastAsia="zh-CN"/>
              </w:rPr>
              <w:t>5</w:t>
            </w:r>
          </w:p>
        </w:tc>
        <w:tc>
          <w:tcPr>
            <w:tcW w:w="4403" w:type="dxa"/>
            <w:noWrap w:val="0"/>
            <w:vAlign w:val="center"/>
          </w:tcPr>
          <w:p w14:paraId="3C033DCF">
            <w:pPr>
              <w:adjustRightInd w:val="0"/>
              <w:snapToGrid w:val="0"/>
              <w:rPr>
                <w:rFonts w:hint="eastAsia" w:ascii="仿宋" w:hAnsi="仿宋" w:eastAsia="仿宋" w:cs="仿宋"/>
                <w:szCs w:val="21"/>
                <w:highlight w:val="none"/>
              </w:rPr>
            </w:pPr>
            <w:r>
              <w:rPr>
                <w:rFonts w:hint="eastAsia" w:ascii="仿宋" w:hAnsi="仿宋" w:eastAsia="仿宋" w:cs="仿宋"/>
                <w:b/>
                <w:sz w:val="18"/>
                <w:szCs w:val="18"/>
                <w:highlight w:val="none"/>
              </w:rPr>
              <w:t>★</w:t>
            </w:r>
            <w:r>
              <w:rPr>
                <w:rFonts w:hint="eastAsia" w:ascii="仿宋" w:hAnsi="仿宋" w:eastAsia="仿宋" w:cs="仿宋"/>
                <w:szCs w:val="21"/>
                <w:highlight w:val="none"/>
              </w:rPr>
              <w:t>热线支持：7×24小时全天候服务，指派专人电话支持；</w:t>
            </w:r>
          </w:p>
          <w:p w14:paraId="658E011A">
            <w:pPr>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现场支持：7×24小时全天候现场服务，1小时内响应，2小时内到达。</w:t>
            </w:r>
          </w:p>
        </w:tc>
        <w:tc>
          <w:tcPr>
            <w:tcW w:w="2357" w:type="dxa"/>
            <w:noWrap w:val="0"/>
            <w:vAlign w:val="center"/>
          </w:tcPr>
          <w:p w14:paraId="3ADF3BDC">
            <w:pPr>
              <w:adjustRightInd w:val="0"/>
              <w:snapToGrid w:val="0"/>
              <w:ind w:right="105" w:rightChars="50"/>
              <w:jc w:val="center"/>
              <w:rPr>
                <w:rFonts w:hint="eastAsia" w:ascii="仿宋" w:hAnsi="仿宋" w:eastAsia="仿宋" w:cs="仿宋"/>
                <w:szCs w:val="21"/>
                <w:highlight w:val="none"/>
              </w:rPr>
            </w:pPr>
          </w:p>
        </w:tc>
        <w:tc>
          <w:tcPr>
            <w:tcW w:w="1006" w:type="dxa"/>
            <w:noWrap w:val="0"/>
            <w:vAlign w:val="center"/>
          </w:tcPr>
          <w:p w14:paraId="03891ACD">
            <w:pPr>
              <w:adjustRightInd w:val="0"/>
              <w:snapToGrid w:val="0"/>
              <w:ind w:right="105" w:rightChars="50"/>
              <w:jc w:val="center"/>
              <w:rPr>
                <w:rFonts w:hint="eastAsia" w:ascii="仿宋" w:hAnsi="仿宋" w:eastAsia="仿宋" w:cs="仿宋"/>
                <w:szCs w:val="21"/>
                <w:highlight w:val="none"/>
              </w:rPr>
            </w:pPr>
          </w:p>
        </w:tc>
        <w:tc>
          <w:tcPr>
            <w:tcW w:w="1100" w:type="dxa"/>
            <w:noWrap w:val="0"/>
            <w:vAlign w:val="center"/>
          </w:tcPr>
          <w:p w14:paraId="4079E771">
            <w:pPr>
              <w:adjustRightInd w:val="0"/>
              <w:snapToGrid w:val="0"/>
              <w:ind w:right="105" w:rightChars="50"/>
              <w:jc w:val="center"/>
              <w:rPr>
                <w:rFonts w:hint="eastAsia" w:ascii="仿宋" w:hAnsi="仿宋" w:eastAsia="仿宋" w:cs="仿宋"/>
                <w:szCs w:val="21"/>
                <w:highlight w:val="none"/>
              </w:rPr>
            </w:pPr>
          </w:p>
        </w:tc>
      </w:tr>
      <w:tr w14:paraId="5259C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761" w:type="dxa"/>
            <w:noWrap w:val="0"/>
            <w:vAlign w:val="center"/>
          </w:tcPr>
          <w:p w14:paraId="757C79E5">
            <w:pPr>
              <w:adjustRightInd w:val="0"/>
              <w:snapToGrid w:val="0"/>
              <w:ind w:right="105" w:rightChars="50"/>
              <w:jc w:val="center"/>
              <w:rPr>
                <w:rFonts w:hint="eastAsia" w:ascii="仿宋" w:hAnsi="仿宋" w:eastAsia="仿宋" w:cs="仿宋"/>
                <w:szCs w:val="21"/>
                <w:highlight w:val="none"/>
              </w:rPr>
            </w:pPr>
          </w:p>
        </w:tc>
        <w:tc>
          <w:tcPr>
            <w:tcW w:w="4403" w:type="dxa"/>
            <w:noWrap w:val="0"/>
            <w:vAlign w:val="center"/>
          </w:tcPr>
          <w:p w14:paraId="29D6378D">
            <w:pPr>
              <w:adjustRightInd w:val="0"/>
              <w:snapToGrid w:val="0"/>
              <w:ind w:hanging="1"/>
              <w:rPr>
                <w:rFonts w:hint="eastAsia" w:ascii="仿宋" w:hAnsi="仿宋" w:eastAsia="仿宋" w:cs="仿宋"/>
                <w:szCs w:val="21"/>
                <w:highlight w:val="none"/>
              </w:rPr>
            </w:pPr>
            <w:r>
              <w:rPr>
                <w:rFonts w:hint="eastAsia" w:ascii="仿宋" w:hAnsi="仿宋" w:eastAsia="仿宋" w:cs="仿宋"/>
                <w:szCs w:val="21"/>
                <w:highlight w:val="none"/>
              </w:rPr>
              <w:t>其它</w:t>
            </w:r>
          </w:p>
        </w:tc>
        <w:tc>
          <w:tcPr>
            <w:tcW w:w="2357" w:type="dxa"/>
            <w:noWrap w:val="0"/>
            <w:vAlign w:val="center"/>
          </w:tcPr>
          <w:p w14:paraId="4A918657">
            <w:pPr>
              <w:adjustRightInd w:val="0"/>
              <w:snapToGrid w:val="0"/>
              <w:ind w:right="105" w:rightChars="50"/>
              <w:jc w:val="center"/>
              <w:rPr>
                <w:rFonts w:hint="eastAsia" w:ascii="仿宋" w:hAnsi="仿宋" w:eastAsia="仿宋" w:cs="仿宋"/>
                <w:szCs w:val="21"/>
                <w:highlight w:val="none"/>
              </w:rPr>
            </w:pPr>
            <w:r>
              <w:rPr>
                <w:rFonts w:hint="eastAsia" w:ascii="仿宋" w:hAnsi="仿宋" w:eastAsia="仿宋" w:cs="仿宋"/>
                <w:szCs w:val="21"/>
                <w:highlight w:val="none"/>
              </w:rPr>
              <w:t>采购单位未提供需求而供应商认为需说明及补充的内容在此填列</w:t>
            </w:r>
          </w:p>
        </w:tc>
        <w:tc>
          <w:tcPr>
            <w:tcW w:w="1006" w:type="dxa"/>
            <w:noWrap w:val="0"/>
            <w:vAlign w:val="center"/>
          </w:tcPr>
          <w:p w14:paraId="23229016">
            <w:pPr>
              <w:adjustRightInd w:val="0"/>
              <w:snapToGrid w:val="0"/>
              <w:ind w:right="105" w:rightChars="50"/>
              <w:jc w:val="center"/>
              <w:rPr>
                <w:rFonts w:hint="eastAsia" w:ascii="仿宋" w:hAnsi="仿宋" w:eastAsia="仿宋" w:cs="仿宋"/>
                <w:szCs w:val="21"/>
                <w:highlight w:val="none"/>
              </w:rPr>
            </w:pPr>
          </w:p>
        </w:tc>
        <w:tc>
          <w:tcPr>
            <w:tcW w:w="1100" w:type="dxa"/>
            <w:noWrap w:val="0"/>
            <w:vAlign w:val="center"/>
          </w:tcPr>
          <w:p w14:paraId="66CF4B57">
            <w:pPr>
              <w:adjustRightInd w:val="0"/>
              <w:snapToGrid w:val="0"/>
              <w:ind w:right="105" w:rightChars="50"/>
              <w:jc w:val="center"/>
              <w:rPr>
                <w:rFonts w:hint="eastAsia" w:ascii="仿宋" w:hAnsi="仿宋" w:eastAsia="仿宋" w:cs="仿宋"/>
                <w:szCs w:val="21"/>
                <w:highlight w:val="none"/>
              </w:rPr>
            </w:pPr>
          </w:p>
        </w:tc>
      </w:tr>
    </w:tbl>
    <w:p w14:paraId="546F6E0A">
      <w:pPr>
        <w:adjustRightInd w:val="0"/>
        <w:snapToGrid w:val="0"/>
        <w:spacing w:line="360" w:lineRule="auto"/>
        <w:ind w:right="105" w:rightChars="50"/>
        <w:jc w:val="left"/>
        <w:rPr>
          <w:rFonts w:hint="eastAsia" w:ascii="仿宋" w:hAnsi="仿宋" w:eastAsia="仿宋" w:cs="仿宋"/>
          <w:szCs w:val="21"/>
          <w:highlight w:val="none"/>
        </w:rPr>
      </w:pPr>
      <w:r>
        <w:rPr>
          <w:rFonts w:hint="eastAsia" w:ascii="仿宋" w:hAnsi="仿宋" w:eastAsia="仿宋" w:cs="仿宋"/>
          <w:b/>
          <w:szCs w:val="21"/>
          <w:highlight w:val="none"/>
        </w:rPr>
        <w:t>填表说明：</w:t>
      </w:r>
    </w:p>
    <w:p w14:paraId="2D902D8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cs="仿宋"/>
          <w:szCs w:val="21"/>
          <w:highlight w:val="none"/>
          <w:lang w:eastAsia="zh-CN"/>
        </w:rPr>
        <w:t>投标文件</w:t>
      </w:r>
      <w:r>
        <w:rPr>
          <w:rFonts w:hint="eastAsia" w:ascii="仿宋" w:hAnsi="仿宋" w:eastAsia="仿宋" w:cs="仿宋"/>
          <w:szCs w:val="21"/>
          <w:highlight w:val="none"/>
        </w:rPr>
        <w:t>响应内容”一栏由供应商填写。</w:t>
      </w:r>
    </w:p>
    <w:p w14:paraId="5C0EE4D3">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2．“偏离程度”一栏根据“</w:t>
      </w:r>
      <w:r>
        <w:rPr>
          <w:rFonts w:hint="eastAsia" w:ascii="仿宋" w:hAnsi="仿宋" w:cs="仿宋"/>
          <w:szCs w:val="21"/>
          <w:highlight w:val="none"/>
          <w:lang w:eastAsia="zh-CN"/>
        </w:rPr>
        <w:t>投标文件</w:t>
      </w:r>
      <w:r>
        <w:rPr>
          <w:rFonts w:hint="eastAsia" w:ascii="仿宋" w:hAnsi="仿宋" w:eastAsia="仿宋" w:cs="仿宋"/>
          <w:szCs w:val="21"/>
          <w:highlight w:val="none"/>
        </w:rPr>
        <w:t>响应内容”与采购文件逐项对照的结果填写。偏离必须用 “正偏离、负偏离或无偏离”三个名称中的一种进行标注。</w:t>
      </w:r>
    </w:p>
    <w:p w14:paraId="08B392CC">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3．“偏离说明”一栏由供应商对偏离的情况作详细说明。</w:t>
      </w:r>
    </w:p>
    <w:p w14:paraId="48450A5B">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lang w:eastAsia="zh-CN"/>
        </w:rPr>
        <w:t>投标人</w:t>
      </w:r>
      <w:r>
        <w:rPr>
          <w:rFonts w:hint="eastAsia" w:ascii="仿宋" w:hAnsi="仿宋" w:eastAsia="仿宋" w:cs="仿宋"/>
          <w:szCs w:val="21"/>
          <w:highlight w:val="none"/>
        </w:rPr>
        <w:t>名称（加盖单位公章）:</w:t>
      </w:r>
      <w:r>
        <w:rPr>
          <w:rFonts w:hint="eastAsia" w:ascii="仿宋" w:hAnsi="仿宋" w:eastAsia="仿宋" w:cs="仿宋"/>
          <w:szCs w:val="21"/>
          <w:highlight w:val="none"/>
          <w:u w:val="single"/>
        </w:rPr>
        <w:t xml:space="preserve">               </w:t>
      </w:r>
    </w:p>
    <w:p w14:paraId="570D9A29">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7D14FB05">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日期：</w:t>
      </w:r>
      <w:r>
        <w:rPr>
          <w:rFonts w:hint="eastAsia" w:ascii="仿宋" w:hAnsi="仿宋" w:eastAsia="仿宋" w:cs="仿宋"/>
          <w:szCs w:val="21"/>
          <w:highlight w:val="none"/>
          <w:u w:val="single"/>
        </w:rPr>
        <w:t xml:space="preserve">                               </w:t>
      </w:r>
    </w:p>
    <w:p w14:paraId="04C4CBCF">
      <w:pPr>
        <w:wordWrap w:val="0"/>
        <w:adjustRightInd w:val="0"/>
        <w:snapToGrid w:val="0"/>
        <w:spacing w:line="360" w:lineRule="auto"/>
        <w:ind w:right="105" w:rightChars="50"/>
        <w:outlineLvl w:val="1"/>
        <w:rPr>
          <w:rFonts w:hint="eastAsia" w:ascii="仿宋" w:hAnsi="仿宋" w:eastAsia="仿宋" w:cs="仿宋"/>
          <w:b/>
          <w:bCs/>
          <w:sz w:val="28"/>
          <w:szCs w:val="28"/>
          <w:lang w:eastAsia="zh-CN"/>
        </w:rPr>
      </w:pPr>
      <w:bookmarkStart w:id="91" w:name="_Toc533340162"/>
      <w:bookmarkStart w:id="92" w:name="_Toc4485638"/>
      <w:r>
        <w:rPr>
          <w:rFonts w:hint="eastAsia" w:ascii="仿宋" w:hAnsi="仿宋" w:eastAsia="仿宋" w:cs="仿宋"/>
          <w:b/>
          <w:bCs/>
          <w:sz w:val="28"/>
          <w:szCs w:val="28"/>
          <w:highlight w:val="none"/>
        </w:rPr>
        <w:br w:type="page"/>
      </w:r>
      <w:r>
        <w:rPr>
          <w:rFonts w:hint="eastAsia" w:ascii="仿宋" w:hAnsi="仿宋" w:eastAsia="仿宋" w:cs="仿宋"/>
          <w:b/>
          <w:bCs/>
          <w:sz w:val="28"/>
          <w:szCs w:val="28"/>
        </w:rPr>
        <w:t>格式1</w:t>
      </w:r>
      <w:bookmarkEnd w:id="91"/>
      <w:bookmarkEnd w:id="92"/>
      <w:r>
        <w:rPr>
          <w:rFonts w:hint="eastAsia" w:ascii="仿宋" w:hAnsi="仿宋" w:eastAsia="仿宋" w:cs="仿宋"/>
          <w:b/>
          <w:bCs/>
          <w:sz w:val="28"/>
          <w:szCs w:val="28"/>
          <w:lang w:val="en-US" w:eastAsia="zh-CN"/>
        </w:rPr>
        <w:t>5</w:t>
      </w:r>
    </w:p>
    <w:p w14:paraId="5C7C6BEA">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lang w:eastAsia="zh-CN"/>
        </w:rPr>
        <w:t>投标人</w:t>
      </w:r>
      <w:r>
        <w:rPr>
          <w:rFonts w:hint="eastAsia" w:ascii="仿宋" w:hAnsi="仿宋" w:eastAsia="仿宋" w:cs="仿宋"/>
          <w:b/>
          <w:bCs/>
          <w:sz w:val="32"/>
          <w:szCs w:val="32"/>
        </w:rPr>
        <w:t>关联单位的说明</w:t>
      </w:r>
    </w:p>
    <w:p w14:paraId="546ADB00">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说明：投标人应当如实披露与本单位存在下列关联关系的单位名称：</w:t>
      </w:r>
    </w:p>
    <w:p w14:paraId="0F8644F5">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（1）与投标人法定代表人（或非法人组织负责人）为同一人的其他单位；</w:t>
      </w:r>
    </w:p>
    <w:p w14:paraId="2DEAA134">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（2）与投标人存在直接控股、管理关系的其他单位。</w:t>
      </w:r>
    </w:p>
    <w:p w14:paraId="004792B7">
      <w:pPr>
        <w:adjustRightInd w:val="0"/>
        <w:snapToGrid w:val="0"/>
        <w:spacing w:line="360" w:lineRule="auto"/>
        <w:ind w:right="105" w:rightChars="50" w:firstLine="476" w:firstLineChars="227"/>
        <w:jc w:val="left"/>
        <w:rPr>
          <w:rFonts w:hint="eastAsia" w:ascii="仿宋" w:hAnsi="仿宋" w:eastAsia="仿宋" w:cs="仿宋"/>
          <w:szCs w:val="21"/>
        </w:rPr>
      </w:pPr>
    </w:p>
    <w:p w14:paraId="69A93DA9">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注：若无此情形，写“无”即可</w:t>
      </w:r>
    </w:p>
    <w:p w14:paraId="6B1E2C44">
      <w:pPr>
        <w:adjustRightInd w:val="0"/>
        <w:snapToGrid w:val="0"/>
        <w:spacing w:line="360" w:lineRule="auto"/>
        <w:ind w:right="105" w:rightChars="50" w:firstLine="476" w:firstLineChars="227"/>
        <w:jc w:val="left"/>
        <w:rPr>
          <w:rFonts w:hint="eastAsia" w:ascii="仿宋" w:hAnsi="仿宋" w:eastAsia="仿宋" w:cs="仿宋"/>
          <w:szCs w:val="21"/>
        </w:rPr>
      </w:pPr>
    </w:p>
    <w:p w14:paraId="338758C0">
      <w:pPr>
        <w:adjustRightInd w:val="0"/>
        <w:snapToGrid w:val="0"/>
        <w:spacing w:line="360" w:lineRule="auto"/>
        <w:ind w:right="105" w:rightChars="50"/>
        <w:jc w:val="left"/>
        <w:rPr>
          <w:rFonts w:hint="eastAsia" w:ascii="仿宋" w:hAnsi="仿宋" w:eastAsia="仿宋" w:cs="仿宋"/>
          <w:szCs w:val="21"/>
        </w:rPr>
      </w:pPr>
      <w:r>
        <w:rPr>
          <w:rFonts w:hint="eastAsia" w:ascii="仿宋" w:hAnsi="仿宋" w:eastAsia="仿宋" w:cs="仿宋"/>
          <w:szCs w:val="21"/>
        </w:rPr>
        <w:t xml:space="preserve"> </w:t>
      </w:r>
    </w:p>
    <w:p w14:paraId="7B922EA9">
      <w:pPr>
        <w:adjustRightInd w:val="0"/>
        <w:snapToGrid w:val="0"/>
        <w:spacing w:line="360" w:lineRule="auto"/>
        <w:ind w:right="105" w:rightChars="50"/>
        <w:jc w:val="left"/>
        <w:rPr>
          <w:rFonts w:hint="eastAsia" w:ascii="仿宋" w:hAnsi="仿宋" w:eastAsia="仿宋" w:cs="仿宋"/>
          <w:szCs w:val="21"/>
        </w:rPr>
      </w:pPr>
    </w:p>
    <w:p w14:paraId="560DD6B0">
      <w:pPr>
        <w:adjustRightInd w:val="0"/>
        <w:snapToGrid w:val="0"/>
        <w:spacing w:line="360" w:lineRule="auto"/>
        <w:ind w:right="105" w:rightChars="50"/>
        <w:jc w:val="left"/>
        <w:rPr>
          <w:rFonts w:hint="eastAsia" w:ascii="仿宋" w:hAnsi="仿宋" w:eastAsia="仿宋" w:cs="仿宋"/>
          <w:szCs w:val="21"/>
        </w:rPr>
      </w:pPr>
    </w:p>
    <w:p w14:paraId="688BBA85">
      <w:pPr>
        <w:adjustRightInd w:val="0"/>
        <w:snapToGrid w:val="0"/>
        <w:spacing w:line="360" w:lineRule="auto"/>
        <w:ind w:right="105" w:rightChars="50"/>
        <w:jc w:val="left"/>
        <w:rPr>
          <w:rFonts w:hint="eastAsia" w:ascii="仿宋" w:hAnsi="仿宋" w:eastAsia="仿宋" w:cs="仿宋"/>
          <w:szCs w:val="21"/>
        </w:rPr>
      </w:pPr>
    </w:p>
    <w:p w14:paraId="4504F1B5">
      <w:pPr>
        <w:adjustRightInd w:val="0"/>
        <w:snapToGrid w:val="0"/>
        <w:spacing w:line="360" w:lineRule="auto"/>
        <w:ind w:right="105" w:rightChars="50"/>
        <w:jc w:val="left"/>
        <w:rPr>
          <w:rFonts w:hint="eastAsia" w:ascii="仿宋" w:hAnsi="仿宋" w:eastAsia="仿宋" w:cs="仿宋"/>
          <w:szCs w:val="21"/>
        </w:rPr>
      </w:pPr>
    </w:p>
    <w:p w14:paraId="55C432BA">
      <w:pPr>
        <w:adjustRightInd w:val="0"/>
        <w:snapToGrid w:val="0"/>
        <w:spacing w:line="360" w:lineRule="auto"/>
        <w:ind w:right="105" w:rightChars="50"/>
        <w:jc w:val="left"/>
        <w:rPr>
          <w:rFonts w:hint="eastAsia" w:ascii="仿宋" w:hAnsi="仿宋" w:eastAsia="仿宋" w:cs="仿宋"/>
          <w:szCs w:val="21"/>
        </w:rPr>
      </w:pPr>
    </w:p>
    <w:p w14:paraId="24C32DF1">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lang w:eastAsia="zh-CN"/>
        </w:rPr>
        <w:t>投标人</w:t>
      </w:r>
      <w:r>
        <w:rPr>
          <w:rFonts w:hint="eastAsia" w:ascii="仿宋" w:hAnsi="仿宋" w:eastAsia="仿宋" w:cs="仿宋"/>
          <w:szCs w:val="21"/>
        </w:rPr>
        <w:t>名称（加盖单位公章）:</w:t>
      </w:r>
      <w:r>
        <w:rPr>
          <w:rFonts w:hint="eastAsia" w:ascii="仿宋" w:hAnsi="仿宋" w:eastAsia="仿宋" w:cs="仿宋"/>
          <w:szCs w:val="21"/>
          <w:u w:val="single"/>
        </w:rPr>
        <w:t xml:space="preserve">               </w:t>
      </w:r>
    </w:p>
    <w:p w14:paraId="735B2AE9">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rPr>
        <w:t>法定代表人（或非法人组织负责人）或其授权委托人（</w:t>
      </w:r>
      <w:r>
        <w:rPr>
          <w:rFonts w:hint="eastAsia" w:ascii="仿宋" w:hAnsi="仿宋" w:eastAsia="仿宋" w:cs="仿宋"/>
        </w:rPr>
        <w:t>签字或盖章）</w:t>
      </w:r>
      <w:r>
        <w:rPr>
          <w:rFonts w:hint="eastAsia" w:ascii="仿宋" w:hAnsi="仿宋" w:eastAsia="仿宋" w:cs="仿宋"/>
          <w:szCs w:val="21"/>
        </w:rPr>
        <w:t>:</w:t>
      </w:r>
      <w:r>
        <w:rPr>
          <w:rFonts w:hint="eastAsia" w:ascii="仿宋" w:hAnsi="仿宋" w:eastAsia="仿宋" w:cs="仿宋"/>
          <w:szCs w:val="21"/>
          <w:u w:val="single"/>
        </w:rPr>
        <w:t xml:space="preserve">               </w:t>
      </w:r>
    </w:p>
    <w:p w14:paraId="1BC41980">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p>
    <w:p w14:paraId="46B054D7">
      <w:pPr>
        <w:pStyle w:val="3"/>
        <w:adjustRightInd w:val="0"/>
        <w:snapToGrid w:val="0"/>
        <w:spacing w:before="0" w:after="0" w:line="240" w:lineRule="auto"/>
        <w:jc w:val="left"/>
        <w:rPr>
          <w:rFonts w:hint="eastAsia" w:ascii="仿宋" w:hAnsi="仿宋" w:eastAsia="仿宋" w:cs="仿宋"/>
          <w:sz w:val="28"/>
          <w:szCs w:val="28"/>
          <w:lang w:eastAsia="zh-CN"/>
        </w:rPr>
      </w:pPr>
      <w:r>
        <w:rPr>
          <w:rFonts w:hint="eastAsia" w:ascii="仿宋" w:hAnsi="仿宋" w:eastAsia="仿宋" w:cs="仿宋"/>
          <w:szCs w:val="21"/>
          <w:u w:val="single"/>
        </w:rPr>
        <w:br w:type="page"/>
      </w:r>
      <w:bookmarkStart w:id="93" w:name="_Toc4485642"/>
      <w:bookmarkStart w:id="94" w:name="_Toc533340166"/>
      <w:r>
        <w:rPr>
          <w:rFonts w:hint="eastAsia" w:ascii="仿宋" w:hAnsi="仿宋" w:eastAsia="仿宋" w:cs="仿宋"/>
          <w:sz w:val="28"/>
          <w:szCs w:val="28"/>
        </w:rPr>
        <w:t>格式1</w:t>
      </w:r>
      <w:r>
        <w:rPr>
          <w:rFonts w:hint="eastAsia" w:ascii="仿宋" w:hAnsi="仿宋" w:eastAsia="仿宋" w:cs="仿宋"/>
          <w:sz w:val="28"/>
          <w:szCs w:val="28"/>
          <w:lang w:val="en-US" w:eastAsia="zh-CN"/>
        </w:rPr>
        <w:t>6</w:t>
      </w:r>
    </w:p>
    <w:p w14:paraId="0AF78034">
      <w:pPr>
        <w:jc w:val="center"/>
        <w:rPr>
          <w:rFonts w:hint="eastAsia" w:ascii="仿宋" w:hAnsi="仿宋" w:eastAsia="仿宋" w:cs="仿宋"/>
          <w:b/>
          <w:bCs/>
          <w:sz w:val="32"/>
          <w:szCs w:val="40"/>
        </w:rPr>
      </w:pPr>
    </w:p>
    <w:p w14:paraId="34A323FC">
      <w:pPr>
        <w:jc w:val="center"/>
        <w:rPr>
          <w:rFonts w:hint="eastAsia" w:ascii="仿宋" w:hAnsi="仿宋" w:eastAsia="仿宋" w:cs="仿宋"/>
          <w:b/>
          <w:bCs/>
          <w:sz w:val="32"/>
          <w:szCs w:val="40"/>
        </w:rPr>
      </w:pPr>
      <w:r>
        <w:rPr>
          <w:rFonts w:hint="eastAsia" w:ascii="仿宋" w:hAnsi="仿宋" w:eastAsia="仿宋" w:cs="仿宋"/>
          <w:b/>
          <w:bCs/>
          <w:sz w:val="32"/>
          <w:szCs w:val="40"/>
        </w:rPr>
        <w:t>电子备份文件与电子评审系统中上传的投标（响应）文件内容、格式一致性承诺函，格式自拟要求进行签字、盖章</w:t>
      </w:r>
    </w:p>
    <w:p w14:paraId="78B10A51">
      <w:pPr>
        <w:adjustRightInd w:val="0"/>
        <w:snapToGrid w:val="0"/>
        <w:spacing w:line="480" w:lineRule="auto"/>
        <w:ind w:right="105" w:rightChars="50"/>
        <w:jc w:val="left"/>
        <w:rPr>
          <w:rFonts w:hint="eastAsia" w:ascii="仿宋" w:hAnsi="仿宋" w:eastAsia="仿宋" w:cs="仿宋"/>
          <w:szCs w:val="21"/>
        </w:rPr>
      </w:pPr>
    </w:p>
    <w:p w14:paraId="7CFE2929">
      <w:pPr>
        <w:adjustRightInd w:val="0"/>
        <w:snapToGrid w:val="0"/>
        <w:spacing w:line="480" w:lineRule="auto"/>
        <w:ind w:right="105" w:rightChars="50"/>
        <w:jc w:val="left"/>
        <w:rPr>
          <w:rFonts w:hint="eastAsia" w:ascii="仿宋" w:hAnsi="仿宋" w:eastAsia="仿宋" w:cs="仿宋"/>
          <w:szCs w:val="21"/>
        </w:rPr>
      </w:pPr>
    </w:p>
    <w:p w14:paraId="0A7D2C35">
      <w:pPr>
        <w:adjustRightInd w:val="0"/>
        <w:snapToGrid w:val="0"/>
        <w:spacing w:line="480" w:lineRule="auto"/>
        <w:ind w:right="105" w:rightChars="50"/>
        <w:jc w:val="left"/>
        <w:rPr>
          <w:rFonts w:hint="eastAsia" w:ascii="仿宋" w:hAnsi="仿宋" w:eastAsia="仿宋" w:cs="仿宋"/>
          <w:szCs w:val="21"/>
        </w:rPr>
      </w:pPr>
    </w:p>
    <w:p w14:paraId="5449D32A">
      <w:pPr>
        <w:adjustRightInd w:val="0"/>
        <w:snapToGrid w:val="0"/>
        <w:spacing w:line="480" w:lineRule="auto"/>
        <w:ind w:right="105" w:rightChars="50"/>
        <w:jc w:val="left"/>
        <w:rPr>
          <w:rFonts w:hint="eastAsia" w:ascii="仿宋" w:hAnsi="仿宋" w:eastAsia="仿宋" w:cs="仿宋"/>
          <w:szCs w:val="21"/>
        </w:rPr>
      </w:pPr>
    </w:p>
    <w:p w14:paraId="45B44BB3">
      <w:pPr>
        <w:adjustRightInd w:val="0"/>
        <w:snapToGrid w:val="0"/>
        <w:spacing w:line="480" w:lineRule="auto"/>
        <w:ind w:right="105" w:rightChars="50"/>
        <w:jc w:val="left"/>
        <w:rPr>
          <w:rFonts w:hint="eastAsia" w:ascii="仿宋" w:hAnsi="仿宋" w:eastAsia="仿宋" w:cs="仿宋"/>
          <w:szCs w:val="21"/>
        </w:rPr>
      </w:pPr>
    </w:p>
    <w:p w14:paraId="32AF4BAA">
      <w:pPr>
        <w:adjustRightInd w:val="0"/>
        <w:snapToGrid w:val="0"/>
        <w:spacing w:line="480" w:lineRule="auto"/>
        <w:ind w:right="105" w:rightChars="50"/>
        <w:jc w:val="left"/>
        <w:rPr>
          <w:rFonts w:hint="eastAsia" w:ascii="仿宋" w:hAnsi="仿宋" w:eastAsia="仿宋" w:cs="仿宋"/>
          <w:szCs w:val="21"/>
        </w:rPr>
      </w:pPr>
    </w:p>
    <w:p w14:paraId="4BC5CA25">
      <w:pPr>
        <w:adjustRightInd w:val="0"/>
        <w:snapToGrid w:val="0"/>
        <w:spacing w:line="480" w:lineRule="auto"/>
        <w:ind w:right="105" w:rightChars="50"/>
        <w:jc w:val="left"/>
        <w:rPr>
          <w:rFonts w:hint="eastAsia" w:ascii="仿宋" w:hAnsi="仿宋" w:eastAsia="仿宋" w:cs="仿宋"/>
          <w:szCs w:val="21"/>
        </w:rPr>
      </w:pPr>
    </w:p>
    <w:p w14:paraId="6F705755">
      <w:pPr>
        <w:adjustRightInd w:val="0"/>
        <w:snapToGrid w:val="0"/>
        <w:spacing w:line="480" w:lineRule="auto"/>
        <w:ind w:right="105" w:rightChars="50"/>
        <w:jc w:val="left"/>
        <w:rPr>
          <w:rFonts w:hint="eastAsia" w:ascii="仿宋" w:hAnsi="仿宋" w:eastAsia="仿宋" w:cs="仿宋"/>
          <w:szCs w:val="21"/>
        </w:rPr>
      </w:pPr>
    </w:p>
    <w:p w14:paraId="40E2A8E9">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rPr>
        <w:t>投标人名称（加盖单位公章）:</w:t>
      </w:r>
      <w:r>
        <w:rPr>
          <w:rFonts w:hint="eastAsia" w:ascii="仿宋" w:hAnsi="仿宋" w:eastAsia="仿宋" w:cs="仿宋"/>
          <w:szCs w:val="21"/>
          <w:u w:val="single"/>
        </w:rPr>
        <w:t xml:space="preserve">               </w:t>
      </w:r>
    </w:p>
    <w:p w14:paraId="311EBF97">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rPr>
        <w:t>法定代表人（或非法人组织负责人）或其授权委托人（</w:t>
      </w:r>
      <w:r>
        <w:rPr>
          <w:rFonts w:hint="eastAsia" w:ascii="仿宋" w:hAnsi="仿宋" w:eastAsia="仿宋" w:cs="仿宋"/>
        </w:rPr>
        <w:t>签字或盖章）</w:t>
      </w:r>
      <w:r>
        <w:rPr>
          <w:rFonts w:hint="eastAsia" w:ascii="仿宋" w:hAnsi="仿宋" w:eastAsia="仿宋" w:cs="仿宋"/>
          <w:szCs w:val="21"/>
        </w:rPr>
        <w:t>:</w:t>
      </w:r>
      <w:r>
        <w:rPr>
          <w:rFonts w:hint="eastAsia" w:ascii="仿宋" w:hAnsi="仿宋" w:eastAsia="仿宋" w:cs="仿宋"/>
          <w:szCs w:val="21"/>
          <w:u w:val="single"/>
        </w:rPr>
        <w:t xml:space="preserve">               </w:t>
      </w:r>
    </w:p>
    <w:p w14:paraId="2A4578DB">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日期：</w:t>
      </w:r>
      <w:r>
        <w:rPr>
          <w:rFonts w:hint="eastAsia" w:ascii="仿宋" w:hAnsi="仿宋" w:eastAsia="仿宋" w:cs="仿宋"/>
          <w:szCs w:val="21"/>
          <w:u w:val="single"/>
        </w:rPr>
        <w:t xml:space="preserve">                              </w:t>
      </w:r>
    </w:p>
    <w:p w14:paraId="164CA2CE">
      <w:pPr>
        <w:spacing w:line="360" w:lineRule="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szCs w:val="28"/>
        </w:rPr>
        <w:br w:type="page"/>
      </w:r>
      <w:bookmarkStart w:id="95" w:name="_Toc533340164"/>
      <w:bookmarkStart w:id="96" w:name="_Toc4485640"/>
      <w:r>
        <w:rPr>
          <w:rFonts w:hint="eastAsia" w:ascii="仿宋" w:hAnsi="仿宋" w:eastAsia="仿宋" w:cs="仿宋"/>
          <w:b/>
          <w:bCs/>
          <w:color w:val="auto"/>
          <w:sz w:val="28"/>
          <w:szCs w:val="28"/>
          <w:highlight w:val="none"/>
        </w:rPr>
        <w:t>格式</w:t>
      </w:r>
      <w:bookmarkEnd w:id="95"/>
      <w:bookmarkEnd w:id="96"/>
      <w:r>
        <w:rPr>
          <w:rFonts w:hint="eastAsia" w:ascii="仿宋" w:hAnsi="仿宋" w:eastAsia="仿宋" w:cs="仿宋"/>
          <w:b/>
          <w:bCs/>
          <w:color w:val="auto"/>
          <w:sz w:val="28"/>
          <w:szCs w:val="28"/>
          <w:highlight w:val="none"/>
          <w:lang w:val="en-US" w:eastAsia="zh-CN"/>
        </w:rPr>
        <w:t>17</w:t>
      </w:r>
    </w:p>
    <w:p w14:paraId="5D26D6FC">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97" w:name="_Toc4541_WPSOffice_Level2"/>
      <w:bookmarkStart w:id="98" w:name="_Toc19164_WPSOffice_Level2"/>
      <w:r>
        <w:rPr>
          <w:rFonts w:hint="eastAsia" w:ascii="仿宋" w:hAnsi="仿宋" w:eastAsia="仿宋" w:cs="仿宋"/>
          <w:b/>
          <w:bCs/>
          <w:color w:val="auto"/>
          <w:sz w:val="32"/>
          <w:szCs w:val="32"/>
          <w:highlight w:val="none"/>
        </w:rPr>
        <w:t>其他符合性证明材料：</w:t>
      </w:r>
    </w:p>
    <w:p w14:paraId="294B193C">
      <w:pPr>
        <w:adjustRightInd w:val="0"/>
        <w:snapToGrid w:val="0"/>
        <w:spacing w:before="319" w:beforeLines="100" w:after="319" w:afterLines="100" w:line="360" w:lineRule="auto"/>
        <w:ind w:right="105" w:rightChars="50"/>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货物主要技术指标和性能的详细说明</w:t>
      </w:r>
    </w:p>
    <w:p w14:paraId="60EDF5A9">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r>
        <w:rPr>
          <w:rFonts w:hint="eastAsia" w:ascii="仿宋" w:hAnsi="仿宋" w:eastAsia="仿宋" w:cs="仿宋"/>
          <w:b w:val="0"/>
          <w:bCs w:val="0"/>
          <w:color w:val="auto"/>
          <w:sz w:val="28"/>
          <w:szCs w:val="28"/>
          <w:highlight w:val="none"/>
        </w:rPr>
        <w:t>（产品技术说明书、技术白皮书、产品彩页等文字资料均可）</w:t>
      </w:r>
    </w:p>
    <w:p w14:paraId="2DD0CCB8">
      <w:pPr>
        <w:rPr>
          <w:rFonts w:hint="eastAsia" w:ascii="仿宋" w:hAnsi="仿宋" w:eastAsia="仿宋" w:cs="仿宋"/>
          <w:b/>
          <w:bCs/>
          <w:sz w:val="32"/>
          <w:szCs w:val="32"/>
        </w:rPr>
      </w:pPr>
      <w:r>
        <w:rPr>
          <w:rFonts w:hint="eastAsia" w:ascii="仿宋" w:hAnsi="仿宋" w:eastAsia="仿宋" w:cs="仿宋"/>
          <w:b/>
          <w:bCs/>
          <w:sz w:val="32"/>
          <w:szCs w:val="32"/>
        </w:rPr>
        <w:br w:type="page"/>
      </w:r>
    </w:p>
    <w:p w14:paraId="11783601">
      <w:pPr>
        <w:adjustRightInd w:val="0"/>
        <w:snapToGrid w:val="0"/>
        <w:spacing w:before="319" w:beforeLines="100" w:after="319" w:afterLines="100" w:line="360" w:lineRule="auto"/>
        <w:ind w:right="105" w:rightChars="50"/>
        <w:jc w:val="both"/>
        <w:rPr>
          <w:rFonts w:hint="eastAsia" w:ascii="仿宋" w:hAnsi="仿宋" w:eastAsia="仿宋" w:cs="仿宋"/>
          <w:b/>
          <w:bCs/>
          <w:sz w:val="28"/>
          <w:szCs w:val="28"/>
          <w:lang w:val="en-US" w:eastAsia="zh-CN"/>
        </w:rPr>
      </w:pPr>
      <w:r>
        <w:rPr>
          <w:rFonts w:hint="eastAsia" w:ascii="仿宋" w:hAnsi="仿宋" w:eastAsia="仿宋" w:cs="仿宋"/>
          <w:b/>
          <w:bCs/>
          <w:sz w:val="28"/>
          <w:szCs w:val="28"/>
        </w:rPr>
        <w:t>格式</w:t>
      </w:r>
      <w:r>
        <w:rPr>
          <w:rFonts w:hint="eastAsia" w:ascii="仿宋" w:hAnsi="仿宋" w:eastAsia="仿宋" w:cs="仿宋"/>
          <w:b/>
          <w:bCs/>
          <w:sz w:val="28"/>
          <w:szCs w:val="28"/>
          <w:lang w:val="en-US" w:eastAsia="zh-CN"/>
        </w:rPr>
        <w:t>1</w:t>
      </w:r>
      <w:r>
        <w:rPr>
          <w:rFonts w:hint="eastAsia" w:ascii="仿宋" w:hAnsi="仿宋" w:cs="仿宋"/>
          <w:b/>
          <w:bCs/>
          <w:sz w:val="28"/>
          <w:szCs w:val="28"/>
          <w:lang w:val="en-US" w:eastAsia="zh-CN"/>
        </w:rPr>
        <w:t>8</w:t>
      </w:r>
    </w:p>
    <w:p w14:paraId="555B88D4">
      <w:pPr>
        <w:adjustRightInd w:val="0"/>
        <w:snapToGrid w:val="0"/>
        <w:spacing w:before="319" w:beforeLines="100" w:after="319" w:afterLines="100" w:line="360" w:lineRule="auto"/>
        <w:ind w:right="105" w:rightChars="50"/>
        <w:jc w:val="center"/>
        <w:rPr>
          <w:rFonts w:hint="eastAsia" w:ascii="仿宋" w:hAnsi="仿宋" w:eastAsia="仿宋" w:cs="仿宋"/>
          <w:b/>
          <w:bCs/>
          <w:sz w:val="32"/>
          <w:szCs w:val="32"/>
        </w:rPr>
      </w:pPr>
      <w:r>
        <w:rPr>
          <w:rFonts w:hint="eastAsia" w:ascii="仿宋" w:hAnsi="仿宋" w:eastAsia="仿宋" w:cs="仿宋"/>
          <w:b/>
          <w:bCs/>
          <w:sz w:val="32"/>
          <w:szCs w:val="32"/>
        </w:rPr>
        <w:t>中小企业声明函</w:t>
      </w:r>
      <w:bookmarkEnd w:id="97"/>
      <w:bookmarkEnd w:id="98"/>
      <w:r>
        <w:rPr>
          <w:rFonts w:hint="eastAsia" w:ascii="仿宋" w:hAnsi="仿宋" w:eastAsia="仿宋" w:cs="仿宋"/>
          <w:b/>
          <w:bCs/>
          <w:sz w:val="32"/>
          <w:szCs w:val="32"/>
        </w:rPr>
        <w:t>（服务）</w:t>
      </w:r>
    </w:p>
    <w:p w14:paraId="07677C5F">
      <w:pPr>
        <w:adjustRightInd w:val="0"/>
        <w:snapToGrid w:val="0"/>
        <w:spacing w:line="480" w:lineRule="auto"/>
        <w:ind w:right="105" w:rightChars="50"/>
        <w:jc w:val="left"/>
        <w:rPr>
          <w:rFonts w:hint="eastAsia" w:ascii="仿宋" w:hAnsi="仿宋" w:eastAsia="仿宋" w:cs="仿宋"/>
          <w:kern w:val="0"/>
          <w:szCs w:val="21"/>
        </w:rPr>
      </w:pPr>
    </w:p>
    <w:p w14:paraId="17D6C6DD">
      <w:pPr>
        <w:adjustRightInd w:val="0"/>
        <w:snapToGrid w:val="0"/>
        <w:spacing w:line="480" w:lineRule="auto"/>
        <w:ind w:right="105" w:rightChars="50" w:firstLine="420" w:firstLineChars="200"/>
        <w:jc w:val="left"/>
        <w:rPr>
          <w:rFonts w:hint="eastAsia" w:ascii="仿宋" w:hAnsi="仿宋" w:eastAsia="仿宋" w:cs="仿宋"/>
          <w:kern w:val="0"/>
          <w:szCs w:val="21"/>
        </w:rPr>
      </w:pPr>
      <w:r>
        <w:rPr>
          <w:rFonts w:hint="eastAsia" w:ascii="仿宋" w:hAnsi="仿宋" w:eastAsia="仿宋" w:cs="仿宋"/>
          <w:kern w:val="0"/>
          <w:szCs w:val="21"/>
        </w:rPr>
        <w:t>本公司</w:t>
      </w:r>
      <w:r>
        <w:rPr>
          <w:rFonts w:hint="eastAsia" w:ascii="仿宋" w:hAnsi="仿宋" w:eastAsia="仿宋" w:cs="仿宋"/>
          <w:kern w:val="0"/>
          <w:szCs w:val="21"/>
          <w:u w:val="single"/>
        </w:rPr>
        <w:t>（供应商）</w:t>
      </w:r>
      <w:r>
        <w:rPr>
          <w:rFonts w:hint="eastAsia" w:ascii="仿宋" w:hAnsi="仿宋" w:eastAsia="仿宋" w:cs="仿宋"/>
          <w:kern w:val="0"/>
          <w:szCs w:val="21"/>
        </w:rPr>
        <w:t>郑重声明，根据《政府采购促进中小企业发展管理办法》（财库﹝2020﹞46 号）的规定，本公司</w:t>
      </w:r>
      <w:r>
        <w:rPr>
          <w:rFonts w:hint="eastAsia" w:ascii="仿宋" w:hAnsi="仿宋" w:eastAsia="仿宋" w:cs="仿宋"/>
          <w:kern w:val="0"/>
          <w:szCs w:val="21"/>
          <w:u w:val="single"/>
        </w:rPr>
        <w:t>（供应商）</w:t>
      </w:r>
      <w:r>
        <w:rPr>
          <w:rFonts w:hint="eastAsia" w:ascii="仿宋" w:hAnsi="仿宋" w:eastAsia="仿宋" w:cs="仿宋"/>
          <w:kern w:val="0"/>
          <w:szCs w:val="21"/>
        </w:rPr>
        <w:t>参加</w:t>
      </w:r>
      <w:r>
        <w:rPr>
          <w:rFonts w:hint="eastAsia" w:ascii="仿宋" w:hAnsi="仿宋" w:eastAsia="仿宋" w:cs="仿宋"/>
          <w:kern w:val="0"/>
          <w:szCs w:val="21"/>
          <w:u w:val="single"/>
        </w:rPr>
        <w:t>（单位名称）</w:t>
      </w:r>
      <w:r>
        <w:rPr>
          <w:rFonts w:hint="eastAsia" w:ascii="仿宋" w:hAnsi="仿宋" w:eastAsia="仿宋" w:cs="仿宋"/>
          <w:kern w:val="0"/>
          <w:szCs w:val="21"/>
        </w:rPr>
        <w:t>的</w:t>
      </w:r>
      <w:r>
        <w:rPr>
          <w:rFonts w:hint="eastAsia" w:ascii="仿宋" w:hAnsi="仿宋" w:eastAsia="仿宋" w:cs="仿宋"/>
          <w:kern w:val="0"/>
          <w:szCs w:val="21"/>
          <w:u w:val="single"/>
        </w:rPr>
        <w:t>（项目名称）</w:t>
      </w:r>
      <w:r>
        <w:rPr>
          <w:rFonts w:hint="eastAsia" w:ascii="仿宋" w:hAnsi="仿宋" w:eastAsia="仿宋" w:cs="仿宋"/>
          <w:kern w:val="0"/>
          <w:szCs w:val="21"/>
        </w:rPr>
        <w:t>采购活动，服务全部由符合政策要求的中小企业承接。相关企业（含联合体中的中小企业、签订分包意向协议的中小企业）的具体情况如下：</w:t>
      </w:r>
    </w:p>
    <w:p w14:paraId="2FB58CD1">
      <w:pPr>
        <w:adjustRightInd w:val="0"/>
        <w:snapToGrid w:val="0"/>
        <w:spacing w:line="480" w:lineRule="auto"/>
        <w:ind w:right="105" w:rightChars="50" w:firstLine="420" w:firstLineChars="200"/>
        <w:jc w:val="left"/>
        <w:rPr>
          <w:rFonts w:hint="eastAsia" w:ascii="仿宋" w:hAnsi="仿宋" w:eastAsia="仿宋" w:cs="仿宋"/>
          <w:kern w:val="0"/>
          <w:szCs w:val="21"/>
        </w:rPr>
      </w:pPr>
      <w:r>
        <w:rPr>
          <w:rFonts w:hint="eastAsia" w:ascii="仿宋" w:hAnsi="仿宋" w:eastAsia="仿宋" w:cs="仿宋"/>
          <w:kern w:val="0"/>
          <w:szCs w:val="21"/>
        </w:rPr>
        <w:t>1.</w:t>
      </w:r>
      <w:r>
        <w:rPr>
          <w:rFonts w:hint="eastAsia" w:ascii="仿宋" w:hAnsi="仿宋" w:eastAsia="仿宋" w:cs="仿宋"/>
          <w:kern w:val="0"/>
          <w:szCs w:val="21"/>
          <w:u w:val="single"/>
        </w:rPr>
        <w:t>（标的名称）</w:t>
      </w:r>
      <w:r>
        <w:rPr>
          <w:rFonts w:hint="eastAsia" w:ascii="仿宋" w:hAnsi="仿宋" w:eastAsia="仿宋" w:cs="仿宋"/>
          <w:kern w:val="0"/>
          <w:szCs w:val="21"/>
        </w:rPr>
        <w:t>，属于</w:t>
      </w:r>
      <w:r>
        <w:rPr>
          <w:rFonts w:hint="eastAsia" w:ascii="仿宋" w:hAnsi="仿宋" w:eastAsia="仿宋" w:cs="仿宋"/>
          <w:kern w:val="0"/>
          <w:szCs w:val="21"/>
          <w:u w:val="single"/>
        </w:rPr>
        <w:t>（采购文件中明确的所属行业）</w:t>
      </w:r>
      <w:r>
        <w:rPr>
          <w:rFonts w:hint="eastAsia" w:ascii="仿宋" w:hAnsi="仿宋" w:eastAsia="仿宋" w:cs="仿宋"/>
          <w:kern w:val="0"/>
          <w:szCs w:val="21"/>
        </w:rPr>
        <w:t>；承接企业为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hint="eastAsia" w:ascii="仿宋" w:hAnsi="仿宋" w:eastAsia="仿宋" w:cs="仿宋"/>
          <w:kern w:val="0"/>
          <w:szCs w:val="21"/>
          <w:u w:val="single"/>
        </w:rPr>
        <w:t xml:space="preserve">     </w:t>
      </w:r>
      <w:r>
        <w:rPr>
          <w:rFonts w:hint="eastAsia" w:ascii="仿宋" w:hAnsi="仿宋" w:eastAsia="仿宋" w:cs="仿宋"/>
          <w:kern w:val="0"/>
          <w:szCs w:val="21"/>
        </w:rPr>
        <w:t>人，营业收入为</w:t>
      </w:r>
      <w:r>
        <w:rPr>
          <w:rFonts w:hint="eastAsia" w:ascii="仿宋" w:hAnsi="仿宋" w:eastAsia="仿宋" w:cs="仿宋"/>
          <w:kern w:val="0"/>
          <w:szCs w:val="21"/>
          <w:u w:val="single"/>
        </w:rPr>
        <w:t xml:space="preserve">      </w:t>
      </w:r>
      <w:r>
        <w:rPr>
          <w:rFonts w:hint="eastAsia" w:ascii="仿宋" w:hAnsi="仿宋" w:eastAsia="仿宋" w:cs="仿宋"/>
          <w:kern w:val="0"/>
          <w:szCs w:val="21"/>
        </w:rPr>
        <w:t>万元，资产总额为</w:t>
      </w:r>
      <w:r>
        <w:rPr>
          <w:rFonts w:hint="eastAsia" w:ascii="仿宋" w:hAnsi="仿宋" w:eastAsia="仿宋" w:cs="仿宋"/>
          <w:kern w:val="0"/>
          <w:szCs w:val="21"/>
          <w:u w:val="single"/>
        </w:rPr>
        <w:t xml:space="preserve">      </w:t>
      </w:r>
      <w:r>
        <w:rPr>
          <w:rFonts w:hint="eastAsia" w:ascii="仿宋" w:hAnsi="仿宋" w:eastAsia="仿宋" w:cs="仿宋"/>
          <w:kern w:val="0"/>
          <w:szCs w:val="21"/>
        </w:rPr>
        <w:t>万元1，属于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 xml:space="preserve">； </w:t>
      </w:r>
    </w:p>
    <w:p w14:paraId="4A51C6F2">
      <w:pPr>
        <w:adjustRightInd w:val="0"/>
        <w:snapToGrid w:val="0"/>
        <w:spacing w:line="480" w:lineRule="auto"/>
        <w:ind w:right="105" w:rightChars="50" w:firstLine="420" w:firstLineChars="200"/>
        <w:jc w:val="left"/>
        <w:rPr>
          <w:rFonts w:hint="eastAsia" w:ascii="仿宋" w:hAnsi="仿宋" w:eastAsia="仿宋" w:cs="仿宋"/>
          <w:kern w:val="0"/>
          <w:szCs w:val="21"/>
        </w:rPr>
      </w:pPr>
      <w:r>
        <w:rPr>
          <w:rFonts w:hint="eastAsia" w:ascii="仿宋" w:hAnsi="仿宋" w:eastAsia="仿宋" w:cs="仿宋"/>
          <w:kern w:val="0"/>
          <w:szCs w:val="21"/>
        </w:rPr>
        <w:t>2.</w:t>
      </w:r>
      <w:r>
        <w:rPr>
          <w:rFonts w:hint="eastAsia" w:ascii="仿宋" w:hAnsi="仿宋" w:eastAsia="仿宋" w:cs="仿宋"/>
          <w:kern w:val="0"/>
          <w:szCs w:val="21"/>
          <w:u w:val="single"/>
        </w:rPr>
        <w:t>（标的名称）</w:t>
      </w:r>
      <w:r>
        <w:rPr>
          <w:rFonts w:hint="eastAsia" w:ascii="仿宋" w:hAnsi="仿宋" w:eastAsia="仿宋" w:cs="仿宋"/>
          <w:kern w:val="0"/>
          <w:szCs w:val="21"/>
        </w:rPr>
        <w:t>，属于</w:t>
      </w:r>
      <w:r>
        <w:rPr>
          <w:rFonts w:hint="eastAsia" w:ascii="仿宋" w:hAnsi="仿宋" w:eastAsia="仿宋" w:cs="仿宋"/>
          <w:kern w:val="0"/>
          <w:szCs w:val="21"/>
          <w:u w:val="single"/>
        </w:rPr>
        <w:t>（采购文件中明确的所属行业）</w:t>
      </w:r>
      <w:r>
        <w:rPr>
          <w:rFonts w:hint="eastAsia" w:ascii="仿宋" w:hAnsi="仿宋" w:eastAsia="仿宋" w:cs="仿宋"/>
          <w:kern w:val="0"/>
          <w:szCs w:val="21"/>
        </w:rPr>
        <w:t>；承接企业为</w:t>
      </w:r>
      <w:r>
        <w:rPr>
          <w:rFonts w:hint="eastAsia" w:ascii="仿宋" w:hAnsi="仿宋" w:eastAsia="仿宋" w:cs="仿宋"/>
          <w:kern w:val="0"/>
          <w:szCs w:val="21"/>
          <w:u w:val="single"/>
        </w:rPr>
        <w:t>（企业名称）</w:t>
      </w:r>
      <w:r>
        <w:rPr>
          <w:rFonts w:hint="eastAsia" w:ascii="仿宋" w:hAnsi="仿宋" w:eastAsia="仿宋" w:cs="仿宋"/>
          <w:kern w:val="0"/>
          <w:szCs w:val="21"/>
        </w:rPr>
        <w:t>，从业人员</w:t>
      </w:r>
      <w:r>
        <w:rPr>
          <w:rFonts w:hint="eastAsia" w:ascii="仿宋" w:hAnsi="仿宋" w:eastAsia="仿宋" w:cs="仿宋"/>
          <w:kern w:val="0"/>
          <w:szCs w:val="21"/>
          <w:u w:val="single"/>
        </w:rPr>
        <w:t xml:space="preserve">     </w:t>
      </w:r>
      <w:r>
        <w:rPr>
          <w:rFonts w:hint="eastAsia" w:ascii="仿宋" w:hAnsi="仿宋" w:eastAsia="仿宋" w:cs="仿宋"/>
          <w:kern w:val="0"/>
          <w:szCs w:val="21"/>
        </w:rPr>
        <w:t>人，营业收入为</w:t>
      </w:r>
      <w:r>
        <w:rPr>
          <w:rFonts w:hint="eastAsia" w:ascii="仿宋" w:hAnsi="仿宋" w:eastAsia="仿宋" w:cs="仿宋"/>
          <w:kern w:val="0"/>
          <w:szCs w:val="21"/>
          <w:u w:val="single"/>
        </w:rPr>
        <w:t xml:space="preserve">      </w:t>
      </w:r>
      <w:r>
        <w:rPr>
          <w:rFonts w:hint="eastAsia" w:ascii="仿宋" w:hAnsi="仿宋" w:eastAsia="仿宋" w:cs="仿宋"/>
          <w:kern w:val="0"/>
          <w:szCs w:val="21"/>
        </w:rPr>
        <w:t>万元，资产总额为</w:t>
      </w:r>
      <w:r>
        <w:rPr>
          <w:rFonts w:hint="eastAsia" w:ascii="仿宋" w:hAnsi="仿宋" w:eastAsia="仿宋" w:cs="仿宋"/>
          <w:kern w:val="0"/>
          <w:szCs w:val="21"/>
          <w:u w:val="single"/>
        </w:rPr>
        <w:t xml:space="preserve">      </w:t>
      </w:r>
      <w:r>
        <w:rPr>
          <w:rFonts w:hint="eastAsia" w:ascii="仿宋" w:hAnsi="仿宋" w:eastAsia="仿宋" w:cs="仿宋"/>
          <w:kern w:val="0"/>
          <w:szCs w:val="21"/>
        </w:rPr>
        <w:t>万元1，属于</w:t>
      </w:r>
      <w:r>
        <w:rPr>
          <w:rFonts w:hint="eastAsia" w:ascii="仿宋" w:hAnsi="仿宋" w:eastAsia="仿宋" w:cs="仿宋"/>
          <w:kern w:val="0"/>
          <w:szCs w:val="21"/>
          <w:u w:val="single"/>
        </w:rPr>
        <w:t>（中型企业、小型企业、微型企业）</w:t>
      </w:r>
      <w:r>
        <w:rPr>
          <w:rFonts w:hint="eastAsia" w:ascii="仿宋" w:hAnsi="仿宋" w:eastAsia="仿宋" w:cs="仿宋"/>
          <w:kern w:val="0"/>
          <w:szCs w:val="21"/>
        </w:rPr>
        <w:t xml:space="preserve">； </w:t>
      </w:r>
    </w:p>
    <w:p w14:paraId="6E386472">
      <w:pPr>
        <w:adjustRightInd w:val="0"/>
        <w:snapToGrid w:val="0"/>
        <w:spacing w:line="480" w:lineRule="auto"/>
        <w:ind w:right="105" w:rightChars="50" w:firstLine="420" w:firstLineChars="200"/>
        <w:jc w:val="left"/>
        <w:rPr>
          <w:rFonts w:hint="eastAsia" w:ascii="仿宋" w:hAnsi="仿宋" w:eastAsia="仿宋" w:cs="仿宋"/>
          <w:kern w:val="0"/>
          <w:szCs w:val="21"/>
        </w:rPr>
      </w:pPr>
      <w:r>
        <w:rPr>
          <w:rFonts w:hint="eastAsia" w:ascii="仿宋" w:hAnsi="仿宋" w:eastAsia="仿宋" w:cs="仿宋"/>
          <w:kern w:val="0"/>
          <w:szCs w:val="21"/>
        </w:rPr>
        <w:t xml:space="preserve">…… </w:t>
      </w:r>
    </w:p>
    <w:p w14:paraId="700EA1EA">
      <w:pPr>
        <w:adjustRightInd w:val="0"/>
        <w:snapToGrid w:val="0"/>
        <w:spacing w:line="480" w:lineRule="auto"/>
        <w:ind w:right="105" w:rightChars="50"/>
        <w:jc w:val="left"/>
        <w:rPr>
          <w:rFonts w:hint="eastAsia" w:ascii="仿宋" w:hAnsi="仿宋" w:eastAsia="仿宋" w:cs="仿宋"/>
          <w:kern w:val="0"/>
          <w:szCs w:val="21"/>
        </w:rPr>
      </w:pPr>
      <w:r>
        <w:rPr>
          <w:rFonts w:hint="eastAsia" w:ascii="仿宋" w:hAnsi="仿宋" w:eastAsia="仿宋" w:cs="仿宋"/>
          <w:kern w:val="0"/>
          <w:szCs w:val="21"/>
        </w:rPr>
        <w:t xml:space="preserve">     以上企业，不属于大企业的分支机构，不存在控股股东为大企业的情形，也不存在与大企业的负责人为同一人的情形。</w:t>
      </w:r>
    </w:p>
    <w:p w14:paraId="123FD55B">
      <w:pPr>
        <w:adjustRightInd w:val="0"/>
        <w:snapToGrid w:val="0"/>
        <w:spacing w:line="480" w:lineRule="auto"/>
        <w:ind w:right="105" w:rightChars="50" w:firstLine="420" w:firstLineChars="200"/>
        <w:jc w:val="left"/>
        <w:rPr>
          <w:rFonts w:hint="eastAsia" w:ascii="仿宋" w:hAnsi="仿宋" w:eastAsia="仿宋" w:cs="仿宋"/>
          <w:kern w:val="0"/>
          <w:szCs w:val="21"/>
        </w:rPr>
      </w:pPr>
      <w:r>
        <w:rPr>
          <w:rFonts w:hint="eastAsia" w:ascii="仿宋" w:hAnsi="仿宋" w:eastAsia="仿宋" w:cs="仿宋"/>
          <w:kern w:val="0"/>
          <w:szCs w:val="21"/>
        </w:rPr>
        <w:t>本企业对上述声明内容的真实性负责。如有虚假，将依 法承担相应责任。</w:t>
      </w:r>
    </w:p>
    <w:p w14:paraId="7DFF3841">
      <w:pPr>
        <w:adjustRightInd w:val="0"/>
        <w:snapToGrid w:val="0"/>
        <w:spacing w:line="480" w:lineRule="auto"/>
        <w:ind w:right="105" w:rightChars="50" w:firstLine="420" w:firstLineChars="200"/>
        <w:jc w:val="left"/>
        <w:rPr>
          <w:rFonts w:hint="eastAsia" w:ascii="仿宋" w:hAnsi="仿宋" w:eastAsia="仿宋" w:cs="仿宋"/>
          <w:kern w:val="0"/>
          <w:szCs w:val="21"/>
        </w:rPr>
      </w:pPr>
      <w:r>
        <w:rPr>
          <w:rFonts w:hint="eastAsia" w:ascii="仿宋" w:hAnsi="仿宋" w:eastAsia="仿宋" w:cs="仿宋"/>
          <w:kern w:val="0"/>
          <w:szCs w:val="21"/>
        </w:rPr>
        <w:t xml:space="preserve"> </w:t>
      </w:r>
    </w:p>
    <w:p w14:paraId="08CF8C6A">
      <w:pPr>
        <w:adjustRightInd w:val="0"/>
        <w:snapToGrid w:val="0"/>
        <w:spacing w:line="480" w:lineRule="auto"/>
        <w:ind w:right="105" w:rightChars="50"/>
        <w:rPr>
          <w:rFonts w:hint="eastAsia" w:ascii="仿宋" w:hAnsi="仿宋" w:eastAsia="仿宋" w:cs="仿宋"/>
          <w:kern w:val="0"/>
          <w:szCs w:val="21"/>
        </w:rPr>
      </w:pPr>
      <w:r>
        <w:rPr>
          <w:rFonts w:hint="eastAsia" w:ascii="仿宋" w:hAnsi="仿宋" w:eastAsia="仿宋" w:cs="仿宋"/>
          <w:kern w:val="0"/>
          <w:szCs w:val="21"/>
        </w:rPr>
        <w:t xml:space="preserve">企业名称（盖章）：  </w:t>
      </w:r>
    </w:p>
    <w:p w14:paraId="4C2E88E4">
      <w:pPr>
        <w:adjustRightInd w:val="0"/>
        <w:snapToGrid w:val="0"/>
        <w:spacing w:line="480" w:lineRule="auto"/>
        <w:ind w:right="105" w:rightChars="50"/>
        <w:rPr>
          <w:rFonts w:hint="eastAsia" w:ascii="仿宋" w:hAnsi="仿宋" w:eastAsia="仿宋" w:cs="仿宋"/>
          <w:kern w:val="0"/>
          <w:szCs w:val="21"/>
        </w:rPr>
      </w:pPr>
      <w:r>
        <w:rPr>
          <w:rFonts w:hint="eastAsia" w:ascii="仿宋" w:hAnsi="仿宋" w:eastAsia="仿宋" w:cs="仿宋"/>
          <w:kern w:val="0"/>
          <w:szCs w:val="21"/>
        </w:rPr>
        <w:t xml:space="preserve">日 期： </w:t>
      </w:r>
    </w:p>
    <w:p w14:paraId="1E8CC777">
      <w:pPr>
        <w:adjustRightInd w:val="0"/>
        <w:snapToGrid w:val="0"/>
        <w:spacing w:line="480" w:lineRule="auto"/>
        <w:ind w:right="105" w:rightChars="50" w:firstLine="420" w:firstLineChars="200"/>
        <w:jc w:val="left"/>
        <w:rPr>
          <w:rFonts w:hint="eastAsia" w:ascii="仿宋" w:hAnsi="仿宋" w:eastAsia="仿宋" w:cs="仿宋"/>
          <w:kern w:val="0"/>
          <w:szCs w:val="21"/>
        </w:rPr>
      </w:pPr>
      <w:r>
        <w:rPr>
          <w:rFonts w:hint="eastAsia" w:ascii="仿宋" w:hAnsi="仿宋" w:eastAsia="仿宋" w:cs="仿宋"/>
          <w:kern w:val="0"/>
          <w:szCs w:val="21"/>
        </w:rPr>
        <w:t>1从业人员、营业收入、资产总额填报上一年度数据，无上一年度数据的新成立企业可不填报。</w:t>
      </w:r>
    </w:p>
    <w:p w14:paraId="5031E932">
      <w:pPr>
        <w:pStyle w:val="15"/>
        <w:rPr>
          <w:rFonts w:hint="eastAsia" w:ascii="仿宋" w:hAnsi="仿宋" w:eastAsia="仿宋" w:cs="仿宋"/>
          <w:kern w:val="0"/>
          <w:szCs w:val="21"/>
        </w:rPr>
      </w:pPr>
    </w:p>
    <w:p w14:paraId="6BD839E4">
      <w:pPr>
        <w:pStyle w:val="3"/>
        <w:jc w:val="both"/>
        <w:rPr>
          <w:rFonts w:hint="eastAsia" w:ascii="仿宋" w:hAnsi="仿宋" w:eastAsia="仿宋" w:cs="仿宋"/>
          <w:szCs w:val="28"/>
          <w:lang w:eastAsia="zh-CN"/>
        </w:rPr>
      </w:pPr>
      <w:r>
        <w:rPr>
          <w:rFonts w:hint="eastAsia" w:ascii="仿宋" w:hAnsi="仿宋" w:eastAsia="仿宋" w:cs="仿宋"/>
          <w:szCs w:val="28"/>
        </w:rPr>
        <w:br w:type="page"/>
      </w:r>
      <w:r>
        <w:rPr>
          <w:rFonts w:hint="eastAsia" w:ascii="仿宋" w:hAnsi="仿宋" w:eastAsia="仿宋" w:cs="仿宋"/>
          <w:szCs w:val="28"/>
        </w:rPr>
        <w:t>格式1</w:t>
      </w:r>
      <w:bookmarkEnd w:id="93"/>
      <w:bookmarkEnd w:id="94"/>
      <w:r>
        <w:rPr>
          <w:rFonts w:hint="eastAsia" w:ascii="仿宋" w:hAnsi="仿宋" w:cs="仿宋"/>
          <w:szCs w:val="28"/>
          <w:lang w:val="en-US" w:eastAsia="zh-CN"/>
        </w:rPr>
        <w:t>9</w:t>
      </w:r>
    </w:p>
    <w:p w14:paraId="4D893652">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残疾人福利性单位声明函</w:t>
      </w:r>
    </w:p>
    <w:p w14:paraId="0F058FEF">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szCs w:val="21"/>
          <w:u w:val="single"/>
        </w:rPr>
        <w:t xml:space="preserve">      </w:t>
      </w:r>
      <w:r>
        <w:rPr>
          <w:rFonts w:hint="eastAsia" w:ascii="仿宋" w:hAnsi="仿宋" w:eastAsia="仿宋" w:cs="仿宋"/>
          <w:szCs w:val="21"/>
        </w:rPr>
        <w:t>单位的</w:t>
      </w:r>
      <w:r>
        <w:rPr>
          <w:rFonts w:hint="eastAsia" w:ascii="仿宋" w:hAnsi="仿宋" w:eastAsia="仿宋" w:cs="仿宋"/>
          <w:szCs w:val="21"/>
          <w:u w:val="single"/>
        </w:rPr>
        <w:t xml:space="preserve">      </w:t>
      </w:r>
      <w:r>
        <w:rPr>
          <w:rFonts w:hint="eastAsia" w:ascii="仿宋" w:hAnsi="仿宋" w:eastAsia="仿宋" w:cs="仿宋"/>
          <w:szCs w:val="21"/>
        </w:rPr>
        <w:t>项目采购活动，提供本单位制造的货物（由本单位承担工程/提供服务），或者提供其他残疾人福利性单位制造的货物（不包括使用非残疾人福利性单位注册商标的货物）。</w:t>
      </w:r>
    </w:p>
    <w:p w14:paraId="01F357EE">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2304B27D">
      <w:pPr>
        <w:adjustRightInd w:val="0"/>
        <w:snapToGrid w:val="0"/>
        <w:spacing w:line="360" w:lineRule="auto"/>
        <w:ind w:right="105" w:rightChars="50" w:firstLine="476" w:firstLineChars="227"/>
        <w:jc w:val="left"/>
        <w:rPr>
          <w:rFonts w:hint="eastAsia" w:ascii="仿宋" w:hAnsi="仿宋" w:eastAsia="仿宋" w:cs="仿宋"/>
          <w:szCs w:val="21"/>
        </w:rPr>
      </w:pPr>
    </w:p>
    <w:p w14:paraId="718B2B6E">
      <w:pPr>
        <w:adjustRightInd w:val="0"/>
        <w:snapToGrid w:val="0"/>
        <w:spacing w:line="360" w:lineRule="auto"/>
        <w:ind w:right="105" w:rightChars="50" w:firstLine="476" w:firstLineChars="227"/>
        <w:jc w:val="left"/>
        <w:rPr>
          <w:rFonts w:hint="eastAsia" w:ascii="仿宋" w:hAnsi="仿宋" w:eastAsia="仿宋" w:cs="仿宋"/>
          <w:szCs w:val="21"/>
        </w:rPr>
      </w:pPr>
    </w:p>
    <w:p w14:paraId="245F3B44">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注：供应商为非残疾人福利性单位的，无需填写此声明函。</w:t>
      </w:r>
    </w:p>
    <w:p w14:paraId="4E294D64">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 xml:space="preserve">  </w:t>
      </w:r>
    </w:p>
    <w:p w14:paraId="25FF160F">
      <w:pPr>
        <w:adjustRightInd w:val="0"/>
        <w:snapToGrid w:val="0"/>
        <w:spacing w:line="360" w:lineRule="auto"/>
        <w:ind w:right="105" w:rightChars="50" w:firstLine="476" w:firstLineChars="227"/>
        <w:jc w:val="left"/>
        <w:rPr>
          <w:rFonts w:hint="eastAsia" w:ascii="仿宋" w:hAnsi="仿宋" w:eastAsia="仿宋" w:cs="仿宋"/>
          <w:szCs w:val="21"/>
        </w:rPr>
      </w:pPr>
    </w:p>
    <w:p w14:paraId="3ED39100">
      <w:pPr>
        <w:adjustRightInd w:val="0"/>
        <w:snapToGrid w:val="0"/>
        <w:spacing w:line="360" w:lineRule="auto"/>
        <w:ind w:right="105" w:rightChars="50" w:firstLine="476" w:firstLineChars="227"/>
        <w:jc w:val="left"/>
        <w:rPr>
          <w:rFonts w:hint="eastAsia" w:ascii="仿宋" w:hAnsi="仿宋" w:eastAsia="仿宋" w:cs="仿宋"/>
          <w:szCs w:val="21"/>
        </w:rPr>
      </w:pPr>
    </w:p>
    <w:p w14:paraId="77FBF092">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投标人名称（加盖单位公章）：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4A99B03">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日 期：</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76208E78">
      <w:pPr>
        <w:pStyle w:val="3"/>
        <w:adjustRightInd w:val="0"/>
        <w:snapToGrid w:val="0"/>
        <w:spacing w:before="0" w:after="0" w:line="240" w:lineRule="auto"/>
        <w:jc w:val="left"/>
        <w:rPr>
          <w:rFonts w:hint="default" w:ascii="仿宋" w:hAnsi="仿宋" w:eastAsia="仿宋" w:cs="仿宋"/>
          <w:sz w:val="28"/>
          <w:szCs w:val="28"/>
          <w:lang w:val="en-US" w:eastAsia="zh-CN"/>
        </w:rPr>
      </w:pPr>
      <w:r>
        <w:rPr>
          <w:rFonts w:hint="eastAsia" w:ascii="仿宋" w:hAnsi="仿宋" w:eastAsia="仿宋" w:cs="仿宋"/>
        </w:rPr>
        <w:br w:type="page"/>
      </w:r>
      <w:r>
        <w:rPr>
          <w:rFonts w:hint="eastAsia" w:ascii="仿宋" w:hAnsi="仿宋" w:eastAsia="仿宋" w:cs="仿宋"/>
          <w:sz w:val="28"/>
          <w:szCs w:val="28"/>
        </w:rPr>
        <w:t>格式</w:t>
      </w:r>
      <w:r>
        <w:rPr>
          <w:rFonts w:hint="eastAsia" w:ascii="仿宋" w:hAnsi="仿宋" w:cs="仿宋"/>
          <w:sz w:val="28"/>
          <w:szCs w:val="28"/>
          <w:lang w:val="en-US" w:eastAsia="zh-CN"/>
        </w:rPr>
        <w:t>20</w:t>
      </w:r>
    </w:p>
    <w:p w14:paraId="424D5606">
      <w:pPr>
        <w:spacing w:before="319" w:beforeLines="100" w:after="319" w:afterLines="100"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聘用建档立卡贫困人员物业公司声明函</w:t>
      </w:r>
    </w:p>
    <w:p w14:paraId="53A41250">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本单位郑重声明，根据财政部 国务院扶贫办《关于运用政府采购政策支持脱贫攻坚的通知》（财库〔2019〕27 号）的规定，本单位为符合条件的单位，且本单位参加</w:t>
      </w:r>
      <w:r>
        <w:rPr>
          <w:rFonts w:hint="eastAsia" w:ascii="仿宋" w:hAnsi="仿宋" w:eastAsia="仿宋" w:cs="仿宋"/>
          <w:szCs w:val="21"/>
          <w:u w:val="single"/>
        </w:rPr>
        <w:t xml:space="preserve">       </w:t>
      </w:r>
      <w:r>
        <w:rPr>
          <w:rFonts w:hint="eastAsia" w:ascii="仿宋" w:hAnsi="仿宋" w:eastAsia="仿宋" w:cs="仿宋"/>
          <w:szCs w:val="21"/>
        </w:rPr>
        <w:t>单位的</w:t>
      </w:r>
      <w:r>
        <w:rPr>
          <w:rFonts w:hint="eastAsia" w:ascii="仿宋" w:hAnsi="仿宋" w:eastAsia="仿宋" w:cs="仿宋"/>
          <w:szCs w:val="21"/>
          <w:u w:val="single"/>
        </w:rPr>
        <w:t xml:space="preserve">     </w:t>
      </w:r>
      <w:r>
        <w:rPr>
          <w:rFonts w:hint="eastAsia" w:ascii="仿宋" w:hAnsi="仿宋" w:eastAsia="仿宋" w:cs="仿宋"/>
          <w:szCs w:val="21"/>
        </w:rPr>
        <w:t>项目采购活动，由本单位提供物业服务，其中聘用建档立卡贫困人员达到公司员工（含服务外包用工）</w:t>
      </w:r>
      <w:r>
        <w:rPr>
          <w:rFonts w:hint="eastAsia" w:ascii="仿宋" w:hAnsi="仿宋" w:eastAsia="仿宋" w:cs="仿宋"/>
          <w:szCs w:val="21"/>
          <w:u w:val="single"/>
        </w:rPr>
        <w:t xml:space="preserve">     </w:t>
      </w:r>
      <w:r>
        <w:rPr>
          <w:rFonts w:hint="eastAsia" w:ascii="仿宋" w:hAnsi="仿宋" w:eastAsia="仿宋" w:cs="仿宋"/>
          <w:szCs w:val="21"/>
        </w:rPr>
        <w:t>%。</w:t>
      </w:r>
    </w:p>
    <w:p w14:paraId="3C08612D">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32693E5E">
      <w:pPr>
        <w:adjustRightInd w:val="0"/>
        <w:snapToGrid w:val="0"/>
        <w:spacing w:line="360" w:lineRule="auto"/>
        <w:ind w:right="105" w:rightChars="50" w:firstLine="476" w:firstLineChars="227"/>
        <w:jc w:val="left"/>
        <w:rPr>
          <w:rFonts w:hint="eastAsia" w:ascii="仿宋" w:hAnsi="仿宋" w:eastAsia="仿宋" w:cs="仿宋"/>
          <w:b/>
          <w:bCs/>
          <w:sz w:val="32"/>
          <w:szCs w:val="32"/>
        </w:rPr>
      </w:pPr>
      <w:r>
        <w:rPr>
          <w:rFonts w:hint="eastAsia" w:ascii="仿宋" w:hAnsi="仿宋" w:eastAsia="仿宋" w:cs="仿宋"/>
          <w:szCs w:val="21"/>
        </w:rPr>
        <w:t>附：物业公司注册所在县扶贫部门出具的聘用建档立卡贫困人员具体数量的证明</w:t>
      </w:r>
    </w:p>
    <w:p w14:paraId="3822A7B8">
      <w:pPr>
        <w:adjustRightInd w:val="0"/>
        <w:snapToGrid w:val="0"/>
        <w:spacing w:line="360" w:lineRule="auto"/>
        <w:ind w:right="105" w:rightChars="50" w:firstLine="476" w:firstLineChars="227"/>
        <w:jc w:val="left"/>
        <w:rPr>
          <w:rFonts w:hint="eastAsia" w:ascii="仿宋" w:hAnsi="仿宋" w:eastAsia="仿宋" w:cs="仿宋"/>
          <w:szCs w:val="21"/>
        </w:rPr>
      </w:pPr>
    </w:p>
    <w:p w14:paraId="13EB4B75">
      <w:pPr>
        <w:adjustRightInd w:val="0"/>
        <w:snapToGrid w:val="0"/>
        <w:spacing w:line="360" w:lineRule="auto"/>
        <w:ind w:right="105" w:rightChars="50" w:firstLine="476" w:firstLineChars="227"/>
        <w:jc w:val="left"/>
        <w:rPr>
          <w:rFonts w:hint="eastAsia" w:ascii="仿宋" w:hAnsi="仿宋" w:eastAsia="仿宋" w:cs="仿宋"/>
          <w:szCs w:val="21"/>
        </w:rPr>
      </w:pPr>
      <w:r>
        <w:rPr>
          <w:rFonts w:hint="eastAsia" w:ascii="仿宋" w:hAnsi="仿宋" w:eastAsia="仿宋" w:cs="仿宋"/>
          <w:szCs w:val="21"/>
        </w:rPr>
        <w:t>注：供应商为非聘用建档立卡贫困人员物业公司的，无需填写此声明函。</w:t>
      </w:r>
    </w:p>
    <w:p w14:paraId="5643DA2B">
      <w:pPr>
        <w:adjustRightInd w:val="0"/>
        <w:snapToGrid w:val="0"/>
        <w:spacing w:line="360" w:lineRule="auto"/>
        <w:ind w:right="105" w:rightChars="50"/>
        <w:jc w:val="left"/>
        <w:rPr>
          <w:rFonts w:hint="eastAsia" w:ascii="仿宋" w:hAnsi="仿宋" w:eastAsia="仿宋" w:cs="仿宋"/>
          <w:szCs w:val="21"/>
        </w:rPr>
      </w:pPr>
    </w:p>
    <w:p w14:paraId="2F5A5998">
      <w:pPr>
        <w:adjustRightInd w:val="0"/>
        <w:snapToGrid w:val="0"/>
        <w:spacing w:line="360" w:lineRule="auto"/>
        <w:ind w:right="105" w:rightChars="50"/>
        <w:jc w:val="left"/>
        <w:rPr>
          <w:rFonts w:hint="eastAsia" w:ascii="仿宋" w:hAnsi="仿宋" w:eastAsia="仿宋" w:cs="仿宋"/>
          <w:szCs w:val="21"/>
        </w:rPr>
      </w:pPr>
    </w:p>
    <w:p w14:paraId="7007092A">
      <w:pPr>
        <w:adjustRightInd w:val="0"/>
        <w:snapToGrid w:val="0"/>
        <w:spacing w:line="360" w:lineRule="auto"/>
        <w:ind w:right="105" w:rightChars="50"/>
        <w:jc w:val="left"/>
        <w:rPr>
          <w:rFonts w:hint="eastAsia" w:ascii="仿宋" w:hAnsi="仿宋" w:eastAsia="仿宋" w:cs="仿宋"/>
          <w:szCs w:val="21"/>
        </w:rPr>
      </w:pPr>
    </w:p>
    <w:p w14:paraId="30175565">
      <w:pPr>
        <w:adjustRightInd w:val="0"/>
        <w:snapToGrid w:val="0"/>
        <w:spacing w:line="360" w:lineRule="auto"/>
        <w:ind w:right="105" w:rightChars="50"/>
        <w:jc w:val="left"/>
        <w:rPr>
          <w:rFonts w:hint="eastAsia" w:ascii="仿宋" w:hAnsi="仿宋" w:eastAsia="仿宋" w:cs="仿宋"/>
          <w:szCs w:val="21"/>
        </w:rPr>
      </w:pPr>
    </w:p>
    <w:p w14:paraId="784C4DA9">
      <w:pPr>
        <w:adjustRightInd w:val="0"/>
        <w:snapToGrid w:val="0"/>
        <w:spacing w:line="480" w:lineRule="auto"/>
        <w:ind w:right="105" w:rightChars="50"/>
        <w:jc w:val="left"/>
        <w:rPr>
          <w:rFonts w:hint="eastAsia" w:ascii="仿宋" w:hAnsi="仿宋" w:eastAsia="仿宋" w:cs="仿宋"/>
          <w:szCs w:val="21"/>
        </w:rPr>
      </w:pPr>
      <w:r>
        <w:rPr>
          <w:rFonts w:hint="eastAsia" w:ascii="仿宋" w:hAnsi="仿宋" w:eastAsia="仿宋" w:cs="仿宋"/>
          <w:szCs w:val="21"/>
        </w:rPr>
        <w:t>投标人名称（加盖单位公章）：</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5ADBC1C0">
      <w:pPr>
        <w:adjustRightInd w:val="0"/>
        <w:snapToGrid w:val="0"/>
        <w:spacing w:line="480" w:lineRule="auto"/>
        <w:ind w:right="105" w:rightChars="50"/>
        <w:jc w:val="left"/>
        <w:rPr>
          <w:rFonts w:hint="eastAsia"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p w14:paraId="19890747">
      <w:pPr>
        <w:adjustRightInd w:val="0"/>
        <w:snapToGrid w:val="0"/>
        <w:spacing w:line="480" w:lineRule="auto"/>
        <w:ind w:right="105" w:rightChars="50"/>
        <w:jc w:val="left"/>
        <w:rPr>
          <w:rFonts w:hint="eastAsia" w:ascii="仿宋" w:hAnsi="仿宋" w:eastAsia="仿宋" w:cs="仿宋"/>
          <w:szCs w:val="21"/>
        </w:rPr>
      </w:pPr>
    </w:p>
    <w:p w14:paraId="4CE75EE7">
      <w:pPr>
        <w:pStyle w:val="2"/>
        <w:snapToGrid w:val="0"/>
        <w:spacing w:before="319" w:beforeLines="100" w:after="319" w:afterLines="100" w:line="240" w:lineRule="auto"/>
        <w:jc w:val="left"/>
        <w:rPr>
          <w:rFonts w:hint="eastAsia" w:ascii="仿宋" w:hAnsi="仿宋" w:eastAsia="仿宋" w:cs="仿宋"/>
          <w:sz w:val="28"/>
          <w:szCs w:val="28"/>
          <w:lang w:val="en-US" w:eastAsia="zh-CN"/>
        </w:rPr>
      </w:pPr>
      <w:r>
        <w:rPr>
          <w:rFonts w:hint="eastAsia" w:ascii="仿宋" w:hAnsi="仿宋" w:eastAsia="仿宋" w:cs="仿宋"/>
          <w:sz w:val="28"/>
          <w:szCs w:val="28"/>
        </w:rPr>
        <w:br w:type="page"/>
      </w:r>
      <w:r>
        <w:rPr>
          <w:rFonts w:hint="eastAsia" w:ascii="仿宋" w:hAnsi="仿宋" w:eastAsia="仿宋" w:cs="仿宋"/>
          <w:sz w:val="28"/>
          <w:szCs w:val="28"/>
        </w:rPr>
        <w:t>格式</w:t>
      </w:r>
      <w:r>
        <w:rPr>
          <w:rFonts w:hint="eastAsia" w:ascii="仿宋" w:hAnsi="仿宋" w:eastAsia="仿宋" w:cs="仿宋"/>
          <w:sz w:val="28"/>
          <w:szCs w:val="28"/>
          <w:lang w:val="en-US" w:eastAsia="zh-CN"/>
        </w:rPr>
        <w:t>2</w:t>
      </w:r>
      <w:r>
        <w:rPr>
          <w:rFonts w:hint="eastAsia" w:ascii="仿宋" w:hAnsi="仿宋" w:cs="仿宋"/>
          <w:sz w:val="28"/>
          <w:szCs w:val="28"/>
          <w:lang w:val="en-US" w:eastAsia="zh-CN"/>
        </w:rPr>
        <w:t>1</w:t>
      </w:r>
    </w:p>
    <w:p w14:paraId="1CF4050B">
      <w:pPr>
        <w:pStyle w:val="2"/>
        <w:snapToGrid w:val="0"/>
        <w:spacing w:before="319" w:beforeLines="100" w:after="319" w:afterLines="100" w:line="240" w:lineRule="auto"/>
        <w:ind w:firstLine="361" w:firstLineChars="100"/>
        <w:rPr>
          <w:rFonts w:hint="eastAsia" w:ascii="仿宋" w:hAnsi="仿宋" w:eastAsia="仿宋" w:cs="仿宋"/>
          <w:b/>
          <w:bCs/>
          <w:kern w:val="2"/>
          <w:sz w:val="36"/>
          <w:szCs w:val="36"/>
          <w:lang w:val="en-US" w:eastAsia="zh-CN" w:bidi="ar-SA"/>
        </w:rPr>
      </w:pPr>
      <w:r>
        <w:rPr>
          <w:rFonts w:hint="eastAsia" w:ascii="仿宋" w:hAnsi="仿宋" w:eastAsia="仿宋" w:cs="仿宋"/>
          <w:b/>
          <w:bCs/>
          <w:kern w:val="2"/>
          <w:sz w:val="36"/>
          <w:szCs w:val="36"/>
          <w:lang w:val="en-US" w:eastAsia="zh-CN" w:bidi="ar-SA"/>
        </w:rPr>
        <w:t>投标人认为有必要且能证明响应评分细则中各项要求的</w:t>
      </w:r>
    </w:p>
    <w:p w14:paraId="137F2C42">
      <w:pPr>
        <w:pStyle w:val="2"/>
        <w:snapToGrid w:val="0"/>
        <w:spacing w:before="319" w:beforeLines="100" w:after="319" w:afterLines="100" w:line="240" w:lineRule="auto"/>
        <w:ind w:firstLine="361" w:firstLineChars="100"/>
        <w:rPr>
          <w:rFonts w:hint="eastAsia" w:ascii="仿宋" w:hAnsi="仿宋" w:eastAsia="仿宋" w:cs="仿宋"/>
          <w:bCs/>
          <w:sz w:val="32"/>
          <w:szCs w:val="32"/>
          <w:highlight w:val="none"/>
        </w:rPr>
      </w:pPr>
      <w:r>
        <w:rPr>
          <w:rFonts w:hint="eastAsia" w:ascii="仿宋" w:hAnsi="仿宋" w:eastAsia="仿宋" w:cs="仿宋"/>
          <w:b/>
          <w:bCs/>
          <w:kern w:val="2"/>
          <w:sz w:val="36"/>
          <w:szCs w:val="36"/>
          <w:lang w:val="en-US" w:eastAsia="zh-CN" w:bidi="ar-SA"/>
        </w:rPr>
        <w:t>其它资料</w:t>
      </w:r>
      <w:r>
        <w:rPr>
          <w:rFonts w:hint="eastAsia" w:ascii="仿宋" w:hAnsi="仿宋" w:eastAsia="仿宋" w:cs="仿宋"/>
        </w:rPr>
        <w:br w:type="page"/>
      </w:r>
      <w:r>
        <w:rPr>
          <w:rFonts w:hint="eastAsia" w:ascii="仿宋" w:hAnsi="仿宋" w:eastAsia="仿宋" w:cs="仿宋"/>
          <w:highlight w:val="none"/>
        </w:rPr>
        <w:t xml:space="preserve">第三章 </w:t>
      </w:r>
      <w:r>
        <w:rPr>
          <w:rFonts w:hint="eastAsia" w:ascii="仿宋" w:hAnsi="仿宋" w:cs="仿宋"/>
          <w:highlight w:val="none"/>
          <w:lang w:eastAsia="zh-CN"/>
        </w:rPr>
        <w:t>服务</w:t>
      </w:r>
      <w:r>
        <w:rPr>
          <w:rFonts w:hint="eastAsia" w:ascii="仿宋" w:hAnsi="仿宋" w:eastAsia="仿宋" w:cs="仿宋"/>
          <w:highlight w:val="none"/>
        </w:rPr>
        <w:t>需求</w:t>
      </w:r>
      <w:bookmarkEnd w:id="71"/>
      <w:bookmarkEnd w:id="72"/>
      <w:bookmarkStart w:id="99" w:name="_Toc2821_WPSOffice_Level1"/>
    </w:p>
    <w:p w14:paraId="723FD34E">
      <w:pPr>
        <w:spacing w:line="360" w:lineRule="auto"/>
        <w:jc w:val="center"/>
        <w:rPr>
          <w:rFonts w:hint="eastAsia" w:ascii="仿宋" w:hAnsi="仿宋" w:eastAsia="仿宋" w:cs="仿宋"/>
          <w:sz w:val="36"/>
          <w:szCs w:val="32"/>
        </w:rPr>
      </w:pPr>
      <w:bookmarkStart w:id="100" w:name="_Toc61118394"/>
    </w:p>
    <w:p w14:paraId="1C3FB647">
      <w:pPr>
        <w:spacing w:line="360" w:lineRule="auto"/>
        <w:jc w:val="center"/>
        <w:rPr>
          <w:rFonts w:hint="eastAsia" w:ascii="仿宋" w:hAnsi="仿宋" w:eastAsia="仿宋" w:cs="仿宋"/>
          <w:sz w:val="36"/>
          <w:szCs w:val="32"/>
        </w:rPr>
      </w:pPr>
    </w:p>
    <w:p w14:paraId="0F1E36E3">
      <w:pPr>
        <w:spacing w:line="360" w:lineRule="auto"/>
        <w:jc w:val="center"/>
        <w:rPr>
          <w:rFonts w:hint="eastAsia" w:ascii="仿宋" w:hAnsi="仿宋" w:eastAsia="仿宋" w:cs="仿宋"/>
          <w:sz w:val="36"/>
          <w:szCs w:val="32"/>
        </w:rPr>
      </w:pPr>
    </w:p>
    <w:p w14:paraId="52B75CF0">
      <w:pPr>
        <w:spacing w:line="600" w:lineRule="auto"/>
        <w:jc w:val="center"/>
        <w:rPr>
          <w:rFonts w:hint="eastAsia" w:ascii="仿宋" w:hAnsi="仿宋" w:eastAsia="仿宋" w:cs="仿宋"/>
          <w:sz w:val="36"/>
          <w:szCs w:val="32"/>
        </w:rPr>
      </w:pPr>
    </w:p>
    <w:p w14:paraId="163F8431">
      <w:pPr>
        <w:pStyle w:val="4"/>
        <w:spacing w:line="600" w:lineRule="auto"/>
        <w:jc w:val="center"/>
        <w:rPr>
          <w:rFonts w:hint="eastAsia" w:ascii="仿宋" w:hAnsi="仿宋" w:eastAsia="仿宋" w:cs="仿宋"/>
          <w:b/>
          <w:bCs w:val="0"/>
          <w:sz w:val="48"/>
          <w:szCs w:val="44"/>
        </w:rPr>
      </w:pPr>
      <w:bookmarkStart w:id="101" w:name="_Toc29458"/>
      <w:bookmarkStart w:id="102" w:name="_Toc30271"/>
      <w:r>
        <w:rPr>
          <w:rFonts w:hint="eastAsia" w:ascii="仿宋" w:hAnsi="仿宋" w:eastAsia="仿宋" w:cs="仿宋"/>
          <w:b/>
          <w:bCs w:val="0"/>
          <w:sz w:val="48"/>
          <w:szCs w:val="44"/>
        </w:rPr>
        <w:t>义县县域医共体与第三方医学检验</w:t>
      </w:r>
      <w:bookmarkEnd w:id="101"/>
      <w:r>
        <w:rPr>
          <w:rFonts w:hint="eastAsia" w:ascii="仿宋" w:hAnsi="仿宋" w:eastAsia="仿宋" w:cs="仿宋"/>
          <w:b/>
          <w:bCs w:val="0"/>
          <w:sz w:val="48"/>
          <w:szCs w:val="44"/>
        </w:rPr>
        <w:t>机构</w:t>
      </w:r>
      <w:bookmarkEnd w:id="102"/>
    </w:p>
    <w:p w14:paraId="759D4894">
      <w:pPr>
        <w:pStyle w:val="4"/>
        <w:spacing w:line="600" w:lineRule="auto"/>
        <w:jc w:val="center"/>
        <w:rPr>
          <w:rFonts w:hint="eastAsia" w:ascii="仿宋" w:hAnsi="仿宋" w:eastAsia="仿宋" w:cs="仿宋"/>
          <w:b/>
          <w:bCs w:val="0"/>
          <w:sz w:val="48"/>
          <w:szCs w:val="44"/>
          <w:lang w:val="en-US" w:eastAsia="zh-CN"/>
        </w:rPr>
      </w:pPr>
      <w:bookmarkStart w:id="103" w:name="_Toc22761"/>
      <w:bookmarkStart w:id="104" w:name="_Toc22020"/>
      <w:bookmarkStart w:id="105" w:name="_Toc19231"/>
      <w:bookmarkStart w:id="106" w:name="_Toc13604"/>
      <w:r>
        <w:rPr>
          <w:rFonts w:hint="eastAsia" w:ascii="仿宋" w:hAnsi="仿宋" w:eastAsia="仿宋" w:cs="仿宋"/>
          <w:b/>
          <w:bCs w:val="0"/>
          <w:sz w:val="48"/>
          <w:szCs w:val="44"/>
        </w:rPr>
        <w:t>联合建设区域检验与病理</w:t>
      </w:r>
      <w:bookmarkEnd w:id="103"/>
      <w:bookmarkEnd w:id="104"/>
      <w:bookmarkEnd w:id="105"/>
      <w:r>
        <w:rPr>
          <w:rFonts w:hint="eastAsia" w:ascii="仿宋" w:hAnsi="仿宋" w:eastAsia="仿宋" w:cs="仿宋"/>
          <w:b/>
          <w:bCs w:val="0"/>
          <w:sz w:val="48"/>
          <w:szCs w:val="44"/>
          <w:lang w:val="en-US" w:eastAsia="zh-CN"/>
        </w:rPr>
        <w:t>采购需求</w:t>
      </w:r>
    </w:p>
    <w:p w14:paraId="1004615A">
      <w:pPr>
        <w:spacing w:line="360" w:lineRule="auto"/>
        <w:rPr>
          <w:rFonts w:hint="eastAsia" w:ascii="仿宋" w:hAnsi="仿宋" w:eastAsia="仿宋" w:cs="仿宋"/>
          <w:sz w:val="36"/>
          <w:szCs w:val="32"/>
        </w:rPr>
      </w:pPr>
    </w:p>
    <w:p w14:paraId="57C431CA">
      <w:pPr>
        <w:spacing w:line="360" w:lineRule="auto"/>
        <w:rPr>
          <w:rFonts w:hint="eastAsia" w:ascii="仿宋" w:hAnsi="仿宋" w:eastAsia="仿宋" w:cs="仿宋"/>
          <w:sz w:val="36"/>
          <w:szCs w:val="32"/>
        </w:rPr>
      </w:pPr>
    </w:p>
    <w:p w14:paraId="3571D243">
      <w:pPr>
        <w:spacing w:line="360" w:lineRule="auto"/>
        <w:rPr>
          <w:rFonts w:hint="eastAsia" w:ascii="仿宋" w:hAnsi="仿宋" w:eastAsia="仿宋" w:cs="仿宋"/>
          <w:sz w:val="36"/>
          <w:szCs w:val="32"/>
        </w:rPr>
      </w:pPr>
    </w:p>
    <w:p w14:paraId="4E823EB4">
      <w:pPr>
        <w:spacing w:line="360" w:lineRule="auto"/>
        <w:rPr>
          <w:rFonts w:hint="eastAsia" w:ascii="仿宋" w:hAnsi="仿宋" w:eastAsia="仿宋" w:cs="仿宋"/>
          <w:sz w:val="36"/>
          <w:szCs w:val="32"/>
        </w:rPr>
      </w:pPr>
    </w:p>
    <w:p w14:paraId="2858E932">
      <w:pPr>
        <w:spacing w:line="360" w:lineRule="auto"/>
        <w:rPr>
          <w:rFonts w:hint="eastAsia" w:ascii="仿宋" w:hAnsi="仿宋" w:eastAsia="仿宋" w:cs="仿宋"/>
          <w:sz w:val="36"/>
          <w:szCs w:val="32"/>
        </w:rPr>
      </w:pPr>
    </w:p>
    <w:p w14:paraId="0A208631">
      <w:pPr>
        <w:spacing w:line="360" w:lineRule="auto"/>
        <w:rPr>
          <w:rFonts w:hint="eastAsia" w:ascii="仿宋" w:hAnsi="仿宋" w:eastAsia="仿宋" w:cs="仿宋"/>
          <w:sz w:val="36"/>
          <w:szCs w:val="32"/>
        </w:rPr>
      </w:pPr>
    </w:p>
    <w:p w14:paraId="69403EF6">
      <w:pPr>
        <w:spacing w:line="360" w:lineRule="auto"/>
        <w:rPr>
          <w:rFonts w:hint="eastAsia" w:ascii="仿宋" w:hAnsi="仿宋" w:eastAsia="仿宋" w:cs="仿宋"/>
          <w:sz w:val="36"/>
          <w:szCs w:val="32"/>
        </w:rPr>
      </w:pPr>
    </w:p>
    <w:p w14:paraId="47D23684">
      <w:pPr>
        <w:spacing w:line="360" w:lineRule="auto"/>
        <w:rPr>
          <w:rFonts w:hint="eastAsia" w:ascii="仿宋" w:hAnsi="仿宋" w:eastAsia="仿宋" w:cs="仿宋"/>
          <w:sz w:val="36"/>
          <w:szCs w:val="32"/>
        </w:rPr>
      </w:pPr>
    </w:p>
    <w:p w14:paraId="214D3D51">
      <w:pPr>
        <w:spacing w:line="360" w:lineRule="auto"/>
        <w:rPr>
          <w:rFonts w:hint="eastAsia" w:ascii="仿宋" w:hAnsi="仿宋" w:eastAsia="仿宋" w:cs="仿宋"/>
          <w:sz w:val="36"/>
          <w:szCs w:val="32"/>
        </w:rPr>
      </w:pPr>
    </w:p>
    <w:p w14:paraId="4CEEC4AC">
      <w:pPr>
        <w:spacing w:line="360" w:lineRule="auto"/>
        <w:rPr>
          <w:rFonts w:hint="eastAsia" w:ascii="仿宋" w:hAnsi="仿宋" w:eastAsia="仿宋" w:cs="仿宋"/>
          <w:sz w:val="36"/>
          <w:szCs w:val="32"/>
        </w:rPr>
      </w:pPr>
    </w:p>
    <w:p w14:paraId="15D85F12">
      <w:pPr>
        <w:spacing w:line="360" w:lineRule="auto"/>
        <w:rPr>
          <w:rFonts w:hint="eastAsia" w:ascii="仿宋" w:hAnsi="仿宋" w:eastAsia="仿宋" w:cs="仿宋"/>
          <w:sz w:val="36"/>
          <w:szCs w:val="32"/>
        </w:rPr>
      </w:pPr>
    </w:p>
    <w:p w14:paraId="4A52299F">
      <w:pPr>
        <w:spacing w:line="360" w:lineRule="auto"/>
        <w:rPr>
          <w:rFonts w:hint="eastAsia" w:ascii="仿宋" w:hAnsi="仿宋" w:eastAsia="仿宋" w:cs="仿宋"/>
          <w:sz w:val="36"/>
          <w:szCs w:val="32"/>
        </w:rPr>
      </w:pPr>
    </w:p>
    <w:p w14:paraId="1B0631B2">
      <w:pPr>
        <w:spacing w:line="360" w:lineRule="auto"/>
        <w:rPr>
          <w:rFonts w:hint="eastAsia" w:ascii="仿宋" w:hAnsi="仿宋" w:eastAsia="仿宋" w:cs="仿宋"/>
          <w:szCs w:val="21"/>
        </w:rPr>
        <w:sectPr>
          <w:footerReference r:id="rId7" w:type="default"/>
          <w:pgSz w:w="11906" w:h="16838"/>
          <w:pgMar w:top="1440" w:right="1083" w:bottom="1440" w:left="1083" w:header="851" w:footer="992" w:gutter="0"/>
          <w:pgNumType w:fmt="numberInDash"/>
          <w:cols w:space="720" w:num="1"/>
          <w:docGrid w:type="lines" w:linePitch="312" w:charSpace="0"/>
        </w:sectPr>
      </w:pPr>
    </w:p>
    <w:p w14:paraId="3A17ECED">
      <w:pPr>
        <w:spacing w:line="360" w:lineRule="auto"/>
        <w:ind w:firstLine="560" w:firstLineChars="200"/>
        <w:rPr>
          <w:rFonts w:hint="eastAsia" w:ascii="仿宋" w:hAnsi="仿宋" w:eastAsia="仿宋" w:cs="仿宋"/>
          <w:b/>
          <w:bCs/>
          <w:sz w:val="28"/>
          <w:szCs w:val="28"/>
          <w:highlight w:val="none"/>
        </w:rPr>
      </w:pPr>
      <w:bookmarkStart w:id="107" w:name="_Toc14277"/>
      <w:r>
        <w:rPr>
          <w:rFonts w:hint="eastAsia" w:ascii="仿宋" w:hAnsi="仿宋" w:eastAsia="仿宋" w:cs="仿宋"/>
          <w:b/>
          <w:bCs/>
          <w:sz w:val="28"/>
          <w:szCs w:val="28"/>
          <w:highlight w:val="none"/>
        </w:rPr>
        <w:t>一、背景及依据</w:t>
      </w:r>
      <w:bookmarkEnd w:id="107"/>
    </w:p>
    <w:p w14:paraId="39AFC13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b/>
          <w:bCs/>
          <w:sz w:val="28"/>
          <w:szCs w:val="28"/>
          <w:highlight w:val="none"/>
        </w:rPr>
        <w:t>1</w:t>
      </w:r>
      <w:r>
        <w:rPr>
          <w:rFonts w:hint="eastAsia" w:ascii="仿宋" w:hAnsi="仿宋" w:eastAsia="仿宋" w:cs="仿宋"/>
          <w:b/>
          <w:bCs/>
          <w:sz w:val="28"/>
          <w:szCs w:val="28"/>
          <w:highlight w:val="none"/>
          <w:lang w:val="en-US" w:eastAsia="zh-CN"/>
        </w:rPr>
        <w:t>.</w:t>
      </w:r>
      <w:r>
        <w:rPr>
          <w:rFonts w:hint="eastAsia" w:ascii="仿宋" w:hAnsi="仿宋" w:eastAsia="仿宋" w:cs="仿宋"/>
          <w:b w:val="0"/>
          <w:bCs w:val="0"/>
          <w:sz w:val="28"/>
          <w:szCs w:val="28"/>
          <w:highlight w:val="none"/>
        </w:rPr>
        <w:t>《关于全面推进紧密型县域医疗卫生共同体建设的指导意见》（国卫基层发﹝2023﹞41号）和《关于全面推进紧密型县域医疗卫生共同体建设的实施意见》</w:t>
      </w:r>
      <w:r>
        <w:rPr>
          <w:rFonts w:hint="eastAsia" w:ascii="仿宋" w:hAnsi="仿宋" w:eastAsia="仿宋" w:cs="仿宋"/>
          <w:sz w:val="28"/>
          <w:szCs w:val="28"/>
          <w:highlight w:val="none"/>
        </w:rPr>
        <w:t>（辽卫发﹝2024﹞37号）文件精神，以习近平新时代中国特色社会主义思想为指导，全面贯彻党的二十大精神，落实新时代党的卫生与健康工作方针，坚持以人民健康为中心，坚持基本医疗卫生事业公益性，深化“三医”联动改革，围绕“县级强、乡级活、村级稳、上下联、信息通”目标，通过系统重塑医疗卫生体系和整合优化医疗卫生资源，推进以城带乡、以乡带村和县乡一体、乡村一体，加快建设紧密型县域医共体，大力提升基层医疗卫生服务能力，让群众就近就便享有更加公平可及、系统连续的预防、治疗、康复、健康促进等健康服务，为健康中国建设和乡村振兴提供有力保障。</w:t>
      </w:r>
    </w:p>
    <w:p w14:paraId="4CABB51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2.</w:t>
      </w:r>
      <w:r>
        <w:rPr>
          <w:rFonts w:hint="eastAsia" w:ascii="仿宋" w:hAnsi="仿宋" w:eastAsia="仿宋" w:cs="仿宋"/>
          <w:b w:val="0"/>
          <w:bCs w:val="0"/>
          <w:sz w:val="28"/>
          <w:szCs w:val="28"/>
          <w:highlight w:val="none"/>
        </w:rPr>
        <w:t>《关于进一步推进医疗机构检查检验结果互认的指导意见》(</w:t>
      </w:r>
      <w:r>
        <w:rPr>
          <w:rFonts w:hint="eastAsia" w:ascii="仿宋" w:hAnsi="仿宋" w:eastAsia="仿宋" w:cs="仿宋"/>
          <w:sz w:val="28"/>
          <w:szCs w:val="28"/>
          <w:highlight w:val="none"/>
        </w:rPr>
        <w:t>国卫医政发〔2024〕37号)要求坚持“以保障质量安全为底线，以营造适宜制度环境为重点，以区域信息平台建设为依托，以便利患者为导向，以满足诊疗需求为根本，以接诊医师判断为标准”的原则，不断完善激励保障措施，健全监测反馈机制，加强宣传引导，积极有序推进互认工作。</w:t>
      </w:r>
    </w:p>
    <w:p w14:paraId="23F921CB">
      <w:pPr>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到2025年底，各紧密型医联体（含城市医疗集团和县域医共体）实现医联体内医疗机构间全部项目互认，各地市域内医疗机构间互认项目超过200项。到2027年底，各省域内医疗机构间互认项目超过300项；京津冀、长三角、成渝等区域内医疗机构互认项目数超过200项。到2030年，全国互认工作机制进一步健全完善，检查检验同质化水平进一步提高，结果互通共享体系基本建立，基本实现常见检查检验结果跨区域、跨医疗机构共享互认。</w:t>
      </w:r>
      <w:bookmarkStart w:id="108" w:name="_Toc22293"/>
      <w:r>
        <w:rPr>
          <w:rFonts w:hint="eastAsia" w:ascii="仿宋" w:hAnsi="仿宋" w:eastAsia="仿宋" w:cs="仿宋"/>
          <w:sz w:val="28"/>
          <w:szCs w:val="28"/>
          <w:highlight w:val="none"/>
          <w:lang w:val="en-US" w:eastAsia="zh-CN"/>
        </w:rPr>
        <w:t xml:space="preserve"> </w:t>
      </w:r>
    </w:p>
    <w:p w14:paraId="67CE8D8B">
      <w:pPr>
        <w:spacing w:line="360" w:lineRule="auto"/>
        <w:ind w:firstLine="280" w:firstLineChars="1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w:t>
      </w:r>
      <w:r>
        <w:rPr>
          <w:rFonts w:hint="eastAsia" w:ascii="仿宋" w:hAnsi="仿宋" w:eastAsia="仿宋" w:cs="仿宋"/>
          <w:b/>
          <w:bCs/>
          <w:sz w:val="28"/>
          <w:szCs w:val="28"/>
          <w:highlight w:val="none"/>
          <w:lang w:eastAsia="zh-CN"/>
        </w:rPr>
        <w:t>、</w:t>
      </w:r>
      <w:r>
        <w:rPr>
          <w:rFonts w:hint="eastAsia" w:ascii="仿宋" w:hAnsi="仿宋" w:eastAsia="仿宋" w:cs="仿宋"/>
          <w:b/>
          <w:bCs/>
          <w:sz w:val="28"/>
          <w:szCs w:val="28"/>
          <w:highlight w:val="none"/>
        </w:rPr>
        <w:t>项目目标</w:t>
      </w:r>
      <w:bookmarkEnd w:id="108"/>
    </w:p>
    <w:p w14:paraId="20C8874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引进专业的区域检验中心建设与运营服务商，在义县县人民医院检验科基础上建立覆盖义县内所有医共体成员单位的一流水平的</w:t>
      </w:r>
      <w:bookmarkStart w:id="109" w:name="_Hlk73121727"/>
      <w:r>
        <w:rPr>
          <w:rFonts w:hint="eastAsia" w:ascii="仿宋" w:hAnsi="仿宋" w:eastAsia="仿宋" w:cs="仿宋"/>
          <w:sz w:val="28"/>
          <w:szCs w:val="28"/>
          <w:highlight w:val="none"/>
        </w:rPr>
        <w:t>区域医学检验中心</w:t>
      </w:r>
      <w:bookmarkEnd w:id="109"/>
      <w:r>
        <w:rPr>
          <w:rFonts w:hint="eastAsia" w:ascii="仿宋" w:hAnsi="仿宋" w:eastAsia="仿宋" w:cs="仿宋"/>
          <w:sz w:val="28"/>
          <w:szCs w:val="28"/>
          <w:highlight w:val="none"/>
        </w:rPr>
        <w:t>为目标。合作方充分利用自身区域检验信息化平台、互联网检验平台、区域医学检验中心建设与运营经验、及专家资源等方面的优势，使所有医共体单位检验标准化，结果互认，降低群众就诊费用，促进城乡居民看病“小病不出村、大病不出</w:t>
      </w:r>
      <w:r>
        <w:rPr>
          <w:rFonts w:hint="eastAsia" w:ascii="仿宋" w:hAnsi="仿宋" w:eastAsia="仿宋" w:cs="仿宋"/>
          <w:sz w:val="28"/>
          <w:szCs w:val="28"/>
          <w:highlight w:val="none"/>
          <w:lang w:val="en-US" w:eastAsia="zh-CN"/>
        </w:rPr>
        <w:t>县</w:t>
      </w:r>
      <w:r>
        <w:rPr>
          <w:rFonts w:hint="eastAsia" w:ascii="仿宋" w:hAnsi="仿宋" w:eastAsia="仿宋" w:cs="仿宋"/>
          <w:sz w:val="28"/>
          <w:szCs w:val="28"/>
          <w:highlight w:val="none"/>
        </w:rPr>
        <w:t>、康复在乡镇”，让群众在家门口即可享受优质、高效、实惠的医学检验和病理诊断服务。具体如下：</w:t>
      </w:r>
      <w:bookmarkStart w:id="110" w:name="_Toc5161"/>
    </w:p>
    <w:p w14:paraId="638AEFE2">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1</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提升检验服务质量与效率</w:t>
      </w:r>
      <w:bookmarkEnd w:id="110"/>
    </w:p>
    <w:p w14:paraId="7E4281E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协助打造符合 ISO15189 标准的区域化医学实验室，建设区域医学检验病理中心的标杆整合第三方在检验技术、设备及专业人才方面的资源优势，与医共体的基层医疗网络相结合。引入先进的自动化检验设备与精准的检测方法，大幅缩短检验报告出具时间，提高检验准确性与可靠性，确保患者能及时获取高质量的检验结果，为临床诊断提供有力支持。</w:t>
      </w:r>
      <w:bookmarkStart w:id="111" w:name="_Toc24529"/>
    </w:p>
    <w:p w14:paraId="68371BBC">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拓展检验项目范围</w:t>
      </w:r>
      <w:bookmarkEnd w:id="111"/>
    </w:p>
    <w:p w14:paraId="4D7856E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借助第三方医学检验机构广泛开展的检验项目菜单，医共体检验中心能够突破传统检验项目的局限。除常规的生化、血常规检验外，新增如罕见病诊断的特殊蛋白检测、肿瘤早期筛查的肿瘤标志物高灵敏度检测、感染性疾病的高通量病原体测序等项目，满足不同患者群体多样化、个性化的检验需求，提升医共体整体医疗服务水平与疾病诊断能力。检验检测服务项目新增200余项。</w:t>
      </w:r>
      <w:bookmarkStart w:id="112" w:name="_Toc14432"/>
    </w:p>
    <w:p w14:paraId="09266E77">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3</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降低运营成本与资源优化配置</w:t>
      </w:r>
      <w:bookmarkEnd w:id="112"/>
    </w:p>
    <w:p w14:paraId="05E7B554">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通过共建共享模式，避免医共体内部各医疗机构重复性购置昂贵的检验设备、及培训专业检验人员。降低设备闲置率与减少浪费现象，集中采购服务降低成本，将节省的资源投入到其他医疗服务薄弱环节的建设中，如基层医疗设施改善或医护人员培训，实现医共体内资源的高效优化配置，提高整体运营效益。</w:t>
      </w:r>
      <w:bookmarkStart w:id="113" w:name="_Toc28560"/>
    </w:p>
    <w:p w14:paraId="20C05F68">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4</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推进分级诊疗体系建设</w:t>
      </w:r>
      <w:bookmarkEnd w:id="113"/>
    </w:p>
    <w:p w14:paraId="4BF72B8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强化医共体内部各级医疗机构之间的协作关系。基层医疗机构负责样本采集与基础检验项目的开展，对于复杂或超出自身能力的检验项目，通过便捷的样本转运体系送至医共体区域检验病理中心进行检测。检验中心及时将结果反馈至基层，使患者在基层就能享受到全面、精准的检验服务，减少不必要的向上级医院转诊，促进患者分流，推动分级诊疗制度的有效落地实施，缓解上级医院医疗资源压力，提升基层医疗服务的信任度与利用率。</w:t>
      </w:r>
      <w:bookmarkStart w:id="114" w:name="_Toc27928"/>
    </w:p>
    <w:p w14:paraId="255C4B81">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5</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加强人才培养与技术交流</w:t>
      </w:r>
      <w:bookmarkEnd w:id="114"/>
    </w:p>
    <w:p w14:paraId="4E32C5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第三方检验机构凭借其在专业领域的技术优势与丰富经验，为医共体检验中心及基层医疗机构的检验人员提供系统的培训课程与实践指导。包括新技术应用培训、质量控制培训、检验数据分析培训等，提升医共体内检验人员的专业素养与技能水平。</w:t>
      </w:r>
      <w:bookmarkStart w:id="115" w:name="_Toc6698"/>
    </w:p>
    <w:p w14:paraId="7E96DCC7">
      <w:pPr>
        <w:spacing w:line="360" w:lineRule="auto"/>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三、项目需求</w:t>
      </w:r>
      <w:bookmarkEnd w:id="115"/>
    </w:p>
    <w:p w14:paraId="4C02040B">
      <w:pPr>
        <w:spacing w:line="360" w:lineRule="auto"/>
        <w:ind w:firstLine="560" w:firstLineChars="200"/>
        <w:outlineLvl w:val="0"/>
        <w:rPr>
          <w:rFonts w:hint="eastAsia" w:ascii="仿宋" w:hAnsi="仿宋" w:eastAsia="仿宋" w:cs="仿宋"/>
          <w:sz w:val="28"/>
          <w:szCs w:val="28"/>
          <w:highlight w:val="none"/>
        </w:rPr>
      </w:pPr>
      <w:r>
        <w:rPr>
          <w:rFonts w:hint="eastAsia" w:ascii="仿宋" w:hAnsi="仿宋" w:eastAsia="仿宋" w:cs="仿宋"/>
          <w:sz w:val="28"/>
          <w:szCs w:val="28"/>
          <w:highlight w:val="none"/>
        </w:rPr>
        <w:t>我局同牵头医院对现有医共体的各家医院实验室整体情况进行了调查分析，医共体总院义县人民医院实验室设备已经严重老化、故障频出，已经无法满足目前医院检验需求，急需新增检验检测流水线；基层乡镇单位需更新血液、尿液检测设备，经过多次调研全国标杆医共体项目在结合本项目目标，列明需求如下表：</w:t>
      </w:r>
      <w:bookmarkEnd w:id="106"/>
    </w:p>
    <w:tbl>
      <w:tblPr>
        <w:tblStyle w:val="16"/>
        <w:tblW w:w="5105"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577"/>
        <w:gridCol w:w="2042"/>
        <w:gridCol w:w="696"/>
        <w:gridCol w:w="755"/>
        <w:gridCol w:w="3652"/>
        <w:gridCol w:w="2449"/>
      </w:tblGrid>
      <w:tr w14:paraId="2C3DAD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1" w:hRule="atLeast"/>
          <w:jc w:val="center"/>
        </w:trPr>
        <w:tc>
          <w:tcPr>
            <w:tcW w:w="284" w:type="pct"/>
            <w:noWrap w:val="0"/>
            <w:vAlign w:val="center"/>
          </w:tcPr>
          <w:p w14:paraId="067D39E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snapToGrid w:val="0"/>
                <w:kern w:val="0"/>
                <w:sz w:val="28"/>
                <w:szCs w:val="28"/>
              </w:rPr>
            </w:pPr>
            <w:r>
              <w:rPr>
                <w:rFonts w:hint="eastAsia" w:ascii="仿宋" w:hAnsi="仿宋" w:eastAsia="仿宋" w:cs="仿宋"/>
                <w:b/>
                <w:snapToGrid w:val="0"/>
                <w:kern w:val="0"/>
                <w:sz w:val="28"/>
                <w:szCs w:val="28"/>
              </w:rPr>
              <w:t>序号</w:t>
            </w:r>
          </w:p>
        </w:tc>
        <w:tc>
          <w:tcPr>
            <w:tcW w:w="1003" w:type="pct"/>
            <w:noWrap w:val="0"/>
            <w:vAlign w:val="center"/>
          </w:tcPr>
          <w:p w14:paraId="734E5D18">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snapToGrid w:val="0"/>
                <w:kern w:val="0"/>
                <w:sz w:val="28"/>
                <w:szCs w:val="28"/>
              </w:rPr>
            </w:pPr>
            <w:r>
              <w:rPr>
                <w:rFonts w:hint="eastAsia" w:ascii="仿宋" w:hAnsi="仿宋" w:eastAsia="仿宋" w:cs="仿宋"/>
                <w:b/>
                <w:snapToGrid w:val="0"/>
                <w:kern w:val="0"/>
                <w:sz w:val="28"/>
                <w:szCs w:val="28"/>
              </w:rPr>
              <w:t>需求内容</w:t>
            </w:r>
          </w:p>
        </w:tc>
        <w:tc>
          <w:tcPr>
            <w:tcW w:w="342" w:type="pct"/>
            <w:noWrap w:val="0"/>
            <w:vAlign w:val="center"/>
          </w:tcPr>
          <w:p w14:paraId="7349469F">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
                <w:sz w:val="28"/>
                <w:szCs w:val="28"/>
              </w:rPr>
            </w:pPr>
            <w:r>
              <w:rPr>
                <w:rFonts w:hint="eastAsia" w:ascii="仿宋" w:hAnsi="仿宋" w:eastAsia="仿宋" w:cs="仿宋"/>
                <w:b/>
                <w:sz w:val="28"/>
                <w:szCs w:val="28"/>
              </w:rPr>
              <w:t>数量</w:t>
            </w:r>
          </w:p>
        </w:tc>
        <w:tc>
          <w:tcPr>
            <w:tcW w:w="371" w:type="pct"/>
            <w:noWrap w:val="0"/>
            <w:vAlign w:val="center"/>
          </w:tcPr>
          <w:p w14:paraId="0B5F1972">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
                <w:sz w:val="28"/>
                <w:szCs w:val="28"/>
              </w:rPr>
            </w:pPr>
            <w:r>
              <w:rPr>
                <w:rFonts w:hint="eastAsia" w:ascii="仿宋" w:hAnsi="仿宋" w:eastAsia="仿宋" w:cs="仿宋"/>
                <w:b/>
                <w:sz w:val="28"/>
                <w:szCs w:val="28"/>
              </w:rPr>
              <w:t>单位</w:t>
            </w:r>
          </w:p>
        </w:tc>
        <w:tc>
          <w:tcPr>
            <w:tcW w:w="1794" w:type="pct"/>
            <w:noWrap w:val="0"/>
            <w:vAlign w:val="center"/>
          </w:tcPr>
          <w:p w14:paraId="29B84C14">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
                <w:sz w:val="28"/>
                <w:szCs w:val="28"/>
              </w:rPr>
            </w:pPr>
            <w:r>
              <w:rPr>
                <w:rFonts w:hint="eastAsia" w:ascii="仿宋" w:hAnsi="仿宋" w:eastAsia="仿宋" w:cs="仿宋"/>
                <w:b/>
                <w:sz w:val="28"/>
                <w:szCs w:val="28"/>
              </w:rPr>
              <w:t>需求要求</w:t>
            </w:r>
          </w:p>
        </w:tc>
        <w:tc>
          <w:tcPr>
            <w:tcW w:w="1203" w:type="pct"/>
            <w:noWrap w:val="0"/>
            <w:vAlign w:val="center"/>
          </w:tcPr>
          <w:p w14:paraId="27036C2E">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
                <w:sz w:val="28"/>
                <w:szCs w:val="28"/>
              </w:rPr>
            </w:pPr>
            <w:r>
              <w:rPr>
                <w:rFonts w:hint="eastAsia" w:ascii="仿宋" w:hAnsi="仿宋" w:eastAsia="仿宋" w:cs="仿宋"/>
                <w:b/>
                <w:sz w:val="28"/>
                <w:szCs w:val="28"/>
              </w:rPr>
              <w:t>备注</w:t>
            </w:r>
          </w:p>
        </w:tc>
      </w:tr>
      <w:tr w14:paraId="72A7E9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67D4945D">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1</w:t>
            </w:r>
          </w:p>
        </w:tc>
        <w:tc>
          <w:tcPr>
            <w:tcW w:w="1003" w:type="pct"/>
            <w:noWrap w:val="0"/>
            <w:vAlign w:val="center"/>
          </w:tcPr>
          <w:p w14:paraId="7CA9094D">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检验中心信息平台建设服务</w:t>
            </w:r>
          </w:p>
        </w:tc>
        <w:tc>
          <w:tcPr>
            <w:tcW w:w="342" w:type="pct"/>
            <w:noWrap w:val="0"/>
            <w:vAlign w:val="center"/>
          </w:tcPr>
          <w:p w14:paraId="52FC0590">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72A1DF07">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5CD0F9C7">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医共体内检验信息互联互通</w:t>
            </w:r>
          </w:p>
        </w:tc>
        <w:tc>
          <w:tcPr>
            <w:tcW w:w="1203" w:type="pct"/>
            <w:vMerge w:val="restart"/>
            <w:noWrap w:val="0"/>
            <w:vAlign w:val="center"/>
          </w:tcPr>
          <w:p w14:paraId="3EB58954">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服务商按照信息化和物流建设的要求至少覆盖县医院、县中医院、妇幼保健院和17家乡镇医院。所产生的硬件和软件费用由服务商承担。</w:t>
            </w:r>
          </w:p>
        </w:tc>
      </w:tr>
      <w:tr w14:paraId="49CE7D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302BAECB">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2</w:t>
            </w:r>
          </w:p>
        </w:tc>
        <w:tc>
          <w:tcPr>
            <w:tcW w:w="1003" w:type="pct"/>
            <w:noWrap w:val="0"/>
            <w:vAlign w:val="center"/>
          </w:tcPr>
          <w:p w14:paraId="7553472D">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样本物流体系建设服务</w:t>
            </w:r>
          </w:p>
        </w:tc>
        <w:tc>
          <w:tcPr>
            <w:tcW w:w="342" w:type="pct"/>
            <w:noWrap w:val="0"/>
            <w:vAlign w:val="center"/>
          </w:tcPr>
          <w:p w14:paraId="3EFDD67E">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76B9941E">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4AA3B6A8">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满足医共体内成员单位的标本送检需求</w:t>
            </w:r>
          </w:p>
        </w:tc>
        <w:tc>
          <w:tcPr>
            <w:tcW w:w="1203" w:type="pct"/>
            <w:vMerge w:val="continue"/>
            <w:noWrap w:val="0"/>
            <w:vAlign w:val="center"/>
          </w:tcPr>
          <w:p w14:paraId="31A2C65E">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p>
        </w:tc>
      </w:tr>
      <w:tr w14:paraId="2AFC5A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6903C3C5">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3</w:t>
            </w:r>
          </w:p>
        </w:tc>
        <w:tc>
          <w:tcPr>
            <w:tcW w:w="1003" w:type="pct"/>
            <w:noWrap w:val="0"/>
            <w:vAlign w:val="center"/>
          </w:tcPr>
          <w:p w14:paraId="0EF9A19B">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互联网远程检验平台建设服务</w:t>
            </w:r>
          </w:p>
        </w:tc>
        <w:tc>
          <w:tcPr>
            <w:tcW w:w="342" w:type="pct"/>
            <w:noWrap w:val="0"/>
            <w:vAlign w:val="center"/>
          </w:tcPr>
          <w:p w14:paraId="48CF1B00">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73C423D5">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36F25D13">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互联网远程检验服务</w:t>
            </w:r>
          </w:p>
        </w:tc>
        <w:tc>
          <w:tcPr>
            <w:tcW w:w="1203" w:type="pct"/>
            <w:vMerge w:val="continue"/>
            <w:noWrap w:val="0"/>
            <w:vAlign w:val="center"/>
          </w:tcPr>
          <w:p w14:paraId="3C45B377">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p>
        </w:tc>
      </w:tr>
      <w:tr w14:paraId="4CD55E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44C70F93">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4</w:t>
            </w:r>
          </w:p>
        </w:tc>
        <w:tc>
          <w:tcPr>
            <w:tcW w:w="1003" w:type="pct"/>
            <w:noWrap w:val="0"/>
            <w:vAlign w:val="center"/>
          </w:tcPr>
          <w:p w14:paraId="691803F5">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区域检验和病理诊断中心运营服务</w:t>
            </w:r>
          </w:p>
        </w:tc>
        <w:tc>
          <w:tcPr>
            <w:tcW w:w="342" w:type="pct"/>
            <w:noWrap w:val="0"/>
            <w:vAlign w:val="center"/>
          </w:tcPr>
          <w:p w14:paraId="19AA15EE">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299EF99A">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1D81B531">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保障区域检验和病理诊断中心的有效运营</w:t>
            </w:r>
          </w:p>
        </w:tc>
        <w:tc>
          <w:tcPr>
            <w:tcW w:w="1203" w:type="pct"/>
            <w:noWrap w:val="0"/>
            <w:vAlign w:val="center"/>
          </w:tcPr>
          <w:p w14:paraId="0518F284">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p>
        </w:tc>
      </w:tr>
      <w:tr w14:paraId="638EEF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231085EE">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5</w:t>
            </w:r>
          </w:p>
        </w:tc>
        <w:tc>
          <w:tcPr>
            <w:tcW w:w="1003" w:type="pct"/>
            <w:noWrap w:val="0"/>
            <w:vAlign w:val="center"/>
          </w:tcPr>
          <w:p w14:paraId="327544F3">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质量管理提升及ISO15189认可辅导服务</w:t>
            </w:r>
          </w:p>
        </w:tc>
        <w:tc>
          <w:tcPr>
            <w:tcW w:w="342" w:type="pct"/>
            <w:noWrap w:val="0"/>
            <w:vAlign w:val="center"/>
          </w:tcPr>
          <w:p w14:paraId="67B32532">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1EE38E9B">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5E48361B">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按照ISO15189搭建质量体系，协助通过认可</w:t>
            </w:r>
          </w:p>
        </w:tc>
        <w:tc>
          <w:tcPr>
            <w:tcW w:w="1203" w:type="pct"/>
            <w:noWrap w:val="0"/>
            <w:vAlign w:val="center"/>
          </w:tcPr>
          <w:p w14:paraId="63E54496">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p>
        </w:tc>
      </w:tr>
      <w:tr w14:paraId="2F0947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21" w:hRule="atLeast"/>
          <w:jc w:val="center"/>
        </w:trPr>
        <w:tc>
          <w:tcPr>
            <w:tcW w:w="284" w:type="pct"/>
            <w:noWrap w:val="0"/>
            <w:vAlign w:val="center"/>
          </w:tcPr>
          <w:p w14:paraId="0B9FCD43">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6</w:t>
            </w:r>
          </w:p>
        </w:tc>
        <w:tc>
          <w:tcPr>
            <w:tcW w:w="1003" w:type="pct"/>
            <w:noWrap w:val="0"/>
            <w:vAlign w:val="center"/>
          </w:tcPr>
          <w:p w14:paraId="2682B11F">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学术培训与人才培养服务</w:t>
            </w:r>
          </w:p>
        </w:tc>
        <w:tc>
          <w:tcPr>
            <w:tcW w:w="342" w:type="pct"/>
            <w:noWrap w:val="0"/>
            <w:vAlign w:val="center"/>
          </w:tcPr>
          <w:p w14:paraId="5603C3C9">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16E5A570">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4B1C9949">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学术培训、人才培养、进修等。</w:t>
            </w:r>
          </w:p>
        </w:tc>
        <w:tc>
          <w:tcPr>
            <w:tcW w:w="1203" w:type="pct"/>
            <w:noWrap w:val="0"/>
            <w:vAlign w:val="center"/>
          </w:tcPr>
          <w:p w14:paraId="34F3B613">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p>
        </w:tc>
      </w:tr>
      <w:tr w14:paraId="1C08AE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05FFB72B">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7</w:t>
            </w:r>
          </w:p>
        </w:tc>
        <w:tc>
          <w:tcPr>
            <w:tcW w:w="1003" w:type="pct"/>
            <w:noWrap w:val="0"/>
            <w:vAlign w:val="center"/>
          </w:tcPr>
          <w:p w14:paraId="0C630DD5">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中心实验室及17家乡镇医院设备完善服务</w:t>
            </w:r>
          </w:p>
        </w:tc>
        <w:tc>
          <w:tcPr>
            <w:tcW w:w="342" w:type="pct"/>
            <w:noWrap w:val="0"/>
            <w:vAlign w:val="center"/>
          </w:tcPr>
          <w:p w14:paraId="43697EFA">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4FDAC685">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0C30908C">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按医院发展需求、满足中心实验室设备要求。17家乡镇医院更新三大常规设备。</w:t>
            </w:r>
          </w:p>
        </w:tc>
        <w:tc>
          <w:tcPr>
            <w:tcW w:w="1203" w:type="pct"/>
            <w:noWrap w:val="0"/>
            <w:vAlign w:val="center"/>
          </w:tcPr>
          <w:p w14:paraId="4219931E">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
                <w:sz w:val="28"/>
                <w:szCs w:val="28"/>
              </w:rPr>
            </w:pPr>
            <w:r>
              <w:rPr>
                <w:rFonts w:hint="eastAsia" w:ascii="仿宋" w:hAnsi="仿宋" w:eastAsia="仿宋" w:cs="仿宋"/>
                <w:bCs/>
                <w:sz w:val="28"/>
                <w:szCs w:val="28"/>
              </w:rPr>
              <w:t>服务商应负责检验科设备的维修、维护保养、校准服务等，设备的维修、维护保养费用由服务商负责。</w:t>
            </w:r>
          </w:p>
        </w:tc>
      </w:tr>
      <w:tr w14:paraId="4207EC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67B3F091">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rPr>
            </w:pPr>
            <w:r>
              <w:rPr>
                <w:rFonts w:hint="eastAsia" w:ascii="仿宋" w:hAnsi="仿宋" w:eastAsia="仿宋" w:cs="仿宋"/>
                <w:sz w:val="28"/>
                <w:szCs w:val="28"/>
              </w:rPr>
              <w:t>8</w:t>
            </w:r>
          </w:p>
        </w:tc>
        <w:tc>
          <w:tcPr>
            <w:tcW w:w="1003" w:type="pct"/>
            <w:noWrap w:val="0"/>
            <w:vAlign w:val="center"/>
          </w:tcPr>
          <w:p w14:paraId="0989D007">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医共体检验外送项目服务</w:t>
            </w:r>
          </w:p>
        </w:tc>
        <w:tc>
          <w:tcPr>
            <w:tcW w:w="342" w:type="pct"/>
            <w:noWrap w:val="0"/>
            <w:vAlign w:val="center"/>
          </w:tcPr>
          <w:p w14:paraId="0F6CE7CC">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1</w:t>
            </w:r>
          </w:p>
        </w:tc>
        <w:tc>
          <w:tcPr>
            <w:tcW w:w="371" w:type="pct"/>
            <w:noWrap w:val="0"/>
            <w:vAlign w:val="center"/>
          </w:tcPr>
          <w:p w14:paraId="364926CD">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rPr>
            </w:pPr>
            <w:r>
              <w:rPr>
                <w:rFonts w:hint="eastAsia" w:ascii="仿宋" w:hAnsi="仿宋" w:eastAsia="仿宋" w:cs="仿宋"/>
                <w:bCs/>
                <w:sz w:val="28"/>
                <w:szCs w:val="28"/>
              </w:rPr>
              <w:t>项</w:t>
            </w:r>
          </w:p>
        </w:tc>
        <w:tc>
          <w:tcPr>
            <w:tcW w:w="1794" w:type="pct"/>
            <w:noWrap w:val="0"/>
            <w:vAlign w:val="center"/>
          </w:tcPr>
          <w:p w14:paraId="5A66DC17">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满足医共体内所有医疗机构外送的项目（包括公卫项目），并实现对接回传报告。</w:t>
            </w:r>
          </w:p>
        </w:tc>
        <w:tc>
          <w:tcPr>
            <w:tcW w:w="1203" w:type="pct"/>
            <w:noWrap w:val="0"/>
            <w:vAlign w:val="center"/>
          </w:tcPr>
          <w:p w14:paraId="08A96FAC">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每月按辽宁省省管公立医院医疗服务项目价格（辽价发[2017]62号）收费标准</w:t>
            </w:r>
          </w:p>
        </w:tc>
      </w:tr>
      <w:tr w14:paraId="3CBAD2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84" w:type="pct"/>
            <w:noWrap w:val="0"/>
            <w:vAlign w:val="center"/>
          </w:tcPr>
          <w:p w14:paraId="1CE1687D">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w:t>
            </w:r>
          </w:p>
        </w:tc>
        <w:tc>
          <w:tcPr>
            <w:tcW w:w="1003" w:type="pct"/>
            <w:noWrap w:val="0"/>
            <w:vAlign w:val="center"/>
          </w:tcPr>
          <w:p w14:paraId="7F7F9DD6">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中心实验室设计与装修</w:t>
            </w:r>
          </w:p>
        </w:tc>
        <w:tc>
          <w:tcPr>
            <w:tcW w:w="342" w:type="pct"/>
            <w:noWrap w:val="0"/>
            <w:vAlign w:val="center"/>
          </w:tcPr>
          <w:p w14:paraId="2F7E26E7">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1</w:t>
            </w:r>
          </w:p>
        </w:tc>
        <w:tc>
          <w:tcPr>
            <w:tcW w:w="371" w:type="pct"/>
            <w:noWrap w:val="0"/>
            <w:vAlign w:val="center"/>
          </w:tcPr>
          <w:p w14:paraId="14A6BF84">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项</w:t>
            </w:r>
          </w:p>
        </w:tc>
        <w:tc>
          <w:tcPr>
            <w:tcW w:w="1794" w:type="pct"/>
            <w:noWrap w:val="0"/>
            <w:vAlign w:val="center"/>
          </w:tcPr>
          <w:p w14:paraId="0B485299">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r>
              <w:rPr>
                <w:rFonts w:hint="eastAsia" w:ascii="仿宋" w:hAnsi="仿宋" w:eastAsia="仿宋" w:cs="仿宋"/>
                <w:bCs/>
                <w:sz w:val="28"/>
                <w:szCs w:val="28"/>
              </w:rPr>
              <w:t>符合《实验室生物安全通用要求》、《病原微生物实验室生物安全 管理条例》等国家规范，符合《临床实验室设计总则》等指导性要求，符合 ISO15190《医学实验室安全要求》等国际标准；实验室装修符合建筑、消防安全等规范。</w:t>
            </w:r>
          </w:p>
        </w:tc>
        <w:tc>
          <w:tcPr>
            <w:tcW w:w="1203" w:type="pct"/>
            <w:noWrap w:val="0"/>
            <w:vAlign w:val="center"/>
          </w:tcPr>
          <w:p w14:paraId="3B814998">
            <w:pPr>
              <w:keepNext w:val="0"/>
              <w:keepLines w:val="0"/>
              <w:pageBreakBefore w:val="0"/>
              <w:widowControl w:val="0"/>
              <w:kinsoku/>
              <w:wordWrap/>
              <w:overflowPunct/>
              <w:topLinePunct w:val="0"/>
              <w:autoSpaceDE/>
              <w:autoSpaceDN/>
              <w:bidi w:val="0"/>
              <w:adjustRightInd/>
              <w:spacing w:line="360" w:lineRule="exact"/>
              <w:textAlignment w:val="auto"/>
              <w:rPr>
                <w:rFonts w:hint="eastAsia" w:ascii="仿宋" w:hAnsi="仿宋" w:eastAsia="仿宋" w:cs="仿宋"/>
                <w:bCs/>
                <w:sz w:val="28"/>
                <w:szCs w:val="28"/>
              </w:rPr>
            </w:pPr>
          </w:p>
        </w:tc>
      </w:tr>
    </w:tbl>
    <w:p w14:paraId="30844142">
      <w:pPr>
        <w:tabs>
          <w:tab w:val="left" w:pos="426"/>
        </w:tabs>
        <w:spacing w:line="360" w:lineRule="auto"/>
        <w:jc w:val="left"/>
        <w:rPr>
          <w:rFonts w:hint="eastAsia" w:ascii="仿宋" w:hAnsi="仿宋" w:eastAsia="仿宋" w:cs="仿宋"/>
          <w:b/>
          <w:bCs/>
          <w:sz w:val="28"/>
          <w:szCs w:val="28"/>
        </w:rPr>
      </w:pPr>
      <w:r>
        <w:rPr>
          <w:rFonts w:hint="eastAsia" w:ascii="仿宋" w:hAnsi="仿宋" w:cs="仿宋"/>
          <w:b/>
          <w:bCs/>
          <w:sz w:val="28"/>
          <w:szCs w:val="28"/>
          <w:lang w:val="en-US" w:eastAsia="zh-CN"/>
        </w:rPr>
        <w:t>四、</w:t>
      </w:r>
      <w:r>
        <w:rPr>
          <w:rFonts w:hint="eastAsia" w:ascii="仿宋" w:hAnsi="仿宋" w:eastAsia="仿宋" w:cs="仿宋"/>
          <w:b/>
          <w:bCs/>
          <w:sz w:val="28"/>
          <w:szCs w:val="28"/>
        </w:rPr>
        <w:t>服务要求</w:t>
      </w:r>
      <w:bookmarkStart w:id="116" w:name="_Toc1049"/>
    </w:p>
    <w:p w14:paraId="2F6EE1D8">
      <w:pPr>
        <w:tabs>
          <w:tab w:val="left" w:pos="426"/>
        </w:tabs>
        <w:spacing w:line="360" w:lineRule="auto"/>
        <w:ind w:firstLine="280" w:firstLineChars="100"/>
        <w:jc w:val="left"/>
        <w:rPr>
          <w:rFonts w:hint="eastAsia" w:ascii="仿宋" w:hAnsi="仿宋" w:eastAsia="仿宋" w:cs="仿宋"/>
          <w:b w:val="0"/>
          <w:bCs w:val="0"/>
          <w:sz w:val="28"/>
          <w:szCs w:val="28"/>
        </w:rPr>
      </w:pP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一</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整体服务要求</w:t>
      </w:r>
      <w:bookmarkEnd w:id="116"/>
    </w:p>
    <w:p w14:paraId="5D8E0BCD">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17" w:name="_Toc25662"/>
      <w:r>
        <w:rPr>
          <w:rFonts w:hint="eastAsia" w:ascii="仿宋" w:hAnsi="仿宋" w:eastAsia="仿宋" w:cs="仿宋"/>
          <w:b/>
          <w:bCs/>
          <w:sz w:val="28"/>
          <w:szCs w:val="28"/>
        </w:rPr>
        <w:t>1</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区域检验</w:t>
      </w:r>
      <w:r>
        <w:rPr>
          <w:rFonts w:hint="eastAsia" w:ascii="仿宋" w:hAnsi="仿宋" w:eastAsia="仿宋" w:cs="仿宋"/>
          <w:b/>
          <w:bCs/>
          <w:sz w:val="28"/>
          <w:szCs w:val="28"/>
          <w:lang w:val="en-US" w:eastAsia="zh-CN"/>
        </w:rPr>
        <w:t>及病理</w:t>
      </w:r>
      <w:r>
        <w:rPr>
          <w:rFonts w:hint="eastAsia" w:ascii="仿宋" w:hAnsi="仿宋" w:eastAsia="仿宋" w:cs="仿宋"/>
          <w:b/>
          <w:bCs/>
          <w:sz w:val="28"/>
          <w:szCs w:val="28"/>
        </w:rPr>
        <w:t>信息平台服务要求</w:t>
      </w:r>
      <w:bookmarkEnd w:id="117"/>
    </w:p>
    <w:p w14:paraId="64C75DA1">
      <w:pPr>
        <w:tabs>
          <w:tab w:val="left" w:pos="426"/>
        </w:tabs>
        <w:spacing w:line="360" w:lineRule="auto"/>
        <w:ind w:firstLine="560" w:firstLineChars="200"/>
        <w:jc w:val="left"/>
        <w:outlineLvl w:val="3"/>
        <w:rPr>
          <w:rFonts w:hint="eastAsia" w:ascii="仿宋" w:hAnsi="仿宋" w:eastAsia="仿宋" w:cs="仿宋"/>
          <w:color w:val="auto"/>
          <w:sz w:val="28"/>
          <w:szCs w:val="28"/>
        </w:rPr>
      </w:pPr>
      <w:r>
        <w:rPr>
          <w:rFonts w:hint="eastAsia" w:ascii="仿宋" w:hAnsi="仿宋" w:eastAsia="仿宋" w:cs="仿宋"/>
          <w:color w:val="auto"/>
          <w:sz w:val="28"/>
          <w:szCs w:val="28"/>
        </w:rPr>
        <w:t>（1）能提供医疗机构配置区域医学检验信息系统软件，实现与各医疗机构HIS系统双向对接；</w:t>
      </w:r>
    </w:p>
    <w:p w14:paraId="2358F1A0">
      <w:pPr>
        <w:tabs>
          <w:tab w:val="left" w:pos="426"/>
        </w:tabs>
        <w:spacing w:line="360" w:lineRule="auto"/>
        <w:ind w:firstLine="560" w:firstLineChars="200"/>
        <w:jc w:val="left"/>
        <w:outlineLvl w:val="3"/>
        <w:rPr>
          <w:rFonts w:hint="eastAsia" w:ascii="仿宋" w:hAnsi="仿宋" w:eastAsia="仿宋" w:cs="仿宋"/>
          <w:color w:val="auto"/>
          <w:sz w:val="28"/>
          <w:szCs w:val="28"/>
        </w:rPr>
      </w:pPr>
      <w:r>
        <w:rPr>
          <w:rFonts w:hint="eastAsia" w:ascii="仿宋" w:hAnsi="仿宋" w:eastAsia="仿宋" w:cs="仿宋"/>
          <w:color w:val="auto"/>
          <w:sz w:val="28"/>
          <w:szCs w:val="28"/>
        </w:rPr>
        <w:t>（2）在所有基层医院内配置条形码打印系统，实现直接在基层医院录入和打印条码；</w:t>
      </w:r>
    </w:p>
    <w:p w14:paraId="572571B0">
      <w:pPr>
        <w:tabs>
          <w:tab w:val="left" w:pos="426"/>
        </w:tabs>
        <w:spacing w:line="360" w:lineRule="auto"/>
        <w:ind w:firstLine="560" w:firstLineChars="200"/>
        <w:jc w:val="left"/>
        <w:outlineLvl w:val="3"/>
        <w:rPr>
          <w:rFonts w:hint="eastAsia" w:ascii="仿宋" w:hAnsi="仿宋" w:eastAsia="仿宋" w:cs="仿宋"/>
          <w:color w:val="auto"/>
          <w:sz w:val="28"/>
          <w:szCs w:val="28"/>
        </w:rPr>
      </w:pPr>
      <w:r>
        <w:rPr>
          <w:rFonts w:hint="eastAsia" w:ascii="仿宋" w:hAnsi="仿宋" w:eastAsia="仿宋" w:cs="仿宋"/>
          <w:color w:val="auto"/>
          <w:sz w:val="28"/>
          <w:szCs w:val="28"/>
        </w:rPr>
        <w:t>（3）实现基层医院信息的实时上传、存储、查询，双向通讯；</w:t>
      </w:r>
    </w:p>
    <w:p w14:paraId="17189B2D">
      <w:pPr>
        <w:tabs>
          <w:tab w:val="left" w:pos="426"/>
        </w:tabs>
        <w:spacing w:line="360" w:lineRule="auto"/>
        <w:ind w:firstLine="560" w:firstLineChars="200"/>
        <w:jc w:val="left"/>
        <w:outlineLvl w:val="3"/>
        <w:rPr>
          <w:rFonts w:hint="eastAsia" w:ascii="仿宋" w:hAnsi="仿宋" w:eastAsia="仿宋" w:cs="仿宋"/>
          <w:color w:val="auto"/>
          <w:sz w:val="28"/>
          <w:szCs w:val="28"/>
        </w:rPr>
      </w:pPr>
      <w:r>
        <w:rPr>
          <w:rFonts w:hint="eastAsia" w:ascii="仿宋" w:hAnsi="仿宋" w:eastAsia="仿宋" w:cs="仿宋"/>
          <w:color w:val="auto"/>
          <w:sz w:val="28"/>
          <w:szCs w:val="28"/>
        </w:rPr>
        <w:t>（4）</w:t>
      </w:r>
      <w:r>
        <w:rPr>
          <w:rFonts w:hint="eastAsia" w:ascii="仿宋" w:hAnsi="仿宋" w:eastAsia="仿宋" w:cs="仿宋"/>
          <w:color w:val="auto"/>
          <w:sz w:val="28"/>
          <w:szCs w:val="28"/>
          <w:lang w:val="en-US" w:eastAsia="zh-CN"/>
        </w:rPr>
        <w:t>除总院已实现的提交申请单、下载报告、查看报告功能外，区域平台需延展以下功能</w:t>
      </w:r>
      <w:r>
        <w:rPr>
          <w:rFonts w:hint="eastAsia" w:ascii="仿宋" w:hAnsi="仿宋" w:eastAsia="仿宋" w:cs="仿宋"/>
          <w:color w:val="auto"/>
          <w:sz w:val="28"/>
          <w:szCs w:val="28"/>
        </w:rPr>
        <w:t>：可以按照不同医院对送检项目数量和总金额进行统计，并可导出打印各医院每月的送检项目对账清单，内容包括：条形码、姓名、性别、年龄、检查项目内容、标准收费、打折后收费，并对各项内容进行合计（总金额和标本数）。</w:t>
      </w:r>
    </w:p>
    <w:p w14:paraId="5919D16C">
      <w:pPr>
        <w:tabs>
          <w:tab w:val="left" w:pos="426"/>
        </w:tabs>
        <w:spacing w:line="360" w:lineRule="auto"/>
        <w:ind w:firstLine="560" w:firstLineChars="200"/>
        <w:jc w:val="left"/>
        <w:outlineLvl w:val="3"/>
        <w:rPr>
          <w:rFonts w:hint="eastAsia" w:ascii="仿宋" w:hAnsi="仿宋" w:eastAsia="仿宋" w:cs="仿宋"/>
          <w:color w:val="auto"/>
          <w:sz w:val="28"/>
          <w:szCs w:val="28"/>
        </w:rPr>
      </w:pPr>
      <w:r>
        <w:rPr>
          <w:rFonts w:hint="eastAsia" w:ascii="仿宋" w:hAnsi="仿宋" w:eastAsia="仿宋" w:cs="仿宋"/>
          <w:color w:val="auto"/>
          <w:sz w:val="28"/>
          <w:szCs w:val="28"/>
        </w:rPr>
        <w:t>（5）检验信息系统具有较强的兼容性，检验信息系统能实现在线申请、在线支付、链接物流系统并实现标本状态跟踪、检验报告查询和打印等全服务流程功能。</w:t>
      </w:r>
    </w:p>
    <w:p w14:paraId="282966E9">
      <w:pPr>
        <w:tabs>
          <w:tab w:val="left" w:pos="426"/>
        </w:tabs>
        <w:spacing w:line="360" w:lineRule="auto"/>
        <w:ind w:firstLine="560" w:firstLineChars="200"/>
        <w:jc w:val="left"/>
        <w:outlineLvl w:val="3"/>
        <w:rPr>
          <w:rFonts w:hint="eastAsia" w:ascii="仿宋" w:hAnsi="仿宋" w:eastAsia="仿宋" w:cs="仿宋"/>
          <w:sz w:val="28"/>
          <w:szCs w:val="28"/>
          <w:lang w:val="en-US" w:eastAsia="zh-CN"/>
        </w:rPr>
      </w:pPr>
      <w:r>
        <w:rPr>
          <w:rFonts w:hint="eastAsia" w:ascii="仿宋" w:hAnsi="仿宋" w:eastAsia="仿宋" w:cs="仿宋"/>
          <w:color w:val="auto"/>
          <w:sz w:val="28"/>
          <w:szCs w:val="28"/>
          <w:lang w:val="en-US" w:eastAsia="zh-CN"/>
        </w:rPr>
        <w:t>(6)病理信息系统具备功能及要求：1.常规与冰冻病理申请单管理；2.取材、包埋、制片、染色等湿实验管理;3.切片管理; 4.病例管理；5.质控管理;6</w:t>
      </w:r>
      <w:r>
        <w:rPr>
          <w:rFonts w:hint="eastAsia" w:ascii="仿宋" w:hAnsi="仿宋" w:cs="仿宋"/>
          <w:color w:val="auto"/>
          <w:sz w:val="28"/>
          <w:szCs w:val="28"/>
          <w:lang w:val="en-US" w:eastAsia="zh-CN"/>
        </w:rPr>
        <w:t>.</w:t>
      </w:r>
      <w:r>
        <w:rPr>
          <w:rFonts w:hint="eastAsia" w:ascii="仿宋" w:hAnsi="仿宋" w:eastAsia="仿宋" w:cs="仿宋"/>
          <w:color w:val="auto"/>
          <w:sz w:val="28"/>
          <w:szCs w:val="28"/>
          <w:lang w:val="en-US" w:eastAsia="zh-CN"/>
        </w:rPr>
        <w:t>可视化病理分析大屏；7.宫颈细胞学AI辅助诊断；8.AI智能语音录入；9.智能申请单识别；10.病理异常结果智能预警；11.支持远程病理诊断服务能力；12.信息系统获得国家信息安全等级保护三级认证；13.具备计算机软件著作权登记证书。</w:t>
      </w:r>
    </w:p>
    <w:p w14:paraId="3A344C91">
      <w:pPr>
        <w:tabs>
          <w:tab w:val="left" w:pos="426"/>
        </w:tabs>
        <w:spacing w:line="360" w:lineRule="auto"/>
        <w:ind w:firstLine="560" w:firstLineChars="200"/>
        <w:jc w:val="left"/>
        <w:outlineLvl w:val="3"/>
        <w:rPr>
          <w:rFonts w:hint="eastAsia" w:ascii="仿宋" w:hAnsi="仿宋" w:eastAsia="仿宋" w:cs="仿宋"/>
          <w:color w:val="auto"/>
          <w:sz w:val="28"/>
          <w:szCs w:val="28"/>
        </w:rPr>
      </w:pP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rPr>
        <w:t>）提供区域医学检验中心端大屏展示功能，实时显示各医疗机构送检标本、送检项目和标本量等。</w:t>
      </w:r>
    </w:p>
    <w:p w14:paraId="0D3441A4">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18" w:name="_Toc5807"/>
      <w:r>
        <w:rPr>
          <w:rFonts w:hint="eastAsia" w:ascii="仿宋" w:hAnsi="仿宋" w:eastAsia="仿宋" w:cs="仿宋"/>
          <w:b/>
          <w:bCs/>
          <w:sz w:val="28"/>
          <w:szCs w:val="28"/>
        </w:rPr>
        <w:t>2</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区域样本物流体系服务要求</w:t>
      </w:r>
      <w:bookmarkEnd w:id="118"/>
    </w:p>
    <w:p w14:paraId="5C77BB9F">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（1）供应商需根据自身的项目建设方案配置服务人员，以满足现有县级各医疗机构以及后续县域内所有基层医疗机构的检验业务发展需求。</w:t>
      </w:r>
    </w:p>
    <w:p w14:paraId="245CE39B">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（2）供应商物流运输团队具有的GPS卫星定位系统，可通过GPS系统保证标本的及时送检。</w:t>
      </w:r>
    </w:p>
    <w:p w14:paraId="3F2B16C5">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（3）供应商负责区域检验中心及覆盖公立医疗机构的标本接收工作，按照医院要求，对区域检验中心及覆盖公立医疗机构提供</w:t>
      </w:r>
      <w:r>
        <w:rPr>
          <w:rFonts w:hint="eastAsia" w:ascii="仿宋" w:hAnsi="仿宋" w:eastAsia="仿宋" w:cs="仿宋"/>
          <w:sz w:val="28"/>
          <w:szCs w:val="28"/>
          <w:lang w:val="en-US" w:eastAsia="zh-CN"/>
        </w:rPr>
        <w:t>日常</w:t>
      </w:r>
      <w:r>
        <w:rPr>
          <w:rFonts w:hint="eastAsia" w:ascii="仿宋" w:hAnsi="仿宋" w:eastAsia="仿宋" w:cs="仿宋"/>
          <w:sz w:val="28"/>
          <w:szCs w:val="28"/>
        </w:rPr>
        <w:t>样本接收服务。</w:t>
      </w:r>
    </w:p>
    <w:p w14:paraId="11D7AFFD">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标本核收：为区域检验中心提供经过系统培训和严格考核并通过的专业配送人员，负责院方日常外送样本的接收及标本的前处理工作。配备专业的温控样本接收箱，严格按照《检验前管理程序》进行接收，每个员工必须按照SOP(标准操作规程)要求穿戴工作服、使用一次性手套、到达医院进行时间及温控登记、及时更换样本接收箱中的冰块，确保分析前的质量。</w:t>
      </w:r>
    </w:p>
    <w:p w14:paraId="6CE04C7E">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（5）转运：按标本保存要求进行符合生物安全的冷链运输，保证标本的可靠性和有效性。</w:t>
      </w:r>
    </w:p>
    <w:p w14:paraId="3605E36E">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（6）运输器具及人员消毒：运输用标本箱及人员按国家规定相关要求进行消毒处理。</w:t>
      </w:r>
    </w:p>
    <w:p w14:paraId="53A869C2">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7）物流应急方案：服务方应建立完善的应急预案机制，针对突发事件如自然灾害、重特大事故及人为破坏等可能造成的人员伤亡、标本意外、信息中断等实施分等级应急管理与救援计划，以实现强有力的应急救援保障体系。</w:t>
      </w:r>
    </w:p>
    <w:p w14:paraId="0B90A6CB">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（8）标本绿色通道：当出现紧急标本需要送检时，应启动物流绿色通道，完成标本的转运。</w:t>
      </w:r>
    </w:p>
    <w:p w14:paraId="74176C32">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报告单发放紧急预案：遇到实验室LIS系统出现瘫痪或电信网络传输故障时，应启动紧急预案，使用内部网络将报告生成PDF数据格式，结合实际情况采用传真、人工递送等方式确保报告单能及时到达区域医院，建立区域检验中心危急值报告制度及流程。</w:t>
      </w:r>
    </w:p>
    <w:p w14:paraId="5002B116">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19" w:name="_Toc6384"/>
      <w:r>
        <w:rPr>
          <w:rFonts w:hint="eastAsia" w:ascii="仿宋" w:hAnsi="仿宋" w:eastAsia="仿宋" w:cs="仿宋"/>
          <w:b/>
          <w:bCs/>
          <w:sz w:val="28"/>
          <w:szCs w:val="28"/>
        </w:rPr>
        <w:t>3</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互联网远程检验平台服务要求</w:t>
      </w:r>
      <w:bookmarkEnd w:id="119"/>
    </w:p>
    <w:p w14:paraId="3C5D66E3">
      <w:pPr>
        <w:tabs>
          <w:tab w:val="left" w:pos="426"/>
        </w:tabs>
        <w:spacing w:line="360" w:lineRule="auto"/>
        <w:ind w:firstLine="560" w:firstLineChars="200"/>
        <w:jc w:val="left"/>
        <w:outlineLvl w:val="3"/>
        <w:rPr>
          <w:rFonts w:hint="eastAsia" w:ascii="仿宋" w:hAnsi="仿宋" w:eastAsia="仿宋" w:cs="仿宋"/>
          <w:sz w:val="28"/>
          <w:szCs w:val="28"/>
        </w:rPr>
      </w:pPr>
      <w:r>
        <w:rPr>
          <w:rFonts w:hint="eastAsia" w:ascii="仿宋" w:hAnsi="仿宋" w:eastAsia="仿宋" w:cs="仿宋"/>
          <w:sz w:val="28"/>
          <w:szCs w:val="28"/>
        </w:rPr>
        <w:t>（1）线上可查询医共体外送的所有检测项目与相关检测信息；</w:t>
      </w:r>
    </w:p>
    <w:p w14:paraId="47BE8E38">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（2）可在线开具电子检验申请单、可查看样本状态并追踪；可在线查看检验报告以及下载打印功能；</w:t>
      </w:r>
    </w:p>
    <w:p w14:paraId="6C610458">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（3）保障医学检验中心所使用的所有信息系统正常运行，当发生故障时承诺排除故障响应时间小于30分钟。</w:t>
      </w:r>
    </w:p>
    <w:p w14:paraId="3A4ECA4A">
      <w:pPr>
        <w:tabs>
          <w:tab w:val="left" w:pos="426"/>
        </w:tabs>
        <w:spacing w:line="360" w:lineRule="auto"/>
        <w:ind w:firstLine="560" w:firstLineChars="200"/>
        <w:jc w:val="left"/>
        <w:outlineLvl w:val="2"/>
        <w:rPr>
          <w:rFonts w:hint="eastAsia" w:ascii="仿宋" w:hAnsi="仿宋" w:eastAsia="仿宋" w:cs="仿宋"/>
          <w:b/>
          <w:bCs/>
          <w:sz w:val="28"/>
          <w:szCs w:val="28"/>
          <w:highlight w:val="none"/>
        </w:rPr>
      </w:pPr>
      <w:bookmarkStart w:id="120" w:name="_Toc20193"/>
      <w:r>
        <w:rPr>
          <w:rFonts w:hint="eastAsia" w:ascii="仿宋" w:hAnsi="仿宋" w:eastAsia="仿宋" w:cs="仿宋"/>
          <w:b/>
          <w:bCs/>
          <w:sz w:val="28"/>
          <w:szCs w:val="28"/>
        </w:rPr>
        <w:t>4</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区域检验和</w:t>
      </w:r>
      <w:r>
        <w:rPr>
          <w:rFonts w:hint="eastAsia" w:ascii="仿宋" w:hAnsi="仿宋" w:eastAsia="仿宋" w:cs="仿宋"/>
          <w:b/>
          <w:bCs/>
          <w:sz w:val="28"/>
          <w:szCs w:val="28"/>
          <w:highlight w:val="none"/>
        </w:rPr>
        <w:t>病理诊断中心运营服务要求</w:t>
      </w:r>
      <w:bookmarkEnd w:id="120"/>
    </w:p>
    <w:p w14:paraId="117C4624">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（1）供应商须指定该项目专职运营主管至少1名，全程负责对接、协助、管理项目实施与运营工作；</w:t>
      </w:r>
    </w:p>
    <w:p w14:paraId="6F94919B">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供应商负责协调卫生管理部门、义县医共体牵头医院、医共体成员医院的政策、信息对接，做好区域检验和病理诊断中心运营所需的标本物流体系、信息对接、检测项目、质量控制、生物安全等协同工作，达到结果互认、双向转诊的目标；</w:t>
      </w:r>
    </w:p>
    <w:p w14:paraId="62BA823A">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（3）供应商须定期对义县医共体成员医院进行技术培训，且每年不少于四次，培训内容包括：项目临床意义、报告解读等、切实提高义县医共体内医学检验和病理诊断中心整体服务水平；</w:t>
      </w:r>
    </w:p>
    <w:p w14:paraId="3F11F9D3">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为保证区域检验和病理诊断中心的顺利可持续性运营，供应商须协助医院对中心实验室和医共体成员医院建立合理的绩效考核机制，并提供相应绩效方案，以有效促进和提高医共体成员医院和中心实验室的工作积极性。</w:t>
      </w:r>
    </w:p>
    <w:p w14:paraId="7A0B27C2">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（5）供应商须提供医共体基层医院标准化服务方案，包括基层医院检验科的设备配置、检验流程、检验项目、检验质量、实验室环境等提升和优化的方案。</w:t>
      </w:r>
    </w:p>
    <w:p w14:paraId="1A5052BF">
      <w:pPr>
        <w:tabs>
          <w:tab w:val="left" w:pos="426"/>
        </w:tabs>
        <w:spacing w:line="360" w:lineRule="auto"/>
        <w:ind w:firstLine="560" w:firstLineChars="200"/>
        <w:jc w:val="left"/>
        <w:outlineLvl w:val="2"/>
        <w:rPr>
          <w:rFonts w:hint="eastAsia" w:ascii="仿宋" w:hAnsi="仿宋" w:eastAsia="仿宋" w:cs="仿宋"/>
          <w:b/>
          <w:bCs/>
          <w:sz w:val="28"/>
          <w:szCs w:val="28"/>
          <w:highlight w:val="none"/>
        </w:rPr>
      </w:pPr>
      <w:bookmarkStart w:id="121" w:name="_Toc6815"/>
      <w:r>
        <w:rPr>
          <w:rFonts w:hint="eastAsia" w:ascii="仿宋" w:hAnsi="仿宋" w:eastAsia="仿宋" w:cs="仿宋"/>
          <w:b/>
          <w:bCs/>
          <w:sz w:val="28"/>
          <w:szCs w:val="28"/>
          <w:highlight w:val="none"/>
        </w:rPr>
        <w:t>5、质量管理提升与ISO15189辅导服务要求</w:t>
      </w:r>
      <w:bookmarkEnd w:id="121"/>
    </w:p>
    <w:p w14:paraId="47541EE3">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（1）须提供至少1人给予对应的ISO15189认可辅导，需具备检验相关专业背景及副主任及以上的高级职称，辅助科室进行ISO15189辅导工作，协助建设管理体系；</w:t>
      </w:r>
    </w:p>
    <w:p w14:paraId="1D43FC22">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（2）须协调实验室主要设备生产厂家提供ISO15189辅导工作；</w:t>
      </w:r>
    </w:p>
    <w:p w14:paraId="57F6497D">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（3）须制定详细的辅助方案和时间安排；</w:t>
      </w:r>
    </w:p>
    <w:p w14:paraId="490EFE86">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（4）协助医院建立符合三级医院等级评审要求。</w:t>
      </w:r>
    </w:p>
    <w:p w14:paraId="5B89F4E4">
      <w:pPr>
        <w:tabs>
          <w:tab w:val="left" w:pos="426"/>
        </w:tabs>
        <w:spacing w:line="360" w:lineRule="auto"/>
        <w:ind w:firstLine="560" w:firstLineChars="200"/>
        <w:jc w:val="left"/>
        <w:outlineLvl w:val="2"/>
        <w:rPr>
          <w:rFonts w:hint="eastAsia" w:ascii="仿宋" w:hAnsi="仿宋" w:eastAsia="仿宋" w:cs="仿宋"/>
          <w:b/>
          <w:bCs/>
          <w:sz w:val="28"/>
          <w:szCs w:val="28"/>
          <w:highlight w:val="none"/>
        </w:rPr>
      </w:pPr>
      <w:bookmarkStart w:id="122" w:name="_Toc17316"/>
      <w:r>
        <w:rPr>
          <w:rFonts w:hint="eastAsia" w:ascii="仿宋" w:hAnsi="仿宋" w:eastAsia="仿宋" w:cs="仿宋"/>
          <w:b/>
          <w:bCs/>
          <w:sz w:val="28"/>
          <w:szCs w:val="28"/>
          <w:highlight w:val="none"/>
        </w:rPr>
        <w:t>6</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学术培训与人才培养服务要求</w:t>
      </w:r>
      <w:bookmarkEnd w:id="122"/>
    </w:p>
    <w:p w14:paraId="7D2AB2C9">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（1）对区域医学检验和病理诊断中心定期进行学术培训，提高中心实验室技术水平；</w:t>
      </w:r>
    </w:p>
    <w:p w14:paraId="2E66F461">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（2）对医共体牵头医院临床科室定期进行学术培训，提高医院诊治水平；</w:t>
      </w:r>
    </w:p>
    <w:p w14:paraId="08563208">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highlight w:val="none"/>
        </w:rPr>
        <w:t>（3）对医共体内成员医院检验科定期</w:t>
      </w:r>
      <w:r>
        <w:rPr>
          <w:rFonts w:hint="eastAsia" w:ascii="仿宋" w:hAnsi="仿宋" w:eastAsia="仿宋" w:cs="仿宋"/>
          <w:sz w:val="28"/>
          <w:szCs w:val="28"/>
        </w:rPr>
        <w:t>进行学术培训，包括但不限于：仪器使用、保养、质控、校准等，提高基层诊疗技术水平；</w:t>
      </w:r>
    </w:p>
    <w:p w14:paraId="6EC661EB">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（4）对医共体内成员医院临床医师定期进行学术培训，包括但不限于：检测项目申请、临床意义、报告解读、诊断方法等，提高基层诊治水平，为双向转诊提供技术支持；</w:t>
      </w:r>
    </w:p>
    <w:p w14:paraId="3F87B195">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（5）每年不少于一次的各主要设备厂家的现场技术培训，提供新技术新项目的交流培训。</w:t>
      </w:r>
    </w:p>
    <w:p w14:paraId="421C0D29">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23" w:name="_Toc25866"/>
      <w:r>
        <w:rPr>
          <w:rFonts w:hint="eastAsia" w:ascii="仿宋" w:hAnsi="仿宋" w:eastAsia="仿宋" w:cs="仿宋"/>
          <w:b/>
          <w:bCs/>
          <w:sz w:val="28"/>
          <w:szCs w:val="28"/>
        </w:rPr>
        <w:t>7</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中心实验室及17家乡镇医院设备完善服务要求</w:t>
      </w:r>
      <w:bookmarkEnd w:id="123"/>
    </w:p>
    <w:p w14:paraId="0DE17DDE">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（1）服务机构根据检验中心现有的设备进行完善须满足医院未来5-8年的发展需求，全面覆盖医院现有检测项目，提高自动化程度和信息化水平，实现标准化流程，乡镇医院更新三大常规设备，保证同质化设备。</w:t>
      </w:r>
    </w:p>
    <w:p w14:paraId="18E933F9">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（2）服务机构须保证升级设备的运行质量，包括但不限于：检测结果的准确性、重复性、精密性，以及保证设备的使用、维护保养、室间质质控、设备校准等管理符合实验室质量管理体系的要求；</w:t>
      </w:r>
    </w:p>
    <w:p w14:paraId="0217F10B">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24" w:name="_Toc10217"/>
      <w:r>
        <w:rPr>
          <w:rFonts w:hint="eastAsia" w:ascii="仿宋" w:hAnsi="仿宋" w:eastAsia="仿宋" w:cs="仿宋"/>
          <w:b/>
          <w:bCs/>
          <w:sz w:val="28"/>
          <w:szCs w:val="28"/>
        </w:rPr>
        <w:t>8</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医共体检验外送项目要求</w:t>
      </w:r>
      <w:bookmarkEnd w:id="124"/>
    </w:p>
    <w:p w14:paraId="202A2800">
      <w:pPr>
        <w:spacing w:line="360" w:lineRule="auto"/>
        <w:ind w:firstLine="560" w:firstLineChars="200"/>
        <w:outlineLvl w:val="0"/>
        <w:rPr>
          <w:rFonts w:hint="eastAsia" w:ascii="仿宋" w:hAnsi="仿宋" w:eastAsia="仿宋" w:cs="仿宋"/>
          <w:sz w:val="28"/>
          <w:szCs w:val="28"/>
        </w:rPr>
      </w:pPr>
      <w:bookmarkStart w:id="125" w:name="_Toc13509"/>
      <w:r>
        <w:rPr>
          <w:rFonts w:hint="eastAsia" w:ascii="仿宋" w:hAnsi="仿宋" w:eastAsia="仿宋" w:cs="仿宋"/>
          <w:sz w:val="28"/>
          <w:szCs w:val="28"/>
        </w:rPr>
        <w:t>提供区域检验中心所需信息化及负责辖区内所有公立医疗机构标本外送检验服务，实现对接回传报告，保证检验检测全覆盖，但不限于新项目，并保证检测质量符合临床要求；</w:t>
      </w:r>
      <w:bookmarkEnd w:id="125"/>
    </w:p>
    <w:p w14:paraId="6CD14779">
      <w:pPr>
        <w:tabs>
          <w:tab w:val="left" w:pos="426"/>
        </w:tabs>
        <w:spacing w:line="360" w:lineRule="auto"/>
        <w:ind w:firstLine="560" w:firstLineChars="200"/>
        <w:jc w:val="left"/>
        <w:outlineLvl w:val="2"/>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9.中心实验室设计及装修要求</w:t>
      </w:r>
    </w:p>
    <w:p w14:paraId="52E2E397">
      <w:pPr>
        <w:spacing w:line="360" w:lineRule="auto"/>
        <w:ind w:firstLine="560" w:firstLineChars="200"/>
        <w:outlineLvl w:val="0"/>
        <w:rPr>
          <w:rFonts w:hint="eastAsia" w:ascii="仿宋" w:hAnsi="仿宋" w:eastAsia="仿宋" w:cs="仿宋"/>
          <w:sz w:val="28"/>
          <w:szCs w:val="28"/>
          <w:lang w:val="en-US" w:eastAsia="zh-CN"/>
        </w:rPr>
      </w:pPr>
      <w:r>
        <w:rPr>
          <w:rFonts w:hint="eastAsia" w:ascii="仿宋" w:hAnsi="仿宋" w:eastAsia="仿宋" w:cs="仿宋"/>
          <w:sz w:val="28"/>
          <w:szCs w:val="28"/>
        </w:rPr>
        <w:t>实验室设计符合《实验室生物安全通用要求》、《病原微生物实验室生物安全管理条例》等国家规范，符合《临床实验室设计总则》等指导性要求，符合 ISO15190《医学实验室安全要求》等国际标准；实验室装修符合建筑、消防安全等规范。</w:t>
      </w:r>
      <w:r>
        <w:rPr>
          <w:rFonts w:hint="eastAsia" w:ascii="仿宋" w:hAnsi="仿宋" w:eastAsia="仿宋" w:cs="仿宋"/>
          <w:sz w:val="28"/>
          <w:szCs w:val="28"/>
          <w:lang w:val="en-US" w:eastAsia="zh-CN"/>
        </w:rPr>
        <w:t>升</w:t>
      </w:r>
      <w:r>
        <w:rPr>
          <w:rFonts w:hint="eastAsia" w:ascii="仿宋" w:hAnsi="仿宋" w:eastAsia="仿宋" w:cs="仿宋"/>
          <w:sz w:val="28"/>
          <w:szCs w:val="28"/>
        </w:rPr>
        <w:t>级建设区域医学</w:t>
      </w:r>
      <w:r>
        <w:rPr>
          <w:rFonts w:hint="eastAsia" w:ascii="仿宋" w:hAnsi="仿宋" w:eastAsia="仿宋" w:cs="仿宋"/>
          <w:sz w:val="28"/>
          <w:szCs w:val="28"/>
          <w:lang w:eastAsia="zh-CN"/>
        </w:rPr>
        <w:t>检验</w:t>
      </w:r>
      <w:r>
        <w:rPr>
          <w:rFonts w:hint="eastAsia" w:ascii="仿宋" w:hAnsi="仿宋" w:eastAsia="仿宋" w:cs="仿宋"/>
          <w:sz w:val="28"/>
          <w:szCs w:val="28"/>
        </w:rPr>
        <w:t>中心实验室，预计</w:t>
      </w:r>
      <w:r>
        <w:rPr>
          <w:rFonts w:hint="eastAsia" w:ascii="仿宋" w:hAnsi="仿宋" w:eastAsia="仿宋" w:cs="仿宋"/>
          <w:sz w:val="28"/>
          <w:szCs w:val="28"/>
          <w:lang w:val="en-US" w:eastAsia="zh-CN"/>
        </w:rPr>
        <w:t>装修</w:t>
      </w:r>
      <w:r>
        <w:rPr>
          <w:rFonts w:hint="eastAsia" w:ascii="仿宋" w:hAnsi="仿宋" w:eastAsia="仿宋" w:cs="仿宋"/>
          <w:sz w:val="28"/>
          <w:szCs w:val="28"/>
        </w:rPr>
        <w:t>面积</w:t>
      </w:r>
      <w:r>
        <w:rPr>
          <w:rFonts w:hint="eastAsia" w:ascii="仿宋" w:hAnsi="仿宋" w:eastAsia="仿宋" w:cs="仿宋"/>
          <w:sz w:val="28"/>
          <w:szCs w:val="28"/>
          <w:lang w:val="en-US" w:eastAsia="zh-CN"/>
        </w:rPr>
        <w:t>500</w:t>
      </w:r>
      <w:r>
        <w:rPr>
          <w:rFonts w:hint="eastAsia" w:ascii="仿宋" w:hAnsi="仿宋" w:eastAsia="仿宋" w:cs="仿宋"/>
          <w:sz w:val="28"/>
          <w:szCs w:val="28"/>
        </w:rPr>
        <w:t>平方米</w:t>
      </w:r>
      <w:r>
        <w:rPr>
          <w:rFonts w:hint="eastAsia" w:ascii="仿宋" w:hAnsi="仿宋" w:eastAsia="仿宋" w:cs="仿宋"/>
          <w:sz w:val="28"/>
          <w:szCs w:val="28"/>
          <w:lang w:eastAsia="zh-CN"/>
        </w:rPr>
        <w:t>；</w:t>
      </w:r>
    </w:p>
    <w:p w14:paraId="0CEA030E">
      <w:pPr>
        <w:tabs>
          <w:tab w:val="left" w:pos="426"/>
        </w:tabs>
        <w:spacing w:line="360" w:lineRule="auto"/>
        <w:ind w:firstLine="560" w:firstLineChars="200"/>
        <w:jc w:val="left"/>
        <w:outlineLvl w:val="1"/>
        <w:rPr>
          <w:rFonts w:hint="eastAsia" w:ascii="仿宋" w:hAnsi="仿宋" w:eastAsia="仿宋" w:cs="仿宋"/>
          <w:b w:val="0"/>
          <w:bCs w:val="0"/>
          <w:sz w:val="28"/>
          <w:szCs w:val="28"/>
        </w:rPr>
      </w:pPr>
      <w:bookmarkStart w:id="126" w:name="_Toc28089"/>
      <w:r>
        <w:rPr>
          <w:rFonts w:hint="eastAsia" w:ascii="仿宋" w:hAnsi="仿宋" w:eastAsia="仿宋" w:cs="仿宋"/>
          <w:b w:val="0"/>
          <w:bCs w:val="0"/>
          <w:sz w:val="28"/>
          <w:szCs w:val="28"/>
        </w:rPr>
        <w:t>（二）新增设备要求</w:t>
      </w:r>
      <w:bookmarkEnd w:id="126"/>
    </w:p>
    <w:p w14:paraId="105E47CB">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b/>
          <w:bCs/>
          <w:sz w:val="28"/>
          <w:szCs w:val="28"/>
        </w:rPr>
        <w:t>1.</w:t>
      </w:r>
      <w:r>
        <w:rPr>
          <w:rFonts w:hint="eastAsia" w:ascii="仿宋" w:hAnsi="仿宋" w:eastAsia="仿宋" w:cs="仿宋"/>
          <w:sz w:val="28"/>
          <w:szCs w:val="28"/>
        </w:rPr>
        <w:t>在医院现有设备基础上，按照医共体提出的新增设备标准，由供应商负责区域检验科中心所需一切实验设备，并且在合作期内独立承担设备的添置更新、设备的定期检定、校准、年检以及维护保养（包括仪器配件耗材）等（新增设备需求见下表）。</w:t>
      </w:r>
    </w:p>
    <w:p w14:paraId="5F0F5F8D">
      <w:pPr>
        <w:rPr>
          <w:rFonts w:hint="eastAsia" w:ascii="仿宋" w:hAnsi="仿宋" w:eastAsia="仿宋" w:cs="仿宋"/>
          <w:sz w:val="28"/>
          <w:szCs w:val="28"/>
        </w:rPr>
      </w:pPr>
    </w:p>
    <w:tbl>
      <w:tblPr>
        <w:tblStyle w:val="17"/>
        <w:tblW w:w="51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1"/>
        <w:gridCol w:w="2094"/>
        <w:gridCol w:w="903"/>
        <w:gridCol w:w="6223"/>
      </w:tblGrid>
      <w:tr w14:paraId="20EE1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5422A897">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bCs/>
                <w:color w:val="auto"/>
                <w:sz w:val="28"/>
                <w:szCs w:val="28"/>
                <w:highlight w:val="none"/>
              </w:rPr>
              <w:t>序号</w:t>
            </w:r>
          </w:p>
        </w:tc>
        <w:tc>
          <w:tcPr>
            <w:tcW w:w="1011" w:type="pct"/>
            <w:noWrap w:val="0"/>
            <w:vAlign w:val="center"/>
          </w:tcPr>
          <w:p w14:paraId="0752D511">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bCs/>
                <w:color w:val="auto"/>
                <w:sz w:val="28"/>
                <w:szCs w:val="28"/>
                <w:highlight w:val="none"/>
              </w:rPr>
              <w:t>产品名称</w:t>
            </w:r>
          </w:p>
        </w:tc>
        <w:tc>
          <w:tcPr>
            <w:tcW w:w="436" w:type="pct"/>
            <w:noWrap w:val="0"/>
            <w:vAlign w:val="center"/>
          </w:tcPr>
          <w:p w14:paraId="5D7735D9">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bCs/>
                <w:color w:val="auto"/>
                <w:sz w:val="28"/>
                <w:szCs w:val="28"/>
                <w:highlight w:val="none"/>
              </w:rPr>
              <w:t>数量</w:t>
            </w:r>
          </w:p>
        </w:tc>
        <w:tc>
          <w:tcPr>
            <w:tcW w:w="3005" w:type="pct"/>
            <w:noWrap w:val="0"/>
            <w:vAlign w:val="top"/>
          </w:tcPr>
          <w:p w14:paraId="73AAD459">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b/>
                <w:bCs/>
                <w:color w:val="auto"/>
                <w:sz w:val="28"/>
                <w:szCs w:val="28"/>
                <w:highlight w:val="none"/>
              </w:rPr>
            </w:pPr>
            <w:r>
              <w:rPr>
                <w:rFonts w:hint="eastAsia" w:ascii="方正仿宋_GB18030" w:hAnsi="方正仿宋_GB18030" w:eastAsia="方正仿宋_GB18030" w:cs="方正仿宋_GB18030"/>
                <w:b/>
                <w:bCs/>
                <w:color w:val="auto"/>
                <w:sz w:val="28"/>
                <w:szCs w:val="28"/>
                <w:highlight w:val="none"/>
              </w:rPr>
              <w:t>标准</w:t>
            </w:r>
          </w:p>
        </w:tc>
      </w:tr>
      <w:tr w14:paraId="0714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6" w:hRule="atLeast"/>
          <w:jc w:val="center"/>
        </w:trPr>
        <w:tc>
          <w:tcPr>
            <w:tcW w:w="546" w:type="pct"/>
            <w:noWrap w:val="0"/>
            <w:vAlign w:val="center"/>
          </w:tcPr>
          <w:p w14:paraId="4B1F17CB">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w:t>
            </w:r>
          </w:p>
        </w:tc>
        <w:tc>
          <w:tcPr>
            <w:tcW w:w="1011" w:type="pct"/>
            <w:noWrap w:val="0"/>
            <w:vAlign w:val="center"/>
          </w:tcPr>
          <w:p w14:paraId="2A7D7A07">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全自动生化免疫流水线(根据实验室具体情况更新）</w:t>
            </w:r>
          </w:p>
        </w:tc>
        <w:tc>
          <w:tcPr>
            <w:tcW w:w="436" w:type="pct"/>
            <w:noWrap w:val="0"/>
            <w:vAlign w:val="center"/>
          </w:tcPr>
          <w:p w14:paraId="05392406">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1台</w:t>
            </w:r>
          </w:p>
        </w:tc>
        <w:tc>
          <w:tcPr>
            <w:tcW w:w="3005" w:type="pct"/>
            <w:noWrap w:val="0"/>
            <w:vAlign w:val="top"/>
          </w:tcPr>
          <w:p w14:paraId="69E73572">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1.全自动生化免疫流水线需具备：至少一台生化分析仪和一台化学发光分析仪以上数量进行连接。</w:t>
            </w:r>
          </w:p>
          <w:p w14:paraId="2C98BDEE">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★2.生化模块测试速度：单模块生化比色分析速度≥2000测试/小时，单模块ISE速度≥600测试/小时。 </w:t>
            </w:r>
          </w:p>
          <w:p w14:paraId="70133DE1">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3.生化模块系统：试剂盘≥120个试剂位。</w:t>
            </w:r>
          </w:p>
          <w:p w14:paraId="4DF71D42">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4.生化模块最小反应体积：80ul。</w:t>
            </w:r>
          </w:p>
          <w:p w14:paraId="143704B1">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lang w:val="en-US" w:eastAsia="zh-CN"/>
              </w:rPr>
              <w:t>5</w:t>
            </w:r>
            <w:r>
              <w:rPr>
                <w:rFonts w:hint="eastAsia" w:ascii="方正仿宋_GB18030" w:hAnsi="方正仿宋_GB18030" w:eastAsia="方正仿宋_GB18030" w:cs="方正仿宋_GB18030"/>
                <w:color w:val="auto"/>
                <w:sz w:val="28"/>
                <w:szCs w:val="28"/>
                <w:highlight w:val="none"/>
              </w:rPr>
              <w:t xml:space="preserve">.化学发光免疫模块测试速度：配置最大测试速度≥500T测试/小时。 </w:t>
            </w:r>
          </w:p>
          <w:p w14:paraId="1041FEC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lang w:val="en-US" w:eastAsia="zh-CN"/>
              </w:rPr>
              <w:t>6</w:t>
            </w:r>
            <w:r>
              <w:rPr>
                <w:rFonts w:hint="eastAsia" w:ascii="方正仿宋_GB18030" w:hAnsi="方正仿宋_GB18030" w:eastAsia="方正仿宋_GB18030" w:cs="方正仿宋_GB18030"/>
                <w:color w:val="auto"/>
                <w:sz w:val="28"/>
                <w:szCs w:val="28"/>
                <w:highlight w:val="none"/>
              </w:rPr>
              <w:t xml:space="preserve">.检测项目：具有甲状腺、性腺激素、肿瘤标记物、传染病、心标记、降钙素原等检测，全部检测项目要≥40 项。 </w:t>
            </w:r>
          </w:p>
          <w:p w14:paraId="416D87F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w:t>
            </w:r>
            <w:r>
              <w:rPr>
                <w:rFonts w:hint="eastAsia" w:ascii="方正仿宋_GB18030" w:hAnsi="方正仿宋_GB18030" w:eastAsia="方正仿宋_GB18030" w:cs="方正仿宋_GB18030"/>
                <w:color w:val="auto"/>
                <w:sz w:val="28"/>
                <w:szCs w:val="28"/>
                <w:highlight w:val="none"/>
                <w:lang w:val="en-US" w:eastAsia="zh-CN"/>
              </w:rPr>
              <w:t>7</w:t>
            </w:r>
            <w:r>
              <w:rPr>
                <w:rFonts w:hint="eastAsia" w:ascii="方正仿宋_GB18030" w:hAnsi="方正仿宋_GB18030" w:eastAsia="方正仿宋_GB18030" w:cs="方正仿宋_GB18030"/>
                <w:color w:val="auto"/>
                <w:sz w:val="28"/>
                <w:szCs w:val="28"/>
                <w:highlight w:val="none"/>
              </w:rPr>
              <w:t>.化学发光单台或单模块试剂位：≥30个。</w:t>
            </w:r>
          </w:p>
        </w:tc>
      </w:tr>
      <w:tr w14:paraId="6AC87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546" w:type="pct"/>
            <w:noWrap w:val="0"/>
            <w:vAlign w:val="center"/>
          </w:tcPr>
          <w:p w14:paraId="59C79A64">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lang w:val="en-US" w:eastAsia="zh-CN"/>
              </w:rPr>
              <w:t>2</w:t>
            </w:r>
          </w:p>
        </w:tc>
        <w:tc>
          <w:tcPr>
            <w:tcW w:w="1011" w:type="pct"/>
            <w:noWrap w:val="0"/>
            <w:vAlign w:val="center"/>
          </w:tcPr>
          <w:p w14:paraId="7F032478">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全自动血液分析流水线(根据实验室具体情况更新）</w:t>
            </w:r>
          </w:p>
        </w:tc>
        <w:tc>
          <w:tcPr>
            <w:tcW w:w="436" w:type="pct"/>
            <w:noWrap w:val="0"/>
            <w:vAlign w:val="center"/>
          </w:tcPr>
          <w:p w14:paraId="08212A7D">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1台</w:t>
            </w:r>
          </w:p>
        </w:tc>
        <w:tc>
          <w:tcPr>
            <w:tcW w:w="3005" w:type="pct"/>
            <w:noWrap w:val="0"/>
            <w:vAlign w:val="top"/>
          </w:tcPr>
          <w:p w14:paraId="1BB27457">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★1.全自动血液分析流水线由至少2台全自动五分类血液细胞分析仪及1台糖化血红蛋白分析仪通过轨道连接组成。 </w:t>
            </w:r>
          </w:p>
          <w:p w14:paraId="763D30FE">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2.报告参数：血液分析报告参数≥37个，三维散点图≥3个，CRP报告参数≥2个。 </w:t>
            </w:r>
          </w:p>
          <w:p w14:paraId="410F9611">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3.血细胞分析仪单机检测速度：CBC＋DIFF≥100个样本/小时。 </w:t>
            </w:r>
          </w:p>
          <w:p w14:paraId="75D81F0D">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4.糖化血红蛋白分析仪检测速度：≥</w:t>
            </w:r>
            <w:r>
              <w:rPr>
                <w:rFonts w:hint="eastAsia" w:ascii="方正仿宋_GB18030" w:hAnsi="方正仿宋_GB18030" w:eastAsia="方正仿宋_GB18030" w:cs="方正仿宋_GB18030"/>
                <w:color w:val="auto"/>
                <w:sz w:val="28"/>
                <w:szCs w:val="28"/>
                <w:highlight w:val="none"/>
                <w:lang w:val="en-US" w:eastAsia="zh-CN"/>
              </w:rPr>
              <w:t>30</w:t>
            </w:r>
            <w:r>
              <w:rPr>
                <w:rFonts w:hint="eastAsia" w:ascii="方正仿宋_GB18030" w:hAnsi="方正仿宋_GB18030" w:eastAsia="方正仿宋_GB18030" w:cs="方正仿宋_GB18030"/>
                <w:color w:val="auto"/>
                <w:sz w:val="28"/>
                <w:szCs w:val="28"/>
                <w:highlight w:val="none"/>
              </w:rPr>
              <w:t>样本/小时。</w:t>
            </w:r>
          </w:p>
        </w:tc>
      </w:tr>
      <w:tr w14:paraId="39FD4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0" w:hRule="atLeast"/>
          <w:jc w:val="center"/>
        </w:trPr>
        <w:tc>
          <w:tcPr>
            <w:tcW w:w="546" w:type="pct"/>
            <w:noWrap w:val="0"/>
            <w:vAlign w:val="center"/>
          </w:tcPr>
          <w:p w14:paraId="446A200F">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lang w:val="en-US" w:eastAsia="zh-CN"/>
              </w:rPr>
              <w:t>3</w:t>
            </w:r>
          </w:p>
        </w:tc>
        <w:tc>
          <w:tcPr>
            <w:tcW w:w="1011" w:type="pct"/>
            <w:noWrap w:val="0"/>
            <w:vAlign w:val="center"/>
          </w:tcPr>
          <w:p w14:paraId="18B96090">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全自动尿液分析流水线(根据实验室具体情况更新）</w:t>
            </w:r>
          </w:p>
        </w:tc>
        <w:tc>
          <w:tcPr>
            <w:tcW w:w="436" w:type="pct"/>
            <w:noWrap w:val="0"/>
            <w:vAlign w:val="center"/>
          </w:tcPr>
          <w:p w14:paraId="48E7FD26">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1台</w:t>
            </w:r>
          </w:p>
        </w:tc>
        <w:tc>
          <w:tcPr>
            <w:tcW w:w="3005" w:type="pct"/>
            <w:noWrap w:val="0"/>
            <w:vAlign w:val="top"/>
          </w:tcPr>
          <w:p w14:paraId="18A7C179">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★1.设备构成：由尿液干化学分析模块、尿液有型成分分析模块、样本装载与传输轨道模块及上位机操作分析软件系统构成。 </w:t>
            </w:r>
          </w:p>
          <w:p w14:paraId="0C07CDC8">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2.检测项目：不少于干化学测试项目14项，同时能提供微量白蛋白和肌酐的比值（ACR）、蛋白质与肌酐比值（PCR）；理学、颜色（RGB 三原色法）、浊度（散射法）、比重（折射法）；有形成分自动识别测试项目≥25项。</w:t>
            </w:r>
          </w:p>
          <w:p w14:paraId="5A3F9662">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3.测试速度：单模块干化学检测：≥240测试/小时，单模块有形成分检测：≥120测试/小时。</w:t>
            </w:r>
          </w:p>
          <w:p w14:paraId="4DCA476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4.样本装载容量：一次装载≥</w:t>
            </w:r>
            <w:r>
              <w:rPr>
                <w:rFonts w:hint="eastAsia" w:ascii="方正仿宋_GB18030" w:hAnsi="方正仿宋_GB18030" w:eastAsia="方正仿宋_GB18030" w:cs="方正仿宋_GB18030"/>
                <w:color w:val="auto"/>
                <w:sz w:val="28"/>
                <w:szCs w:val="28"/>
                <w:highlight w:val="none"/>
                <w:lang w:val="en-US" w:eastAsia="zh-CN"/>
              </w:rPr>
              <w:t>6</w:t>
            </w:r>
            <w:r>
              <w:rPr>
                <w:rFonts w:hint="eastAsia" w:ascii="方正仿宋_GB18030" w:hAnsi="方正仿宋_GB18030" w:eastAsia="方正仿宋_GB18030" w:cs="方正仿宋_GB18030"/>
                <w:color w:val="auto"/>
                <w:sz w:val="28"/>
                <w:szCs w:val="28"/>
                <w:highlight w:val="none"/>
              </w:rPr>
              <w:t>0个标本。</w:t>
            </w:r>
          </w:p>
          <w:p w14:paraId="4775D9B1">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5.干化学试纸装载量：≥200条。</w:t>
            </w:r>
          </w:p>
        </w:tc>
      </w:tr>
      <w:tr w14:paraId="6020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6" w:type="pct"/>
            <w:noWrap w:val="0"/>
            <w:vAlign w:val="center"/>
          </w:tcPr>
          <w:p w14:paraId="0AD6781D">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lang w:val="en-US" w:eastAsia="zh-CN"/>
              </w:rPr>
              <w:t>4</w:t>
            </w:r>
          </w:p>
        </w:tc>
        <w:tc>
          <w:tcPr>
            <w:tcW w:w="1011" w:type="pct"/>
            <w:noWrap w:val="0"/>
            <w:vAlign w:val="center"/>
          </w:tcPr>
          <w:p w14:paraId="35F992CE">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急诊全自动生化免疫流水线</w:t>
            </w:r>
          </w:p>
        </w:tc>
        <w:tc>
          <w:tcPr>
            <w:tcW w:w="436" w:type="pct"/>
            <w:noWrap w:val="0"/>
            <w:vAlign w:val="center"/>
          </w:tcPr>
          <w:p w14:paraId="41E3AC6F">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1台</w:t>
            </w:r>
          </w:p>
        </w:tc>
        <w:tc>
          <w:tcPr>
            <w:tcW w:w="3005" w:type="pct"/>
            <w:noWrap w:val="0"/>
            <w:vAlign w:val="top"/>
          </w:tcPr>
          <w:p w14:paraId="0A3A1A57">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1.生化模块仪器类型：分立式全自动生化分析仪。</w:t>
            </w:r>
          </w:p>
          <w:p w14:paraId="4092667C">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2.样本进样数量：≥220个样本上机检测。 </w:t>
            </w:r>
          </w:p>
          <w:p w14:paraId="21EBCECA">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★3.生化模块测试速度：单模块生化比色分析恒速≥1000测试/小时，选配ISE速度≥600测试/小时。 </w:t>
            </w:r>
          </w:p>
          <w:p w14:paraId="366BE9C0">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4.生化模块系统：试剂盘≥120个试剂位。</w:t>
            </w:r>
          </w:p>
          <w:p w14:paraId="4CF2EDC8">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5.反应波长数量：≥1</w:t>
            </w:r>
            <w:r>
              <w:rPr>
                <w:rFonts w:hint="eastAsia" w:ascii="方正仿宋_GB18030" w:hAnsi="方正仿宋_GB18030" w:eastAsia="方正仿宋_GB18030" w:cs="方正仿宋_GB18030"/>
                <w:color w:val="auto"/>
                <w:sz w:val="28"/>
                <w:szCs w:val="28"/>
                <w:highlight w:val="none"/>
                <w:lang w:val="en-US" w:eastAsia="zh-CN"/>
              </w:rPr>
              <w:t>3</w:t>
            </w:r>
            <w:r>
              <w:rPr>
                <w:rFonts w:hint="eastAsia" w:ascii="方正仿宋_GB18030" w:hAnsi="方正仿宋_GB18030" w:eastAsia="方正仿宋_GB18030" w:cs="方正仿宋_GB18030"/>
                <w:color w:val="auto"/>
                <w:sz w:val="28"/>
                <w:szCs w:val="28"/>
                <w:highlight w:val="none"/>
              </w:rPr>
              <w:t>个</w:t>
            </w:r>
          </w:p>
          <w:p w14:paraId="1DB12846">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lang w:val="en-US" w:eastAsia="zh-CN"/>
              </w:rPr>
              <w:t>6</w:t>
            </w:r>
            <w:r>
              <w:rPr>
                <w:rFonts w:hint="eastAsia" w:ascii="方正仿宋_GB18030" w:hAnsi="方正仿宋_GB18030" w:eastAsia="方正仿宋_GB18030" w:cs="方正仿宋_GB18030"/>
                <w:color w:val="auto"/>
                <w:sz w:val="28"/>
                <w:szCs w:val="28"/>
                <w:highlight w:val="none"/>
              </w:rPr>
              <w:t xml:space="preserve">.化学发光免疫模块测试速度：≥240个测试/小时。 </w:t>
            </w:r>
          </w:p>
        </w:tc>
      </w:tr>
      <w:tr w14:paraId="78C29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02D27A28">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lang w:val="en-US" w:eastAsia="zh-CN"/>
              </w:rPr>
              <w:t>5</w:t>
            </w:r>
          </w:p>
        </w:tc>
        <w:tc>
          <w:tcPr>
            <w:tcW w:w="1011" w:type="pct"/>
            <w:noWrap w:val="0"/>
            <w:vAlign w:val="center"/>
          </w:tcPr>
          <w:p w14:paraId="727FE761">
            <w:pPr>
              <w:pStyle w:val="13"/>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血培养仪</w:t>
            </w:r>
          </w:p>
        </w:tc>
        <w:tc>
          <w:tcPr>
            <w:tcW w:w="436" w:type="pct"/>
            <w:noWrap w:val="0"/>
            <w:vAlign w:val="center"/>
          </w:tcPr>
          <w:p w14:paraId="22680DCB">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1台</w:t>
            </w:r>
          </w:p>
        </w:tc>
        <w:tc>
          <w:tcPr>
            <w:tcW w:w="3005" w:type="pct"/>
            <w:noWrap w:val="0"/>
            <w:vAlign w:val="top"/>
          </w:tcPr>
          <w:p w14:paraId="362B5E7C">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1.检测原理：采用显色测量技术，支持瓶外非侵入式、多种菌群的培养和实时检测。 </w:t>
            </w:r>
          </w:p>
          <w:p w14:paraId="1A82E855">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2.检测容量：≥60瓶位。 </w:t>
            </w:r>
          </w:p>
          <w:p w14:paraId="7DA840CC">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3.检测方法：多种检测运算方法，缩短报阳时间，降低误报率。 </w:t>
            </w:r>
          </w:p>
          <w:p w14:paraId="228ACAFB">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4.报警功能：提供温度失控、系统故障、误操作、错置瓶位等报警；具有声、光、色报警功能。</w:t>
            </w:r>
          </w:p>
        </w:tc>
      </w:tr>
      <w:tr w14:paraId="67CD1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546" w:type="pct"/>
            <w:noWrap w:val="0"/>
            <w:vAlign w:val="center"/>
          </w:tcPr>
          <w:p w14:paraId="6B56178B">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lang w:val="en-US" w:eastAsia="zh-CN"/>
              </w:rPr>
              <w:t>6</w:t>
            </w:r>
          </w:p>
        </w:tc>
        <w:tc>
          <w:tcPr>
            <w:tcW w:w="1011" w:type="pct"/>
            <w:noWrap w:val="0"/>
            <w:vAlign w:val="center"/>
          </w:tcPr>
          <w:p w14:paraId="29B7A167">
            <w:pPr>
              <w:pStyle w:val="13"/>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全自动微生物鉴定药敏分析系统</w:t>
            </w:r>
          </w:p>
        </w:tc>
        <w:tc>
          <w:tcPr>
            <w:tcW w:w="436" w:type="pct"/>
            <w:noWrap w:val="0"/>
            <w:vAlign w:val="center"/>
          </w:tcPr>
          <w:p w14:paraId="18448926">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1台</w:t>
            </w:r>
          </w:p>
        </w:tc>
        <w:tc>
          <w:tcPr>
            <w:tcW w:w="3005" w:type="pct"/>
            <w:noWrap w:val="0"/>
            <w:vAlign w:val="top"/>
          </w:tcPr>
          <w:p w14:paraId="08A01065">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1.测试方法：比色法和透射比浊法。 </w:t>
            </w:r>
          </w:p>
          <w:p w14:paraId="2C51AB7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2.鉴定细菌种类：检测不少于500余种细菌。 </w:t>
            </w:r>
          </w:p>
          <w:p w14:paraId="392458F9">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3.标本容量：可同时进行≥60块测试卡测定。 </w:t>
            </w:r>
          </w:p>
          <w:p w14:paraId="57010D2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4.检测波长：≥4波长，保障检测灵敏度。</w:t>
            </w:r>
          </w:p>
          <w:p w14:paraId="0898DBD0">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5.测试性能：鉴定准确性≥95%，药敏准确性 CA≥95%，药敏重现性≥95%。</w:t>
            </w:r>
          </w:p>
        </w:tc>
      </w:tr>
      <w:tr w14:paraId="6757D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6" w:hRule="exact"/>
          <w:jc w:val="center"/>
        </w:trPr>
        <w:tc>
          <w:tcPr>
            <w:tcW w:w="546" w:type="pct"/>
            <w:noWrap w:val="0"/>
            <w:vAlign w:val="center"/>
          </w:tcPr>
          <w:p w14:paraId="39C9F234">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lang w:val="en-US" w:eastAsia="zh-CN"/>
              </w:rPr>
              <w:t>7</w:t>
            </w:r>
          </w:p>
        </w:tc>
        <w:tc>
          <w:tcPr>
            <w:tcW w:w="1011" w:type="pct"/>
            <w:noWrap w:val="0"/>
            <w:vAlign w:val="center"/>
          </w:tcPr>
          <w:p w14:paraId="37952046">
            <w:pPr>
              <w:pStyle w:val="13"/>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血液细胞分析仪（17家乡镇卫生院</w:t>
            </w:r>
            <w:r>
              <w:rPr>
                <w:rFonts w:hint="eastAsia" w:ascii="方正仿宋_GB18030" w:hAnsi="方正仿宋_GB18030" w:eastAsia="方正仿宋_GB18030" w:cs="方正仿宋_GB18030"/>
                <w:color w:val="auto"/>
                <w:sz w:val="28"/>
                <w:szCs w:val="28"/>
                <w:highlight w:val="none"/>
                <w:lang w:val="en-US" w:eastAsia="zh-CN"/>
              </w:rPr>
              <w:t>+义县妇幼保健院</w:t>
            </w:r>
            <w:r>
              <w:rPr>
                <w:rFonts w:hint="eastAsia" w:ascii="方正仿宋_GB18030" w:hAnsi="方正仿宋_GB18030" w:eastAsia="方正仿宋_GB18030" w:cs="方正仿宋_GB18030"/>
                <w:color w:val="auto"/>
                <w:sz w:val="28"/>
                <w:szCs w:val="28"/>
                <w:highlight w:val="none"/>
              </w:rPr>
              <w:t>）</w:t>
            </w:r>
          </w:p>
        </w:tc>
        <w:tc>
          <w:tcPr>
            <w:tcW w:w="436" w:type="pct"/>
            <w:noWrap w:val="0"/>
            <w:vAlign w:val="center"/>
          </w:tcPr>
          <w:p w14:paraId="01125BD0">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w:t>
            </w:r>
            <w:r>
              <w:rPr>
                <w:rFonts w:hint="eastAsia" w:ascii="方正仿宋_GB18030" w:hAnsi="方正仿宋_GB18030" w:eastAsia="方正仿宋_GB18030" w:cs="方正仿宋_GB18030"/>
                <w:color w:val="auto"/>
                <w:sz w:val="28"/>
                <w:szCs w:val="28"/>
                <w:highlight w:val="none"/>
                <w:lang w:val="en-US" w:eastAsia="zh-CN"/>
              </w:rPr>
              <w:t>8</w:t>
            </w:r>
            <w:r>
              <w:rPr>
                <w:rFonts w:hint="eastAsia" w:ascii="方正仿宋_GB18030" w:hAnsi="方正仿宋_GB18030" w:eastAsia="方正仿宋_GB18030" w:cs="方正仿宋_GB18030"/>
                <w:color w:val="auto"/>
                <w:sz w:val="28"/>
                <w:szCs w:val="28"/>
                <w:highlight w:val="none"/>
              </w:rPr>
              <w:t>台</w:t>
            </w:r>
          </w:p>
        </w:tc>
        <w:tc>
          <w:tcPr>
            <w:tcW w:w="3005" w:type="pct"/>
            <w:noWrap w:val="0"/>
            <w:vAlign w:val="top"/>
          </w:tcPr>
          <w:p w14:paraId="3C6B6D60">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1.仪器可做血细胞计数、白细胞分类以及C-反应蛋白等项目的检测。</w:t>
            </w:r>
          </w:p>
          <w:p w14:paraId="2CE56A7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★2.检测原理：采用激光散射法对白细胞进行准确的五分类检测，采用免疫散射比浊法进行C-反应蛋白（CRP）测定。</w:t>
            </w:r>
          </w:p>
          <w:p w14:paraId="1FEEB69D">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3.检测速度：五分类+CRP模式≥60 个样本/小时。</w:t>
            </w:r>
          </w:p>
          <w:p w14:paraId="613B5763">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4.进样模式：具有独立的静脉全血、末梢全血、预稀释血检测模式。</w:t>
            </w:r>
          </w:p>
          <w:p w14:paraId="074F30D1">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5.用血量：五分类+CRP 模式≤35μl </w:t>
            </w:r>
          </w:p>
          <w:p w14:paraId="02E12B3A">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6.检测参数：≥25 项可报告参数（不含散点图和直方图）。</w:t>
            </w:r>
          </w:p>
        </w:tc>
      </w:tr>
      <w:tr w14:paraId="47DE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546" w:type="pct"/>
            <w:noWrap w:val="0"/>
            <w:vAlign w:val="center"/>
          </w:tcPr>
          <w:p w14:paraId="0304CC80">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eastAsia="zh-CN"/>
              </w:rPr>
            </w:pPr>
            <w:r>
              <w:rPr>
                <w:rFonts w:hint="eastAsia" w:ascii="方正仿宋_GB18030" w:hAnsi="方正仿宋_GB18030" w:eastAsia="方正仿宋_GB18030" w:cs="方正仿宋_GB18030"/>
                <w:color w:val="auto"/>
                <w:sz w:val="28"/>
                <w:szCs w:val="28"/>
                <w:highlight w:val="none"/>
                <w:lang w:val="en-US" w:eastAsia="zh-CN"/>
              </w:rPr>
              <w:t>8</w:t>
            </w:r>
          </w:p>
        </w:tc>
        <w:tc>
          <w:tcPr>
            <w:tcW w:w="1011" w:type="pct"/>
            <w:noWrap w:val="0"/>
            <w:vAlign w:val="center"/>
          </w:tcPr>
          <w:p w14:paraId="279F4BED">
            <w:pPr>
              <w:pStyle w:val="13"/>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尿液分析仪（17家乡镇卫生院）</w:t>
            </w:r>
          </w:p>
        </w:tc>
        <w:tc>
          <w:tcPr>
            <w:tcW w:w="436" w:type="pct"/>
            <w:noWrap w:val="0"/>
            <w:vAlign w:val="center"/>
          </w:tcPr>
          <w:p w14:paraId="78FC61A5">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17台</w:t>
            </w:r>
          </w:p>
        </w:tc>
        <w:tc>
          <w:tcPr>
            <w:tcW w:w="3005" w:type="pct"/>
            <w:noWrap w:val="0"/>
            <w:vAlign w:val="top"/>
          </w:tcPr>
          <w:p w14:paraId="2DD4CFA0">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★1.测试项目：≥11项 </w:t>
            </w:r>
          </w:p>
          <w:p w14:paraId="2157CAE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2.测定原理：反射率及色品分析 </w:t>
            </w:r>
          </w:p>
          <w:p w14:paraId="7A69D9DE">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 xml:space="preserve">★3.测定速度：≥600个/小时 </w:t>
            </w:r>
          </w:p>
          <w:p w14:paraId="25587731">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4.测定波长：≥3个</w:t>
            </w:r>
          </w:p>
        </w:tc>
      </w:tr>
      <w:tr w14:paraId="7500B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546" w:type="pct"/>
            <w:noWrap w:val="0"/>
            <w:vAlign w:val="center"/>
          </w:tcPr>
          <w:p w14:paraId="4C1202F6">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9</w:t>
            </w:r>
          </w:p>
        </w:tc>
        <w:tc>
          <w:tcPr>
            <w:tcW w:w="1011" w:type="pct"/>
            <w:noWrap w:val="0"/>
            <w:vAlign w:val="center"/>
          </w:tcPr>
          <w:p w14:paraId="06EE4142">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荧光免疫分析仪</w:t>
            </w:r>
          </w:p>
        </w:tc>
        <w:tc>
          <w:tcPr>
            <w:tcW w:w="436" w:type="pct"/>
            <w:noWrap w:val="0"/>
            <w:vAlign w:val="center"/>
          </w:tcPr>
          <w:p w14:paraId="37D51C89">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1台</w:t>
            </w:r>
          </w:p>
        </w:tc>
        <w:tc>
          <w:tcPr>
            <w:tcW w:w="3005" w:type="pct"/>
            <w:noWrap w:val="0"/>
            <w:vAlign w:val="top"/>
          </w:tcPr>
          <w:p w14:paraId="73A3D6F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1.检测方法：荧光免疫</w:t>
            </w:r>
          </w:p>
          <w:p w14:paraId="099A750E">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2.检测速度：≥160T/H</w:t>
            </w:r>
          </w:p>
          <w:p w14:paraId="43A44153">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3.检测通道：≥20 个</w:t>
            </w:r>
          </w:p>
          <w:p w14:paraId="52BE86E6">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4.通讯支持：支持LIS 链接</w:t>
            </w:r>
          </w:p>
          <w:p w14:paraId="51D7A651">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5.工作模式：支持多项目同时检测</w:t>
            </w:r>
          </w:p>
        </w:tc>
      </w:tr>
      <w:tr w14:paraId="7330F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546" w:type="pct"/>
            <w:noWrap w:val="0"/>
            <w:vAlign w:val="center"/>
          </w:tcPr>
          <w:p w14:paraId="316B5253">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10</w:t>
            </w:r>
          </w:p>
        </w:tc>
        <w:tc>
          <w:tcPr>
            <w:tcW w:w="1011" w:type="pct"/>
            <w:noWrap w:val="0"/>
            <w:vAlign w:val="center"/>
          </w:tcPr>
          <w:p w14:paraId="09167A33">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全自动血型分析仪</w:t>
            </w:r>
          </w:p>
        </w:tc>
        <w:tc>
          <w:tcPr>
            <w:tcW w:w="436" w:type="pct"/>
            <w:noWrap w:val="0"/>
            <w:vAlign w:val="center"/>
          </w:tcPr>
          <w:p w14:paraId="511E1E24">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1台</w:t>
            </w:r>
          </w:p>
        </w:tc>
        <w:tc>
          <w:tcPr>
            <w:tcW w:w="3005" w:type="pct"/>
            <w:noWrap w:val="0"/>
            <w:vAlign w:val="top"/>
          </w:tcPr>
          <w:p w14:paraId="515355A2">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1.用途：全自动完成 ABO、Rh（D）血型及不规则抗体筛选、交叉配血等实验</w:t>
            </w:r>
          </w:p>
          <w:p w14:paraId="3B7BAA3B">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2.处理速度：自标本扫码到结果报告，每小时可完成血型鉴定≥42 卡/小时</w:t>
            </w:r>
          </w:p>
          <w:p w14:paraId="252B2D92">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3.加样通道：≥2 个加样通道，液体置换加样原理。采用固定 式的永久性加样钢针，避免加样针耗材费用，保证气密性及 便于吸取红细胞样本。</w:t>
            </w:r>
          </w:p>
          <w:p w14:paraId="66E44955">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4.标本位：≥96个，原始标本试管上机</w:t>
            </w:r>
          </w:p>
          <w:p w14:paraId="541B915D">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5.离心机：每台离心机卡位≥24卡位，转速：0～2000r/min。</w:t>
            </w:r>
          </w:p>
        </w:tc>
      </w:tr>
      <w:tr w14:paraId="3BDD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546" w:type="pct"/>
            <w:noWrap w:val="0"/>
            <w:vAlign w:val="center"/>
          </w:tcPr>
          <w:p w14:paraId="6D7CE897">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11</w:t>
            </w:r>
          </w:p>
        </w:tc>
        <w:tc>
          <w:tcPr>
            <w:tcW w:w="1011" w:type="pct"/>
            <w:noWrap w:val="0"/>
            <w:vAlign w:val="center"/>
          </w:tcPr>
          <w:p w14:paraId="1C03FF98">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全自动过敏原检测仪</w:t>
            </w:r>
          </w:p>
        </w:tc>
        <w:tc>
          <w:tcPr>
            <w:tcW w:w="436" w:type="pct"/>
            <w:noWrap w:val="0"/>
            <w:vAlign w:val="center"/>
          </w:tcPr>
          <w:p w14:paraId="05750B58">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1台</w:t>
            </w:r>
          </w:p>
        </w:tc>
        <w:tc>
          <w:tcPr>
            <w:tcW w:w="3005" w:type="pct"/>
            <w:noWrap w:val="0"/>
            <w:vAlign w:val="top"/>
          </w:tcPr>
          <w:p w14:paraId="3F99C8E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1.操作系统:中文操作界面</w:t>
            </w:r>
          </w:p>
          <w:p w14:paraId="7926348E">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2.检测通道:≥7通道,实现多卡联检。</w:t>
            </w:r>
          </w:p>
          <w:p w14:paraId="5A977BC7">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3.检测速度:测试7份样本时间≤60秒</w:t>
            </w:r>
          </w:p>
          <w:p w14:paraId="58B70835">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4.检测能力:可持续不间断测。</w:t>
            </w:r>
          </w:p>
          <w:p w14:paraId="6199409A">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5.联机功能:可连接医院LIS系统</w:t>
            </w:r>
          </w:p>
          <w:p w14:paraId="327EC49B">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6.检测项目：至少包含过敏原及食物不耐受</w:t>
            </w:r>
          </w:p>
        </w:tc>
      </w:tr>
      <w:tr w14:paraId="4F91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546" w:type="pct"/>
            <w:noWrap w:val="0"/>
            <w:vAlign w:val="center"/>
          </w:tcPr>
          <w:p w14:paraId="6C6E8BAF">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12</w:t>
            </w:r>
          </w:p>
        </w:tc>
        <w:tc>
          <w:tcPr>
            <w:tcW w:w="1011" w:type="pct"/>
            <w:noWrap w:val="0"/>
            <w:vAlign w:val="center"/>
          </w:tcPr>
          <w:p w14:paraId="1862AA7A">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实验室用纯水机</w:t>
            </w:r>
          </w:p>
        </w:tc>
        <w:tc>
          <w:tcPr>
            <w:tcW w:w="436" w:type="pct"/>
            <w:noWrap w:val="0"/>
            <w:vAlign w:val="center"/>
          </w:tcPr>
          <w:p w14:paraId="3AEC9CA3">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1台</w:t>
            </w:r>
          </w:p>
        </w:tc>
        <w:tc>
          <w:tcPr>
            <w:tcW w:w="3005" w:type="pct"/>
            <w:noWrap w:val="0"/>
            <w:vAlign w:val="top"/>
          </w:tcPr>
          <w:p w14:paraId="7833B093">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1.原水水质：城市自来水</w:t>
            </w:r>
          </w:p>
          <w:p w14:paraId="46D66BF9">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2.脱盐装置：反渗透+离子交换，脱盐率高达98%以上</w:t>
            </w:r>
          </w:p>
          <w:p w14:paraId="607FC63D">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★3.产水量：≥100L/H（25℃)</w:t>
            </w:r>
          </w:p>
          <w:p w14:paraId="2A041B1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★4.产水水质：10MΩ•cm 以上（绝对满足生化分析机的用水要求）符合GB6682-92《分析实验用水规格及试验方法》的用水标准</w:t>
            </w:r>
          </w:p>
        </w:tc>
      </w:tr>
      <w:tr w14:paraId="1F02B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546" w:type="pct"/>
            <w:noWrap w:val="0"/>
            <w:vAlign w:val="center"/>
          </w:tcPr>
          <w:p w14:paraId="143525BB">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13</w:t>
            </w:r>
          </w:p>
        </w:tc>
        <w:tc>
          <w:tcPr>
            <w:tcW w:w="1011" w:type="pct"/>
            <w:noWrap w:val="0"/>
            <w:vAlign w:val="center"/>
          </w:tcPr>
          <w:p w14:paraId="6F6C0DB0">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显微镜</w:t>
            </w:r>
          </w:p>
        </w:tc>
        <w:tc>
          <w:tcPr>
            <w:tcW w:w="436" w:type="pct"/>
            <w:noWrap w:val="0"/>
            <w:vAlign w:val="center"/>
          </w:tcPr>
          <w:p w14:paraId="0C834FE3">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1台</w:t>
            </w:r>
          </w:p>
        </w:tc>
        <w:tc>
          <w:tcPr>
            <w:tcW w:w="3005" w:type="pct"/>
            <w:noWrap w:val="0"/>
            <w:vAlign w:val="top"/>
          </w:tcPr>
          <w:p w14:paraId="1B66A6EB">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1.光学系统：齐焦距离为≦45 mm</w:t>
            </w:r>
          </w:p>
          <w:p w14:paraId="144159AE">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2.放大倍率：≥40-1000 倍</w:t>
            </w:r>
          </w:p>
          <w:p w14:paraId="552DB1A0">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3.照明系统： 内置 LED 光源，使用寿命≥60000 小时</w:t>
            </w:r>
          </w:p>
          <w:p w14:paraId="00026406">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rPr>
            </w:pPr>
            <w:r>
              <w:rPr>
                <w:rFonts w:hint="eastAsia" w:ascii="方正仿宋_GB18030" w:hAnsi="方正仿宋_GB18030" w:eastAsia="方正仿宋_GB18030" w:cs="方正仿宋_GB18030"/>
                <w:color w:val="auto"/>
                <w:sz w:val="28"/>
                <w:szCs w:val="28"/>
                <w:highlight w:val="none"/>
              </w:rPr>
              <w:t>4.物镜：包含 4X、10X、40X、100X</w:t>
            </w:r>
          </w:p>
        </w:tc>
      </w:tr>
      <w:tr w14:paraId="0E0E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6" w:type="pct"/>
            <w:noWrap w:val="0"/>
            <w:vAlign w:val="center"/>
          </w:tcPr>
          <w:p w14:paraId="4E2F3A7A">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14</w:t>
            </w:r>
          </w:p>
        </w:tc>
        <w:tc>
          <w:tcPr>
            <w:tcW w:w="1011" w:type="pct"/>
            <w:noWrap w:val="0"/>
            <w:vAlign w:val="center"/>
          </w:tcPr>
          <w:p w14:paraId="5DCA061B">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病理远程会诊系统</w:t>
            </w:r>
          </w:p>
        </w:tc>
        <w:tc>
          <w:tcPr>
            <w:tcW w:w="436" w:type="pct"/>
            <w:noWrap w:val="0"/>
            <w:vAlign w:val="center"/>
          </w:tcPr>
          <w:p w14:paraId="7460C455">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1台</w:t>
            </w:r>
          </w:p>
        </w:tc>
        <w:tc>
          <w:tcPr>
            <w:tcW w:w="3005" w:type="pct"/>
            <w:noWrap w:val="0"/>
            <w:vAlign w:val="center"/>
          </w:tcPr>
          <w:p w14:paraId="798EFA89">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1.扫描速度（组织区域 15*15mm）：20X≤40s；40X≤100s</w:t>
            </w:r>
          </w:p>
          <w:p w14:paraId="7E53E42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2.扫描模式：支持单层、多层及多层融合扫描</w:t>
            </w:r>
          </w:p>
          <w:p w14:paraId="0E853E6E">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3.对焦方式：全自动/手动</w:t>
            </w:r>
          </w:p>
          <w:p w14:paraId="64624E60">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4.区域识别：自动识别组织区域</w:t>
            </w:r>
          </w:p>
          <w:p w14:paraId="17FC6BF3">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5.含图像浏览管理软件</w:t>
            </w:r>
          </w:p>
        </w:tc>
      </w:tr>
      <w:tr w14:paraId="73754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546" w:type="pct"/>
            <w:noWrap w:val="0"/>
            <w:vAlign w:val="center"/>
          </w:tcPr>
          <w:p w14:paraId="23780968">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15</w:t>
            </w:r>
          </w:p>
        </w:tc>
        <w:tc>
          <w:tcPr>
            <w:tcW w:w="1011" w:type="pct"/>
            <w:noWrap w:val="0"/>
            <w:vAlign w:val="center"/>
          </w:tcPr>
          <w:p w14:paraId="7611B40D">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液基细胞学制片机(TCT)</w:t>
            </w:r>
          </w:p>
        </w:tc>
        <w:tc>
          <w:tcPr>
            <w:tcW w:w="436" w:type="pct"/>
            <w:noWrap w:val="0"/>
            <w:vAlign w:val="center"/>
          </w:tcPr>
          <w:p w14:paraId="500E4017">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1台</w:t>
            </w:r>
          </w:p>
        </w:tc>
        <w:tc>
          <w:tcPr>
            <w:tcW w:w="3005" w:type="pct"/>
            <w:noWrap w:val="0"/>
            <w:vAlign w:val="center"/>
          </w:tcPr>
          <w:p w14:paraId="248A023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1.设备原理：采用膜式沉降技术原理</w:t>
            </w:r>
          </w:p>
          <w:p w14:paraId="066CDA0A">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2.制片染色机：一批处理量≥20 个标本，样本自动加样制片，自动完成巴氏染色。</w:t>
            </w:r>
          </w:p>
          <w:p w14:paraId="40AF6895">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3.样本保存瓶直接上机，无需离心处理，分离、制片、染色一站式全自动完成。</w:t>
            </w:r>
          </w:p>
          <w:p w14:paraId="376495EA">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4.自动独立染色，可任意选定起始步骤。</w:t>
            </w:r>
          </w:p>
          <w:p w14:paraId="3D91DC3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5.染色制片程序全程由电脑控制，无批间差。</w:t>
            </w:r>
          </w:p>
          <w:p w14:paraId="6A2A1BA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6.可实现移动终端(平板电脑)对设备的本连接操作、控制和信息实时显示。</w:t>
            </w:r>
          </w:p>
          <w:p w14:paraId="41EAD6BF">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7.具备安全保护上液位过低报警及电机停转报警。</w:t>
            </w:r>
          </w:p>
          <w:p w14:paraId="74156CE4">
            <w:pPr>
              <w:keepNext w:val="0"/>
              <w:keepLines w:val="0"/>
              <w:pageBreakBefore w:val="0"/>
              <w:tabs>
                <w:tab w:val="left" w:pos="426"/>
              </w:tabs>
              <w:kinsoku/>
              <w:wordWrap/>
              <w:overflowPunct/>
              <w:topLinePunct w:val="0"/>
              <w:autoSpaceDE/>
              <w:autoSpaceDN/>
              <w:bidi w:val="0"/>
              <w:adjustRightInd/>
              <w:snapToGrid/>
              <w:spacing w:line="360" w:lineRule="exact"/>
              <w:jc w:val="left"/>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8.图文报告系统：中文报告系统。</w:t>
            </w:r>
          </w:p>
        </w:tc>
      </w:tr>
      <w:tr w14:paraId="73E1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pct"/>
            <w:noWrap w:val="0"/>
            <w:vAlign w:val="center"/>
          </w:tcPr>
          <w:p w14:paraId="273FC348">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16</w:t>
            </w:r>
          </w:p>
        </w:tc>
        <w:tc>
          <w:tcPr>
            <w:tcW w:w="1011" w:type="pct"/>
            <w:noWrap w:val="0"/>
            <w:vAlign w:val="center"/>
          </w:tcPr>
          <w:p w14:paraId="6FB38BB7">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离心机</w:t>
            </w:r>
          </w:p>
        </w:tc>
        <w:tc>
          <w:tcPr>
            <w:tcW w:w="436" w:type="pct"/>
            <w:noWrap w:val="0"/>
            <w:vAlign w:val="center"/>
          </w:tcPr>
          <w:p w14:paraId="0620857D">
            <w:pPr>
              <w:pStyle w:val="13"/>
              <w:keepNext w:val="0"/>
              <w:keepLines w:val="0"/>
              <w:pageBreakBefore w:val="0"/>
              <w:kinsoku/>
              <w:wordWrap/>
              <w:overflowPunct/>
              <w:topLinePunct w:val="0"/>
              <w:autoSpaceDE/>
              <w:autoSpaceDN/>
              <w:bidi w:val="0"/>
              <w:adjustRightInd/>
              <w:snapToGrid/>
              <w:spacing w:line="360" w:lineRule="exact"/>
              <w:ind w:right="105"/>
              <w:jc w:val="center"/>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4台</w:t>
            </w:r>
          </w:p>
        </w:tc>
        <w:tc>
          <w:tcPr>
            <w:tcW w:w="3005" w:type="pct"/>
            <w:noWrap w:val="0"/>
            <w:vAlign w:val="center"/>
          </w:tcPr>
          <w:p w14:paraId="47CE38D7">
            <w:pPr>
              <w:pStyle w:val="13"/>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exact"/>
              <w:ind w:right="0"/>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1.最高转速：≥6000rpm±10rpm，最大相对离心力：≥5500xg</w:t>
            </w:r>
          </w:p>
          <w:p w14:paraId="1B2C80EF">
            <w:pPr>
              <w:pStyle w:val="13"/>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exact"/>
              <w:ind w:right="0"/>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2.工作程序选择：≥20 组</w:t>
            </w:r>
          </w:p>
          <w:p w14:paraId="4636E002">
            <w:pPr>
              <w:pStyle w:val="13"/>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exact"/>
              <w:ind w:right="0"/>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3.升降速档：≥15加速档/15减速档</w:t>
            </w:r>
          </w:p>
          <w:p w14:paraId="4632CE22">
            <w:pPr>
              <w:pStyle w:val="13"/>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exact"/>
              <w:ind w:right="0"/>
              <w:textAlignment w:val="auto"/>
              <w:rPr>
                <w:rFonts w:hint="eastAsia" w:ascii="方正仿宋_GB18030" w:hAnsi="方正仿宋_GB18030" w:eastAsia="方正仿宋_GB18030" w:cs="方正仿宋_GB18030"/>
                <w:color w:val="auto"/>
                <w:sz w:val="28"/>
                <w:szCs w:val="28"/>
                <w:highlight w:val="none"/>
                <w:lang w:val="en-US" w:eastAsia="zh-CN"/>
              </w:rPr>
            </w:pPr>
            <w:r>
              <w:rPr>
                <w:rFonts w:hint="eastAsia" w:ascii="方正仿宋_GB18030" w:hAnsi="方正仿宋_GB18030" w:eastAsia="方正仿宋_GB18030" w:cs="方正仿宋_GB18030"/>
                <w:color w:val="auto"/>
                <w:sz w:val="28"/>
                <w:szCs w:val="28"/>
                <w:highlight w:val="none"/>
                <w:lang w:val="en-US" w:eastAsia="zh-CN"/>
              </w:rPr>
              <w:t>4.具备定速计时功能、启动计时功能</w:t>
            </w:r>
          </w:p>
        </w:tc>
      </w:tr>
    </w:tbl>
    <w:p w14:paraId="72962760">
      <w:pPr>
        <w:tabs>
          <w:tab w:val="left" w:pos="426"/>
        </w:tabs>
        <w:spacing w:line="360" w:lineRule="auto"/>
        <w:ind w:firstLine="560" w:firstLineChars="200"/>
        <w:jc w:val="left"/>
        <w:rPr>
          <w:rFonts w:hint="default" w:ascii="仿宋" w:hAnsi="仿宋" w:eastAsia="仿宋" w:cs="仿宋"/>
          <w:color w:val="000000"/>
          <w:sz w:val="28"/>
          <w:szCs w:val="28"/>
          <w:highlight w:val="none"/>
          <w:lang w:val="en-US" w:eastAsia="zh-CN"/>
        </w:rPr>
      </w:pPr>
      <w:r>
        <w:rPr>
          <w:rFonts w:hint="eastAsia" w:ascii="仿宋" w:hAnsi="仿宋" w:eastAsia="仿宋" w:cs="仿宋"/>
          <w:b/>
          <w:bCs/>
          <w:sz w:val="28"/>
          <w:szCs w:val="28"/>
          <w:highlight w:val="none"/>
        </w:rPr>
        <w:t>2.</w:t>
      </w:r>
      <w:r>
        <w:rPr>
          <w:rFonts w:hint="eastAsia" w:ascii="仿宋" w:hAnsi="仿宋" w:eastAsia="仿宋" w:cs="仿宋"/>
          <w:color w:val="000000"/>
          <w:sz w:val="28"/>
          <w:szCs w:val="28"/>
          <w:highlight w:val="none"/>
        </w:rPr>
        <w:t>新增检验及配套设备等产权属提供设备的供应商。</w:t>
      </w:r>
      <w:r>
        <w:rPr>
          <w:rFonts w:hint="eastAsia" w:ascii="仿宋" w:hAnsi="仿宋" w:cs="仿宋"/>
          <w:color w:val="000000"/>
          <w:sz w:val="28"/>
          <w:szCs w:val="28"/>
          <w:highlight w:val="none"/>
          <w:lang w:val="en-US" w:eastAsia="zh-CN"/>
        </w:rPr>
        <w:t>合同到期后医共体成员单位有永久使用权。</w:t>
      </w:r>
    </w:p>
    <w:p w14:paraId="1CC0C933">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b/>
          <w:bCs/>
          <w:sz w:val="28"/>
          <w:szCs w:val="28"/>
          <w:highlight w:val="none"/>
        </w:rPr>
        <w:t>3.</w:t>
      </w:r>
      <w:r>
        <w:rPr>
          <w:rFonts w:hint="eastAsia" w:ascii="仿宋" w:hAnsi="仿宋" w:eastAsia="仿宋" w:cs="仿宋"/>
          <w:sz w:val="28"/>
          <w:szCs w:val="28"/>
          <w:highlight w:val="none"/>
        </w:rPr>
        <w:t>新增设备仅代表检验中心初期需投入的主要设备，并非指合作期内检验中心为了开展项目所需要的所有设备。后期</w:t>
      </w:r>
      <w:r>
        <w:rPr>
          <w:rFonts w:hint="eastAsia" w:ascii="仿宋" w:hAnsi="仿宋" w:eastAsia="仿宋" w:cs="仿宋"/>
          <w:sz w:val="28"/>
          <w:szCs w:val="28"/>
          <w:highlight w:val="none"/>
          <w:lang w:val="en-US" w:eastAsia="zh-CN"/>
        </w:rPr>
        <w:t>如</w:t>
      </w:r>
      <w:r>
        <w:rPr>
          <w:rFonts w:hint="eastAsia" w:ascii="仿宋" w:hAnsi="仿宋" w:eastAsia="仿宋" w:cs="仿宋"/>
          <w:sz w:val="28"/>
          <w:szCs w:val="28"/>
          <w:highlight w:val="none"/>
        </w:rPr>
        <w:t>有需要新增设备时由临床发起设备需求，采购方</w:t>
      </w:r>
      <w:r>
        <w:rPr>
          <w:rFonts w:hint="eastAsia" w:ascii="仿宋" w:hAnsi="仿宋" w:eastAsia="仿宋" w:cs="仿宋"/>
          <w:sz w:val="28"/>
          <w:szCs w:val="28"/>
          <w:highlight w:val="none"/>
          <w:lang w:val="en-US" w:eastAsia="zh-CN"/>
        </w:rPr>
        <w:t>与供应商协商达成一致后</w:t>
      </w:r>
      <w:r>
        <w:rPr>
          <w:rFonts w:hint="eastAsia" w:ascii="仿宋" w:hAnsi="仿宋" w:eastAsia="仿宋" w:cs="仿宋"/>
          <w:sz w:val="28"/>
          <w:szCs w:val="28"/>
          <w:highlight w:val="none"/>
        </w:rPr>
        <w:t>，由</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进行设备增加。</w:t>
      </w:r>
    </w:p>
    <w:p w14:paraId="05B959D2">
      <w:pPr>
        <w:tabs>
          <w:tab w:val="left" w:pos="426"/>
        </w:tabs>
        <w:spacing w:line="360" w:lineRule="auto"/>
        <w:ind w:firstLine="560" w:firstLineChars="200"/>
        <w:jc w:val="left"/>
        <w:outlineLvl w:val="2"/>
        <w:rPr>
          <w:rFonts w:hint="eastAsia" w:ascii="仿宋" w:hAnsi="仿宋" w:eastAsia="仿宋" w:cs="仿宋"/>
          <w:sz w:val="28"/>
          <w:szCs w:val="28"/>
          <w:highlight w:val="none"/>
        </w:rPr>
      </w:pPr>
      <w:bookmarkStart w:id="127" w:name="_Toc17519"/>
      <w:r>
        <w:rPr>
          <w:rFonts w:hint="eastAsia" w:ascii="仿宋" w:hAnsi="仿宋" w:eastAsia="仿宋" w:cs="仿宋"/>
          <w:b/>
          <w:bCs/>
          <w:sz w:val="28"/>
          <w:szCs w:val="28"/>
          <w:highlight w:val="none"/>
        </w:rPr>
        <w:t>4</w:t>
      </w:r>
      <w:r>
        <w:rPr>
          <w:rFonts w:hint="eastAsia" w:ascii="仿宋" w:hAnsi="仿宋" w:eastAsia="仿宋" w:cs="仿宋"/>
          <w:sz w:val="28"/>
          <w:szCs w:val="28"/>
          <w:highlight w:val="none"/>
        </w:rPr>
        <w:t>供应商提供的仪器设备必须是国内</w:t>
      </w:r>
      <w:r>
        <w:rPr>
          <w:rFonts w:hint="eastAsia" w:ascii="仿宋" w:hAnsi="仿宋" w:eastAsia="仿宋" w:cs="仿宋"/>
          <w:sz w:val="28"/>
          <w:szCs w:val="28"/>
          <w:highlight w:val="none"/>
          <w:lang w:val="en-US" w:eastAsia="zh-CN"/>
        </w:rPr>
        <w:t>知名</w:t>
      </w:r>
      <w:r>
        <w:rPr>
          <w:rFonts w:hint="eastAsia" w:ascii="仿宋" w:hAnsi="仿宋" w:eastAsia="仿宋" w:cs="仿宋"/>
          <w:sz w:val="28"/>
          <w:szCs w:val="28"/>
          <w:highlight w:val="none"/>
        </w:rPr>
        <w:t>品牌的原装设备。</w:t>
      </w:r>
      <w:bookmarkEnd w:id="127"/>
    </w:p>
    <w:p w14:paraId="27E3E3EA">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b/>
          <w:bCs/>
          <w:sz w:val="28"/>
          <w:szCs w:val="28"/>
          <w:highlight w:val="none"/>
        </w:rPr>
        <w:t>5.</w:t>
      </w:r>
      <w:r>
        <w:rPr>
          <w:rFonts w:hint="eastAsia" w:ascii="仿宋" w:hAnsi="仿宋" w:eastAsia="仿宋" w:cs="仿宋"/>
          <w:sz w:val="28"/>
          <w:szCs w:val="28"/>
          <w:highlight w:val="none"/>
          <w:lang w:val="en-US" w:eastAsia="zh-CN"/>
        </w:rPr>
        <w:t>同一医疗单位</w:t>
      </w:r>
      <w:r>
        <w:rPr>
          <w:rFonts w:hint="eastAsia" w:ascii="仿宋" w:hAnsi="仿宋" w:eastAsia="仿宋" w:cs="仿宋"/>
          <w:sz w:val="28"/>
          <w:szCs w:val="28"/>
          <w:highlight w:val="none"/>
        </w:rPr>
        <w:t>同一项目在多台仪器检测时，所用的仪器原则上均应保证是同一品牌、同一方法。</w:t>
      </w:r>
    </w:p>
    <w:p w14:paraId="05220175">
      <w:pPr>
        <w:tabs>
          <w:tab w:val="left" w:pos="426"/>
        </w:tabs>
        <w:spacing w:line="360" w:lineRule="auto"/>
        <w:ind w:firstLine="560" w:firstLineChars="200"/>
        <w:jc w:val="left"/>
        <w:rPr>
          <w:rFonts w:hint="eastAsia" w:ascii="仿宋" w:hAnsi="仿宋" w:eastAsia="仿宋" w:cs="仿宋"/>
          <w:sz w:val="28"/>
          <w:szCs w:val="28"/>
          <w:highlight w:val="none"/>
        </w:rPr>
      </w:pPr>
      <w:bookmarkStart w:id="128" w:name="_Toc6921"/>
      <w:r>
        <w:rPr>
          <w:rFonts w:hint="eastAsia" w:ascii="仿宋" w:hAnsi="仿宋" w:eastAsia="仿宋" w:cs="仿宋"/>
          <w:b/>
          <w:bCs/>
          <w:sz w:val="28"/>
          <w:szCs w:val="28"/>
          <w:highlight w:val="none"/>
        </w:rPr>
        <w:t>6.</w:t>
      </w:r>
      <w:r>
        <w:rPr>
          <w:rFonts w:hint="eastAsia" w:ascii="仿宋" w:hAnsi="仿宋" w:eastAsia="仿宋" w:cs="仿宋"/>
          <w:sz w:val="28"/>
          <w:szCs w:val="28"/>
          <w:highlight w:val="none"/>
        </w:rPr>
        <w:t>设备需在供货时提供医疗器械注册证。</w:t>
      </w:r>
      <w:bookmarkEnd w:id="128"/>
    </w:p>
    <w:p w14:paraId="726E3D90">
      <w:pPr>
        <w:tabs>
          <w:tab w:val="left" w:pos="426"/>
        </w:tabs>
        <w:spacing w:line="360" w:lineRule="auto"/>
        <w:ind w:firstLine="560" w:firstLineChars="200"/>
        <w:jc w:val="left"/>
        <w:outlineLvl w:val="1"/>
        <w:rPr>
          <w:rFonts w:hint="eastAsia" w:ascii="仿宋" w:hAnsi="仿宋" w:eastAsia="仿宋" w:cs="仿宋"/>
          <w:b w:val="0"/>
          <w:bCs w:val="0"/>
          <w:sz w:val="28"/>
          <w:szCs w:val="28"/>
          <w:highlight w:val="none"/>
        </w:rPr>
      </w:pPr>
      <w:bookmarkStart w:id="129" w:name="_Toc10422"/>
      <w:r>
        <w:rPr>
          <w:rFonts w:hint="eastAsia" w:ascii="仿宋" w:hAnsi="仿宋" w:eastAsia="仿宋" w:cs="仿宋"/>
          <w:b w:val="0"/>
          <w:bCs w:val="0"/>
          <w:sz w:val="28"/>
          <w:szCs w:val="28"/>
          <w:highlight w:val="none"/>
        </w:rPr>
        <w:t>（三）仪器、冷链物流及学科建设等的相关要求</w:t>
      </w:r>
      <w:bookmarkEnd w:id="129"/>
    </w:p>
    <w:p w14:paraId="3C260615">
      <w:pPr>
        <w:tabs>
          <w:tab w:val="left" w:pos="426"/>
        </w:tabs>
        <w:spacing w:line="360" w:lineRule="auto"/>
        <w:ind w:firstLine="560" w:firstLineChars="200"/>
        <w:jc w:val="lef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1.在合作期间，供应商需保障区域检验中心日常检测所需的全部仪器、辅助设备供应；如需新增设备，（</w:t>
      </w:r>
      <w:r>
        <w:rPr>
          <w:rFonts w:hint="eastAsia" w:ascii="仿宋" w:hAnsi="仿宋" w:eastAsia="仿宋" w:cs="仿宋"/>
          <w:sz w:val="28"/>
          <w:szCs w:val="28"/>
          <w:highlight w:val="none"/>
          <w:lang w:val="en-US" w:eastAsia="zh-CN"/>
        </w:rPr>
        <w:t>如</w:t>
      </w:r>
      <w:r>
        <w:rPr>
          <w:rFonts w:hint="eastAsia" w:ascii="仿宋" w:hAnsi="仿宋" w:eastAsia="仿宋" w:cs="仿宋"/>
          <w:sz w:val="28"/>
          <w:szCs w:val="28"/>
          <w:highlight w:val="none"/>
        </w:rPr>
        <w:t>全自动智能化流水线轨道</w:t>
      </w:r>
      <w:r>
        <w:rPr>
          <w:rFonts w:hint="eastAsia" w:ascii="仿宋" w:hAnsi="仿宋" w:cs="仿宋"/>
          <w:sz w:val="28"/>
          <w:szCs w:val="28"/>
          <w:highlight w:val="none"/>
          <w:u w:val="none"/>
          <w:lang w:eastAsia="zh-CN"/>
        </w:rPr>
        <w:t>、</w:t>
      </w:r>
      <w:r>
        <w:rPr>
          <w:rFonts w:hint="eastAsia" w:ascii="方正仿宋_GB18030" w:hAnsi="方正仿宋_GB18030" w:eastAsia="方正仿宋_GB18030" w:cs="方正仿宋_GB18030"/>
          <w:sz w:val="28"/>
          <w:szCs w:val="28"/>
          <w:highlight w:val="none"/>
          <w:u w:val="none"/>
        </w:rPr>
        <w:t>全自动凝血分析仪</w:t>
      </w:r>
      <w:r>
        <w:rPr>
          <w:rFonts w:hint="eastAsia" w:ascii="仿宋" w:hAnsi="仿宋" w:eastAsia="仿宋" w:cs="仿宋"/>
          <w:sz w:val="28"/>
          <w:szCs w:val="28"/>
          <w:highlight w:val="none"/>
          <w:u w:val="none"/>
        </w:rPr>
        <w:t>）</w:t>
      </w:r>
      <w:r>
        <w:rPr>
          <w:rFonts w:hint="eastAsia" w:ascii="仿宋" w:hAnsi="仿宋" w:eastAsia="仿宋" w:cs="仿宋"/>
          <w:sz w:val="28"/>
          <w:szCs w:val="28"/>
          <w:highlight w:val="none"/>
        </w:rPr>
        <w:t>应经双方沟通</w:t>
      </w:r>
      <w:r>
        <w:rPr>
          <w:rFonts w:hint="eastAsia" w:ascii="仿宋" w:hAnsi="仿宋" w:eastAsia="仿宋" w:cs="仿宋"/>
          <w:sz w:val="28"/>
          <w:szCs w:val="28"/>
          <w:highlight w:val="none"/>
          <w:lang w:val="en-US" w:eastAsia="zh-CN"/>
        </w:rPr>
        <w:t>达成一致后</w:t>
      </w:r>
      <w:r>
        <w:rPr>
          <w:rFonts w:hint="eastAsia" w:ascii="仿宋" w:hAnsi="仿宋" w:eastAsia="仿宋" w:cs="仿宋"/>
          <w:sz w:val="28"/>
          <w:szCs w:val="28"/>
          <w:highlight w:val="none"/>
        </w:rPr>
        <w:t>由供应商落实，且供应商在提供仪器及辅助设备时，需优先征求医共体意见</w:t>
      </w:r>
      <w:r>
        <w:rPr>
          <w:rFonts w:hint="eastAsia" w:ascii="仿宋" w:hAnsi="仿宋" w:eastAsia="仿宋" w:cs="仿宋"/>
          <w:sz w:val="28"/>
          <w:szCs w:val="28"/>
          <w:highlight w:val="none"/>
          <w:lang w:eastAsia="zh-CN"/>
        </w:rPr>
        <w:t>。</w:t>
      </w:r>
    </w:p>
    <w:p w14:paraId="77B1ACA0">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b/>
          <w:bCs/>
          <w:sz w:val="28"/>
          <w:szCs w:val="28"/>
          <w:highlight w:val="none"/>
        </w:rPr>
        <w:t>2.</w:t>
      </w:r>
      <w:r>
        <w:rPr>
          <w:rFonts w:hint="eastAsia" w:ascii="仿宋" w:hAnsi="仿宋" w:eastAsia="仿宋" w:cs="仿宋"/>
          <w:sz w:val="28"/>
          <w:szCs w:val="28"/>
          <w:highlight w:val="none"/>
        </w:rPr>
        <w:t>新增临床检验项目和新增设备投入必须按</w:t>
      </w:r>
      <w:r>
        <w:rPr>
          <w:rFonts w:hint="eastAsia" w:ascii="仿宋" w:hAnsi="仿宋" w:eastAsia="仿宋" w:cs="仿宋"/>
          <w:sz w:val="28"/>
          <w:szCs w:val="28"/>
          <w:highlight w:val="none"/>
          <w:lang w:val="en-US" w:eastAsia="zh-CN"/>
        </w:rPr>
        <w:t>医院相</w:t>
      </w:r>
      <w:r>
        <w:rPr>
          <w:rFonts w:hint="eastAsia" w:ascii="仿宋" w:hAnsi="仿宋" w:eastAsia="仿宋" w:cs="仿宋"/>
          <w:sz w:val="28"/>
          <w:szCs w:val="28"/>
          <w:highlight w:val="none"/>
        </w:rPr>
        <w:t>关医疗器械管理制度规定实行同质化管理。</w:t>
      </w:r>
    </w:p>
    <w:p w14:paraId="5473BFD1">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b/>
          <w:bCs/>
          <w:sz w:val="28"/>
          <w:szCs w:val="28"/>
          <w:highlight w:val="none"/>
        </w:rPr>
        <w:t>3.</w:t>
      </w:r>
      <w:r>
        <w:rPr>
          <w:rFonts w:hint="eastAsia" w:ascii="仿宋" w:hAnsi="仿宋" w:eastAsia="仿宋" w:cs="仿宋"/>
          <w:sz w:val="28"/>
          <w:szCs w:val="28"/>
          <w:highlight w:val="none"/>
        </w:rPr>
        <w:t>根据医共体所列的新增设备清单，供应商必须详细列出新增设备投入的实施细则方案（投入时间表、辅助设备等）。提供相对应的设备品牌、型号、技术参数、生产厂家、性能、售后服务等内容。</w:t>
      </w:r>
    </w:p>
    <w:p w14:paraId="6CCF226E">
      <w:pPr>
        <w:tabs>
          <w:tab w:val="left" w:pos="426"/>
        </w:tabs>
        <w:spacing w:line="360" w:lineRule="auto"/>
        <w:ind w:firstLine="560" w:firstLineChars="200"/>
        <w:jc w:val="left"/>
        <w:outlineLvl w:val="2"/>
        <w:rPr>
          <w:rFonts w:hint="eastAsia" w:ascii="仿宋" w:hAnsi="仿宋" w:eastAsia="仿宋" w:cs="仿宋"/>
          <w:b/>
          <w:bCs/>
          <w:sz w:val="28"/>
          <w:szCs w:val="28"/>
          <w:highlight w:val="none"/>
        </w:rPr>
      </w:pPr>
      <w:bookmarkStart w:id="130" w:name="_Toc9778"/>
      <w:r>
        <w:rPr>
          <w:rFonts w:hint="eastAsia" w:ascii="仿宋" w:hAnsi="仿宋" w:eastAsia="仿宋" w:cs="仿宋"/>
          <w:b/>
          <w:bCs/>
          <w:sz w:val="28"/>
          <w:szCs w:val="28"/>
          <w:highlight w:val="none"/>
        </w:rPr>
        <w:t>4.关于仪器需要更换或更新的相关要求：</w:t>
      </w:r>
      <w:bookmarkEnd w:id="130"/>
    </w:p>
    <w:p w14:paraId="1600D6DE">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4.1使用中的仪器在合作期间需要更换时，供应商应至少提供3个同档次且当前最新型号的品牌交医共体选择</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供应商必须对新更换的仪器进行性能验证</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验证通过后，经医共体审核同意方可更换。</w:t>
      </w:r>
    </w:p>
    <w:p w14:paraId="447BA0D6">
      <w:pPr>
        <w:tabs>
          <w:tab w:val="left" w:pos="426"/>
        </w:tabs>
        <w:spacing w:line="360" w:lineRule="auto"/>
        <w:ind w:firstLine="560" w:firstLineChars="200"/>
        <w:jc w:val="left"/>
        <w:outlineLvl w:val="3"/>
        <w:rPr>
          <w:rFonts w:hint="eastAsia" w:ascii="仿宋" w:hAnsi="仿宋" w:eastAsia="仿宋" w:cs="仿宋"/>
          <w:sz w:val="28"/>
          <w:szCs w:val="28"/>
          <w:highlight w:val="none"/>
        </w:rPr>
      </w:pPr>
      <w:r>
        <w:rPr>
          <w:rFonts w:hint="eastAsia" w:ascii="仿宋" w:hAnsi="仿宋" w:eastAsia="仿宋" w:cs="仿宋"/>
          <w:sz w:val="28"/>
          <w:szCs w:val="28"/>
          <w:highlight w:val="none"/>
        </w:rPr>
        <w:t>4.2供应商承担仪器更新后性能验证所需要的全部费用。</w:t>
      </w:r>
    </w:p>
    <w:p w14:paraId="19E45FEB">
      <w:pPr>
        <w:numPr>
          <w:ilvl w:val="0"/>
          <w:numId w:val="0"/>
        </w:numPr>
        <w:tabs>
          <w:tab w:val="left" w:pos="426"/>
        </w:tabs>
        <w:spacing w:line="360" w:lineRule="auto"/>
        <w:ind w:firstLine="560" w:firstLineChars="2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5.</w:t>
      </w:r>
      <w:r>
        <w:rPr>
          <w:rFonts w:hint="eastAsia" w:ascii="仿宋" w:hAnsi="仿宋" w:eastAsia="仿宋" w:cs="仿宋"/>
          <w:b/>
          <w:bCs/>
          <w:sz w:val="28"/>
          <w:szCs w:val="28"/>
          <w:highlight w:val="none"/>
        </w:rPr>
        <w:t>关于设备维护、维修的相关要求</w:t>
      </w:r>
      <w:r>
        <w:rPr>
          <w:rFonts w:hint="eastAsia" w:ascii="仿宋" w:hAnsi="仿宋" w:eastAsia="仿宋" w:cs="仿宋"/>
          <w:b/>
          <w:bCs/>
          <w:sz w:val="28"/>
          <w:szCs w:val="28"/>
          <w:highlight w:val="none"/>
          <w:lang w:eastAsia="zh-CN"/>
        </w:rPr>
        <w:t>：</w:t>
      </w:r>
    </w:p>
    <w:p w14:paraId="7412ABFE">
      <w:pPr>
        <w:numPr>
          <w:ilvl w:val="0"/>
          <w:numId w:val="0"/>
        </w:numPr>
        <w:tabs>
          <w:tab w:val="left" w:pos="426"/>
        </w:tabs>
        <w:spacing w:line="360" w:lineRule="auto"/>
        <w:ind w:firstLine="560" w:firstLineChars="200"/>
        <w:jc w:val="left"/>
        <w:rPr>
          <w:rFonts w:hint="eastAsia" w:ascii="仿宋" w:hAnsi="仿宋" w:eastAsia="仿宋" w:cs="仿宋"/>
          <w:sz w:val="28"/>
          <w:szCs w:val="28"/>
          <w:highlight w:val="yellow"/>
        </w:rPr>
      </w:pPr>
      <w:r>
        <w:rPr>
          <w:rFonts w:hint="eastAsia" w:ascii="仿宋" w:hAnsi="仿宋" w:eastAsia="仿宋" w:cs="仿宋"/>
          <w:sz w:val="28"/>
          <w:szCs w:val="28"/>
        </w:rPr>
        <w:t>供应商需按医共体的设备管理制度要求，对区域检验中心的所有</w:t>
      </w:r>
      <w:r>
        <w:rPr>
          <w:rFonts w:hint="eastAsia" w:ascii="仿宋" w:hAnsi="仿宋" w:eastAsia="仿宋" w:cs="仿宋"/>
          <w:sz w:val="28"/>
          <w:szCs w:val="28"/>
          <w:lang w:val="en-US" w:eastAsia="zh-CN"/>
        </w:rPr>
        <w:t>新增</w:t>
      </w:r>
      <w:r>
        <w:rPr>
          <w:rFonts w:hint="eastAsia" w:ascii="仿宋" w:hAnsi="仿宋" w:eastAsia="仿宋" w:cs="仿宋"/>
          <w:sz w:val="28"/>
          <w:szCs w:val="28"/>
        </w:rPr>
        <w:t>仪器设备实施日常保养、计划性的预防性维护、故障维修</w:t>
      </w:r>
      <w:r>
        <w:rPr>
          <w:rFonts w:hint="eastAsia" w:ascii="仿宋" w:hAnsi="仿宋" w:eastAsia="仿宋" w:cs="仿宋"/>
          <w:sz w:val="28"/>
          <w:szCs w:val="28"/>
          <w:lang w:eastAsia="zh-CN"/>
        </w:rPr>
        <w:t>、</w:t>
      </w:r>
      <w:r>
        <w:rPr>
          <w:rFonts w:hint="eastAsia" w:ascii="仿宋" w:hAnsi="仿宋" w:eastAsia="仿宋" w:cs="仿宋"/>
          <w:sz w:val="28"/>
          <w:szCs w:val="28"/>
        </w:rPr>
        <w:t>属于第三方维护、状态检查、校准、计量等，由供应商负责联系执行，以上所有费用由供应商支付，相关维护、状态检查、校准、计量等报告需上交医共体归档。</w:t>
      </w:r>
    </w:p>
    <w:p w14:paraId="76E98121">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31" w:name="_Toc26984"/>
      <w:r>
        <w:rPr>
          <w:rFonts w:hint="eastAsia" w:ascii="仿宋" w:hAnsi="仿宋" w:eastAsia="仿宋" w:cs="仿宋"/>
          <w:b/>
          <w:bCs/>
          <w:sz w:val="28"/>
          <w:szCs w:val="28"/>
        </w:rPr>
        <w:t>6.关于新项目开展的相关要求：</w:t>
      </w:r>
      <w:bookmarkEnd w:id="131"/>
    </w:p>
    <w:p w14:paraId="26823CD8">
      <w:pPr>
        <w:tabs>
          <w:tab w:val="left" w:pos="426"/>
        </w:tabs>
        <w:spacing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sz w:val="28"/>
          <w:szCs w:val="28"/>
        </w:rPr>
        <w:t>6.1</w:t>
      </w:r>
      <w:r>
        <w:rPr>
          <w:rFonts w:hint="eastAsia" w:ascii="仿宋" w:hAnsi="仿宋" w:eastAsia="仿宋" w:cs="仿宋"/>
          <w:color w:val="000000"/>
          <w:sz w:val="28"/>
          <w:szCs w:val="28"/>
        </w:rPr>
        <w:t>为满足临床诊疗的不断需求，实现可持续发展，供应商应保证且在医院原有的检测项目基础上，不断优化检验项目、开展实验室检测的新项目、新技术。</w:t>
      </w:r>
    </w:p>
    <w:p w14:paraId="10E0FA62">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6.2供应商必须配合医共体对新项目、新技术开展的必要性和可行性进行充分论证，避免开展利用率不高、临床意义不明、检测方法不可靠之类的无效“新”项目。</w:t>
      </w:r>
    </w:p>
    <w:p w14:paraId="0FE7C29B">
      <w:pPr>
        <w:tabs>
          <w:tab w:val="left" w:pos="426"/>
        </w:tabs>
        <w:spacing w:line="360" w:lineRule="auto"/>
        <w:ind w:firstLine="560" w:firstLineChars="200"/>
        <w:jc w:val="left"/>
        <w:outlineLvl w:val="2"/>
        <w:rPr>
          <w:rFonts w:hint="eastAsia" w:ascii="仿宋" w:hAnsi="仿宋" w:eastAsia="仿宋" w:cs="仿宋"/>
          <w:b/>
          <w:bCs/>
          <w:sz w:val="28"/>
          <w:szCs w:val="28"/>
          <w:highlight w:val="yellow"/>
        </w:rPr>
      </w:pPr>
      <w:bookmarkStart w:id="132" w:name="_Toc7991"/>
      <w:r>
        <w:rPr>
          <w:rFonts w:hint="eastAsia" w:ascii="仿宋" w:hAnsi="仿宋" w:eastAsia="仿宋" w:cs="仿宋"/>
          <w:b/>
          <w:bCs/>
          <w:sz w:val="28"/>
          <w:szCs w:val="28"/>
        </w:rPr>
        <w:t>7.关于区域检验中心学科建设的其他相关要求</w:t>
      </w:r>
      <w:bookmarkEnd w:id="132"/>
    </w:p>
    <w:p w14:paraId="5AC0A47D">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7.1供应商应在学术会议的筹备、科研项目的申报、科研论文的写作、业务培训、人员进修、各类上岗证培训、ISO15189内审员培训等一切与学科建设相关的方面向医共体提供支持。</w:t>
      </w:r>
    </w:p>
    <w:p w14:paraId="758130A7">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7.2供应商对区域检验中心学科建设的支持应至少应满足以下几方面要求：</w:t>
      </w:r>
    </w:p>
    <w:p w14:paraId="322FE8B5">
      <w:pPr>
        <w:tabs>
          <w:tab w:val="left" w:pos="426"/>
        </w:tabs>
        <w:spacing w:line="360" w:lineRule="auto"/>
        <w:ind w:firstLine="560" w:firstLineChars="200"/>
        <w:jc w:val="left"/>
        <w:outlineLvl w:val="3"/>
        <w:rPr>
          <w:rFonts w:hint="eastAsia" w:ascii="仿宋" w:hAnsi="仿宋" w:eastAsia="仿宋" w:cs="仿宋"/>
          <w:sz w:val="28"/>
          <w:szCs w:val="28"/>
          <w:highlight w:val="yellow"/>
        </w:rPr>
      </w:pPr>
      <w:r>
        <w:rPr>
          <w:rFonts w:hint="eastAsia" w:ascii="仿宋" w:hAnsi="仿宋" w:eastAsia="仿宋" w:cs="仿宋"/>
          <w:sz w:val="28"/>
          <w:szCs w:val="28"/>
        </w:rPr>
        <w:t>（1）</w:t>
      </w:r>
      <w:r>
        <w:rPr>
          <w:rFonts w:hint="eastAsia" w:ascii="仿宋" w:hAnsi="仿宋" w:eastAsia="仿宋" w:cs="仿宋"/>
          <w:sz w:val="28"/>
          <w:szCs w:val="28"/>
          <w:lang w:val="en-US" w:eastAsia="zh-CN"/>
        </w:rPr>
        <w:t>根据医院学科发展</w:t>
      </w:r>
      <w:r>
        <w:rPr>
          <w:rFonts w:hint="eastAsia" w:ascii="仿宋" w:hAnsi="仿宋" w:eastAsia="仿宋" w:cs="仿宋"/>
          <w:sz w:val="28"/>
          <w:szCs w:val="28"/>
        </w:rPr>
        <w:t>邀请省内外专家来院（中心）学术讲座；</w:t>
      </w:r>
    </w:p>
    <w:p w14:paraId="07653C91">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根据检验中心需要安排</w:t>
      </w:r>
      <w:r>
        <w:rPr>
          <w:rFonts w:hint="eastAsia" w:ascii="仿宋" w:hAnsi="仿宋" w:eastAsia="仿宋" w:cs="仿宋"/>
          <w:sz w:val="28"/>
          <w:szCs w:val="28"/>
        </w:rPr>
        <w:t>专业组长、业务骨干或中级以上人员外出学术交流或继续教育；</w:t>
      </w:r>
    </w:p>
    <w:p w14:paraId="3851600B">
      <w:pPr>
        <w:tabs>
          <w:tab w:val="left" w:pos="426"/>
        </w:tabs>
        <w:spacing w:line="360" w:lineRule="auto"/>
        <w:ind w:firstLine="560" w:firstLineChars="200"/>
        <w:jc w:val="left"/>
        <w:rPr>
          <w:rFonts w:hint="eastAsia" w:ascii="仿宋" w:hAnsi="仿宋" w:eastAsia="仿宋" w:cs="仿宋"/>
          <w:sz w:val="28"/>
          <w:szCs w:val="28"/>
          <w:highlight w:val="yellow"/>
        </w:rPr>
      </w:pP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）协助区域检验中心申请省市Ⅰ类</w:t>
      </w:r>
      <w:r>
        <w:rPr>
          <w:rFonts w:hint="eastAsia" w:ascii="仿宋" w:hAnsi="仿宋" w:eastAsia="仿宋" w:cs="仿宋"/>
          <w:sz w:val="28"/>
          <w:szCs w:val="28"/>
          <w:lang w:val="en-US" w:eastAsia="zh-CN"/>
        </w:rPr>
        <w:t>或</w:t>
      </w:r>
      <w:r>
        <w:rPr>
          <w:rFonts w:hint="eastAsia" w:ascii="仿宋" w:hAnsi="仿宋" w:eastAsia="仿宋" w:cs="仿宋"/>
          <w:sz w:val="28"/>
          <w:szCs w:val="28"/>
        </w:rPr>
        <w:t>Ⅱ类学分继教班；</w:t>
      </w:r>
    </w:p>
    <w:p w14:paraId="23B0486F">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4</w:t>
      </w:r>
      <w:r>
        <w:rPr>
          <w:rFonts w:hint="eastAsia" w:ascii="仿宋" w:hAnsi="仿宋" w:eastAsia="仿宋" w:cs="仿宋"/>
          <w:sz w:val="28"/>
          <w:szCs w:val="28"/>
        </w:rPr>
        <w:t>）协助申请省、市级科研课题或配合科研工作，包括协助专业人员论文的撰写和发表；</w:t>
      </w:r>
    </w:p>
    <w:p w14:paraId="58E48FCF">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5</w:t>
      </w:r>
      <w:r>
        <w:rPr>
          <w:rFonts w:hint="eastAsia" w:ascii="仿宋" w:hAnsi="仿宋" w:eastAsia="仿宋" w:cs="仿宋"/>
          <w:sz w:val="28"/>
          <w:szCs w:val="28"/>
        </w:rPr>
        <w:t>）对临床护理人员和标本采集人员进行分析前质量控制的理论培训或现场培训。</w:t>
      </w:r>
    </w:p>
    <w:p w14:paraId="3DEAE347">
      <w:pPr>
        <w:tabs>
          <w:tab w:val="left" w:pos="426"/>
        </w:tabs>
        <w:spacing w:line="360" w:lineRule="auto"/>
        <w:ind w:firstLine="560" w:firstLineChars="200"/>
        <w:jc w:val="left"/>
        <w:outlineLvl w:val="1"/>
        <w:rPr>
          <w:rFonts w:hint="eastAsia" w:ascii="仿宋" w:hAnsi="仿宋" w:eastAsia="仿宋" w:cs="仿宋"/>
          <w:b w:val="0"/>
          <w:bCs w:val="0"/>
          <w:sz w:val="28"/>
          <w:szCs w:val="28"/>
        </w:rPr>
      </w:pPr>
      <w:bookmarkStart w:id="133" w:name="_Toc10275"/>
      <w:r>
        <w:rPr>
          <w:rFonts w:hint="eastAsia" w:ascii="仿宋" w:hAnsi="仿宋" w:eastAsia="仿宋" w:cs="仿宋"/>
          <w:b w:val="0"/>
          <w:bCs w:val="0"/>
          <w:sz w:val="28"/>
          <w:szCs w:val="28"/>
        </w:rPr>
        <w:t>（四）运营管理服务要求</w:t>
      </w:r>
      <w:bookmarkEnd w:id="133"/>
    </w:p>
    <w:p w14:paraId="28375CFA">
      <w:pPr>
        <w:tabs>
          <w:tab w:val="left" w:pos="426"/>
        </w:tabs>
        <w:spacing w:line="360" w:lineRule="auto"/>
        <w:ind w:firstLine="560" w:firstLineChars="200"/>
        <w:jc w:val="left"/>
        <w:outlineLvl w:val="2"/>
        <w:rPr>
          <w:rFonts w:hint="eastAsia" w:ascii="仿宋" w:hAnsi="仿宋" w:eastAsia="仿宋" w:cs="仿宋"/>
          <w:b/>
          <w:bCs/>
          <w:sz w:val="28"/>
          <w:szCs w:val="28"/>
          <w:highlight w:val="yellow"/>
        </w:rPr>
      </w:pPr>
      <w:bookmarkStart w:id="134" w:name="_Toc21573"/>
      <w:r>
        <w:rPr>
          <w:rFonts w:hint="eastAsia" w:ascii="仿宋" w:hAnsi="仿宋" w:eastAsia="仿宋" w:cs="仿宋"/>
          <w:b/>
          <w:bCs/>
          <w:sz w:val="28"/>
          <w:szCs w:val="28"/>
        </w:rPr>
        <w:t>1</w:t>
      </w:r>
      <w:r>
        <w:rPr>
          <w:rFonts w:hint="eastAsia" w:ascii="仿宋" w:hAnsi="仿宋" w:eastAsia="仿宋" w:cs="仿宋"/>
          <w:b/>
          <w:bCs/>
          <w:sz w:val="28"/>
          <w:szCs w:val="28"/>
          <w:lang w:val="en-US" w:eastAsia="zh-CN"/>
        </w:rPr>
        <w:t>.</w:t>
      </w:r>
      <w:r>
        <w:rPr>
          <w:rFonts w:hint="eastAsia" w:ascii="仿宋" w:hAnsi="仿宋" w:eastAsia="仿宋" w:cs="仿宋"/>
          <w:b/>
          <w:bCs/>
          <w:sz w:val="28"/>
          <w:szCs w:val="28"/>
        </w:rPr>
        <w:t>管理团队：</w:t>
      </w:r>
      <w:bookmarkEnd w:id="134"/>
    </w:p>
    <w:p w14:paraId="51BE5F21">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(1)供应商应提供本项目的管理实施人员名单，注明相关人员的资历经验、技术资质、特点等。</w:t>
      </w:r>
    </w:p>
    <w:p w14:paraId="65115693">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rPr>
        <w:tab/>
      </w:r>
      <w:r>
        <w:rPr>
          <w:rFonts w:hint="eastAsia" w:ascii="仿宋" w:hAnsi="仿宋" w:eastAsia="仿宋" w:cs="仿宋"/>
          <w:sz w:val="28"/>
          <w:szCs w:val="28"/>
        </w:rPr>
        <w:t>供应商应列明拟为项目提供支持的专家团队名单，附相关人员介绍。</w:t>
      </w:r>
    </w:p>
    <w:p w14:paraId="68280581">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35" w:name="_Toc26974"/>
      <w:r>
        <w:rPr>
          <w:rFonts w:hint="eastAsia" w:ascii="仿宋" w:hAnsi="仿宋" w:eastAsia="仿宋" w:cs="仿宋"/>
          <w:b/>
          <w:bCs/>
          <w:sz w:val="28"/>
          <w:szCs w:val="28"/>
        </w:rPr>
        <w:t>2.运营管理服务内容：</w:t>
      </w:r>
      <w:bookmarkEnd w:id="135"/>
    </w:p>
    <w:p w14:paraId="788D7267">
      <w:pPr>
        <w:tabs>
          <w:tab w:val="left" w:pos="426"/>
        </w:tabs>
        <w:spacing w:line="360" w:lineRule="auto"/>
        <w:ind w:firstLine="560" w:firstLineChars="200"/>
        <w:jc w:val="left"/>
        <w:outlineLvl w:val="3"/>
        <w:rPr>
          <w:rFonts w:hint="eastAsia" w:ascii="仿宋" w:hAnsi="仿宋" w:eastAsia="仿宋" w:cs="仿宋"/>
          <w:sz w:val="28"/>
          <w:szCs w:val="28"/>
        </w:rPr>
      </w:pPr>
      <w:r>
        <w:rPr>
          <w:rFonts w:hint="eastAsia" w:ascii="仿宋" w:hAnsi="仿宋" w:eastAsia="仿宋" w:cs="仿宋"/>
          <w:sz w:val="28"/>
          <w:szCs w:val="28"/>
        </w:rPr>
        <w:t>2.1 业务运营：</w:t>
      </w:r>
    </w:p>
    <w:p w14:paraId="40259197">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(1)协助区域检验中心维持日常标本采集、运输、检测、结果报告、质量管理、人员培训、学科建设等全部工作。</w:t>
      </w:r>
    </w:p>
    <w:p w14:paraId="1FD13107">
      <w:pPr>
        <w:tabs>
          <w:tab w:val="left" w:pos="426"/>
        </w:tabs>
        <w:spacing w:line="360" w:lineRule="auto"/>
        <w:ind w:firstLine="560" w:firstLineChars="200"/>
        <w:jc w:val="left"/>
        <w:rPr>
          <w:rFonts w:hint="eastAsia" w:ascii="仿宋" w:hAnsi="仿宋" w:eastAsia="仿宋" w:cs="仿宋"/>
          <w:color w:val="000000"/>
          <w:sz w:val="28"/>
          <w:szCs w:val="28"/>
        </w:rPr>
      </w:pPr>
      <w:r>
        <w:rPr>
          <w:rFonts w:hint="eastAsia" w:ascii="仿宋" w:hAnsi="仿宋" w:eastAsia="仿宋" w:cs="仿宋"/>
          <w:color w:val="000000"/>
          <w:sz w:val="28"/>
          <w:szCs w:val="28"/>
        </w:rPr>
        <w:t>(2)供应商在医院原开展检验项目的基础上，不断优化检验项目、拓展符合国家规范的新技术、新项目。</w:t>
      </w:r>
    </w:p>
    <w:p w14:paraId="7FF17632">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2.2 质量控制：</w:t>
      </w:r>
    </w:p>
    <w:p w14:paraId="47E89A58">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(1)提供质量控制体系建设服务，要求每年室内及室间质控成绩优异，协助科室通过等级医院评审。</w:t>
      </w:r>
    </w:p>
    <w:p w14:paraId="6BF84DBD">
      <w:pPr>
        <w:tabs>
          <w:tab w:val="left" w:pos="426"/>
        </w:tabs>
        <w:spacing w:line="360" w:lineRule="auto"/>
        <w:ind w:firstLine="560" w:firstLineChars="200"/>
        <w:jc w:val="lef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(2)供应商负责区域实验室</w:t>
      </w:r>
      <w:r>
        <w:rPr>
          <w:rFonts w:hint="eastAsia" w:ascii="仿宋" w:hAnsi="仿宋" w:eastAsia="仿宋" w:cs="仿宋"/>
          <w:sz w:val="28"/>
          <w:szCs w:val="28"/>
          <w:highlight w:val="none"/>
          <w:lang w:val="en-US" w:eastAsia="zh-CN"/>
        </w:rPr>
        <w:t>医共体区域检验、病理中心信息化</w:t>
      </w:r>
      <w:r>
        <w:rPr>
          <w:rFonts w:hint="eastAsia" w:ascii="仿宋" w:hAnsi="仿宋" w:eastAsia="仿宋" w:cs="仿宋"/>
          <w:sz w:val="28"/>
          <w:szCs w:val="28"/>
          <w:highlight w:val="none"/>
        </w:rPr>
        <w:t>系统</w:t>
      </w:r>
      <w:r>
        <w:rPr>
          <w:rFonts w:hint="eastAsia" w:ascii="仿宋" w:hAnsi="仿宋" w:eastAsia="仿宋" w:cs="仿宋"/>
          <w:sz w:val="28"/>
          <w:szCs w:val="28"/>
          <w:highlight w:val="none"/>
          <w:lang w:val="en-US" w:eastAsia="zh-CN"/>
        </w:rPr>
        <w:t>安装调试及</w:t>
      </w:r>
      <w:r>
        <w:rPr>
          <w:rFonts w:hint="eastAsia" w:ascii="仿宋" w:hAnsi="仿宋" w:eastAsia="仿宋" w:cs="仿宋"/>
          <w:sz w:val="28"/>
          <w:szCs w:val="28"/>
          <w:highlight w:val="none"/>
        </w:rPr>
        <w:t>后期的维护（升级）费用。</w:t>
      </w:r>
    </w:p>
    <w:p w14:paraId="3287E9E4">
      <w:pPr>
        <w:tabs>
          <w:tab w:val="left" w:pos="426"/>
        </w:tabs>
        <w:spacing w:line="360" w:lineRule="auto"/>
        <w:ind w:firstLine="560" w:firstLineChars="200"/>
        <w:jc w:val="left"/>
        <w:outlineLvl w:val="4"/>
        <w:rPr>
          <w:rFonts w:hint="eastAsia" w:ascii="仿宋" w:hAnsi="仿宋" w:eastAsia="仿宋" w:cs="仿宋"/>
          <w:sz w:val="28"/>
          <w:szCs w:val="28"/>
        </w:rPr>
      </w:pPr>
      <w:r>
        <w:rPr>
          <w:rFonts w:hint="eastAsia" w:ascii="仿宋" w:hAnsi="仿宋" w:eastAsia="仿宋" w:cs="仿宋"/>
          <w:sz w:val="28"/>
          <w:szCs w:val="28"/>
        </w:rPr>
        <w:t>(3)供应商提供全区自主室内质控和室间质评软件。</w:t>
      </w:r>
    </w:p>
    <w:p w14:paraId="1EEC26C9">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(4)供应商必须支持区域中心学科建设发展，严格按照合作文件要求</w:t>
      </w:r>
      <w:r>
        <w:rPr>
          <w:rFonts w:hint="eastAsia" w:ascii="仿宋" w:hAnsi="仿宋" w:eastAsia="仿宋" w:cs="仿宋"/>
          <w:sz w:val="28"/>
          <w:szCs w:val="28"/>
          <w:lang w:val="en-US" w:eastAsia="zh-CN"/>
        </w:rPr>
        <w:t>协助</w:t>
      </w:r>
      <w:r>
        <w:rPr>
          <w:rFonts w:hint="eastAsia" w:ascii="仿宋" w:hAnsi="仿宋" w:eastAsia="仿宋" w:cs="仿宋"/>
          <w:sz w:val="28"/>
          <w:szCs w:val="28"/>
        </w:rPr>
        <w:t>区域检验中心搭建ISO15189质量管理体系。</w:t>
      </w:r>
    </w:p>
    <w:p w14:paraId="287EE799">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2.3 人力成本管理：</w:t>
      </w:r>
    </w:p>
    <w:p w14:paraId="0F7DC09E">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区域检验中心检验科工作人员的人力成本由各医疗机构承担（包括合作后业务量提升绩效分配）；供应商工作人员的人力成本由供应商承担。</w:t>
      </w:r>
    </w:p>
    <w:p w14:paraId="2B2AB6D8">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2.4 设备管理：</w:t>
      </w:r>
    </w:p>
    <w:p w14:paraId="4AA65391">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(1)服务期间，供应商必须严格按照国家相关卫生行业标准和ISO15189的规定，对区域中心实验室的仪器设备进行定期的校准和检定，不得弄虚作假；尤其应重视高压灭菌锅等强制检测的设备检定。</w:t>
      </w:r>
    </w:p>
    <w:p w14:paraId="48B224B0">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(2)服务期间，旧设备淘汰、业务扩充新增、开展新项目新增设备的更换、添加时须报经院方审验通过。</w:t>
      </w:r>
    </w:p>
    <w:p w14:paraId="3133DF9E">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服务期间，如果仪器设备（包括实验室原有继续使用的设备和所有新增设备）发生故障，或检定不合格时，供应商需要承担仪器配件、耗材以及维修等相应的费用，或免费更换符合国家标准的新的仪器设备满足临床需求。</w:t>
      </w:r>
    </w:p>
    <w:p w14:paraId="33D4FF8C">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2.5 区域实验室的管理：</w:t>
      </w:r>
    </w:p>
    <w:p w14:paraId="5C28B946">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(1)供应商提供完善的配送体系负责区域实验室的标本配送物流。</w:t>
      </w:r>
    </w:p>
    <w:p w14:paraId="105CFE4D">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rPr>
        <w:t>(2)供应商负责区域实验室</w:t>
      </w:r>
      <w:r>
        <w:rPr>
          <w:rFonts w:hint="eastAsia" w:ascii="仿宋" w:hAnsi="仿宋" w:eastAsia="仿宋" w:cs="仿宋"/>
          <w:sz w:val="28"/>
          <w:szCs w:val="28"/>
          <w:lang w:val="en-US" w:eastAsia="zh-CN"/>
        </w:rPr>
        <w:t>医共体区域检验、病理中心</w:t>
      </w:r>
      <w:r>
        <w:rPr>
          <w:rFonts w:hint="eastAsia" w:ascii="仿宋" w:hAnsi="仿宋" w:eastAsia="仿宋" w:cs="仿宋"/>
          <w:sz w:val="28"/>
          <w:szCs w:val="28"/>
          <w:highlight w:val="none"/>
          <w:lang w:val="en-US" w:eastAsia="zh-CN"/>
        </w:rPr>
        <w:t>信息化</w:t>
      </w:r>
      <w:r>
        <w:rPr>
          <w:rFonts w:hint="eastAsia" w:ascii="仿宋" w:hAnsi="仿宋" w:eastAsia="仿宋" w:cs="仿宋"/>
          <w:sz w:val="28"/>
          <w:szCs w:val="28"/>
          <w:highlight w:val="none"/>
        </w:rPr>
        <w:t>系统后期维护（升级）的相关</w:t>
      </w:r>
      <w:r>
        <w:rPr>
          <w:rFonts w:hint="eastAsia" w:ascii="仿宋" w:hAnsi="仿宋" w:eastAsia="仿宋" w:cs="仿宋"/>
          <w:sz w:val="28"/>
          <w:szCs w:val="28"/>
          <w:highlight w:val="none"/>
          <w:lang w:val="en-US" w:eastAsia="zh-CN"/>
        </w:rPr>
        <w:t>软件</w:t>
      </w:r>
      <w:r>
        <w:rPr>
          <w:rFonts w:hint="eastAsia" w:ascii="仿宋" w:hAnsi="仿宋" w:eastAsia="仿宋" w:cs="仿宋"/>
          <w:sz w:val="28"/>
          <w:szCs w:val="28"/>
          <w:highlight w:val="none"/>
        </w:rPr>
        <w:t>投入。</w:t>
      </w:r>
    </w:p>
    <w:p w14:paraId="4BB7C81B">
      <w:pPr>
        <w:tabs>
          <w:tab w:val="left" w:pos="426"/>
        </w:tabs>
        <w:spacing w:line="360" w:lineRule="auto"/>
        <w:ind w:firstLine="560" w:firstLineChars="200"/>
        <w:jc w:val="left"/>
        <w:outlineLvl w:val="3"/>
        <w:rPr>
          <w:rFonts w:hint="eastAsia" w:ascii="仿宋" w:hAnsi="仿宋" w:eastAsia="仿宋" w:cs="仿宋"/>
          <w:b/>
          <w:bCs/>
          <w:sz w:val="28"/>
          <w:szCs w:val="28"/>
          <w:highlight w:val="yellow"/>
        </w:rPr>
      </w:pPr>
      <w:r>
        <w:rPr>
          <w:rFonts w:hint="eastAsia" w:ascii="仿宋" w:hAnsi="仿宋" w:eastAsia="仿宋" w:cs="仿宋"/>
          <w:b/>
          <w:bCs/>
          <w:sz w:val="28"/>
          <w:szCs w:val="28"/>
        </w:rPr>
        <w:t>2.6 其他成本管理：</w:t>
      </w:r>
    </w:p>
    <w:p w14:paraId="565C314B">
      <w:pPr>
        <w:tabs>
          <w:tab w:val="left" w:pos="426"/>
        </w:tabs>
        <w:spacing w:line="360" w:lineRule="auto"/>
        <w:jc w:val="left"/>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t>区域中心实验室所需场地以及水电费用均由医疗机构承担，装修建设费用由供应商承担。</w:t>
      </w:r>
    </w:p>
    <w:p w14:paraId="39EC8DCE">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2.7医疗纠纷的责任处置：</w:t>
      </w:r>
    </w:p>
    <w:p w14:paraId="3D00E2F5">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设备及供应商工作人员等因素造成的损失，或者是在标本被区域中心实验室接收前，因标本处理、运输、温控不当、丢失、生物泄露、信息网络数据传输错误等因素造成的标本安全问题，责任由供应商承担。因院方工作人员因素造成的损失由医共体承担，原因不明确存在争议的由双方协商解决。</w:t>
      </w:r>
    </w:p>
    <w:p w14:paraId="7950E071">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2.8 意外事故的责任处置：</w:t>
      </w:r>
    </w:p>
    <w:p w14:paraId="717A2BE1">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操作中发生意外事件导致人员伤亡以及水、火、电、生物安全意外的，因院方工作人员违规操作造成的事故，其人员部分的损失由医共体承担责任；因设备</w:t>
      </w:r>
      <w:r>
        <w:rPr>
          <w:rFonts w:hint="eastAsia" w:ascii="仿宋" w:hAnsi="仿宋" w:eastAsia="仿宋" w:cs="仿宋"/>
          <w:sz w:val="28"/>
          <w:szCs w:val="28"/>
          <w:lang w:val="en-US" w:eastAsia="zh-CN"/>
        </w:rPr>
        <w:t>质量</w:t>
      </w:r>
      <w:r>
        <w:rPr>
          <w:rFonts w:hint="eastAsia" w:ascii="仿宋" w:hAnsi="仿宋" w:eastAsia="仿宋" w:cs="仿宋"/>
          <w:sz w:val="28"/>
          <w:szCs w:val="28"/>
        </w:rPr>
        <w:t>原因造成的事故均由供应商承担责任，原因不明确存在争议的由双方协商解决。</w:t>
      </w:r>
    </w:p>
    <w:p w14:paraId="534A8446">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36" w:name="_Toc21254"/>
      <w:r>
        <w:rPr>
          <w:rFonts w:hint="eastAsia" w:ascii="仿宋" w:hAnsi="仿宋" w:eastAsia="仿宋" w:cs="仿宋"/>
          <w:b/>
          <w:bCs/>
          <w:sz w:val="28"/>
          <w:szCs w:val="28"/>
        </w:rPr>
        <w:t>3.服务标准及承诺：</w:t>
      </w:r>
      <w:bookmarkEnd w:id="136"/>
    </w:p>
    <w:p w14:paraId="08F75F43">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(1)供应商应当根据医共体要求的医院科室的建设标准，提供可靠的服务，如：新项目开展管理、检测质量控制、质量体系建设与管理、专家团队支持、样本冷链物流配送、增值服务等。</w:t>
      </w:r>
    </w:p>
    <w:p w14:paraId="09E06EAD">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(2)供应商应提供必要的的先进管理经验供医院参考，参与增收节支方面的管理，支持学科建设发展，并保证提供ISO15189质量体系认证所要求的</w:t>
      </w:r>
      <w:r>
        <w:rPr>
          <w:rFonts w:hint="eastAsia" w:ascii="仿宋" w:hAnsi="仿宋" w:eastAsia="仿宋" w:cs="仿宋"/>
          <w:sz w:val="28"/>
          <w:szCs w:val="28"/>
          <w:lang w:val="en-US" w:eastAsia="zh-CN"/>
        </w:rPr>
        <w:t>体系建设</w:t>
      </w:r>
      <w:r>
        <w:rPr>
          <w:rFonts w:hint="eastAsia" w:ascii="仿宋" w:hAnsi="仿宋" w:eastAsia="仿宋" w:cs="仿宋"/>
          <w:sz w:val="28"/>
          <w:szCs w:val="28"/>
        </w:rPr>
        <w:t>，在技术上给予支持，定期开展继续医学教育项目等。</w:t>
      </w:r>
    </w:p>
    <w:p w14:paraId="329964F7">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(3)供应商可以提供的特色服务和优惠措施，并如实说明需医共体配合的内容。</w:t>
      </w:r>
    </w:p>
    <w:p w14:paraId="11B448CA">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(4)由于供应商单方面原因造成本项目未能正常实施进行的，视同合作到期，供应商须承担相关责任。</w:t>
      </w:r>
    </w:p>
    <w:p w14:paraId="30C515EA">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37" w:name="_Toc31458"/>
      <w:r>
        <w:rPr>
          <w:rFonts w:hint="eastAsia" w:ascii="仿宋" w:hAnsi="仿宋" w:eastAsia="仿宋" w:cs="仿宋"/>
          <w:b/>
          <w:bCs/>
          <w:sz w:val="28"/>
          <w:szCs w:val="28"/>
        </w:rPr>
        <w:t>4.运营管理监控机制：</w:t>
      </w:r>
      <w:bookmarkEnd w:id="137"/>
    </w:p>
    <w:p w14:paraId="163E29A3">
      <w:pPr>
        <w:tabs>
          <w:tab w:val="left" w:pos="426"/>
        </w:tabs>
        <w:spacing w:line="360" w:lineRule="auto"/>
        <w:ind w:firstLine="560" w:firstLineChars="200"/>
        <w:jc w:val="left"/>
        <w:outlineLvl w:val="3"/>
        <w:rPr>
          <w:rFonts w:hint="eastAsia" w:ascii="仿宋" w:hAnsi="仿宋" w:eastAsia="仿宋" w:cs="仿宋"/>
          <w:sz w:val="28"/>
          <w:szCs w:val="28"/>
        </w:rPr>
      </w:pPr>
      <w:r>
        <w:rPr>
          <w:rFonts w:hint="eastAsia" w:ascii="仿宋" w:hAnsi="仿宋" w:eastAsia="仿宋" w:cs="仿宋"/>
          <w:sz w:val="28"/>
          <w:szCs w:val="28"/>
        </w:rPr>
        <w:t>4.1 运营管理监控要求：由医共体制定运营管理考核方案，供应商应负责导入更先进的运营管理理念，通过技术和服务的提供带动科室管理水平的提升和学科建设的发展。</w:t>
      </w:r>
    </w:p>
    <w:p w14:paraId="53F29CBE">
      <w:pPr>
        <w:tabs>
          <w:tab w:val="left" w:pos="426"/>
        </w:tabs>
        <w:spacing w:line="360" w:lineRule="auto"/>
        <w:ind w:firstLine="560" w:firstLineChars="200"/>
        <w:jc w:val="left"/>
        <w:outlineLvl w:val="3"/>
        <w:rPr>
          <w:rFonts w:hint="eastAsia" w:ascii="仿宋" w:hAnsi="仿宋" w:eastAsia="仿宋" w:cs="仿宋"/>
          <w:sz w:val="28"/>
          <w:szCs w:val="28"/>
        </w:rPr>
      </w:pPr>
      <w:r>
        <w:rPr>
          <w:rFonts w:hint="eastAsia" w:ascii="仿宋" w:hAnsi="仿宋" w:eastAsia="仿宋" w:cs="仿宋"/>
          <w:sz w:val="28"/>
          <w:szCs w:val="28"/>
        </w:rPr>
        <w:t>4.2 考核方式：由医共体和供应商组成运营管理考核小组对检验中心的运营进行年度考核；具体考核方案中标后另行商定。</w:t>
      </w:r>
    </w:p>
    <w:p w14:paraId="70446674">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4.3 其他监控内容（在实施具体考核的基础上还应做好以下内容的监测和管控）：</w:t>
      </w:r>
    </w:p>
    <w:p w14:paraId="563E51C5">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(1)运营情况监测，例如医院就诊人数、接诊率监测；</w:t>
      </w:r>
    </w:p>
    <w:p w14:paraId="75BCB2D8">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(2)信息发布，例如向公众发布医疗收费价格；</w:t>
      </w:r>
    </w:p>
    <w:p w14:paraId="2D59CA51">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(3)定期报告，项目管委会按月或按季提交绩效情况报告；</w:t>
      </w:r>
    </w:p>
    <w:p w14:paraId="4B391039">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(4)保证相关信息的真实性、准确性和完整性等。</w:t>
      </w:r>
    </w:p>
    <w:p w14:paraId="1AF1CED4">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(5)人员配备的情况（人员水平、配备的及时性）</w:t>
      </w:r>
    </w:p>
    <w:p w14:paraId="5BD3E265">
      <w:pPr>
        <w:tabs>
          <w:tab w:val="left" w:pos="426"/>
        </w:tabs>
        <w:spacing w:line="360" w:lineRule="auto"/>
        <w:ind w:firstLine="560" w:firstLineChars="200"/>
        <w:jc w:val="left"/>
        <w:rPr>
          <w:rFonts w:hint="eastAsia" w:ascii="仿宋" w:hAnsi="仿宋" w:eastAsia="仿宋" w:cs="仿宋"/>
          <w:b/>
          <w:bCs/>
          <w:sz w:val="28"/>
          <w:szCs w:val="28"/>
        </w:rPr>
      </w:pPr>
      <w:r>
        <w:rPr>
          <w:rFonts w:hint="eastAsia" w:ascii="仿宋" w:hAnsi="仿宋" w:eastAsia="仿宋" w:cs="仿宋"/>
          <w:b/>
          <w:bCs/>
          <w:sz w:val="28"/>
          <w:szCs w:val="28"/>
        </w:rPr>
        <w:t>5.风险管理：</w:t>
      </w:r>
    </w:p>
    <w:p w14:paraId="1C1293D5">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如因收费标准变化或国家政策性因素变化，则根据相关法规双方协商解决。</w:t>
      </w:r>
    </w:p>
    <w:p w14:paraId="3D1C425E">
      <w:pPr>
        <w:tabs>
          <w:tab w:val="left" w:pos="426"/>
        </w:tabs>
        <w:spacing w:line="360" w:lineRule="auto"/>
        <w:ind w:firstLine="560" w:firstLineChars="200"/>
        <w:jc w:val="left"/>
        <w:outlineLvl w:val="2"/>
        <w:rPr>
          <w:rFonts w:hint="eastAsia" w:ascii="仿宋" w:hAnsi="仿宋" w:eastAsia="仿宋" w:cs="仿宋"/>
          <w:b/>
          <w:bCs/>
          <w:sz w:val="28"/>
          <w:szCs w:val="28"/>
        </w:rPr>
      </w:pPr>
      <w:bookmarkStart w:id="138" w:name="_Toc30147"/>
      <w:r>
        <w:rPr>
          <w:rFonts w:hint="eastAsia" w:ascii="仿宋" w:hAnsi="仿宋" w:eastAsia="仿宋" w:cs="仿宋"/>
          <w:b/>
          <w:bCs/>
          <w:sz w:val="28"/>
          <w:szCs w:val="28"/>
        </w:rPr>
        <w:t>6.合作期满后项目移交：</w:t>
      </w:r>
      <w:bookmarkEnd w:id="138"/>
    </w:p>
    <w:p w14:paraId="35516180">
      <w:pPr>
        <w:tabs>
          <w:tab w:val="left" w:pos="426"/>
        </w:tabs>
        <w:spacing w:line="360" w:lineRule="auto"/>
        <w:ind w:firstLine="560" w:firstLineChars="200"/>
        <w:jc w:val="left"/>
        <w:outlineLvl w:val="3"/>
        <w:rPr>
          <w:rFonts w:hint="eastAsia" w:ascii="仿宋" w:hAnsi="仿宋" w:eastAsia="仿宋" w:cs="仿宋"/>
          <w:sz w:val="28"/>
          <w:szCs w:val="28"/>
        </w:rPr>
      </w:pPr>
      <w:r>
        <w:rPr>
          <w:rFonts w:hint="eastAsia" w:ascii="仿宋" w:hAnsi="仿宋" w:eastAsia="仿宋" w:cs="仿宋"/>
          <w:sz w:val="28"/>
          <w:szCs w:val="28"/>
        </w:rPr>
        <w:t>6.1 项目移交范围包括：</w:t>
      </w:r>
    </w:p>
    <w:p w14:paraId="3A0BF366">
      <w:pPr>
        <w:tabs>
          <w:tab w:val="left" w:pos="426"/>
        </w:tabs>
        <w:spacing w:line="360" w:lineRule="auto"/>
        <w:ind w:firstLine="560" w:firstLineChars="200"/>
        <w:jc w:val="left"/>
        <w:outlineLvl w:val="4"/>
        <w:rPr>
          <w:rFonts w:hint="eastAsia" w:ascii="仿宋" w:hAnsi="仿宋" w:eastAsia="仿宋" w:cs="仿宋"/>
          <w:sz w:val="28"/>
          <w:szCs w:val="28"/>
        </w:rPr>
      </w:pPr>
      <w:r>
        <w:rPr>
          <w:rFonts w:hint="eastAsia" w:ascii="仿宋" w:hAnsi="仿宋" w:eastAsia="仿宋" w:cs="仿宋"/>
          <w:sz w:val="28"/>
          <w:szCs w:val="28"/>
        </w:rPr>
        <w:t>(1)项目设施；</w:t>
      </w:r>
    </w:p>
    <w:p w14:paraId="7A3A1A09">
      <w:pPr>
        <w:tabs>
          <w:tab w:val="left" w:pos="426"/>
        </w:tabs>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(2)与项目设施相关的设备、机器、装置、零部件、备品备件以及其他动产；</w:t>
      </w:r>
    </w:p>
    <w:p w14:paraId="43EA29C1">
      <w:pPr>
        <w:tabs>
          <w:tab w:val="left" w:pos="426"/>
        </w:tabs>
        <w:spacing w:line="360" w:lineRule="auto"/>
        <w:ind w:firstLine="560" w:firstLineChars="200"/>
        <w:jc w:val="left"/>
        <w:outlineLvl w:val="4"/>
        <w:rPr>
          <w:rFonts w:hint="eastAsia" w:ascii="仿宋" w:hAnsi="仿宋" w:eastAsia="仿宋" w:cs="仿宋"/>
          <w:sz w:val="28"/>
          <w:szCs w:val="28"/>
        </w:rPr>
      </w:pPr>
      <w:r>
        <w:rPr>
          <w:rFonts w:hint="eastAsia" w:ascii="仿宋" w:hAnsi="仿宋" w:eastAsia="仿宋" w:cs="仿宋"/>
          <w:sz w:val="28"/>
          <w:szCs w:val="28"/>
        </w:rPr>
        <w:t>(3)运营维护项目设施所要求的技术和技术信息；</w:t>
      </w:r>
    </w:p>
    <w:p w14:paraId="246D5A6B">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(4)与项目设施有关的手册、图纸、文件和资料（书面文件和电子文档）；</w:t>
      </w:r>
    </w:p>
    <w:p w14:paraId="6C9D5529">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(5)移交项目所需的其他文件；</w:t>
      </w:r>
    </w:p>
    <w:p w14:paraId="5D444F07">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(6)上述条件在合作期满后均须无偿移交给医共体。</w:t>
      </w:r>
    </w:p>
    <w:p w14:paraId="00218AB0">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6.2 项目移交条件和标准：</w:t>
      </w:r>
    </w:p>
    <w:p w14:paraId="5D64F58F">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权利方面的条件和标准：项目正常实施至合作期满，医共体与供应商进行项目移交；如出现特殊情况，医院或供应商单方面提出需提前终止项目实施导致项目移交，必须提前6个月以书面形式告知对方，经双方协商后进行项目资产评估清算，由违约方承担移交费用之后再行移交。</w:t>
      </w:r>
    </w:p>
    <w:p w14:paraId="384A09FB">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(2)技术方面的条件和标准：项目设施应符合双方约定的技术、安全和环保标准，并处于良好的可持续运营状况。</w:t>
      </w:r>
    </w:p>
    <w:p w14:paraId="7C139DDA">
      <w:pPr>
        <w:tabs>
          <w:tab w:val="left" w:pos="426"/>
        </w:tabs>
        <w:spacing w:line="360" w:lineRule="auto"/>
        <w:ind w:firstLine="560" w:firstLineChars="200"/>
        <w:jc w:val="left"/>
        <w:outlineLvl w:val="3"/>
        <w:rPr>
          <w:rFonts w:hint="eastAsia" w:ascii="仿宋" w:hAnsi="仿宋" w:eastAsia="仿宋" w:cs="仿宋"/>
          <w:b/>
          <w:bCs/>
          <w:sz w:val="28"/>
          <w:szCs w:val="28"/>
        </w:rPr>
      </w:pPr>
      <w:r>
        <w:rPr>
          <w:rFonts w:hint="eastAsia" w:ascii="仿宋" w:hAnsi="仿宋" w:eastAsia="仿宋" w:cs="仿宋"/>
          <w:b/>
          <w:bCs/>
          <w:sz w:val="28"/>
          <w:szCs w:val="28"/>
        </w:rPr>
        <w:t>6.3 项目移交程序：</w:t>
      </w:r>
    </w:p>
    <w:p w14:paraId="3B8B93DA">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(1)评估和测试：项目移交前，由项目管委会负责对项目的资产状况进行评估并对项目状况能否达到合同约定的移交条件和标准进行测试，以确保项目在移交时满足约定要求。</w:t>
      </w:r>
    </w:p>
    <w:p w14:paraId="436082E2">
      <w:pPr>
        <w:tabs>
          <w:tab w:val="left" w:pos="426"/>
        </w:tabs>
        <w:spacing w:line="360" w:lineRule="auto"/>
        <w:ind w:firstLine="560" w:firstLineChars="200"/>
        <w:jc w:val="left"/>
        <w:outlineLvl w:val="4"/>
        <w:rPr>
          <w:rFonts w:hint="eastAsia" w:ascii="仿宋" w:hAnsi="仿宋" w:eastAsia="仿宋" w:cs="仿宋"/>
          <w:sz w:val="28"/>
          <w:szCs w:val="28"/>
        </w:rPr>
      </w:pPr>
      <w:r>
        <w:rPr>
          <w:rFonts w:hint="eastAsia" w:ascii="仿宋" w:hAnsi="仿宋" w:eastAsia="仿宋" w:cs="仿宋"/>
          <w:sz w:val="28"/>
          <w:szCs w:val="28"/>
        </w:rPr>
        <w:t>(2)移交手续办理：由项目管委会负责办理移交相关的手续。</w:t>
      </w:r>
    </w:p>
    <w:p w14:paraId="605FDDFD">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(3)技术转让：供应商应在移交时将项目运营和维护所需要的技术（包含项目实施涉及的所有技术含软件后期的免费使用），全部移交给医共体，并确保医共体不会因使用这些技术而遭受任何侵权索赔。</w:t>
      </w:r>
    </w:p>
    <w:p w14:paraId="5AF45CF8">
      <w:pPr>
        <w:tabs>
          <w:tab w:val="left" w:pos="426"/>
        </w:tabs>
        <w:spacing w:line="360" w:lineRule="auto"/>
        <w:ind w:firstLine="560" w:firstLineChars="200"/>
        <w:jc w:val="left"/>
        <w:outlineLvl w:val="1"/>
        <w:rPr>
          <w:rFonts w:hint="eastAsia" w:ascii="仿宋" w:hAnsi="仿宋" w:eastAsia="仿宋" w:cs="仿宋"/>
          <w:b w:val="0"/>
          <w:bCs w:val="0"/>
          <w:sz w:val="28"/>
          <w:szCs w:val="28"/>
        </w:rPr>
      </w:pPr>
      <w:bookmarkStart w:id="139" w:name="_Toc2799"/>
      <w:r>
        <w:rPr>
          <w:rFonts w:hint="eastAsia" w:ascii="仿宋" w:hAnsi="仿宋" w:eastAsia="仿宋" w:cs="仿宋"/>
          <w:b w:val="0"/>
          <w:bCs w:val="0"/>
          <w:sz w:val="28"/>
          <w:szCs w:val="28"/>
        </w:rPr>
        <w:t>（五）其他要求</w:t>
      </w:r>
      <w:bookmarkEnd w:id="139"/>
    </w:p>
    <w:p w14:paraId="61C44E25">
      <w:pPr>
        <w:tabs>
          <w:tab w:val="left" w:pos="426"/>
        </w:tabs>
        <w:spacing w:line="360" w:lineRule="auto"/>
        <w:ind w:firstLine="560" w:firstLineChars="200"/>
        <w:jc w:val="left"/>
        <w:outlineLvl w:val="1"/>
        <w:rPr>
          <w:rFonts w:hint="eastAsia" w:ascii="仿宋" w:hAnsi="仿宋" w:eastAsia="仿宋" w:cs="仿宋"/>
          <w:sz w:val="28"/>
          <w:szCs w:val="28"/>
        </w:rPr>
      </w:pPr>
      <w:r>
        <w:rPr>
          <w:rFonts w:hint="eastAsia" w:ascii="仿宋" w:hAnsi="仿宋" w:eastAsia="仿宋" w:cs="仿宋"/>
          <w:sz w:val="28"/>
          <w:szCs w:val="28"/>
        </w:rPr>
        <w:t>（1）针对区域检验和病理诊断中心建设，服务机构须承诺在签订合同后6个月内完成相关信息软件和物流信息平台的建设，同时配套好物流运输车辆和专职物流运输人员；</w:t>
      </w:r>
    </w:p>
    <w:p w14:paraId="1EC75C66">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（2）针对外送检测服务，按照约定账期，根据每月外送费用按合同比例支付检验检测服务费；若有相关政策变动，按照政策规定执行。</w:t>
      </w:r>
    </w:p>
    <w:p w14:paraId="014C0675">
      <w:pPr>
        <w:tabs>
          <w:tab w:val="left" w:pos="426"/>
        </w:tabs>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（3）区域医学检验</w:t>
      </w:r>
      <w:r>
        <w:rPr>
          <w:rFonts w:hint="eastAsia" w:ascii="仿宋" w:hAnsi="仿宋" w:eastAsia="仿宋" w:cs="仿宋"/>
          <w:sz w:val="28"/>
          <w:szCs w:val="28"/>
          <w:lang w:val="en-US" w:eastAsia="zh-CN"/>
        </w:rPr>
        <w:t>病理</w:t>
      </w:r>
      <w:r>
        <w:rPr>
          <w:rFonts w:hint="eastAsia" w:ascii="仿宋" w:hAnsi="仿宋" w:eastAsia="仿宋" w:cs="仿宋"/>
          <w:sz w:val="28"/>
          <w:szCs w:val="28"/>
        </w:rPr>
        <w:t>中心所使用的信息系统，包括但不限于区域检验信息平台软件、物流管理软件、互联网云检验平台软件、实验室信息管理系统应用软件。</w:t>
      </w:r>
    </w:p>
    <w:p w14:paraId="68AD5133">
      <w:pPr>
        <w:tabs>
          <w:tab w:val="left" w:pos="426"/>
        </w:tabs>
        <w:spacing w:line="360" w:lineRule="auto"/>
        <w:ind w:firstLine="560" w:firstLineChars="200"/>
        <w:jc w:val="left"/>
        <w:rPr>
          <w:rFonts w:hint="eastAsia" w:ascii="仿宋" w:hAnsi="仿宋" w:eastAsia="仿宋" w:cs="仿宋"/>
        </w:rPr>
      </w:pPr>
      <w:r>
        <w:rPr>
          <w:rFonts w:hint="eastAsia" w:ascii="仿宋" w:hAnsi="仿宋" w:eastAsia="仿宋" w:cs="仿宋"/>
          <w:sz w:val="28"/>
          <w:szCs w:val="28"/>
        </w:rPr>
        <w:t>（4）项目考核：医院将组织相关部门定期对区域检验和病理诊断中心项目运行实施监督、考核，内容包括但不限于：实验室质量管理体系、生物安全防范体系、标本物流运输体系、区域检验信息平台系统等。如考核不合格则发出整改通知书，如整改不合格或整改合格后再次出现考核不合格的情况，则医院有权单方面取消合作。</w:t>
      </w:r>
    </w:p>
    <w:p w14:paraId="70B7E2C3">
      <w:pPr>
        <w:pStyle w:val="2"/>
        <w:snapToGrid w:val="0"/>
        <w:spacing w:before="319" w:beforeLines="100" w:after="319" w:afterLines="100" w:line="360" w:lineRule="auto"/>
        <w:jc w:val="center"/>
        <w:rPr>
          <w:rFonts w:hint="eastAsia" w:ascii="仿宋" w:hAnsi="仿宋" w:eastAsia="仿宋" w:cs="仿宋"/>
        </w:rPr>
      </w:pPr>
      <w:r>
        <w:rPr>
          <w:rFonts w:hint="eastAsia" w:ascii="仿宋" w:hAnsi="仿宋" w:eastAsia="仿宋" w:cs="仿宋"/>
        </w:rPr>
        <w:br w:type="page"/>
      </w:r>
      <w:r>
        <w:rPr>
          <w:rFonts w:hint="eastAsia" w:ascii="仿宋" w:hAnsi="仿宋" w:eastAsia="仿宋" w:cs="仿宋"/>
        </w:rPr>
        <w:t>第四章 评标方法</w:t>
      </w:r>
      <w:bookmarkEnd w:id="99"/>
      <w:bookmarkEnd w:id="100"/>
    </w:p>
    <w:p w14:paraId="18F866A0">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Cs/>
          <w:kern w:val="0"/>
          <w:szCs w:val="21"/>
        </w:rPr>
        <w:t>本项目将按照招标文件第一章投标人须知中“五 开标及评标”、“六 确定中标”及本章的规定评标。</w:t>
      </w:r>
    </w:p>
    <w:p w14:paraId="7C1E7B3B">
      <w:pPr>
        <w:adjustRightInd w:val="0"/>
        <w:snapToGrid w:val="0"/>
        <w:spacing w:line="360" w:lineRule="auto"/>
        <w:ind w:firstLine="420" w:firstLineChars="200"/>
        <w:rPr>
          <w:rFonts w:hint="eastAsia" w:ascii="仿宋" w:hAnsi="仿宋" w:eastAsia="仿宋" w:cs="仿宋"/>
          <w:b/>
          <w:kern w:val="0"/>
          <w:szCs w:val="21"/>
        </w:rPr>
      </w:pPr>
      <w:bookmarkStart w:id="140" w:name="_Toc22313_WPSOffice_Level2"/>
      <w:r>
        <w:rPr>
          <w:rFonts w:hint="eastAsia" w:ascii="仿宋" w:hAnsi="仿宋" w:eastAsia="仿宋" w:cs="仿宋"/>
          <w:b/>
          <w:kern w:val="0"/>
          <w:szCs w:val="21"/>
        </w:rPr>
        <w:t>一、评标方法</w:t>
      </w:r>
      <w:bookmarkEnd w:id="140"/>
    </w:p>
    <w:p w14:paraId="2704D1A0">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本项目采用</w:t>
      </w:r>
      <w:r>
        <w:rPr>
          <w:rFonts w:hint="eastAsia" w:ascii="仿宋" w:hAnsi="仿宋" w:eastAsia="仿宋" w:cs="仿宋"/>
          <w:kern w:val="0"/>
          <w:szCs w:val="21"/>
          <w:u w:val="single"/>
        </w:rPr>
        <w:t>综合评分法</w:t>
      </w:r>
      <w:r>
        <w:rPr>
          <w:rFonts w:hint="eastAsia" w:ascii="仿宋" w:hAnsi="仿宋" w:eastAsia="仿宋" w:cs="仿宋"/>
          <w:kern w:val="0"/>
          <w:szCs w:val="21"/>
        </w:rPr>
        <w:t>进行评标。</w:t>
      </w:r>
    </w:p>
    <w:p w14:paraId="692C93AE">
      <w:pPr>
        <w:adjustRightInd w:val="0"/>
        <w:snapToGrid w:val="0"/>
        <w:spacing w:line="360" w:lineRule="auto"/>
        <w:ind w:firstLine="420" w:firstLineChars="200"/>
        <w:textAlignment w:val="baseline"/>
        <w:rPr>
          <w:rFonts w:hint="eastAsia" w:ascii="仿宋" w:hAnsi="仿宋" w:eastAsia="仿宋" w:cs="仿宋"/>
          <w:b/>
          <w:kern w:val="0"/>
          <w:szCs w:val="21"/>
        </w:rPr>
      </w:pPr>
      <w:bookmarkStart w:id="141" w:name="_Toc21368_WPSOffice_Level2"/>
      <w:r>
        <w:rPr>
          <w:rFonts w:hint="eastAsia" w:ascii="仿宋" w:hAnsi="仿宋" w:eastAsia="仿宋" w:cs="仿宋"/>
          <w:b/>
          <w:kern w:val="0"/>
          <w:szCs w:val="21"/>
        </w:rPr>
        <w:t>二、评标原则及程序</w:t>
      </w:r>
      <w:bookmarkEnd w:id="141"/>
    </w:p>
    <w:p w14:paraId="497FCF55">
      <w:pPr>
        <w:adjustRightInd w:val="0"/>
        <w:snapToGrid w:val="0"/>
        <w:spacing w:line="360" w:lineRule="auto"/>
        <w:ind w:firstLine="420" w:firstLineChars="200"/>
        <w:textAlignment w:val="baseline"/>
        <w:rPr>
          <w:rFonts w:hint="eastAsia" w:ascii="仿宋" w:hAnsi="仿宋" w:eastAsia="仿宋" w:cs="仿宋"/>
          <w:b/>
          <w:kern w:val="0"/>
          <w:szCs w:val="21"/>
        </w:rPr>
      </w:pPr>
      <w:r>
        <w:rPr>
          <w:rFonts w:hint="eastAsia" w:ascii="仿宋" w:hAnsi="仿宋" w:eastAsia="仿宋" w:cs="仿宋"/>
          <w:b/>
          <w:kern w:val="0"/>
          <w:szCs w:val="21"/>
        </w:rPr>
        <w:t>（一）评标原则</w:t>
      </w:r>
    </w:p>
    <w:p w14:paraId="2228B7BA">
      <w:pPr>
        <w:adjustRightInd w:val="0"/>
        <w:snapToGrid w:val="0"/>
        <w:spacing w:line="360" w:lineRule="auto"/>
        <w:ind w:firstLine="420" w:firstLineChars="200"/>
        <w:textAlignment w:val="baseline"/>
        <w:rPr>
          <w:rFonts w:hint="eastAsia" w:ascii="仿宋" w:hAnsi="仿宋" w:eastAsia="仿宋" w:cs="仿宋"/>
          <w:kern w:val="0"/>
        </w:rPr>
      </w:pPr>
      <w:r>
        <w:rPr>
          <w:rFonts w:hint="eastAsia" w:ascii="仿宋" w:hAnsi="仿宋" w:eastAsia="仿宋" w:cs="仿宋"/>
          <w:kern w:val="0"/>
        </w:rPr>
        <w:t>评标委员会应当按照客观、公正、审慎的原则，根据招标文件规定的评审程序、评审方法和评审标准进行独立评审。招标文件内容违反国家有关强制性规定的，评标委员会应当停止评审并向采购人或者采购代理机构说明情况。</w:t>
      </w:r>
    </w:p>
    <w:p w14:paraId="1028D535">
      <w:pPr>
        <w:adjustRightInd w:val="0"/>
        <w:snapToGrid w:val="0"/>
        <w:spacing w:line="360" w:lineRule="auto"/>
        <w:ind w:firstLine="420" w:firstLineChars="200"/>
        <w:textAlignment w:val="baseline"/>
        <w:rPr>
          <w:rFonts w:hint="eastAsia" w:ascii="仿宋" w:hAnsi="仿宋" w:eastAsia="仿宋" w:cs="仿宋"/>
          <w:b/>
          <w:kern w:val="0"/>
          <w:szCs w:val="21"/>
        </w:rPr>
      </w:pPr>
      <w:r>
        <w:rPr>
          <w:rFonts w:hint="eastAsia" w:ascii="仿宋" w:hAnsi="仿宋" w:eastAsia="仿宋" w:cs="仿宋"/>
          <w:b/>
          <w:kern w:val="0"/>
          <w:szCs w:val="21"/>
        </w:rPr>
        <w:t>（二）评标程序</w:t>
      </w:r>
    </w:p>
    <w:p w14:paraId="08235B4F">
      <w:pPr>
        <w:adjustRightInd w:val="0"/>
        <w:snapToGrid w:val="0"/>
        <w:spacing w:line="360" w:lineRule="auto"/>
        <w:ind w:firstLine="420" w:firstLineChars="200"/>
        <w:textAlignment w:val="baseline"/>
        <w:rPr>
          <w:rFonts w:hint="eastAsia" w:ascii="仿宋" w:hAnsi="仿宋" w:eastAsia="仿宋" w:cs="仿宋"/>
          <w:b/>
          <w:kern w:val="0"/>
          <w:szCs w:val="21"/>
        </w:rPr>
      </w:pPr>
      <w:r>
        <w:rPr>
          <w:rFonts w:hint="eastAsia" w:ascii="仿宋" w:hAnsi="仿宋" w:eastAsia="仿宋" w:cs="仿宋"/>
          <w:b/>
          <w:kern w:val="0"/>
          <w:szCs w:val="21"/>
        </w:rPr>
        <w:t>★1、资格审查</w:t>
      </w:r>
    </w:p>
    <w:p w14:paraId="640BDF5F">
      <w:pPr>
        <w:adjustRightInd w:val="0"/>
        <w:snapToGrid w:val="0"/>
        <w:spacing w:line="360" w:lineRule="auto"/>
        <w:ind w:firstLine="420" w:firstLineChars="200"/>
        <w:textAlignment w:val="baseline"/>
        <w:rPr>
          <w:rFonts w:hint="eastAsia" w:ascii="仿宋" w:hAnsi="仿宋" w:eastAsia="仿宋" w:cs="仿宋"/>
          <w:kern w:val="0"/>
          <w:szCs w:val="21"/>
        </w:rPr>
      </w:pPr>
      <w:r>
        <w:rPr>
          <w:rFonts w:hint="eastAsia" w:ascii="仿宋" w:hAnsi="仿宋" w:eastAsia="仿宋" w:cs="仿宋"/>
          <w:kern w:val="0"/>
          <w:szCs w:val="21"/>
        </w:rPr>
        <w:t>1.1详见投标人须知22条。资格审查表详见本章附件1。</w:t>
      </w:r>
    </w:p>
    <w:p w14:paraId="2AEDD6B6">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w:t>
      </w:r>
      <w:r>
        <w:rPr>
          <w:rFonts w:hint="eastAsia" w:ascii="仿宋" w:hAnsi="仿宋" w:eastAsia="仿宋" w:cs="仿宋"/>
          <w:b/>
          <w:bCs/>
          <w:kern w:val="0"/>
          <w:szCs w:val="21"/>
        </w:rPr>
        <w:t>2、符合性审查</w:t>
      </w:r>
    </w:p>
    <w:p w14:paraId="39BA78B5">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2.1详见投标人须知23条。符合性审查表详见本章附件2。</w:t>
      </w:r>
    </w:p>
    <w:p w14:paraId="16A4638F">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
          <w:kern w:val="0"/>
          <w:szCs w:val="21"/>
        </w:rPr>
        <w:t>3、样品及演示</w:t>
      </w:r>
    </w:p>
    <w:p w14:paraId="49E6602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3.1</w:t>
      </w:r>
      <w:r>
        <w:rPr>
          <w:rFonts w:hint="eastAsia" w:ascii="仿宋" w:hAnsi="仿宋" w:eastAsia="仿宋" w:cs="仿宋"/>
          <w:kern w:val="0"/>
          <w:szCs w:val="21"/>
        </w:rPr>
        <w:t>投标人须知表11.3条</w:t>
      </w:r>
      <w:r>
        <w:rPr>
          <w:rFonts w:hint="eastAsia" w:ascii="仿宋" w:hAnsi="仿宋" w:eastAsia="仿宋" w:cs="仿宋"/>
          <w:szCs w:val="21"/>
        </w:rPr>
        <w:t>中要求投标人提供样品或演示的，按照</w:t>
      </w:r>
      <w:r>
        <w:rPr>
          <w:rFonts w:hint="eastAsia" w:ascii="仿宋" w:hAnsi="仿宋" w:eastAsia="仿宋" w:cs="仿宋"/>
          <w:kern w:val="0"/>
          <w:szCs w:val="21"/>
        </w:rPr>
        <w:t>投标人须知表25.1条</w:t>
      </w:r>
      <w:r>
        <w:rPr>
          <w:rFonts w:hint="eastAsia" w:ascii="仿宋" w:hAnsi="仿宋" w:eastAsia="仿宋" w:cs="仿宋"/>
          <w:szCs w:val="21"/>
        </w:rPr>
        <w:t>中确定的评审方法以及评审标准进行评审。(样品或演示属于符合性审查的，按照</w:t>
      </w:r>
      <w:r>
        <w:rPr>
          <w:rFonts w:hint="eastAsia" w:ascii="仿宋" w:hAnsi="仿宋" w:eastAsia="仿宋" w:cs="仿宋"/>
          <w:kern w:val="0"/>
          <w:szCs w:val="21"/>
        </w:rPr>
        <w:t>投标人须知22条</w:t>
      </w:r>
      <w:r>
        <w:rPr>
          <w:rFonts w:hint="eastAsia" w:ascii="仿宋" w:hAnsi="仿宋" w:eastAsia="仿宋" w:cs="仿宋"/>
          <w:szCs w:val="21"/>
        </w:rPr>
        <w:t>规定执行）</w:t>
      </w:r>
    </w:p>
    <w:p w14:paraId="0E3DCD5D">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★4</w:t>
      </w:r>
      <w:r>
        <w:rPr>
          <w:rFonts w:hint="eastAsia" w:ascii="仿宋" w:hAnsi="仿宋" w:eastAsia="仿宋" w:cs="仿宋"/>
          <w:b/>
          <w:bCs/>
          <w:kern w:val="0"/>
          <w:szCs w:val="21"/>
        </w:rPr>
        <w:t>、同一品牌产品</w:t>
      </w:r>
    </w:p>
    <w:p w14:paraId="4230521B">
      <w:pPr>
        <w:adjustRightInd w:val="0"/>
        <w:snapToGrid w:val="0"/>
        <w:spacing w:line="360" w:lineRule="auto"/>
        <w:ind w:firstLine="420" w:firstLineChars="200"/>
        <w:rPr>
          <w:rFonts w:hint="eastAsia" w:ascii="仿宋" w:hAnsi="仿宋" w:eastAsia="仿宋" w:cs="仿宋"/>
          <w:b/>
          <w:bCs/>
          <w:szCs w:val="21"/>
        </w:rPr>
      </w:pPr>
      <w:r>
        <w:rPr>
          <w:rFonts w:hint="eastAsia" w:ascii="仿宋" w:hAnsi="仿宋" w:eastAsia="仿宋" w:cs="仿宋"/>
          <w:szCs w:val="21"/>
        </w:rPr>
        <w:t>4.1通过资格审查、符合性审查的不同品牌投标人不足3家的，按照</w:t>
      </w:r>
      <w:r>
        <w:rPr>
          <w:rFonts w:hint="eastAsia" w:ascii="仿宋" w:hAnsi="仿宋" w:eastAsia="仿宋" w:cs="仿宋"/>
          <w:kern w:val="0"/>
          <w:szCs w:val="21"/>
        </w:rPr>
        <w:t>投标人须知28条第（1）款</w:t>
      </w:r>
      <w:r>
        <w:rPr>
          <w:rFonts w:hint="eastAsia" w:ascii="仿宋" w:hAnsi="仿宋" w:eastAsia="仿宋" w:cs="仿宋"/>
          <w:szCs w:val="21"/>
        </w:rPr>
        <w:t>执行</w:t>
      </w:r>
      <w:r>
        <w:rPr>
          <w:rFonts w:hint="eastAsia" w:ascii="仿宋" w:hAnsi="仿宋" w:eastAsia="仿宋" w:cs="仿宋"/>
          <w:kern w:val="0"/>
          <w:szCs w:val="21"/>
        </w:rPr>
        <w:t>。</w:t>
      </w:r>
    </w:p>
    <w:p w14:paraId="35C025C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4.2提供相同品牌产品且通过资格审查、符合性审查的不同投标人，按一家投标人计算。</w:t>
      </w:r>
    </w:p>
    <w:p w14:paraId="3781E68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4.3如一个分包内只有一种产品，不同投标人所投产品为同一品牌的，按如下方式处理：</w:t>
      </w:r>
    </w:p>
    <w:p w14:paraId="754CA132">
      <w:pPr>
        <w:numPr>
          <w:ilvl w:val="0"/>
          <w:numId w:val="6"/>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如本项目使用最低评标价法，提供相同品牌产品的不同投标人以其中通过资格审查、符合性审查且报价最低的参加比较及评价；报价相同的，按</w:t>
      </w:r>
      <w:r>
        <w:rPr>
          <w:rFonts w:hint="eastAsia" w:ascii="仿宋" w:hAnsi="仿宋" w:eastAsia="仿宋" w:cs="仿宋"/>
          <w:kern w:val="0"/>
          <w:szCs w:val="21"/>
        </w:rPr>
        <w:t>本章第8条</w:t>
      </w:r>
      <w:r>
        <w:rPr>
          <w:rFonts w:hint="eastAsia" w:ascii="仿宋" w:hAnsi="仿宋" w:eastAsia="仿宋" w:cs="仿宋"/>
          <w:szCs w:val="21"/>
        </w:rPr>
        <w:t>“推荐中标候选人的原则”规定执行；未规定的采取随机抽取方式确定，其他</w:t>
      </w:r>
      <w:r>
        <w:rPr>
          <w:rFonts w:hint="eastAsia" w:ascii="仿宋" w:hAnsi="仿宋" w:eastAsia="仿宋" w:cs="仿宋"/>
          <w:b/>
          <w:bCs/>
          <w:szCs w:val="21"/>
        </w:rPr>
        <w:t>投标无效</w:t>
      </w:r>
      <w:r>
        <w:rPr>
          <w:rFonts w:hint="eastAsia" w:ascii="仿宋" w:hAnsi="仿宋" w:eastAsia="仿宋" w:cs="仿宋"/>
          <w:szCs w:val="21"/>
        </w:rPr>
        <w:t>。</w:t>
      </w:r>
    </w:p>
    <w:p w14:paraId="73EE106A">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07F2BF63">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szCs w:val="21"/>
        </w:rPr>
        <w:t>4.4如一个分包内包含多种产品的，采购人或采购代理机构将在招标文件中载明核心产品，多家投标人提供的核心产品品牌相同的，</w:t>
      </w:r>
      <w:r>
        <w:rPr>
          <w:rFonts w:hint="eastAsia" w:ascii="仿宋" w:hAnsi="仿宋" w:eastAsia="仿宋" w:cs="仿宋"/>
          <w:kern w:val="0"/>
          <w:szCs w:val="21"/>
        </w:rPr>
        <w:t>按本章第4.3条规定处理。</w:t>
      </w:r>
    </w:p>
    <w:p w14:paraId="07A2D96B">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★5</w:t>
      </w:r>
      <w:r>
        <w:rPr>
          <w:rFonts w:hint="eastAsia" w:ascii="仿宋" w:hAnsi="仿宋" w:eastAsia="仿宋" w:cs="仿宋"/>
          <w:b/>
          <w:bCs/>
          <w:kern w:val="0"/>
          <w:szCs w:val="21"/>
        </w:rPr>
        <w:t>、比较及评价</w:t>
      </w:r>
    </w:p>
    <w:p w14:paraId="274D353F">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5.1评标委员会对通过符合性审查的投标文件进行比较和评价。</w:t>
      </w:r>
    </w:p>
    <w:p w14:paraId="583FCE50">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5.2在评标期间，对投标文件的澄清按投标人须知24条内容执行。</w:t>
      </w:r>
    </w:p>
    <w:p w14:paraId="62907C1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eastAsia="仿宋" w:cs="仿宋"/>
          <w:kern w:val="0"/>
          <w:szCs w:val="21"/>
        </w:rPr>
        <w:t>接到通知后</w:t>
      </w:r>
      <w:r>
        <w:rPr>
          <w:rFonts w:hint="eastAsia" w:ascii="仿宋" w:hAnsi="仿宋" w:eastAsia="仿宋" w:cs="仿宋"/>
          <w:kern w:val="0"/>
          <w:szCs w:val="21"/>
          <w:u w:val="single"/>
        </w:rPr>
        <w:t xml:space="preserve"> 0.5 </w:t>
      </w:r>
      <w:r>
        <w:rPr>
          <w:rFonts w:hint="eastAsia" w:ascii="仿宋" w:hAnsi="仿宋" w:eastAsia="仿宋" w:cs="仿宋"/>
          <w:kern w:val="0"/>
          <w:szCs w:val="21"/>
        </w:rPr>
        <w:t>小时</w:t>
      </w:r>
      <w:r>
        <w:rPr>
          <w:rFonts w:hint="eastAsia" w:ascii="仿宋" w:hAnsi="仿宋" w:eastAsia="仿宋" w:cs="仿宋"/>
          <w:szCs w:val="21"/>
        </w:rPr>
        <w:t>）内提供书面说明，并提交相关证明材料，</w:t>
      </w:r>
      <w:r>
        <w:rPr>
          <w:rFonts w:hint="eastAsia" w:ascii="仿宋" w:hAnsi="仿宋" w:eastAsia="仿宋" w:cs="仿宋"/>
          <w:kern w:val="0"/>
          <w:szCs w:val="21"/>
        </w:rPr>
        <w:t>投标人不能证明其报价合理性的，评标委员会应当将</w:t>
      </w:r>
      <w:r>
        <w:rPr>
          <w:rFonts w:hint="eastAsia" w:ascii="仿宋" w:hAnsi="仿宋" w:eastAsia="仿宋" w:cs="仿宋"/>
          <w:szCs w:val="21"/>
        </w:rPr>
        <w:t>其投标作为</w:t>
      </w:r>
      <w:r>
        <w:rPr>
          <w:rFonts w:hint="eastAsia" w:ascii="仿宋" w:hAnsi="仿宋" w:eastAsia="仿宋" w:cs="仿宋"/>
          <w:b/>
          <w:bCs/>
          <w:szCs w:val="21"/>
        </w:rPr>
        <w:t>无效投标处理</w:t>
      </w:r>
      <w:r>
        <w:rPr>
          <w:rFonts w:hint="eastAsia" w:ascii="仿宋" w:hAnsi="仿宋" w:eastAsia="仿宋" w:cs="仿宋"/>
          <w:szCs w:val="21"/>
        </w:rPr>
        <w:t>。</w:t>
      </w:r>
    </w:p>
    <w:p w14:paraId="57C5F64F">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投标人的书面说明材料包含货物本身成本、人工费用、运输、税收等，以及报价不会影响产品质量或诚信履约能力的说明等。</w:t>
      </w:r>
    </w:p>
    <w:p w14:paraId="7B2DADA9">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投标人的书面说明应当签字确认或者加盖公章，否则无效。书面说明的签字确认，由其法定代表人（非法人单位负责人或自然人本人）或者其授权代表签字确认。</w:t>
      </w:r>
    </w:p>
    <w:p w14:paraId="7AB16BCB">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投标人提供书面说明后，评标委员会应当结合采购项目采购需求、专业实际情况、投标单位财务状况报告、与其他投标人比较情况等就投标人的书面说明进行审查评价。投标人如有下列情况的，评标委员会应当将其投标文件作为无效处理：</w:t>
      </w:r>
    </w:p>
    <w:p w14:paraId="31CBA2CF">
      <w:pPr>
        <w:numPr>
          <w:ilvl w:val="0"/>
          <w:numId w:val="7"/>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拒绝或者变相拒绝提供有效书面说明；</w:t>
      </w:r>
    </w:p>
    <w:p w14:paraId="1AE05257">
      <w:pPr>
        <w:numPr>
          <w:ilvl w:val="0"/>
          <w:numId w:val="7"/>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书面说明不能证明其报价合理性的；</w:t>
      </w:r>
    </w:p>
    <w:p w14:paraId="6FE2ABAE">
      <w:pPr>
        <w:numPr>
          <w:ilvl w:val="0"/>
          <w:numId w:val="7"/>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未在规定时间内递交有效书面说明书的。</w:t>
      </w:r>
    </w:p>
    <w:p w14:paraId="61ABECE6">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★6</w:t>
      </w:r>
      <w:r>
        <w:rPr>
          <w:rFonts w:hint="eastAsia" w:ascii="仿宋" w:hAnsi="仿宋" w:eastAsia="仿宋" w:cs="仿宋"/>
          <w:b/>
          <w:bCs/>
          <w:kern w:val="0"/>
          <w:szCs w:val="21"/>
        </w:rPr>
        <w:t>、需落实的政府采购政策性规定：</w:t>
      </w:r>
    </w:p>
    <w:p w14:paraId="220CC7B3">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
          <w:kern w:val="0"/>
          <w:szCs w:val="21"/>
        </w:rPr>
        <w:t>6.1对于中小微企业（含监狱企业）的相关规定</w:t>
      </w:r>
    </w:p>
    <w:p w14:paraId="78ABE38E">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对于非专门面向中小企业的项目，在满足价格扣除条件且在投标文件中按要求提交了《中小企业声明函》、《制造商企业（单位）类型声明函》</w:t>
      </w:r>
      <w:r>
        <w:rPr>
          <w:rFonts w:hint="eastAsia" w:ascii="仿宋" w:hAnsi="仿宋" w:eastAsia="仿宋" w:cs="仿宋"/>
          <w:kern w:val="0"/>
          <w:szCs w:val="21"/>
        </w:rPr>
        <w:t>（投标人所投产品为其它企业生产时须提供此声明函，仅作为价格扣除条件），</w:t>
      </w:r>
      <w:r>
        <w:rPr>
          <w:rFonts w:hint="eastAsia" w:ascii="仿宋" w:hAnsi="仿宋" w:eastAsia="仿宋" w:cs="仿宋"/>
          <w:szCs w:val="21"/>
        </w:rPr>
        <w:t>或省级以上监狱管理局、戒毒管理局（含新疆生产建设兵团）出具的属于监狱企业的证明文件的投标人，对投标报价给予价格扣除，用扣除后的价格参与评审。投标报价扣除比例如下：</w:t>
      </w:r>
    </w:p>
    <w:p w14:paraId="71618EF5">
      <w:pPr>
        <w:adjustRightInd w:val="0"/>
        <w:snapToGrid w:val="0"/>
        <w:spacing w:line="360" w:lineRule="auto"/>
        <w:ind w:firstLine="210" w:firstLineChars="100"/>
        <w:jc w:val="left"/>
        <w:rPr>
          <w:rFonts w:hint="eastAsia" w:ascii="仿宋" w:hAnsi="仿宋" w:eastAsia="仿宋" w:cs="仿宋"/>
          <w:szCs w:val="21"/>
        </w:rPr>
      </w:pPr>
      <w:r>
        <w:rPr>
          <w:rFonts w:hint="eastAsia" w:ascii="仿宋" w:hAnsi="仿宋" w:eastAsia="仿宋" w:cs="仿宋"/>
          <w:szCs w:val="21"/>
        </w:rPr>
        <w:t>（1）非联合体投标</w:t>
      </w:r>
    </w:p>
    <w:p w14:paraId="7A108F08">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小型和微型企业相应产品、服务投标报价的</w:t>
      </w:r>
      <w:r>
        <w:rPr>
          <w:rFonts w:hint="eastAsia" w:ascii="仿宋" w:hAnsi="仿宋" w:eastAsia="仿宋" w:cs="仿宋"/>
          <w:kern w:val="0"/>
          <w:szCs w:val="21"/>
          <w:u w:val="single"/>
        </w:rPr>
        <w:t xml:space="preserve">  </w:t>
      </w:r>
      <w:r>
        <w:rPr>
          <w:rFonts w:hint="eastAsia" w:ascii="仿宋" w:hAnsi="仿宋" w:eastAsia="仿宋" w:cs="仿宋"/>
          <w:kern w:val="0"/>
          <w:szCs w:val="21"/>
          <w:u w:val="single"/>
          <w:lang w:val="en-US" w:eastAsia="zh-CN"/>
        </w:rPr>
        <w:t>10%</w:t>
      </w:r>
      <w:r>
        <w:rPr>
          <w:rFonts w:hint="eastAsia" w:ascii="仿宋" w:hAnsi="仿宋" w:eastAsia="仿宋" w:cs="仿宋"/>
          <w:kern w:val="0"/>
          <w:szCs w:val="21"/>
          <w:u w:val="single"/>
        </w:rPr>
        <w:t xml:space="preserve">   </w:t>
      </w:r>
    </w:p>
    <w:p w14:paraId="7682A287">
      <w:pPr>
        <w:adjustRightInd w:val="0"/>
        <w:snapToGrid w:val="0"/>
        <w:spacing w:line="360" w:lineRule="auto"/>
        <w:ind w:firstLine="420" w:firstLineChars="200"/>
        <w:jc w:val="left"/>
        <w:rPr>
          <w:rFonts w:hint="eastAsia" w:ascii="仿宋" w:hAnsi="仿宋" w:eastAsia="仿宋" w:cs="仿宋"/>
          <w:b/>
          <w:kern w:val="0"/>
          <w:szCs w:val="21"/>
        </w:rPr>
      </w:pPr>
      <w:r>
        <w:rPr>
          <w:rFonts w:hint="eastAsia" w:ascii="仿宋" w:hAnsi="仿宋" w:eastAsia="仿宋" w:cs="仿宋"/>
          <w:b/>
          <w:kern w:val="0"/>
          <w:szCs w:val="21"/>
        </w:rPr>
        <w:t xml:space="preserve"> 6.2对于促进残疾人就业政府采购政策的相关规定</w:t>
      </w:r>
    </w:p>
    <w:p w14:paraId="5BE3CF6A">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kern w:val="0"/>
          <w:szCs w:val="21"/>
        </w:rPr>
        <w:t>（1）</w:t>
      </w:r>
      <w:r>
        <w:rPr>
          <w:rFonts w:hint="eastAsia" w:ascii="仿宋" w:hAnsi="仿宋" w:eastAsia="仿宋" w:cs="仿宋"/>
          <w:szCs w:val="21"/>
        </w:rPr>
        <w:t>残疾人福利性单位视同小型、微型企业，对残疾人福利性单位的产品、服务价格给</w:t>
      </w:r>
      <w:r>
        <w:rPr>
          <w:rFonts w:hint="eastAsia" w:ascii="仿宋" w:hAnsi="仿宋" w:eastAsia="仿宋" w:cs="仿宋"/>
          <w:kern w:val="0"/>
          <w:szCs w:val="21"/>
        </w:rPr>
        <w:t>予</w:t>
      </w:r>
      <w:r>
        <w:rPr>
          <w:rFonts w:hint="eastAsia" w:ascii="仿宋" w:hAnsi="仿宋" w:eastAsia="仿宋" w:cs="仿宋"/>
          <w:kern w:val="0"/>
          <w:szCs w:val="21"/>
          <w:u w:val="single"/>
        </w:rPr>
        <w:t xml:space="preserve">  6%  </w:t>
      </w:r>
      <w:r>
        <w:rPr>
          <w:rFonts w:hint="eastAsia" w:ascii="仿宋" w:hAnsi="仿宋" w:eastAsia="仿宋" w:cs="仿宋"/>
          <w:kern w:val="0"/>
          <w:szCs w:val="21"/>
        </w:rPr>
        <w:t>（</w:t>
      </w:r>
      <w:r>
        <w:rPr>
          <w:rFonts w:hint="eastAsia" w:ascii="仿宋" w:hAnsi="仿宋" w:eastAsia="仿宋" w:cs="仿宋"/>
          <w:szCs w:val="21"/>
        </w:rPr>
        <w:t>6-10%）</w:t>
      </w:r>
      <w:r>
        <w:rPr>
          <w:rFonts w:hint="eastAsia" w:ascii="仿宋" w:hAnsi="仿宋" w:eastAsia="仿宋" w:cs="仿宋"/>
          <w:kern w:val="0"/>
          <w:szCs w:val="21"/>
        </w:rPr>
        <w:t>的价格扣除，用扣除后的价格参与评审。</w:t>
      </w:r>
    </w:p>
    <w:p w14:paraId="53983FD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kern w:val="0"/>
          <w:szCs w:val="21"/>
        </w:rPr>
        <w:t>（2）投标文件中必须提供《残疾人福利性单位声明函》（详见第二章 投标文件内容及格式），否则不予享受该政策性优惠，并对声明的真实性负责</w:t>
      </w:r>
      <w:r>
        <w:rPr>
          <w:rFonts w:hint="eastAsia" w:ascii="仿宋" w:hAnsi="仿宋" w:eastAsia="仿宋" w:cs="仿宋"/>
          <w:szCs w:val="21"/>
        </w:rPr>
        <w:t>，如《残疾人福利性单位声明函》与事实不符的，将依照《政府采购法》第七十七条第一款的规定追究法律责任。</w:t>
      </w:r>
    </w:p>
    <w:p w14:paraId="18A0D780">
      <w:pPr>
        <w:adjustRightInd w:val="0"/>
        <w:snapToGrid w:val="0"/>
        <w:spacing w:line="360" w:lineRule="auto"/>
        <w:ind w:firstLine="420" w:firstLineChars="200"/>
        <w:rPr>
          <w:rFonts w:hint="eastAsia" w:ascii="仿宋" w:hAnsi="仿宋" w:eastAsia="仿宋" w:cs="仿宋"/>
          <w:b/>
          <w:szCs w:val="21"/>
        </w:rPr>
      </w:pPr>
      <w:r>
        <w:rPr>
          <w:rFonts w:hint="eastAsia" w:ascii="仿宋" w:hAnsi="仿宋" w:eastAsia="仿宋" w:cs="仿宋"/>
          <w:b/>
          <w:szCs w:val="21"/>
        </w:rPr>
        <w:t>（3）残疾人福利性单位属于小型、微型企业的，不重复享受政策。</w:t>
      </w:r>
    </w:p>
    <w:p w14:paraId="27A2D2AC">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
          <w:kern w:val="0"/>
          <w:szCs w:val="21"/>
        </w:rPr>
        <w:t>6.3对于节能产品、环境标志产品的相关规定</w:t>
      </w:r>
    </w:p>
    <w:p w14:paraId="2936FEC3">
      <w:pPr>
        <w:numPr>
          <w:ilvl w:val="0"/>
          <w:numId w:val="8"/>
        </w:num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节能产品或环境标志产品，依据品目清单和认证证书实施政府优先采购。</w:t>
      </w:r>
      <w:r>
        <w:rPr>
          <w:rFonts w:hint="eastAsia" w:ascii="仿宋" w:hAnsi="仿宋" w:eastAsia="仿宋" w:cs="仿宋"/>
        </w:rPr>
        <w:t>投标单位</w:t>
      </w:r>
      <w:r>
        <w:rPr>
          <w:rFonts w:hint="eastAsia" w:ascii="仿宋" w:hAnsi="仿宋" w:eastAsia="仿宋" w:cs="仿宋"/>
          <w:szCs w:val="21"/>
        </w:rPr>
        <w:t>应能够提供国家确定的认证机构出具的、处于有效期之内的节能产品、环境标志产品认证证书，方可对获得证书的产品优先推荐。</w:t>
      </w:r>
    </w:p>
    <w:p w14:paraId="1EFF8216">
      <w:pPr>
        <w:adjustRightInd w:val="0"/>
        <w:snapToGrid w:val="0"/>
        <w:spacing w:line="360" w:lineRule="auto"/>
        <w:ind w:firstLine="630" w:firstLineChars="300"/>
        <w:jc w:val="left"/>
        <w:rPr>
          <w:rFonts w:hint="eastAsia" w:ascii="仿宋" w:hAnsi="仿宋" w:eastAsia="仿宋" w:cs="仿宋"/>
          <w:szCs w:val="21"/>
        </w:rPr>
      </w:pPr>
      <w:r>
        <w:rPr>
          <w:rFonts w:hint="eastAsia" w:ascii="仿宋" w:hAnsi="仿宋" w:eastAsia="仿宋" w:cs="仿宋"/>
          <w:kern w:val="0"/>
          <w:szCs w:val="21"/>
        </w:rPr>
        <w:t>采用综合评分法评标的项目，对清单中产品给予相应的加分。（详见评分细则）</w:t>
      </w:r>
    </w:p>
    <w:p w14:paraId="416EBD3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（2）投标单位应同时提供品目清单网络截图，并以明确标注所报产品信息和位置的方式，用以方便评审。</w:t>
      </w:r>
    </w:p>
    <w:p w14:paraId="22F1C940">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（3）认证机构和获证产品信息发布媒体：详见中国政府采购网（www.ccgp.gov.cn）建立的与认证结果信息发布平台的链接。</w:t>
      </w:r>
    </w:p>
    <w:p w14:paraId="7F4D5002">
      <w:pPr>
        <w:adjustRightInd w:val="0"/>
        <w:snapToGrid w:val="0"/>
        <w:spacing w:line="360" w:lineRule="auto"/>
        <w:ind w:firstLine="420" w:firstLineChars="200"/>
        <w:rPr>
          <w:rFonts w:hint="eastAsia" w:ascii="仿宋" w:hAnsi="仿宋" w:eastAsia="仿宋" w:cs="仿宋"/>
          <w:b/>
          <w:kern w:val="0"/>
          <w:szCs w:val="21"/>
        </w:rPr>
      </w:pPr>
      <w:r>
        <w:rPr>
          <w:rFonts w:hint="eastAsia" w:ascii="仿宋" w:hAnsi="仿宋" w:eastAsia="仿宋" w:cs="仿宋"/>
          <w:b/>
          <w:kern w:val="0"/>
          <w:szCs w:val="21"/>
        </w:rPr>
        <w:t>6.4对于贫困地区农副产品的相关规定</w:t>
      </w:r>
    </w:p>
    <w:p w14:paraId="30101A71">
      <w:pPr>
        <w:adjustRightIn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对于非专门面向贫困地区采购农副产品的项目，在满足价格扣除条件且在投标文件中按要求提交了《贫困地区农副产品声明函》的投标单位，对响应报价给予价格扣除，用扣除后的价格参与评审。响应报价扣除比例为相应</w:t>
      </w:r>
      <w:r>
        <w:rPr>
          <w:rFonts w:hint="eastAsia" w:ascii="仿宋" w:hAnsi="仿宋" w:eastAsia="仿宋" w:cs="仿宋"/>
          <w:kern w:val="0"/>
          <w:szCs w:val="21"/>
        </w:rPr>
        <w:t>产品报价的</w:t>
      </w:r>
      <w:r>
        <w:rPr>
          <w:rFonts w:hint="eastAsia" w:ascii="仿宋" w:hAnsi="仿宋" w:eastAsia="仿宋" w:cs="仿宋"/>
          <w:szCs w:val="21"/>
          <w:u w:val="single"/>
        </w:rPr>
        <w:t xml:space="preserve">   2   </w:t>
      </w:r>
      <w:r>
        <w:rPr>
          <w:rFonts w:hint="eastAsia" w:ascii="仿宋" w:hAnsi="仿宋" w:eastAsia="仿宋" w:cs="仿宋"/>
          <w:szCs w:val="21"/>
        </w:rPr>
        <w:t xml:space="preserve"> %。</w:t>
      </w:r>
    </w:p>
    <w:p w14:paraId="46A72916">
      <w:pPr>
        <w:adjustRightInd w:val="0"/>
        <w:spacing w:line="360" w:lineRule="auto"/>
        <w:ind w:firstLine="420" w:firstLineChars="200"/>
        <w:jc w:val="left"/>
        <w:rPr>
          <w:rFonts w:hint="eastAsia" w:ascii="仿宋" w:hAnsi="仿宋" w:eastAsia="仿宋" w:cs="仿宋"/>
          <w:b/>
          <w:bCs/>
          <w:szCs w:val="21"/>
        </w:rPr>
      </w:pPr>
      <w:r>
        <w:rPr>
          <w:rFonts w:hint="eastAsia" w:ascii="仿宋" w:hAnsi="仿宋" w:eastAsia="仿宋" w:cs="仿宋"/>
          <w:b/>
          <w:bCs/>
          <w:szCs w:val="21"/>
        </w:rPr>
        <w:t>6.5对于列入《辽宁省创新产品和服务目录》内的产品、服务的相关规定</w:t>
      </w:r>
    </w:p>
    <w:p w14:paraId="077C7283">
      <w:pPr>
        <w:adjustRightIn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采用综合评分法评标的：对列入《辽宁省创新产品和服务目录》内的投标产品、服务给予</w:t>
      </w:r>
      <w:r>
        <w:rPr>
          <w:rFonts w:hint="eastAsia" w:ascii="仿宋" w:hAnsi="仿宋" w:eastAsia="仿宋" w:cs="仿宋"/>
          <w:szCs w:val="21"/>
          <w:u w:val="single"/>
        </w:rPr>
        <w:t xml:space="preserve">  6%   </w:t>
      </w:r>
      <w:r>
        <w:rPr>
          <w:rFonts w:hint="eastAsia" w:ascii="仿宋" w:hAnsi="仿宋" w:eastAsia="仿宋" w:cs="仿宋"/>
          <w:szCs w:val="21"/>
        </w:rPr>
        <w:t>（6-8%）的加分（详见评分细则）。</w:t>
      </w:r>
    </w:p>
    <w:p w14:paraId="4284BE92">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★7</w:t>
      </w:r>
      <w:r>
        <w:rPr>
          <w:rFonts w:hint="eastAsia" w:ascii="仿宋" w:hAnsi="仿宋" w:eastAsia="仿宋" w:cs="仿宋"/>
          <w:b/>
          <w:bCs/>
          <w:kern w:val="0"/>
          <w:szCs w:val="21"/>
        </w:rPr>
        <w:t>、投标无效情况详见投标人须知。</w:t>
      </w:r>
    </w:p>
    <w:p w14:paraId="5CB8F404">
      <w:pPr>
        <w:adjustRightInd w:val="0"/>
        <w:snapToGrid w:val="0"/>
        <w:spacing w:line="360" w:lineRule="auto"/>
        <w:ind w:firstLine="420" w:firstLineChars="200"/>
        <w:rPr>
          <w:rFonts w:hint="eastAsia" w:ascii="仿宋" w:hAnsi="仿宋" w:eastAsia="仿宋" w:cs="仿宋"/>
          <w:b/>
          <w:bCs/>
          <w:kern w:val="0"/>
          <w:szCs w:val="21"/>
        </w:rPr>
      </w:pPr>
      <w:r>
        <w:rPr>
          <w:rFonts w:hint="eastAsia" w:ascii="仿宋" w:hAnsi="仿宋" w:eastAsia="仿宋" w:cs="仿宋"/>
          <w:b/>
          <w:kern w:val="0"/>
          <w:szCs w:val="21"/>
        </w:rPr>
        <w:t>★8</w:t>
      </w:r>
      <w:r>
        <w:rPr>
          <w:rFonts w:hint="eastAsia" w:ascii="仿宋" w:hAnsi="仿宋" w:eastAsia="仿宋" w:cs="仿宋"/>
          <w:b/>
          <w:bCs/>
          <w:kern w:val="0"/>
          <w:szCs w:val="21"/>
        </w:rPr>
        <w:t>、推荐中标候选人的原则</w:t>
      </w:r>
    </w:p>
    <w:p w14:paraId="6283B949">
      <w:pPr>
        <w:adjustRightInd w:val="0"/>
        <w:snapToGrid w:val="0"/>
        <w:spacing w:line="360" w:lineRule="auto"/>
        <w:ind w:firstLine="420" w:firstLineChars="200"/>
        <w:rPr>
          <w:rFonts w:hint="eastAsia" w:ascii="仿宋" w:hAnsi="仿宋" w:eastAsia="仿宋" w:cs="仿宋"/>
          <w:kern w:val="0"/>
          <w:szCs w:val="21"/>
        </w:rPr>
      </w:pPr>
      <w:r>
        <w:rPr>
          <w:rFonts w:hint="eastAsia" w:ascii="仿宋" w:hAnsi="仿宋" w:eastAsia="仿宋" w:cs="仿宋"/>
          <w:kern w:val="0"/>
          <w:szCs w:val="21"/>
        </w:rPr>
        <w:t>详见第一章投标人须知第29条，具体处理办法如下：</w:t>
      </w:r>
    </w:p>
    <w:p w14:paraId="17CCD93D">
      <w:pPr>
        <w:numPr>
          <w:ilvl w:val="0"/>
          <w:numId w:val="9"/>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采用最低评标价法的：</w:t>
      </w:r>
    </w:p>
    <w:p w14:paraId="36BFFF6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扣除后的投标报价相同时，按投标报价由低至高排序；</w:t>
      </w:r>
    </w:p>
    <w:p w14:paraId="508F6953">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按前款不能区分的，优先采购节能产品、环境标志产品；</w:t>
      </w:r>
    </w:p>
    <w:p w14:paraId="335D473D">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按前款不能区分的，按技术指标优劣排序；</w:t>
      </w:r>
    </w:p>
    <w:p w14:paraId="6304A97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其他情况，由评标委员会集体研究处理。</w:t>
      </w:r>
    </w:p>
    <w:p w14:paraId="1BE84C4C">
      <w:pPr>
        <w:numPr>
          <w:ilvl w:val="0"/>
          <w:numId w:val="9"/>
        </w:num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采用综合评分法的：</w:t>
      </w:r>
    </w:p>
    <w:p w14:paraId="685F2C85">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得分相同的，按扣除后的投标报价由低到高顺序排序；</w:t>
      </w:r>
    </w:p>
    <w:p w14:paraId="0EB29FA1">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按前款不能区分的，按投标报价由低至高顺序排序；</w:t>
      </w:r>
    </w:p>
    <w:p w14:paraId="3CF62F4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按前款不能区分的，优先采购节能产品、环保产品；</w:t>
      </w:r>
    </w:p>
    <w:p w14:paraId="1F85DCD2">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按前款不能区分的，按技术指标优劣排序；</w:t>
      </w:r>
    </w:p>
    <w:p w14:paraId="2D8D8B44">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其他情况，由评标委员会集体研究处理。</w:t>
      </w:r>
    </w:p>
    <w:p w14:paraId="096AA42D">
      <w:pPr>
        <w:adjustRightInd w:val="0"/>
        <w:snapToGrid w:val="0"/>
        <w:spacing w:line="360" w:lineRule="auto"/>
        <w:ind w:firstLine="420" w:firstLineChars="200"/>
        <w:rPr>
          <w:rFonts w:hint="eastAsia" w:ascii="仿宋" w:hAnsi="仿宋" w:eastAsia="仿宋" w:cs="仿宋"/>
          <w:b/>
          <w:kern w:val="0"/>
          <w:szCs w:val="21"/>
        </w:rPr>
      </w:pPr>
      <w:bookmarkStart w:id="142" w:name="_Toc30297_WPSOffice_Level2"/>
      <w:r>
        <w:rPr>
          <w:rFonts w:hint="eastAsia" w:ascii="仿宋" w:hAnsi="仿宋" w:eastAsia="仿宋" w:cs="仿宋"/>
          <w:b/>
          <w:szCs w:val="21"/>
        </w:rPr>
        <w:t>三、</w:t>
      </w:r>
      <w:r>
        <w:rPr>
          <w:rFonts w:hint="eastAsia" w:ascii="仿宋" w:hAnsi="仿宋" w:eastAsia="仿宋" w:cs="仿宋"/>
          <w:b/>
          <w:kern w:val="0"/>
          <w:szCs w:val="21"/>
        </w:rPr>
        <w:t>确定中标人</w:t>
      </w:r>
      <w:bookmarkEnd w:id="142"/>
    </w:p>
    <w:p w14:paraId="5C19B83E">
      <w:pPr>
        <w:adjustRightInd w:val="0"/>
        <w:snapToGri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评标委员会根据全体评标委员会成员签字的原始评标记录和评标结果编写评标报告，并向采购人提交书面评标报告。</w:t>
      </w:r>
    </w:p>
    <w:p w14:paraId="135BB615">
      <w:pPr>
        <w:adjustRightInd w:val="0"/>
        <w:snapToGrid w:val="0"/>
        <w:spacing w:line="360" w:lineRule="auto"/>
        <w:ind w:firstLine="420" w:firstLineChars="200"/>
        <w:rPr>
          <w:rFonts w:hint="eastAsia" w:ascii="仿宋" w:hAnsi="仿宋" w:eastAsia="仿宋" w:cs="仿宋"/>
          <w:kern w:val="0"/>
          <w:sz w:val="24"/>
        </w:rPr>
      </w:pPr>
      <w:r>
        <w:rPr>
          <w:rFonts w:hint="eastAsia" w:ascii="仿宋" w:hAnsi="仿宋" w:eastAsia="仿宋" w:cs="仿宋"/>
          <w:szCs w:val="21"/>
        </w:rPr>
        <w:t>采购人按照评标报告确定的中标候选人名单按顺序确定中标人，或由采购人委托评标委员会按照第一章投标人须知第31条规定的方式确定中标人。</w:t>
      </w:r>
    </w:p>
    <w:p w14:paraId="2D0704F4">
      <w:pPr>
        <w:pStyle w:val="3"/>
        <w:adjustRightInd w:val="0"/>
        <w:snapToGrid w:val="0"/>
        <w:spacing w:before="0" w:after="0" w:line="240" w:lineRule="auto"/>
        <w:jc w:val="left"/>
        <w:rPr>
          <w:rFonts w:hint="eastAsia" w:ascii="仿宋" w:hAnsi="仿宋" w:eastAsia="仿宋" w:cs="仿宋"/>
          <w:szCs w:val="28"/>
        </w:rPr>
      </w:pPr>
      <w:bookmarkStart w:id="143" w:name="_Toc32318_WPSOffice_Level2"/>
    </w:p>
    <w:p w14:paraId="0641AE98">
      <w:pPr>
        <w:rPr>
          <w:rFonts w:hint="eastAsia" w:ascii="仿宋" w:hAnsi="仿宋" w:eastAsia="仿宋" w:cs="仿宋"/>
        </w:rPr>
      </w:pPr>
    </w:p>
    <w:p w14:paraId="5A76D55B">
      <w:pPr>
        <w:pStyle w:val="3"/>
        <w:adjustRightInd w:val="0"/>
        <w:snapToGrid w:val="0"/>
        <w:spacing w:before="0" w:after="0" w:line="240" w:lineRule="auto"/>
        <w:jc w:val="left"/>
        <w:rPr>
          <w:rFonts w:hint="eastAsia" w:ascii="仿宋" w:hAnsi="仿宋" w:eastAsia="仿宋" w:cs="仿宋"/>
          <w:szCs w:val="28"/>
        </w:rPr>
      </w:pPr>
      <w:r>
        <w:rPr>
          <w:rFonts w:hint="eastAsia" w:ascii="仿宋" w:hAnsi="仿宋" w:eastAsia="仿宋" w:cs="仿宋"/>
          <w:szCs w:val="28"/>
        </w:rPr>
        <w:br w:type="page"/>
      </w:r>
      <w:r>
        <w:rPr>
          <w:rFonts w:hint="eastAsia" w:ascii="仿宋" w:hAnsi="仿宋" w:eastAsia="仿宋" w:cs="仿宋"/>
          <w:szCs w:val="28"/>
        </w:rPr>
        <w:t xml:space="preserve">附件1                   </w:t>
      </w:r>
    </w:p>
    <w:p w14:paraId="6281C596">
      <w:pPr>
        <w:jc w:val="center"/>
        <w:rPr>
          <w:rFonts w:hint="eastAsia" w:ascii="仿宋" w:hAnsi="仿宋" w:eastAsia="仿宋" w:cs="仿宋"/>
          <w:b/>
          <w:sz w:val="32"/>
          <w:szCs w:val="32"/>
        </w:rPr>
      </w:pPr>
      <w:r>
        <w:rPr>
          <w:rFonts w:hint="eastAsia" w:ascii="仿宋" w:hAnsi="仿宋" w:eastAsia="仿宋" w:cs="仿宋"/>
          <w:b/>
          <w:sz w:val="32"/>
          <w:szCs w:val="32"/>
        </w:rPr>
        <w:t>资格审查表</w:t>
      </w:r>
      <w:bookmarkEnd w:id="143"/>
    </w:p>
    <w:tbl>
      <w:tblPr>
        <w:tblStyle w:val="16"/>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4066"/>
        <w:gridCol w:w="1901"/>
        <w:gridCol w:w="986"/>
        <w:gridCol w:w="962"/>
        <w:gridCol w:w="888"/>
      </w:tblGrid>
      <w:tr w14:paraId="23AEB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noWrap w:val="0"/>
            <w:vAlign w:val="center"/>
          </w:tcPr>
          <w:p w14:paraId="2A430C6B">
            <w:pPr>
              <w:pageBreakBefore w:val="0"/>
              <w:kinsoku/>
              <w:overflowPunct/>
              <w:topLinePunct w:val="0"/>
              <w:autoSpaceDE/>
              <w:autoSpaceDN/>
              <w:bidi w:val="0"/>
              <w:spacing w:line="240" w:lineRule="exact"/>
              <w:ind w:left="-96" w:leftChars="-46" w:right="-86" w:rightChars="-41"/>
              <w:jc w:val="center"/>
              <w:textAlignment w:val="auto"/>
              <w:rPr>
                <w:rFonts w:hint="eastAsia" w:ascii="仿宋" w:hAnsi="仿宋" w:eastAsia="仿宋" w:cs="仿宋"/>
              </w:rPr>
            </w:pPr>
            <w:r>
              <w:rPr>
                <w:rFonts w:hint="eastAsia" w:ascii="仿宋" w:hAnsi="仿宋" w:eastAsia="仿宋" w:cs="仿宋"/>
              </w:rPr>
              <w:t>序号</w:t>
            </w:r>
          </w:p>
        </w:tc>
        <w:tc>
          <w:tcPr>
            <w:tcW w:w="4066" w:type="dxa"/>
            <w:vMerge w:val="restart"/>
            <w:noWrap w:val="0"/>
            <w:vAlign w:val="center"/>
          </w:tcPr>
          <w:p w14:paraId="762AE9C0">
            <w:pPr>
              <w:pStyle w:val="3"/>
              <w:pageBreakBefore w:val="0"/>
              <w:kinsoku/>
              <w:overflowPunct/>
              <w:topLinePunct w:val="0"/>
              <w:autoSpaceDE/>
              <w:autoSpaceDN/>
              <w:bidi w:val="0"/>
              <w:adjustRightInd w:val="0"/>
              <w:snapToGrid w:val="0"/>
              <w:spacing w:before="0" w:after="0" w:line="240" w:lineRule="exact"/>
              <w:ind w:left="-96" w:leftChars="-46" w:right="-86" w:rightChars="-41"/>
              <w:textAlignment w:val="auto"/>
              <w:rPr>
                <w:rFonts w:hint="eastAsia" w:ascii="仿宋" w:hAnsi="仿宋" w:eastAsia="仿宋" w:cs="仿宋"/>
                <w:b w:val="0"/>
                <w:sz w:val="21"/>
                <w:szCs w:val="21"/>
              </w:rPr>
            </w:pPr>
            <w:r>
              <w:rPr>
                <w:rFonts w:hint="eastAsia" w:ascii="仿宋" w:hAnsi="仿宋" w:eastAsia="仿宋" w:cs="仿宋"/>
                <w:b w:val="0"/>
                <w:sz w:val="21"/>
                <w:szCs w:val="21"/>
              </w:rPr>
              <w:t>审查项目</w:t>
            </w:r>
          </w:p>
        </w:tc>
        <w:tc>
          <w:tcPr>
            <w:tcW w:w="1901" w:type="dxa"/>
            <w:vMerge w:val="restart"/>
            <w:noWrap w:val="0"/>
            <w:vAlign w:val="center"/>
          </w:tcPr>
          <w:p w14:paraId="48565D7B">
            <w:pPr>
              <w:pStyle w:val="3"/>
              <w:pageBreakBefore w:val="0"/>
              <w:kinsoku/>
              <w:overflowPunct/>
              <w:topLinePunct w:val="0"/>
              <w:autoSpaceDE/>
              <w:autoSpaceDN/>
              <w:bidi w:val="0"/>
              <w:adjustRightInd w:val="0"/>
              <w:snapToGrid w:val="0"/>
              <w:spacing w:before="0" w:after="0" w:line="240" w:lineRule="exact"/>
              <w:ind w:left="-96" w:leftChars="-46" w:right="-86" w:rightChars="-41"/>
              <w:textAlignment w:val="auto"/>
              <w:rPr>
                <w:rFonts w:hint="eastAsia" w:ascii="仿宋" w:hAnsi="仿宋" w:eastAsia="仿宋" w:cs="仿宋"/>
                <w:b w:val="0"/>
                <w:sz w:val="21"/>
                <w:szCs w:val="21"/>
              </w:rPr>
            </w:pPr>
            <w:r>
              <w:rPr>
                <w:rFonts w:hint="eastAsia" w:ascii="仿宋" w:hAnsi="仿宋" w:eastAsia="仿宋" w:cs="仿宋"/>
                <w:b w:val="0"/>
                <w:sz w:val="21"/>
                <w:szCs w:val="21"/>
              </w:rPr>
              <w:t>审查标准</w:t>
            </w:r>
          </w:p>
        </w:tc>
        <w:tc>
          <w:tcPr>
            <w:tcW w:w="2836" w:type="dxa"/>
            <w:gridSpan w:val="3"/>
            <w:noWrap w:val="0"/>
            <w:vAlign w:val="center"/>
          </w:tcPr>
          <w:p w14:paraId="34D45E31">
            <w:pPr>
              <w:pStyle w:val="3"/>
              <w:pageBreakBefore w:val="0"/>
              <w:kinsoku/>
              <w:overflowPunct/>
              <w:topLinePunct w:val="0"/>
              <w:autoSpaceDE/>
              <w:autoSpaceDN/>
              <w:bidi w:val="0"/>
              <w:adjustRightInd w:val="0"/>
              <w:snapToGrid w:val="0"/>
              <w:spacing w:before="0" w:after="0" w:line="240" w:lineRule="exact"/>
              <w:ind w:left="-96" w:leftChars="-46" w:right="-86" w:rightChars="-41"/>
              <w:textAlignment w:val="auto"/>
              <w:rPr>
                <w:rFonts w:hint="eastAsia" w:ascii="仿宋" w:hAnsi="仿宋" w:eastAsia="仿宋" w:cs="仿宋"/>
                <w:b w:val="0"/>
                <w:sz w:val="21"/>
                <w:szCs w:val="21"/>
              </w:rPr>
            </w:pPr>
            <w:r>
              <w:rPr>
                <w:rFonts w:hint="eastAsia" w:ascii="仿宋" w:hAnsi="仿宋" w:eastAsia="仿宋" w:cs="仿宋"/>
                <w:b w:val="0"/>
                <w:sz w:val="21"/>
                <w:szCs w:val="21"/>
              </w:rPr>
              <w:t>投标人名称</w:t>
            </w:r>
          </w:p>
        </w:tc>
      </w:tr>
      <w:tr w14:paraId="0C47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noWrap w:val="0"/>
            <w:vAlign w:val="center"/>
          </w:tcPr>
          <w:p w14:paraId="0F3E6B39">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rPr>
            </w:pPr>
          </w:p>
        </w:tc>
        <w:tc>
          <w:tcPr>
            <w:tcW w:w="4066" w:type="dxa"/>
            <w:vMerge w:val="continue"/>
            <w:noWrap w:val="0"/>
            <w:vAlign w:val="center"/>
          </w:tcPr>
          <w:p w14:paraId="3C11E186">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1901" w:type="dxa"/>
            <w:vMerge w:val="continue"/>
            <w:noWrap w:val="0"/>
            <w:vAlign w:val="center"/>
          </w:tcPr>
          <w:p w14:paraId="7C6C41BC">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86" w:type="dxa"/>
            <w:noWrap w:val="0"/>
            <w:vAlign w:val="center"/>
          </w:tcPr>
          <w:p w14:paraId="76F92BBA">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center"/>
          </w:tcPr>
          <w:p w14:paraId="56A7E0C4">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center"/>
          </w:tcPr>
          <w:p w14:paraId="255497B7">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36AF5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noWrap w:val="0"/>
            <w:vAlign w:val="center"/>
          </w:tcPr>
          <w:p w14:paraId="66C6D59E">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1</w:t>
            </w:r>
          </w:p>
        </w:tc>
        <w:tc>
          <w:tcPr>
            <w:tcW w:w="4066" w:type="dxa"/>
            <w:noWrap w:val="0"/>
            <w:vAlign w:val="center"/>
          </w:tcPr>
          <w:p w14:paraId="70827769">
            <w:pPr>
              <w:pageBreakBefore w:val="0"/>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营业执照或事业单位法人证书或执业许可证等证明文件或自然人的身份证明</w:t>
            </w:r>
          </w:p>
        </w:tc>
        <w:tc>
          <w:tcPr>
            <w:tcW w:w="1901" w:type="dxa"/>
            <w:noWrap w:val="0"/>
            <w:vAlign w:val="center"/>
          </w:tcPr>
          <w:p w14:paraId="51C8186B">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54DFBB63">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2.合法有效</w:t>
            </w:r>
          </w:p>
        </w:tc>
        <w:tc>
          <w:tcPr>
            <w:tcW w:w="986" w:type="dxa"/>
            <w:noWrap w:val="0"/>
            <w:vAlign w:val="center"/>
          </w:tcPr>
          <w:p w14:paraId="6D04D630">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center"/>
          </w:tcPr>
          <w:p w14:paraId="306E55D3">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center"/>
          </w:tcPr>
          <w:p w14:paraId="4B4181C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1387E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noWrap w:val="0"/>
            <w:vAlign w:val="center"/>
          </w:tcPr>
          <w:p w14:paraId="779294DA">
            <w:pPr>
              <w:pageBreakBefore w:val="0"/>
              <w:widowControl/>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2</w:t>
            </w:r>
          </w:p>
        </w:tc>
        <w:tc>
          <w:tcPr>
            <w:tcW w:w="4066" w:type="dxa"/>
            <w:noWrap w:val="0"/>
            <w:vAlign w:val="center"/>
          </w:tcPr>
          <w:p w14:paraId="08DA6C45">
            <w:pPr>
              <w:pageBreakBefore w:val="0"/>
              <w:widowControl/>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组织机构代码证</w:t>
            </w:r>
          </w:p>
        </w:tc>
        <w:tc>
          <w:tcPr>
            <w:tcW w:w="1901" w:type="dxa"/>
            <w:noWrap w:val="0"/>
            <w:vAlign w:val="center"/>
          </w:tcPr>
          <w:p w14:paraId="265C6554">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176CA2D5">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2.合法有效</w:t>
            </w:r>
          </w:p>
        </w:tc>
        <w:tc>
          <w:tcPr>
            <w:tcW w:w="986" w:type="dxa"/>
            <w:noWrap w:val="0"/>
            <w:vAlign w:val="top"/>
          </w:tcPr>
          <w:p w14:paraId="10828C8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5F1EFC89">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36F038B4">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26738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25047BB9">
            <w:pPr>
              <w:pageBreakBefore w:val="0"/>
              <w:widowControl/>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3</w:t>
            </w:r>
          </w:p>
        </w:tc>
        <w:tc>
          <w:tcPr>
            <w:tcW w:w="4066" w:type="dxa"/>
            <w:noWrap w:val="0"/>
            <w:vAlign w:val="center"/>
          </w:tcPr>
          <w:p w14:paraId="1B79B871">
            <w:pPr>
              <w:pageBreakBefore w:val="0"/>
              <w:widowControl/>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税务登记证</w:t>
            </w:r>
          </w:p>
        </w:tc>
        <w:tc>
          <w:tcPr>
            <w:tcW w:w="1901" w:type="dxa"/>
            <w:noWrap w:val="0"/>
            <w:vAlign w:val="center"/>
          </w:tcPr>
          <w:p w14:paraId="3FAA0F12">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6A96F087">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2.合法有效</w:t>
            </w:r>
          </w:p>
        </w:tc>
        <w:tc>
          <w:tcPr>
            <w:tcW w:w="986" w:type="dxa"/>
            <w:noWrap w:val="0"/>
            <w:vAlign w:val="top"/>
          </w:tcPr>
          <w:p w14:paraId="4017C718">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7FD0B1A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7D1E3A20">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6D01E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1E884586">
            <w:pPr>
              <w:pageBreakBefore w:val="0"/>
              <w:widowControl/>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szCs w:val="21"/>
              </w:rPr>
              <w:t>4</w:t>
            </w:r>
          </w:p>
        </w:tc>
        <w:tc>
          <w:tcPr>
            <w:tcW w:w="4066" w:type="dxa"/>
            <w:noWrap w:val="0"/>
            <w:vAlign w:val="center"/>
          </w:tcPr>
          <w:p w14:paraId="50997842">
            <w:pPr>
              <w:pageBreakBefore w:val="0"/>
              <w:widowControl/>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szCs w:val="21"/>
              </w:rPr>
              <w:t>法定代表人身份证明书</w:t>
            </w:r>
          </w:p>
        </w:tc>
        <w:tc>
          <w:tcPr>
            <w:tcW w:w="1901" w:type="dxa"/>
            <w:noWrap w:val="0"/>
            <w:vAlign w:val="center"/>
          </w:tcPr>
          <w:p w14:paraId="6615728C">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1.按给定格式填写</w:t>
            </w:r>
          </w:p>
          <w:p w14:paraId="340FD2D7">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2.按规定签章</w:t>
            </w:r>
          </w:p>
        </w:tc>
        <w:tc>
          <w:tcPr>
            <w:tcW w:w="986" w:type="dxa"/>
            <w:noWrap w:val="0"/>
            <w:vAlign w:val="top"/>
          </w:tcPr>
          <w:p w14:paraId="779F1143">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027FD045">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4CD979CB">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49663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noWrap w:val="0"/>
            <w:vAlign w:val="center"/>
          </w:tcPr>
          <w:p w14:paraId="08A4EB41">
            <w:pPr>
              <w:pageBreakBefore w:val="0"/>
              <w:widowControl/>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5</w:t>
            </w:r>
          </w:p>
        </w:tc>
        <w:tc>
          <w:tcPr>
            <w:tcW w:w="4066" w:type="dxa"/>
            <w:noWrap w:val="0"/>
            <w:vAlign w:val="center"/>
          </w:tcPr>
          <w:p w14:paraId="0619D9B6">
            <w:pPr>
              <w:pageBreakBefore w:val="0"/>
              <w:widowControl/>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法定代表人授权委托书</w:t>
            </w:r>
            <w:r>
              <w:rPr>
                <w:rFonts w:hint="eastAsia" w:ascii="仿宋" w:hAnsi="仿宋" w:eastAsia="仿宋" w:cs="仿宋"/>
                <w:szCs w:val="21"/>
              </w:rPr>
              <w:t>（授权委托人参加投标的须提供）</w:t>
            </w:r>
          </w:p>
        </w:tc>
        <w:tc>
          <w:tcPr>
            <w:tcW w:w="1901" w:type="dxa"/>
            <w:noWrap w:val="0"/>
            <w:vAlign w:val="center"/>
          </w:tcPr>
          <w:p w14:paraId="6AE90118">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1.按给定格式填写</w:t>
            </w:r>
          </w:p>
          <w:p w14:paraId="1D79FC7B">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2.按规定签章</w:t>
            </w:r>
          </w:p>
        </w:tc>
        <w:tc>
          <w:tcPr>
            <w:tcW w:w="986" w:type="dxa"/>
            <w:noWrap w:val="0"/>
            <w:vAlign w:val="top"/>
          </w:tcPr>
          <w:p w14:paraId="00170D09">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5E6954F5">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1F2B1EBD">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3EA7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noWrap w:val="0"/>
            <w:vAlign w:val="center"/>
          </w:tcPr>
          <w:p w14:paraId="480C9004">
            <w:pPr>
              <w:pageBreakBefore w:val="0"/>
              <w:widowControl/>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6</w:t>
            </w:r>
          </w:p>
        </w:tc>
        <w:tc>
          <w:tcPr>
            <w:tcW w:w="4066" w:type="dxa"/>
            <w:noWrap w:val="0"/>
            <w:vAlign w:val="center"/>
          </w:tcPr>
          <w:p w14:paraId="7760CE7B">
            <w:pPr>
              <w:pageBreakBefore w:val="0"/>
              <w:widowControl/>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具有良好的商业信誉和健全的财务会计制度的承诺函</w:t>
            </w:r>
          </w:p>
        </w:tc>
        <w:tc>
          <w:tcPr>
            <w:tcW w:w="1901" w:type="dxa"/>
            <w:noWrap w:val="0"/>
            <w:vAlign w:val="center"/>
          </w:tcPr>
          <w:p w14:paraId="4B5AFEDE">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25D247E1">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2.合法有效</w:t>
            </w:r>
          </w:p>
        </w:tc>
        <w:tc>
          <w:tcPr>
            <w:tcW w:w="986" w:type="dxa"/>
            <w:noWrap w:val="0"/>
            <w:vAlign w:val="top"/>
          </w:tcPr>
          <w:p w14:paraId="23D34D95">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5124D296">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55A66449">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392E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0B149A3E">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7</w:t>
            </w:r>
          </w:p>
        </w:tc>
        <w:tc>
          <w:tcPr>
            <w:tcW w:w="4066" w:type="dxa"/>
            <w:noWrap w:val="0"/>
            <w:vAlign w:val="center"/>
          </w:tcPr>
          <w:p w14:paraId="61976FDD">
            <w:pPr>
              <w:pageBreakBefore w:val="0"/>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开标时间前六个月内任一个月的依法缴纳税收的缴款凭据</w:t>
            </w:r>
            <w:r>
              <w:rPr>
                <w:rFonts w:hint="eastAsia" w:ascii="仿宋" w:hAnsi="仿宋" w:eastAsia="仿宋" w:cs="仿宋"/>
                <w:szCs w:val="21"/>
              </w:rPr>
              <w:t>（注：依法免税的</w:t>
            </w:r>
            <w:r>
              <w:rPr>
                <w:rFonts w:hint="eastAsia" w:ascii="仿宋" w:hAnsi="仿宋" w:eastAsia="仿宋" w:cs="仿宋"/>
                <w:szCs w:val="21"/>
                <w:lang w:eastAsia="zh-CN"/>
              </w:rPr>
              <w:t>投标人</w:t>
            </w:r>
            <w:r>
              <w:rPr>
                <w:rFonts w:hint="eastAsia" w:ascii="仿宋" w:hAnsi="仿宋" w:eastAsia="仿宋" w:cs="仿宋"/>
                <w:szCs w:val="21"/>
              </w:rPr>
              <w:t>，应提供相关证明材料，包括相关法规要求原文及加盖公章的情况说明）</w:t>
            </w:r>
          </w:p>
        </w:tc>
        <w:tc>
          <w:tcPr>
            <w:tcW w:w="1901" w:type="dxa"/>
            <w:noWrap w:val="0"/>
            <w:vAlign w:val="center"/>
          </w:tcPr>
          <w:p w14:paraId="6A6B4B50">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5DA33A74">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2.合法有效</w:t>
            </w:r>
          </w:p>
        </w:tc>
        <w:tc>
          <w:tcPr>
            <w:tcW w:w="986" w:type="dxa"/>
            <w:noWrap w:val="0"/>
            <w:vAlign w:val="top"/>
          </w:tcPr>
          <w:p w14:paraId="5FE5E8F2">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2CB4CE38">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048CE00B">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5016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noWrap w:val="0"/>
            <w:vAlign w:val="center"/>
          </w:tcPr>
          <w:p w14:paraId="0960A353">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8</w:t>
            </w:r>
          </w:p>
        </w:tc>
        <w:tc>
          <w:tcPr>
            <w:tcW w:w="4066" w:type="dxa"/>
            <w:noWrap w:val="0"/>
            <w:vAlign w:val="center"/>
          </w:tcPr>
          <w:p w14:paraId="792447B9">
            <w:pPr>
              <w:pageBreakBefore w:val="0"/>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开标时间前六个月内任一个月的依法缴纳社会保障资金的缴款凭据</w:t>
            </w:r>
            <w:r>
              <w:rPr>
                <w:rFonts w:hint="eastAsia" w:ascii="仿宋" w:hAnsi="仿宋" w:eastAsia="仿宋" w:cs="仿宋"/>
                <w:szCs w:val="21"/>
              </w:rPr>
              <w:t>（注：依法不需要缴纳社会保障资金的</w:t>
            </w:r>
            <w:r>
              <w:rPr>
                <w:rFonts w:hint="eastAsia" w:ascii="仿宋" w:hAnsi="仿宋" w:eastAsia="仿宋" w:cs="仿宋"/>
                <w:szCs w:val="21"/>
                <w:lang w:eastAsia="zh-CN"/>
              </w:rPr>
              <w:t>投标人</w:t>
            </w:r>
            <w:r>
              <w:rPr>
                <w:rFonts w:hint="eastAsia" w:ascii="仿宋" w:hAnsi="仿宋" w:eastAsia="仿宋" w:cs="仿宋"/>
                <w:szCs w:val="21"/>
              </w:rPr>
              <w:t>，应提供相关证明材料，包括相关法规要求原文及加盖公章的情况说明）</w:t>
            </w:r>
          </w:p>
        </w:tc>
        <w:tc>
          <w:tcPr>
            <w:tcW w:w="1901" w:type="dxa"/>
            <w:noWrap w:val="0"/>
            <w:vAlign w:val="center"/>
          </w:tcPr>
          <w:p w14:paraId="1EC18CF0">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7F98BCAA">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2.合法有效</w:t>
            </w:r>
          </w:p>
        </w:tc>
        <w:tc>
          <w:tcPr>
            <w:tcW w:w="986" w:type="dxa"/>
            <w:noWrap w:val="0"/>
            <w:vAlign w:val="top"/>
          </w:tcPr>
          <w:p w14:paraId="09495B56">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0B9F2B19">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3BE69008">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13B0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noWrap w:val="0"/>
            <w:vAlign w:val="center"/>
          </w:tcPr>
          <w:p w14:paraId="4666B425">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9</w:t>
            </w:r>
          </w:p>
        </w:tc>
        <w:tc>
          <w:tcPr>
            <w:tcW w:w="4066" w:type="dxa"/>
            <w:noWrap w:val="0"/>
            <w:vAlign w:val="center"/>
          </w:tcPr>
          <w:p w14:paraId="777FC642">
            <w:pPr>
              <w:pageBreakBefore w:val="0"/>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rPr>
              <w:t>具备履行合同所必需的设备和专业技术能力声明函</w:t>
            </w:r>
          </w:p>
        </w:tc>
        <w:tc>
          <w:tcPr>
            <w:tcW w:w="1901" w:type="dxa"/>
            <w:noWrap w:val="0"/>
            <w:vAlign w:val="center"/>
          </w:tcPr>
          <w:p w14:paraId="73829D2E">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1.信息完整</w:t>
            </w:r>
          </w:p>
          <w:p w14:paraId="5C612072">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2.按规定签章</w:t>
            </w:r>
          </w:p>
        </w:tc>
        <w:tc>
          <w:tcPr>
            <w:tcW w:w="986" w:type="dxa"/>
            <w:noWrap w:val="0"/>
            <w:vAlign w:val="top"/>
          </w:tcPr>
          <w:p w14:paraId="101E436B">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7AC5247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3878B30E">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2651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noWrap w:val="0"/>
            <w:vAlign w:val="center"/>
          </w:tcPr>
          <w:p w14:paraId="6DDE419A">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szCs w:val="21"/>
              </w:rPr>
              <w:t>10</w:t>
            </w:r>
          </w:p>
        </w:tc>
        <w:tc>
          <w:tcPr>
            <w:tcW w:w="4066" w:type="dxa"/>
            <w:noWrap w:val="0"/>
            <w:vAlign w:val="center"/>
          </w:tcPr>
          <w:p w14:paraId="7800B2C2">
            <w:pPr>
              <w:pageBreakBefore w:val="0"/>
              <w:kinsoku/>
              <w:overflowPunct/>
              <w:topLinePunct w:val="0"/>
              <w:autoSpaceDE/>
              <w:autoSpaceDN/>
              <w:bidi w:val="0"/>
              <w:snapToGrid w:val="0"/>
              <w:spacing w:line="240" w:lineRule="exact"/>
              <w:jc w:val="left"/>
              <w:textAlignment w:val="auto"/>
              <w:rPr>
                <w:rFonts w:hint="eastAsia" w:ascii="仿宋" w:hAnsi="仿宋" w:eastAsia="仿宋" w:cs="仿宋"/>
              </w:rPr>
            </w:pPr>
            <w:r>
              <w:rPr>
                <w:rFonts w:hint="eastAsia" w:ascii="仿宋" w:hAnsi="仿宋" w:eastAsia="仿宋" w:cs="仿宋"/>
                <w:szCs w:val="21"/>
              </w:rPr>
              <w:t>参加政府采购活动前3年内在经营活动中没有重大违法记录的书面声明</w:t>
            </w:r>
          </w:p>
        </w:tc>
        <w:tc>
          <w:tcPr>
            <w:tcW w:w="1901" w:type="dxa"/>
            <w:noWrap w:val="0"/>
            <w:vAlign w:val="center"/>
          </w:tcPr>
          <w:p w14:paraId="2F8F9C4C">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1.按给定格式填写</w:t>
            </w:r>
          </w:p>
          <w:p w14:paraId="06FCA4D4">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2.按规定签章</w:t>
            </w:r>
          </w:p>
        </w:tc>
        <w:tc>
          <w:tcPr>
            <w:tcW w:w="986" w:type="dxa"/>
            <w:noWrap w:val="0"/>
            <w:vAlign w:val="top"/>
          </w:tcPr>
          <w:p w14:paraId="553803B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10412AF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5E9CF05F">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63D2A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noWrap w:val="0"/>
            <w:vAlign w:val="center"/>
          </w:tcPr>
          <w:p w14:paraId="3BD2EAA2">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szCs w:val="21"/>
              </w:rPr>
              <w:t>11</w:t>
            </w:r>
          </w:p>
        </w:tc>
        <w:tc>
          <w:tcPr>
            <w:tcW w:w="4066" w:type="dxa"/>
            <w:noWrap w:val="0"/>
            <w:vAlign w:val="center"/>
          </w:tcPr>
          <w:p w14:paraId="767A4F24">
            <w:pPr>
              <w:pageBreakBefore w:val="0"/>
              <w:kinsoku/>
              <w:overflowPunct/>
              <w:topLinePunct w:val="0"/>
              <w:autoSpaceDE/>
              <w:autoSpaceDN/>
              <w:bidi w:val="0"/>
              <w:snapToGrid w:val="0"/>
              <w:spacing w:line="240" w:lineRule="exact"/>
              <w:jc w:val="left"/>
              <w:textAlignment w:val="auto"/>
              <w:rPr>
                <w:rFonts w:hint="eastAsia" w:ascii="仿宋" w:hAnsi="仿宋" w:eastAsia="仿宋" w:cs="仿宋"/>
                <w:b/>
                <w:szCs w:val="21"/>
              </w:rPr>
            </w:pPr>
            <w:r>
              <w:rPr>
                <w:rFonts w:hint="eastAsia" w:ascii="仿宋" w:hAnsi="仿宋" w:eastAsia="仿宋" w:cs="仿宋"/>
                <w:szCs w:val="21"/>
              </w:rPr>
              <w:t>其它资格证明文件（如适用，按投标人须知表1.3.4要求描述）</w:t>
            </w:r>
          </w:p>
        </w:tc>
        <w:tc>
          <w:tcPr>
            <w:tcW w:w="1901" w:type="dxa"/>
            <w:noWrap w:val="0"/>
            <w:vAlign w:val="center"/>
          </w:tcPr>
          <w:p w14:paraId="38E691BF">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754E50EF">
            <w:pPr>
              <w:pStyle w:val="3"/>
              <w:pageBreakBefore w:val="0"/>
              <w:kinsoku/>
              <w:overflowPunct/>
              <w:topLinePunct w:val="0"/>
              <w:autoSpaceDE/>
              <w:autoSpaceDN/>
              <w:bidi w:val="0"/>
              <w:adjustRightInd w:val="0"/>
              <w:snapToGrid w:val="0"/>
              <w:spacing w:before="0" w:after="0" w:line="24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2.合法有效</w:t>
            </w:r>
          </w:p>
        </w:tc>
        <w:tc>
          <w:tcPr>
            <w:tcW w:w="986" w:type="dxa"/>
            <w:noWrap w:val="0"/>
            <w:vAlign w:val="top"/>
          </w:tcPr>
          <w:p w14:paraId="6F9B129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5AD302AE">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396332E6">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5E01F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noWrap w:val="0"/>
            <w:vAlign w:val="center"/>
          </w:tcPr>
          <w:p w14:paraId="5BE4BFA5">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szCs w:val="21"/>
              </w:rPr>
              <w:t>12</w:t>
            </w:r>
          </w:p>
        </w:tc>
        <w:tc>
          <w:tcPr>
            <w:tcW w:w="4066" w:type="dxa"/>
            <w:noWrap w:val="0"/>
            <w:vAlign w:val="center"/>
          </w:tcPr>
          <w:p w14:paraId="62AE73F1">
            <w:pPr>
              <w:keepNext w:val="0"/>
              <w:keepLines w:val="0"/>
              <w:pageBreakBefore w:val="0"/>
              <w:widowControl w:val="0"/>
              <w:kinsoku/>
              <w:wordWrap w:val="0"/>
              <w:overflowPunct/>
              <w:topLinePunct w:val="0"/>
              <w:autoSpaceDE/>
              <w:autoSpaceDN/>
              <w:bidi w:val="0"/>
              <w:adjustRightInd/>
              <w:snapToGrid w:val="0"/>
              <w:spacing w:line="240" w:lineRule="exact"/>
              <w:jc w:val="left"/>
              <w:textAlignment w:val="auto"/>
              <w:rPr>
                <w:rFonts w:hint="eastAsia" w:ascii="仿宋" w:hAnsi="仿宋" w:eastAsia="仿宋" w:cs="仿宋"/>
              </w:rPr>
            </w:pPr>
            <w:r>
              <w:rPr>
                <w:rFonts w:hint="eastAsia" w:ascii="仿宋" w:hAnsi="仿宋" w:eastAsia="仿宋" w:cs="仿宋"/>
              </w:rPr>
              <w:t>信用记录：</w:t>
            </w:r>
            <w:r>
              <w:rPr>
                <w:rFonts w:hint="eastAsia" w:ascii="仿宋" w:hAnsi="仿宋" w:eastAsia="仿宋" w:cs="仿宋"/>
                <w:kern w:val="0"/>
                <w:szCs w:val="21"/>
              </w:rPr>
              <w:t>截至递交</w:t>
            </w:r>
            <w:r>
              <w:rPr>
                <w:rFonts w:hint="eastAsia" w:ascii="仿宋" w:hAnsi="仿宋" w:cs="仿宋"/>
                <w:kern w:val="0"/>
                <w:szCs w:val="21"/>
                <w:lang w:eastAsia="zh-CN"/>
              </w:rPr>
              <w:t>投标文件</w:t>
            </w:r>
            <w:r>
              <w:rPr>
                <w:rFonts w:hint="eastAsia" w:ascii="仿宋" w:hAnsi="仿宋" w:eastAsia="仿宋" w:cs="仿宋"/>
                <w:kern w:val="0"/>
                <w:szCs w:val="21"/>
              </w:rPr>
              <w:t>截止时间止，“信用中国”(www.creditchina.gov.cn) 、“中国政府采购网”(www.ccgp.gov.cn)被列入失信被执行人、重大税收违法失信主体名单、严重失信主体名单、经营（活动）异常名录、政府采购严重违法失信行为记录名单的不得参加本采购项目；参加采购活动前三年内，在经营活动中存在重大违法记录且被裁判文书网载入行贿判决的不得参加本采购项目。</w:t>
            </w:r>
          </w:p>
        </w:tc>
        <w:tc>
          <w:tcPr>
            <w:tcW w:w="1901" w:type="dxa"/>
            <w:noWrap w:val="0"/>
            <w:vAlign w:val="center"/>
          </w:tcPr>
          <w:p w14:paraId="09ADB1C9">
            <w:pPr>
              <w:pStyle w:val="3"/>
              <w:keepNext/>
              <w:keepLines/>
              <w:pageBreakBefore w:val="0"/>
              <w:widowControl w:val="0"/>
              <w:kinsoku/>
              <w:wordWrap w:val="0"/>
              <w:overflowPunct/>
              <w:topLinePunct w:val="0"/>
              <w:autoSpaceDE/>
              <w:autoSpaceDN/>
              <w:bidi w:val="0"/>
              <w:adjustRightInd w:val="0"/>
              <w:snapToGrid w:val="0"/>
              <w:spacing w:before="0" w:after="0" w:line="24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无投标须知22.2.1所述的不良记录</w:t>
            </w:r>
          </w:p>
        </w:tc>
        <w:tc>
          <w:tcPr>
            <w:tcW w:w="986" w:type="dxa"/>
            <w:noWrap w:val="0"/>
            <w:vAlign w:val="top"/>
          </w:tcPr>
          <w:p w14:paraId="39DD82C3">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0CA439DA">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4AE35C95">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r w14:paraId="1EF04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noWrap w:val="0"/>
            <w:vAlign w:val="center"/>
          </w:tcPr>
          <w:p w14:paraId="571D5BE9">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p>
        </w:tc>
        <w:tc>
          <w:tcPr>
            <w:tcW w:w="4066" w:type="dxa"/>
            <w:noWrap w:val="0"/>
            <w:vAlign w:val="center"/>
          </w:tcPr>
          <w:p w14:paraId="1B07F065">
            <w:pPr>
              <w:pageBreakBefore w:val="0"/>
              <w:kinsoku/>
              <w:overflowPunct/>
              <w:topLinePunct w:val="0"/>
              <w:autoSpaceDE/>
              <w:autoSpaceDN/>
              <w:bidi w:val="0"/>
              <w:snapToGrid w:val="0"/>
              <w:spacing w:line="240" w:lineRule="exact"/>
              <w:jc w:val="center"/>
              <w:textAlignment w:val="auto"/>
              <w:rPr>
                <w:rFonts w:hint="eastAsia" w:ascii="仿宋" w:hAnsi="仿宋" w:eastAsia="仿宋" w:cs="仿宋"/>
              </w:rPr>
            </w:pPr>
            <w:r>
              <w:rPr>
                <w:rFonts w:hint="eastAsia" w:ascii="仿宋" w:hAnsi="仿宋" w:eastAsia="仿宋" w:cs="仿宋"/>
              </w:rPr>
              <w:t>结论</w:t>
            </w:r>
          </w:p>
        </w:tc>
        <w:tc>
          <w:tcPr>
            <w:tcW w:w="1901" w:type="dxa"/>
            <w:noWrap w:val="0"/>
            <w:vAlign w:val="top"/>
          </w:tcPr>
          <w:p w14:paraId="628A23AF">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86" w:type="dxa"/>
            <w:noWrap w:val="0"/>
            <w:vAlign w:val="top"/>
          </w:tcPr>
          <w:p w14:paraId="23493A43">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962" w:type="dxa"/>
            <w:noWrap w:val="0"/>
            <w:vAlign w:val="top"/>
          </w:tcPr>
          <w:p w14:paraId="597784B3">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c>
          <w:tcPr>
            <w:tcW w:w="888" w:type="dxa"/>
            <w:noWrap w:val="0"/>
            <w:vAlign w:val="top"/>
          </w:tcPr>
          <w:p w14:paraId="589405F1">
            <w:pPr>
              <w:pStyle w:val="3"/>
              <w:pageBreakBefore w:val="0"/>
              <w:kinsoku/>
              <w:overflowPunct/>
              <w:topLinePunct w:val="0"/>
              <w:autoSpaceDE/>
              <w:autoSpaceDN/>
              <w:bidi w:val="0"/>
              <w:adjustRightInd w:val="0"/>
              <w:snapToGrid w:val="0"/>
              <w:spacing w:before="0" w:after="0" w:line="240" w:lineRule="exact"/>
              <w:textAlignment w:val="auto"/>
              <w:rPr>
                <w:rFonts w:hint="eastAsia" w:ascii="仿宋" w:hAnsi="仿宋" w:eastAsia="仿宋" w:cs="仿宋"/>
                <w:sz w:val="21"/>
                <w:szCs w:val="21"/>
              </w:rPr>
            </w:pPr>
          </w:p>
        </w:tc>
      </w:tr>
    </w:tbl>
    <w:p w14:paraId="3768DF96">
      <w:pPr>
        <w:snapToGrid w:val="0"/>
        <w:rPr>
          <w:rFonts w:hint="eastAsia" w:ascii="仿宋" w:hAnsi="仿宋" w:eastAsia="仿宋" w:cs="仿宋"/>
        </w:rPr>
      </w:pPr>
      <w:r>
        <w:rPr>
          <w:rFonts w:hint="eastAsia" w:ascii="仿宋" w:hAnsi="仿宋" w:eastAsia="仿宋" w:cs="仿宋"/>
        </w:rPr>
        <w:t>填表说明：1、每项审查内容中填写“√”或“×”</w:t>
      </w:r>
    </w:p>
    <w:p w14:paraId="24B0E8CC">
      <w:pPr>
        <w:snapToGrid w:val="0"/>
        <w:rPr>
          <w:rFonts w:hint="eastAsia" w:ascii="仿宋" w:hAnsi="仿宋" w:eastAsia="仿宋" w:cs="仿宋"/>
        </w:rPr>
      </w:pPr>
      <w:r>
        <w:rPr>
          <w:rFonts w:hint="eastAsia" w:ascii="仿宋" w:hAnsi="仿宋" w:eastAsia="仿宋" w:cs="仿宋"/>
        </w:rPr>
        <w:t xml:space="preserve">          2、审查结论填写“通过”或“不通过”</w:t>
      </w:r>
    </w:p>
    <w:p w14:paraId="0C904544">
      <w:pPr>
        <w:pStyle w:val="13"/>
        <w:widowControl w:val="0"/>
        <w:snapToGrid w:val="0"/>
        <w:spacing w:before="0" w:beforeAutospacing="0" w:after="0" w:afterAutospacing="0" w:line="480" w:lineRule="auto"/>
        <w:jc w:val="both"/>
        <w:rPr>
          <w:rFonts w:hint="eastAsia" w:ascii="仿宋" w:hAnsi="仿宋" w:eastAsia="仿宋" w:cs="仿宋"/>
          <w:sz w:val="21"/>
          <w:szCs w:val="21"/>
        </w:rPr>
      </w:pPr>
      <w:r>
        <w:rPr>
          <w:rFonts w:hint="eastAsia" w:ascii="仿宋" w:hAnsi="仿宋" w:eastAsia="仿宋" w:cs="仿宋"/>
          <w:sz w:val="21"/>
          <w:szCs w:val="21"/>
        </w:rPr>
        <w:t>审查人签字：</w:t>
      </w:r>
    </w:p>
    <w:p w14:paraId="54419216">
      <w:pPr>
        <w:pStyle w:val="13"/>
        <w:widowControl w:val="0"/>
        <w:snapToGrid w:val="0"/>
        <w:spacing w:before="0" w:beforeAutospacing="0" w:after="0" w:afterAutospacing="0" w:line="480" w:lineRule="auto"/>
        <w:jc w:val="both"/>
        <w:rPr>
          <w:rFonts w:hint="eastAsia" w:ascii="仿宋" w:hAnsi="仿宋" w:eastAsia="仿宋" w:cs="仿宋"/>
          <w:b/>
          <w:sz w:val="21"/>
          <w:szCs w:val="21"/>
        </w:rPr>
      </w:pPr>
      <w:r>
        <w:rPr>
          <w:rFonts w:hint="eastAsia" w:ascii="仿宋" w:hAnsi="仿宋" w:eastAsia="仿宋" w:cs="仿宋"/>
          <w:bCs/>
          <w:sz w:val="21"/>
          <w:szCs w:val="21"/>
        </w:rPr>
        <w:t>日      期：</w:t>
      </w:r>
    </w:p>
    <w:p w14:paraId="7026C629">
      <w:pPr>
        <w:pStyle w:val="3"/>
        <w:adjustRightInd w:val="0"/>
        <w:snapToGrid w:val="0"/>
        <w:spacing w:before="0" w:after="0" w:line="240" w:lineRule="auto"/>
        <w:jc w:val="left"/>
        <w:rPr>
          <w:rFonts w:hint="eastAsia" w:ascii="仿宋" w:hAnsi="仿宋" w:eastAsia="仿宋" w:cs="仿宋"/>
          <w:szCs w:val="28"/>
        </w:rPr>
      </w:pPr>
      <w:bookmarkStart w:id="144" w:name="_Toc11558_WPSOffice_Level2"/>
      <w:r>
        <w:rPr>
          <w:rFonts w:hint="eastAsia" w:ascii="仿宋" w:hAnsi="仿宋" w:eastAsia="仿宋" w:cs="仿宋"/>
          <w:szCs w:val="28"/>
        </w:rPr>
        <w:t xml:space="preserve">附件2                  </w:t>
      </w:r>
    </w:p>
    <w:p w14:paraId="0CDB1117">
      <w:pPr>
        <w:jc w:val="center"/>
        <w:rPr>
          <w:rFonts w:hint="eastAsia" w:ascii="仿宋" w:hAnsi="仿宋" w:eastAsia="仿宋" w:cs="仿宋"/>
          <w:b/>
          <w:sz w:val="32"/>
          <w:szCs w:val="32"/>
        </w:rPr>
      </w:pPr>
      <w:r>
        <w:rPr>
          <w:rFonts w:hint="eastAsia" w:ascii="仿宋" w:hAnsi="仿宋" w:eastAsia="仿宋" w:cs="仿宋"/>
          <w:b/>
          <w:sz w:val="32"/>
          <w:szCs w:val="32"/>
        </w:rPr>
        <w:t>符合性审查表</w:t>
      </w:r>
      <w:bookmarkEnd w:id="144"/>
    </w:p>
    <w:tbl>
      <w:tblPr>
        <w:tblStyle w:val="16"/>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883"/>
        <w:gridCol w:w="3012"/>
        <w:gridCol w:w="1018"/>
        <w:gridCol w:w="985"/>
        <w:gridCol w:w="912"/>
      </w:tblGrid>
      <w:tr w14:paraId="5B2F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57" w:type="dxa"/>
            <w:vMerge w:val="restart"/>
            <w:noWrap w:val="0"/>
            <w:vAlign w:val="center"/>
          </w:tcPr>
          <w:p w14:paraId="35CDFA01">
            <w:pPr>
              <w:pageBreakBefore w:val="0"/>
              <w:widowControl w:val="0"/>
              <w:kinsoku/>
              <w:wordWrap/>
              <w:overflowPunct/>
              <w:topLinePunct w:val="0"/>
              <w:autoSpaceDE/>
              <w:autoSpaceDN/>
              <w:bidi w:val="0"/>
              <w:spacing w:line="300" w:lineRule="exact"/>
              <w:ind w:left="-84" w:leftChars="-40" w:right="-75" w:rightChars="-36"/>
              <w:jc w:val="center"/>
              <w:textAlignment w:val="auto"/>
              <w:rPr>
                <w:rFonts w:hint="eastAsia" w:ascii="仿宋" w:hAnsi="仿宋" w:eastAsia="仿宋" w:cs="仿宋"/>
              </w:rPr>
            </w:pPr>
            <w:r>
              <w:rPr>
                <w:rFonts w:hint="eastAsia" w:ascii="仿宋" w:hAnsi="仿宋" w:eastAsia="仿宋" w:cs="仿宋"/>
              </w:rPr>
              <w:t>序号</w:t>
            </w:r>
          </w:p>
        </w:tc>
        <w:tc>
          <w:tcPr>
            <w:tcW w:w="2883" w:type="dxa"/>
            <w:vMerge w:val="restart"/>
            <w:noWrap w:val="0"/>
            <w:vAlign w:val="center"/>
          </w:tcPr>
          <w:p w14:paraId="7E661281">
            <w:pPr>
              <w:pageBreakBefore w:val="0"/>
              <w:widowControl w:val="0"/>
              <w:kinsoku/>
              <w:wordWrap/>
              <w:overflowPunct/>
              <w:topLinePunct w:val="0"/>
              <w:autoSpaceDE/>
              <w:autoSpaceDN/>
              <w:bidi w:val="0"/>
              <w:spacing w:line="300" w:lineRule="exact"/>
              <w:ind w:left="-84" w:leftChars="-40" w:right="-75" w:rightChars="-36"/>
              <w:jc w:val="center"/>
              <w:textAlignment w:val="auto"/>
              <w:rPr>
                <w:rFonts w:hint="eastAsia" w:ascii="仿宋" w:hAnsi="仿宋" w:eastAsia="仿宋" w:cs="仿宋"/>
              </w:rPr>
            </w:pPr>
            <w:r>
              <w:rPr>
                <w:rFonts w:hint="eastAsia" w:ascii="仿宋" w:hAnsi="仿宋" w:eastAsia="仿宋" w:cs="仿宋"/>
              </w:rPr>
              <w:t>审查项目</w:t>
            </w:r>
          </w:p>
        </w:tc>
        <w:tc>
          <w:tcPr>
            <w:tcW w:w="3012" w:type="dxa"/>
            <w:vMerge w:val="restart"/>
            <w:noWrap w:val="0"/>
            <w:vAlign w:val="center"/>
          </w:tcPr>
          <w:p w14:paraId="17EBC61D">
            <w:pPr>
              <w:pageBreakBefore w:val="0"/>
              <w:widowControl w:val="0"/>
              <w:kinsoku/>
              <w:wordWrap/>
              <w:overflowPunct/>
              <w:topLinePunct w:val="0"/>
              <w:autoSpaceDE/>
              <w:autoSpaceDN/>
              <w:bidi w:val="0"/>
              <w:spacing w:line="300" w:lineRule="exact"/>
              <w:ind w:left="-84" w:leftChars="-40" w:right="-75" w:rightChars="-36"/>
              <w:jc w:val="center"/>
              <w:textAlignment w:val="auto"/>
              <w:rPr>
                <w:rFonts w:hint="eastAsia" w:ascii="仿宋" w:hAnsi="仿宋" w:eastAsia="仿宋" w:cs="仿宋"/>
              </w:rPr>
            </w:pPr>
            <w:r>
              <w:rPr>
                <w:rFonts w:hint="eastAsia" w:ascii="仿宋" w:hAnsi="仿宋" w:eastAsia="仿宋" w:cs="仿宋"/>
              </w:rPr>
              <w:t>审查标准</w:t>
            </w:r>
          </w:p>
        </w:tc>
        <w:tc>
          <w:tcPr>
            <w:tcW w:w="2915" w:type="dxa"/>
            <w:gridSpan w:val="3"/>
            <w:noWrap w:val="0"/>
            <w:vAlign w:val="center"/>
          </w:tcPr>
          <w:p w14:paraId="342C90FD">
            <w:pPr>
              <w:pageBreakBefore w:val="0"/>
              <w:widowControl w:val="0"/>
              <w:kinsoku/>
              <w:wordWrap/>
              <w:overflowPunct/>
              <w:topLinePunct w:val="0"/>
              <w:autoSpaceDE/>
              <w:autoSpaceDN/>
              <w:bidi w:val="0"/>
              <w:spacing w:line="300" w:lineRule="exact"/>
              <w:ind w:left="-84" w:leftChars="-40" w:right="-75" w:rightChars="-36"/>
              <w:jc w:val="center"/>
              <w:textAlignment w:val="auto"/>
              <w:rPr>
                <w:rFonts w:hint="eastAsia" w:ascii="仿宋" w:hAnsi="仿宋" w:eastAsia="仿宋" w:cs="仿宋"/>
              </w:rPr>
            </w:pPr>
            <w:r>
              <w:rPr>
                <w:rFonts w:hint="eastAsia" w:ascii="仿宋" w:hAnsi="仿宋" w:eastAsia="仿宋" w:cs="仿宋"/>
              </w:rPr>
              <w:t>投标人名称</w:t>
            </w:r>
          </w:p>
        </w:tc>
      </w:tr>
      <w:tr w14:paraId="708A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57" w:type="dxa"/>
            <w:vMerge w:val="continue"/>
            <w:noWrap w:val="0"/>
            <w:vAlign w:val="center"/>
          </w:tcPr>
          <w:p w14:paraId="3687AB70">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rPr>
            </w:pPr>
          </w:p>
        </w:tc>
        <w:tc>
          <w:tcPr>
            <w:tcW w:w="2883" w:type="dxa"/>
            <w:vMerge w:val="continue"/>
            <w:noWrap w:val="0"/>
            <w:vAlign w:val="center"/>
          </w:tcPr>
          <w:p w14:paraId="53F182E5">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3012" w:type="dxa"/>
            <w:vMerge w:val="continue"/>
            <w:noWrap w:val="0"/>
            <w:vAlign w:val="center"/>
          </w:tcPr>
          <w:p w14:paraId="1D9F2EFB">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1018" w:type="dxa"/>
            <w:noWrap w:val="0"/>
            <w:vAlign w:val="center"/>
          </w:tcPr>
          <w:p w14:paraId="2185E099">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center"/>
          </w:tcPr>
          <w:p w14:paraId="16A8B002">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center"/>
          </w:tcPr>
          <w:p w14:paraId="16939CA5">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2B638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57" w:type="dxa"/>
            <w:noWrap w:val="0"/>
            <w:vAlign w:val="center"/>
          </w:tcPr>
          <w:p w14:paraId="5A833211">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kern w:val="0"/>
                <w:sz w:val="20"/>
                <w:szCs w:val="21"/>
              </w:rPr>
              <w:t>1</w:t>
            </w:r>
          </w:p>
        </w:tc>
        <w:tc>
          <w:tcPr>
            <w:tcW w:w="2883" w:type="dxa"/>
            <w:noWrap w:val="0"/>
            <w:vAlign w:val="center"/>
          </w:tcPr>
          <w:p w14:paraId="1629B4EC">
            <w:pPr>
              <w:pageBreakBefore w:val="0"/>
              <w:widowControl w:val="0"/>
              <w:kinsoku/>
              <w:wordWrap/>
              <w:overflowPunct/>
              <w:topLinePunct w:val="0"/>
              <w:autoSpaceDE/>
              <w:autoSpaceDN/>
              <w:bidi w:val="0"/>
              <w:spacing w:line="300" w:lineRule="exact"/>
              <w:textAlignment w:val="auto"/>
              <w:rPr>
                <w:rFonts w:hint="eastAsia" w:ascii="仿宋" w:hAnsi="仿宋" w:eastAsia="仿宋" w:cs="仿宋"/>
                <w:b/>
                <w:szCs w:val="21"/>
              </w:rPr>
            </w:pPr>
            <w:r>
              <w:rPr>
                <w:rFonts w:hint="eastAsia" w:ascii="仿宋" w:hAnsi="仿宋" w:eastAsia="仿宋" w:cs="仿宋"/>
                <w:kern w:val="0"/>
                <w:szCs w:val="21"/>
              </w:rPr>
              <w:t>投标函</w:t>
            </w:r>
          </w:p>
        </w:tc>
        <w:tc>
          <w:tcPr>
            <w:tcW w:w="3012" w:type="dxa"/>
            <w:noWrap w:val="0"/>
            <w:vAlign w:val="top"/>
          </w:tcPr>
          <w:p w14:paraId="327A25A0">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1.按给定格式填写</w:t>
            </w:r>
          </w:p>
          <w:p w14:paraId="73AFA146">
            <w:pPr>
              <w:pageBreakBefore w:val="0"/>
              <w:widowControl w:val="0"/>
              <w:kinsoku/>
              <w:wordWrap/>
              <w:overflowPunct/>
              <w:topLinePunct w:val="0"/>
              <w:autoSpaceDE/>
              <w:autoSpaceDN/>
              <w:bidi w:val="0"/>
              <w:spacing w:line="300" w:lineRule="exact"/>
              <w:jc w:val="left"/>
              <w:textAlignment w:val="auto"/>
              <w:rPr>
                <w:rFonts w:hint="eastAsia" w:ascii="仿宋" w:hAnsi="仿宋" w:eastAsia="仿宋" w:cs="仿宋"/>
                <w:szCs w:val="21"/>
              </w:rPr>
            </w:pPr>
            <w:r>
              <w:rPr>
                <w:rFonts w:hint="eastAsia" w:ascii="仿宋" w:hAnsi="仿宋" w:eastAsia="仿宋" w:cs="仿宋"/>
                <w:szCs w:val="21"/>
              </w:rPr>
              <w:t>2.响应招标文件实质性要求</w:t>
            </w:r>
          </w:p>
          <w:p w14:paraId="5417DF6E">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3.按规定签章</w:t>
            </w:r>
          </w:p>
        </w:tc>
        <w:tc>
          <w:tcPr>
            <w:tcW w:w="1018" w:type="dxa"/>
            <w:noWrap w:val="0"/>
            <w:vAlign w:val="center"/>
          </w:tcPr>
          <w:p w14:paraId="1A81F438">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center"/>
          </w:tcPr>
          <w:p w14:paraId="1971D588">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center"/>
          </w:tcPr>
          <w:p w14:paraId="0D5E5C04">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6C948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57" w:type="dxa"/>
            <w:noWrap w:val="0"/>
            <w:vAlign w:val="center"/>
          </w:tcPr>
          <w:p w14:paraId="58F472E2">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rPr>
              <w:t>2</w:t>
            </w:r>
          </w:p>
        </w:tc>
        <w:tc>
          <w:tcPr>
            <w:tcW w:w="2883" w:type="dxa"/>
            <w:noWrap w:val="0"/>
            <w:vAlign w:val="center"/>
          </w:tcPr>
          <w:p w14:paraId="716BE22A">
            <w:pPr>
              <w:pageBreakBefore w:val="0"/>
              <w:widowControl w:val="0"/>
              <w:kinsoku/>
              <w:wordWrap/>
              <w:overflowPunct/>
              <w:topLinePunct w:val="0"/>
              <w:autoSpaceDE/>
              <w:autoSpaceDN/>
              <w:bidi w:val="0"/>
              <w:spacing w:line="300" w:lineRule="exact"/>
              <w:textAlignment w:val="auto"/>
              <w:rPr>
                <w:rFonts w:hint="eastAsia" w:ascii="仿宋" w:hAnsi="仿宋" w:eastAsia="仿宋" w:cs="仿宋"/>
                <w:kern w:val="0"/>
                <w:szCs w:val="21"/>
              </w:rPr>
            </w:pPr>
            <w:r>
              <w:rPr>
                <w:rFonts w:hint="eastAsia" w:ascii="仿宋" w:hAnsi="仿宋" w:eastAsia="仿宋" w:cs="仿宋"/>
                <w:kern w:val="0"/>
                <w:szCs w:val="21"/>
              </w:rPr>
              <w:t>开标一览表</w:t>
            </w:r>
          </w:p>
        </w:tc>
        <w:tc>
          <w:tcPr>
            <w:tcW w:w="3012" w:type="dxa"/>
            <w:noWrap w:val="0"/>
            <w:vAlign w:val="top"/>
          </w:tcPr>
          <w:p w14:paraId="034C7D4E">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1.按给定格式填写</w:t>
            </w:r>
          </w:p>
          <w:p w14:paraId="35527BA0">
            <w:pPr>
              <w:pageBreakBefore w:val="0"/>
              <w:widowControl w:val="0"/>
              <w:kinsoku/>
              <w:wordWrap/>
              <w:overflowPunct/>
              <w:topLinePunct w:val="0"/>
              <w:autoSpaceDE/>
              <w:autoSpaceDN/>
              <w:bidi w:val="0"/>
              <w:spacing w:line="300" w:lineRule="exact"/>
              <w:jc w:val="left"/>
              <w:textAlignment w:val="auto"/>
              <w:rPr>
                <w:rFonts w:hint="eastAsia" w:ascii="仿宋" w:hAnsi="仿宋" w:eastAsia="仿宋" w:cs="仿宋"/>
                <w:szCs w:val="21"/>
              </w:rPr>
            </w:pPr>
            <w:r>
              <w:rPr>
                <w:rFonts w:hint="eastAsia" w:ascii="仿宋" w:hAnsi="仿宋" w:eastAsia="仿宋" w:cs="仿宋"/>
                <w:szCs w:val="21"/>
              </w:rPr>
              <w:t>2.响应招标文件实质性要求</w:t>
            </w:r>
          </w:p>
          <w:p w14:paraId="146BFC58">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3.按规定签章</w:t>
            </w:r>
          </w:p>
        </w:tc>
        <w:tc>
          <w:tcPr>
            <w:tcW w:w="1018" w:type="dxa"/>
            <w:noWrap w:val="0"/>
            <w:vAlign w:val="top"/>
          </w:tcPr>
          <w:p w14:paraId="7F588C9E">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46CA6333">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533C0085">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11264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57" w:type="dxa"/>
            <w:noWrap w:val="0"/>
            <w:vAlign w:val="center"/>
          </w:tcPr>
          <w:p w14:paraId="62D1E9C8">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rPr>
              <w:t>3</w:t>
            </w:r>
          </w:p>
        </w:tc>
        <w:tc>
          <w:tcPr>
            <w:tcW w:w="2883" w:type="dxa"/>
            <w:noWrap w:val="0"/>
            <w:vAlign w:val="center"/>
          </w:tcPr>
          <w:p w14:paraId="59499676">
            <w:pPr>
              <w:pageBreakBefore w:val="0"/>
              <w:widowControl w:val="0"/>
              <w:kinsoku/>
              <w:wordWrap/>
              <w:overflowPunct/>
              <w:topLinePunct w:val="0"/>
              <w:autoSpaceDE/>
              <w:autoSpaceDN/>
              <w:bidi w:val="0"/>
              <w:spacing w:line="300" w:lineRule="exact"/>
              <w:textAlignment w:val="auto"/>
              <w:rPr>
                <w:rFonts w:hint="eastAsia" w:ascii="仿宋" w:hAnsi="仿宋" w:eastAsia="仿宋" w:cs="仿宋"/>
                <w:b/>
                <w:szCs w:val="21"/>
              </w:rPr>
            </w:pPr>
            <w:r>
              <w:rPr>
                <w:rFonts w:hint="eastAsia" w:ascii="仿宋" w:hAnsi="仿宋" w:eastAsia="仿宋" w:cs="仿宋"/>
                <w:kern w:val="0"/>
                <w:szCs w:val="21"/>
              </w:rPr>
              <w:t>分项报价表</w:t>
            </w:r>
          </w:p>
        </w:tc>
        <w:tc>
          <w:tcPr>
            <w:tcW w:w="3012" w:type="dxa"/>
            <w:noWrap w:val="0"/>
            <w:vAlign w:val="top"/>
          </w:tcPr>
          <w:p w14:paraId="027C1514">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1.按给定格式填写</w:t>
            </w:r>
          </w:p>
          <w:p w14:paraId="4486EAE9">
            <w:pPr>
              <w:pageBreakBefore w:val="0"/>
              <w:widowControl w:val="0"/>
              <w:kinsoku/>
              <w:wordWrap/>
              <w:overflowPunct/>
              <w:topLinePunct w:val="0"/>
              <w:autoSpaceDE/>
              <w:autoSpaceDN/>
              <w:bidi w:val="0"/>
              <w:spacing w:line="300" w:lineRule="exact"/>
              <w:jc w:val="left"/>
              <w:textAlignment w:val="auto"/>
              <w:rPr>
                <w:rFonts w:hint="eastAsia" w:ascii="仿宋" w:hAnsi="仿宋" w:eastAsia="仿宋" w:cs="仿宋"/>
                <w:szCs w:val="21"/>
              </w:rPr>
            </w:pPr>
            <w:r>
              <w:rPr>
                <w:rFonts w:hint="eastAsia" w:ascii="仿宋" w:hAnsi="仿宋" w:eastAsia="仿宋" w:cs="仿宋"/>
                <w:szCs w:val="21"/>
              </w:rPr>
              <w:t>2.响应招标文件实质性要求</w:t>
            </w:r>
          </w:p>
          <w:p w14:paraId="3CBEDB6E">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3.按规定签章</w:t>
            </w:r>
          </w:p>
        </w:tc>
        <w:tc>
          <w:tcPr>
            <w:tcW w:w="1018" w:type="dxa"/>
            <w:noWrap w:val="0"/>
            <w:vAlign w:val="top"/>
          </w:tcPr>
          <w:p w14:paraId="03A5AA92">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2E6EC9E4">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26B1F700">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0E5C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57" w:type="dxa"/>
            <w:noWrap w:val="0"/>
            <w:vAlign w:val="center"/>
          </w:tcPr>
          <w:p w14:paraId="046E08CD">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rPr>
              <w:t>4</w:t>
            </w:r>
          </w:p>
        </w:tc>
        <w:tc>
          <w:tcPr>
            <w:tcW w:w="2883" w:type="dxa"/>
            <w:noWrap w:val="0"/>
            <w:vAlign w:val="center"/>
          </w:tcPr>
          <w:p w14:paraId="21181D42">
            <w:pPr>
              <w:pageBreakBefore w:val="0"/>
              <w:widowControl w:val="0"/>
              <w:kinsoku/>
              <w:wordWrap/>
              <w:overflowPunct/>
              <w:topLinePunct w:val="0"/>
              <w:autoSpaceDE/>
              <w:autoSpaceDN/>
              <w:bidi w:val="0"/>
              <w:spacing w:line="300" w:lineRule="exact"/>
              <w:textAlignment w:val="auto"/>
              <w:rPr>
                <w:rFonts w:hint="eastAsia" w:ascii="仿宋" w:hAnsi="仿宋" w:eastAsia="仿宋" w:cs="仿宋"/>
                <w:b/>
                <w:szCs w:val="21"/>
              </w:rPr>
            </w:pPr>
            <w:r>
              <w:rPr>
                <w:rFonts w:hint="eastAsia" w:ascii="仿宋" w:hAnsi="仿宋" w:eastAsia="仿宋" w:cs="仿宋"/>
                <w:kern w:val="0"/>
                <w:szCs w:val="21"/>
              </w:rPr>
              <w:t>技术规格偏离表</w:t>
            </w:r>
          </w:p>
        </w:tc>
        <w:tc>
          <w:tcPr>
            <w:tcW w:w="3012" w:type="dxa"/>
            <w:noWrap w:val="0"/>
            <w:vAlign w:val="top"/>
          </w:tcPr>
          <w:p w14:paraId="07EFD4D2">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1.按给定格式及填表要求填写</w:t>
            </w:r>
          </w:p>
          <w:p w14:paraId="1C7B82B6">
            <w:pPr>
              <w:pageBreakBefore w:val="0"/>
              <w:widowControl w:val="0"/>
              <w:kinsoku/>
              <w:wordWrap/>
              <w:overflowPunct/>
              <w:topLinePunct w:val="0"/>
              <w:autoSpaceDE/>
              <w:autoSpaceDN/>
              <w:bidi w:val="0"/>
              <w:spacing w:line="300" w:lineRule="exact"/>
              <w:jc w:val="left"/>
              <w:textAlignment w:val="auto"/>
              <w:rPr>
                <w:rFonts w:hint="eastAsia" w:ascii="仿宋" w:hAnsi="仿宋" w:eastAsia="仿宋" w:cs="仿宋"/>
                <w:szCs w:val="21"/>
              </w:rPr>
            </w:pPr>
            <w:r>
              <w:rPr>
                <w:rFonts w:hint="eastAsia" w:ascii="仿宋" w:hAnsi="仿宋" w:eastAsia="仿宋" w:cs="仿宋"/>
                <w:szCs w:val="21"/>
              </w:rPr>
              <w:t>2.响应招标文件实质性要求</w:t>
            </w:r>
          </w:p>
          <w:p w14:paraId="449175BA">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3.按规定签章</w:t>
            </w:r>
          </w:p>
        </w:tc>
        <w:tc>
          <w:tcPr>
            <w:tcW w:w="1018" w:type="dxa"/>
            <w:noWrap w:val="0"/>
            <w:vAlign w:val="top"/>
          </w:tcPr>
          <w:p w14:paraId="78737ECB">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0763ADC5">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648D7E25">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45A83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57" w:type="dxa"/>
            <w:noWrap w:val="0"/>
            <w:vAlign w:val="center"/>
          </w:tcPr>
          <w:p w14:paraId="2DB577D7">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rPr>
              <w:t>5</w:t>
            </w:r>
          </w:p>
        </w:tc>
        <w:tc>
          <w:tcPr>
            <w:tcW w:w="2883" w:type="dxa"/>
            <w:noWrap w:val="0"/>
            <w:vAlign w:val="center"/>
          </w:tcPr>
          <w:p w14:paraId="488D1A2A">
            <w:pPr>
              <w:pageBreakBefore w:val="0"/>
              <w:widowControl w:val="0"/>
              <w:kinsoku/>
              <w:wordWrap/>
              <w:overflowPunct/>
              <w:topLinePunct w:val="0"/>
              <w:autoSpaceDE/>
              <w:autoSpaceDN/>
              <w:bidi w:val="0"/>
              <w:spacing w:line="300" w:lineRule="exact"/>
              <w:textAlignment w:val="auto"/>
              <w:rPr>
                <w:rFonts w:hint="eastAsia" w:ascii="仿宋" w:hAnsi="仿宋" w:eastAsia="仿宋" w:cs="仿宋"/>
                <w:b/>
                <w:szCs w:val="21"/>
              </w:rPr>
            </w:pPr>
            <w:r>
              <w:rPr>
                <w:rFonts w:hint="eastAsia" w:ascii="仿宋" w:hAnsi="仿宋" w:eastAsia="仿宋" w:cs="仿宋"/>
                <w:kern w:val="0"/>
                <w:szCs w:val="21"/>
              </w:rPr>
              <w:t>商务条款偏离表</w:t>
            </w:r>
          </w:p>
        </w:tc>
        <w:tc>
          <w:tcPr>
            <w:tcW w:w="3012" w:type="dxa"/>
            <w:noWrap w:val="0"/>
            <w:vAlign w:val="top"/>
          </w:tcPr>
          <w:p w14:paraId="6C3EFEC6">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1.按给定格式及填表要求填写</w:t>
            </w:r>
          </w:p>
          <w:p w14:paraId="4FBAB8CC">
            <w:pPr>
              <w:pageBreakBefore w:val="0"/>
              <w:widowControl w:val="0"/>
              <w:kinsoku/>
              <w:wordWrap/>
              <w:overflowPunct/>
              <w:topLinePunct w:val="0"/>
              <w:autoSpaceDE/>
              <w:autoSpaceDN/>
              <w:bidi w:val="0"/>
              <w:spacing w:line="300" w:lineRule="exact"/>
              <w:jc w:val="left"/>
              <w:textAlignment w:val="auto"/>
              <w:rPr>
                <w:rFonts w:hint="eastAsia" w:ascii="仿宋" w:hAnsi="仿宋" w:eastAsia="仿宋" w:cs="仿宋"/>
                <w:szCs w:val="21"/>
              </w:rPr>
            </w:pPr>
            <w:r>
              <w:rPr>
                <w:rFonts w:hint="eastAsia" w:ascii="仿宋" w:hAnsi="仿宋" w:eastAsia="仿宋" w:cs="仿宋"/>
                <w:szCs w:val="21"/>
              </w:rPr>
              <w:t>2.响应招标文件实质性要求</w:t>
            </w:r>
          </w:p>
          <w:p w14:paraId="288639DB">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3.按规定签章</w:t>
            </w:r>
          </w:p>
        </w:tc>
        <w:tc>
          <w:tcPr>
            <w:tcW w:w="1018" w:type="dxa"/>
            <w:noWrap w:val="0"/>
            <w:vAlign w:val="top"/>
          </w:tcPr>
          <w:p w14:paraId="275A51D2">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3C4B8ECD">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32761B8F">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4C28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57" w:type="dxa"/>
            <w:noWrap w:val="0"/>
            <w:vAlign w:val="center"/>
          </w:tcPr>
          <w:p w14:paraId="489BD645">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rPr>
              <w:t>6</w:t>
            </w:r>
          </w:p>
        </w:tc>
        <w:tc>
          <w:tcPr>
            <w:tcW w:w="2883" w:type="dxa"/>
            <w:noWrap w:val="0"/>
            <w:vAlign w:val="center"/>
          </w:tcPr>
          <w:p w14:paraId="60E4258E">
            <w:pPr>
              <w:pageBreakBefore w:val="0"/>
              <w:widowControl w:val="0"/>
              <w:kinsoku/>
              <w:wordWrap/>
              <w:overflowPunct/>
              <w:topLinePunct w:val="0"/>
              <w:autoSpaceDE/>
              <w:autoSpaceDN/>
              <w:bidi w:val="0"/>
              <w:spacing w:line="300" w:lineRule="exact"/>
              <w:textAlignment w:val="auto"/>
              <w:rPr>
                <w:rFonts w:hint="eastAsia" w:ascii="仿宋" w:hAnsi="仿宋" w:eastAsia="仿宋" w:cs="仿宋"/>
                <w:b/>
                <w:szCs w:val="21"/>
              </w:rPr>
            </w:pPr>
            <w:r>
              <w:rPr>
                <w:rFonts w:hint="eastAsia" w:ascii="仿宋" w:hAnsi="仿宋" w:eastAsia="仿宋" w:cs="仿宋"/>
                <w:kern w:val="0"/>
                <w:szCs w:val="21"/>
              </w:rPr>
              <w:t>投标人关联单位说明</w:t>
            </w:r>
          </w:p>
        </w:tc>
        <w:tc>
          <w:tcPr>
            <w:tcW w:w="3012" w:type="dxa"/>
            <w:noWrap w:val="0"/>
            <w:vAlign w:val="center"/>
          </w:tcPr>
          <w:p w14:paraId="2CA75350">
            <w:pPr>
              <w:pStyle w:val="3"/>
              <w:pageBreakBefore w:val="0"/>
              <w:widowControl w:val="0"/>
              <w:kinsoku/>
              <w:wordWrap/>
              <w:overflowPunct/>
              <w:topLinePunct w:val="0"/>
              <w:autoSpaceDE/>
              <w:autoSpaceDN/>
              <w:bidi w:val="0"/>
              <w:adjustRightInd w:val="0"/>
              <w:snapToGrid w:val="0"/>
              <w:spacing w:before="0" w:after="0" w:line="30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无投标须知1.5所述情形</w:t>
            </w:r>
          </w:p>
        </w:tc>
        <w:tc>
          <w:tcPr>
            <w:tcW w:w="1018" w:type="dxa"/>
            <w:noWrap w:val="0"/>
            <w:vAlign w:val="top"/>
          </w:tcPr>
          <w:p w14:paraId="5163CA8D">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04C073DA">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608AB664">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25E2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57" w:type="dxa"/>
            <w:noWrap w:val="0"/>
            <w:vAlign w:val="center"/>
          </w:tcPr>
          <w:p w14:paraId="6B8E9001">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2883" w:type="dxa"/>
            <w:noWrap w:val="0"/>
            <w:vAlign w:val="center"/>
          </w:tcPr>
          <w:p w14:paraId="12C4C917">
            <w:pPr>
              <w:pageBreakBefore w:val="0"/>
              <w:widowControl w:val="0"/>
              <w:kinsoku/>
              <w:wordWrap/>
              <w:overflowPunct/>
              <w:topLinePunct w:val="0"/>
              <w:autoSpaceDE/>
              <w:autoSpaceDN/>
              <w:bidi w:val="0"/>
              <w:spacing w:line="300" w:lineRule="exact"/>
              <w:textAlignment w:val="auto"/>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其他符合性证明材料</w:t>
            </w:r>
            <w:r>
              <w:rPr>
                <w:rFonts w:hint="eastAsia" w:ascii="仿宋" w:hAnsi="仿宋" w:cs="仿宋"/>
                <w:color w:val="auto"/>
                <w:kern w:val="0"/>
                <w:szCs w:val="21"/>
                <w:highlight w:val="none"/>
                <w:lang w:eastAsia="zh-CN"/>
              </w:rPr>
              <w:t>：</w:t>
            </w:r>
            <w:r>
              <w:rPr>
                <w:rFonts w:hint="eastAsia" w:ascii="仿宋" w:hAnsi="仿宋" w:eastAsia="仿宋" w:cs="仿宋"/>
                <w:color w:val="auto"/>
                <w:kern w:val="0"/>
                <w:szCs w:val="21"/>
                <w:highlight w:val="none"/>
              </w:rPr>
              <w:t>货物主要技术指标和性能的详细说明（产品技术说明书、技术白皮书、产品彩页等文字资料均可）</w:t>
            </w:r>
          </w:p>
        </w:tc>
        <w:tc>
          <w:tcPr>
            <w:tcW w:w="3012" w:type="dxa"/>
            <w:noWrap w:val="0"/>
            <w:vAlign w:val="center"/>
          </w:tcPr>
          <w:p w14:paraId="166ECED3">
            <w:pPr>
              <w:pageBreakBefore w:val="0"/>
              <w:widowControl w:val="0"/>
              <w:kinsoku/>
              <w:wordWrap/>
              <w:overflowPunct/>
              <w:topLinePunct w:val="0"/>
              <w:autoSpaceDE/>
              <w:autoSpaceDN/>
              <w:bidi w:val="0"/>
              <w:spacing w:line="300" w:lineRule="exact"/>
              <w:jc w:val="left"/>
              <w:textAlignment w:val="auto"/>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响应招标文件实质性要求</w:t>
            </w:r>
          </w:p>
        </w:tc>
        <w:tc>
          <w:tcPr>
            <w:tcW w:w="1018" w:type="dxa"/>
            <w:noWrap w:val="0"/>
            <w:vAlign w:val="top"/>
          </w:tcPr>
          <w:p w14:paraId="4F51D807">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color w:val="0000FF"/>
                <w:sz w:val="21"/>
                <w:szCs w:val="21"/>
                <w:highlight w:val="yellow"/>
              </w:rPr>
            </w:pPr>
          </w:p>
        </w:tc>
        <w:tc>
          <w:tcPr>
            <w:tcW w:w="985" w:type="dxa"/>
            <w:noWrap w:val="0"/>
            <w:vAlign w:val="top"/>
          </w:tcPr>
          <w:p w14:paraId="5DB8A755">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color w:val="0000FF"/>
                <w:sz w:val="21"/>
                <w:szCs w:val="21"/>
                <w:highlight w:val="yellow"/>
              </w:rPr>
            </w:pPr>
          </w:p>
        </w:tc>
        <w:tc>
          <w:tcPr>
            <w:tcW w:w="912" w:type="dxa"/>
            <w:noWrap w:val="0"/>
            <w:vAlign w:val="top"/>
          </w:tcPr>
          <w:p w14:paraId="2C9C3E44">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color w:val="0000FF"/>
                <w:sz w:val="21"/>
                <w:szCs w:val="21"/>
                <w:highlight w:val="yellow"/>
              </w:rPr>
            </w:pPr>
          </w:p>
        </w:tc>
      </w:tr>
      <w:tr w14:paraId="346C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657" w:type="dxa"/>
            <w:noWrap w:val="0"/>
            <w:vAlign w:val="center"/>
          </w:tcPr>
          <w:p w14:paraId="7DC37CD2">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rPr>
              <w:t>8</w:t>
            </w:r>
          </w:p>
        </w:tc>
        <w:tc>
          <w:tcPr>
            <w:tcW w:w="2883" w:type="dxa"/>
            <w:noWrap w:val="0"/>
            <w:vAlign w:val="center"/>
          </w:tcPr>
          <w:p w14:paraId="29506F76">
            <w:pPr>
              <w:pageBreakBefore w:val="0"/>
              <w:widowControl w:val="0"/>
              <w:kinsoku/>
              <w:wordWrap/>
              <w:overflowPunct/>
              <w:topLinePunct w:val="0"/>
              <w:autoSpaceDE/>
              <w:autoSpaceDN/>
              <w:bidi w:val="0"/>
              <w:snapToGrid w:val="0"/>
              <w:spacing w:line="300" w:lineRule="exact"/>
              <w:jc w:val="left"/>
              <w:textAlignment w:val="auto"/>
              <w:rPr>
                <w:rFonts w:hint="eastAsia" w:ascii="仿宋" w:hAnsi="仿宋" w:eastAsia="仿宋" w:cs="仿宋"/>
                <w:b/>
                <w:szCs w:val="21"/>
              </w:rPr>
            </w:pPr>
            <w:r>
              <w:rPr>
                <w:rFonts w:hint="eastAsia" w:ascii="仿宋" w:hAnsi="仿宋" w:eastAsia="仿宋" w:cs="仿宋"/>
                <w:szCs w:val="21"/>
              </w:rPr>
              <w:t>投标报价</w:t>
            </w:r>
          </w:p>
        </w:tc>
        <w:tc>
          <w:tcPr>
            <w:tcW w:w="3012" w:type="dxa"/>
            <w:noWrap w:val="0"/>
            <w:vAlign w:val="top"/>
          </w:tcPr>
          <w:p w14:paraId="1D0AF23C">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b w:val="0"/>
                <w:sz w:val="21"/>
                <w:szCs w:val="21"/>
              </w:rPr>
            </w:pPr>
            <w:r>
              <w:rPr>
                <w:rFonts w:hint="eastAsia" w:ascii="仿宋" w:hAnsi="仿宋" w:eastAsia="仿宋" w:cs="仿宋"/>
                <w:b w:val="0"/>
                <w:sz w:val="21"/>
                <w:szCs w:val="21"/>
              </w:rPr>
              <w:t>1.响应招标文件实质性要求</w:t>
            </w:r>
          </w:p>
          <w:p w14:paraId="0D44AF85">
            <w:pPr>
              <w:pStyle w:val="3"/>
              <w:pageBreakBefore w:val="0"/>
              <w:widowControl w:val="0"/>
              <w:kinsoku/>
              <w:wordWrap/>
              <w:overflowPunct/>
              <w:topLinePunct w:val="0"/>
              <w:autoSpaceDE/>
              <w:autoSpaceDN/>
              <w:bidi w:val="0"/>
              <w:adjustRightInd w:val="0"/>
              <w:snapToGrid w:val="0"/>
              <w:spacing w:before="0" w:after="0" w:line="300" w:lineRule="exact"/>
              <w:jc w:val="left"/>
              <w:textAlignment w:val="auto"/>
              <w:rPr>
                <w:rFonts w:hint="eastAsia" w:ascii="仿宋" w:hAnsi="仿宋" w:eastAsia="仿宋" w:cs="仿宋"/>
                <w:szCs w:val="21"/>
              </w:rPr>
            </w:pPr>
            <w:r>
              <w:rPr>
                <w:rFonts w:hint="eastAsia" w:ascii="仿宋" w:hAnsi="仿宋" w:eastAsia="仿宋" w:cs="仿宋"/>
                <w:b w:val="0"/>
                <w:sz w:val="21"/>
                <w:szCs w:val="21"/>
              </w:rPr>
              <w:t>2.无投标须知26.2所述情形</w:t>
            </w:r>
          </w:p>
        </w:tc>
        <w:tc>
          <w:tcPr>
            <w:tcW w:w="1018" w:type="dxa"/>
            <w:noWrap w:val="0"/>
            <w:vAlign w:val="top"/>
          </w:tcPr>
          <w:p w14:paraId="13BEA6C7">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0D36DD72">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16DF5E1C">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2D6A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57" w:type="dxa"/>
            <w:noWrap w:val="0"/>
            <w:vAlign w:val="center"/>
          </w:tcPr>
          <w:p w14:paraId="69B2CF6B">
            <w:pPr>
              <w:pageBreakBefore w:val="0"/>
              <w:widowControl w:val="0"/>
              <w:kinsoku/>
              <w:wordWrap/>
              <w:overflowPunct/>
              <w:topLinePunct w:val="0"/>
              <w:autoSpaceDE/>
              <w:autoSpaceDN/>
              <w:bidi w:val="0"/>
              <w:spacing w:line="300" w:lineRule="exact"/>
              <w:jc w:val="center"/>
              <w:textAlignment w:val="auto"/>
              <w:rPr>
                <w:rFonts w:hint="eastAsia" w:ascii="仿宋" w:hAnsi="仿宋" w:eastAsia="仿宋" w:cs="仿宋"/>
              </w:rPr>
            </w:pPr>
            <w:r>
              <w:rPr>
                <w:rFonts w:hint="eastAsia" w:ascii="仿宋" w:hAnsi="仿宋" w:eastAsia="仿宋" w:cs="仿宋"/>
              </w:rPr>
              <w:t>9</w:t>
            </w:r>
          </w:p>
        </w:tc>
        <w:tc>
          <w:tcPr>
            <w:tcW w:w="2883" w:type="dxa"/>
            <w:noWrap w:val="0"/>
            <w:vAlign w:val="center"/>
          </w:tcPr>
          <w:p w14:paraId="5658AA0C">
            <w:pPr>
              <w:pageBreakBefore w:val="0"/>
              <w:widowControl w:val="0"/>
              <w:kinsoku/>
              <w:wordWrap/>
              <w:overflowPunct/>
              <w:topLinePunct w:val="0"/>
              <w:autoSpaceDE/>
              <w:autoSpaceDN/>
              <w:bidi w:val="0"/>
              <w:snapToGrid w:val="0"/>
              <w:spacing w:line="300" w:lineRule="exact"/>
              <w:jc w:val="left"/>
              <w:textAlignment w:val="auto"/>
              <w:rPr>
                <w:rFonts w:hint="eastAsia" w:ascii="仿宋" w:hAnsi="仿宋" w:eastAsia="仿宋" w:cs="仿宋"/>
                <w:szCs w:val="21"/>
              </w:rPr>
            </w:pPr>
            <w:r>
              <w:rPr>
                <w:rFonts w:hint="eastAsia" w:ascii="仿宋" w:hAnsi="仿宋" w:eastAsia="仿宋" w:cs="仿宋"/>
                <w:kern w:val="0"/>
                <w:szCs w:val="21"/>
              </w:rPr>
              <w:t>电子备份文件与现场递交的投标（响应）文件内容、格式一致性承诺函，格式自拟要求进行签字、盖章</w:t>
            </w:r>
          </w:p>
        </w:tc>
        <w:tc>
          <w:tcPr>
            <w:tcW w:w="3012" w:type="dxa"/>
            <w:noWrap w:val="0"/>
            <w:vAlign w:val="center"/>
          </w:tcPr>
          <w:p w14:paraId="441486C5">
            <w:pPr>
              <w:pStyle w:val="3"/>
              <w:pageBreakBefore w:val="0"/>
              <w:widowControl w:val="0"/>
              <w:kinsoku/>
              <w:wordWrap/>
              <w:overflowPunct/>
              <w:topLinePunct w:val="0"/>
              <w:autoSpaceDE/>
              <w:autoSpaceDN/>
              <w:bidi w:val="0"/>
              <w:adjustRightInd w:val="0"/>
              <w:snapToGrid w:val="0"/>
              <w:spacing w:before="0" w:after="0" w:line="30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1.按要求提供</w:t>
            </w:r>
          </w:p>
          <w:p w14:paraId="5CE1728F">
            <w:pPr>
              <w:pageBreakBefore w:val="0"/>
              <w:widowControl w:val="0"/>
              <w:kinsoku/>
              <w:wordWrap/>
              <w:overflowPunct/>
              <w:topLinePunct w:val="0"/>
              <w:autoSpaceDE/>
              <w:autoSpaceDN/>
              <w:bidi w:val="0"/>
              <w:spacing w:line="300" w:lineRule="exact"/>
              <w:textAlignment w:val="auto"/>
              <w:rPr>
                <w:rFonts w:hint="eastAsia" w:ascii="仿宋" w:hAnsi="仿宋" w:eastAsia="仿宋" w:cs="仿宋"/>
                <w:szCs w:val="21"/>
              </w:rPr>
            </w:pPr>
            <w:r>
              <w:rPr>
                <w:rFonts w:hint="eastAsia" w:ascii="仿宋" w:hAnsi="仿宋" w:eastAsia="仿宋" w:cs="仿宋"/>
                <w:szCs w:val="21"/>
              </w:rPr>
              <w:t>2.响应采购文件实质性要求</w:t>
            </w:r>
          </w:p>
          <w:p w14:paraId="5D53EEA9">
            <w:pPr>
              <w:pStyle w:val="3"/>
              <w:pageBreakBefore w:val="0"/>
              <w:widowControl w:val="0"/>
              <w:kinsoku/>
              <w:wordWrap/>
              <w:overflowPunct/>
              <w:topLinePunct w:val="0"/>
              <w:autoSpaceDE/>
              <w:autoSpaceDN/>
              <w:bidi w:val="0"/>
              <w:adjustRightInd w:val="0"/>
              <w:snapToGrid w:val="0"/>
              <w:spacing w:before="0" w:after="0" w:line="300" w:lineRule="exact"/>
              <w:jc w:val="both"/>
              <w:textAlignment w:val="auto"/>
              <w:rPr>
                <w:rFonts w:hint="eastAsia" w:ascii="仿宋" w:hAnsi="仿宋" w:eastAsia="仿宋" w:cs="仿宋"/>
                <w:b w:val="0"/>
                <w:sz w:val="21"/>
                <w:szCs w:val="21"/>
              </w:rPr>
            </w:pPr>
            <w:r>
              <w:rPr>
                <w:rFonts w:hint="eastAsia" w:ascii="仿宋" w:hAnsi="仿宋" w:eastAsia="仿宋" w:cs="仿宋"/>
                <w:b w:val="0"/>
                <w:sz w:val="21"/>
                <w:szCs w:val="21"/>
              </w:rPr>
              <w:t>3.按规定签章</w:t>
            </w:r>
          </w:p>
        </w:tc>
        <w:tc>
          <w:tcPr>
            <w:tcW w:w="1018" w:type="dxa"/>
            <w:noWrap w:val="0"/>
            <w:vAlign w:val="top"/>
          </w:tcPr>
          <w:p w14:paraId="11C529BC">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08C8C7AA">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645D7049">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r w14:paraId="2BD1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57" w:type="dxa"/>
            <w:noWrap w:val="0"/>
            <w:vAlign w:val="center"/>
          </w:tcPr>
          <w:p w14:paraId="4B10DAEC">
            <w:pPr>
              <w:pageBreakBefore w:val="0"/>
              <w:widowControl w:val="0"/>
              <w:kinsoku/>
              <w:wordWrap/>
              <w:overflowPunct/>
              <w:topLinePunct w:val="0"/>
              <w:autoSpaceDE/>
              <w:autoSpaceDN/>
              <w:bidi w:val="0"/>
              <w:snapToGrid w:val="0"/>
              <w:spacing w:line="300" w:lineRule="exact"/>
              <w:jc w:val="center"/>
              <w:textAlignment w:val="auto"/>
              <w:rPr>
                <w:rFonts w:hint="eastAsia" w:ascii="仿宋" w:hAnsi="仿宋" w:eastAsia="仿宋" w:cs="仿宋"/>
              </w:rPr>
            </w:pPr>
          </w:p>
        </w:tc>
        <w:tc>
          <w:tcPr>
            <w:tcW w:w="2883" w:type="dxa"/>
            <w:noWrap w:val="0"/>
            <w:vAlign w:val="center"/>
          </w:tcPr>
          <w:p w14:paraId="542752DC">
            <w:pPr>
              <w:pageBreakBefore w:val="0"/>
              <w:widowControl w:val="0"/>
              <w:kinsoku/>
              <w:wordWrap/>
              <w:overflowPunct/>
              <w:topLinePunct w:val="0"/>
              <w:autoSpaceDE/>
              <w:autoSpaceDN/>
              <w:bidi w:val="0"/>
              <w:snapToGrid w:val="0"/>
              <w:spacing w:line="300" w:lineRule="exact"/>
              <w:jc w:val="center"/>
              <w:textAlignment w:val="auto"/>
              <w:rPr>
                <w:rFonts w:hint="eastAsia" w:ascii="仿宋" w:hAnsi="仿宋" w:eastAsia="仿宋" w:cs="仿宋"/>
                <w:szCs w:val="21"/>
              </w:rPr>
            </w:pPr>
            <w:r>
              <w:rPr>
                <w:rFonts w:hint="eastAsia" w:ascii="仿宋" w:hAnsi="仿宋" w:eastAsia="仿宋" w:cs="仿宋"/>
                <w:szCs w:val="21"/>
              </w:rPr>
              <w:t>结论</w:t>
            </w:r>
          </w:p>
        </w:tc>
        <w:tc>
          <w:tcPr>
            <w:tcW w:w="3012" w:type="dxa"/>
            <w:noWrap w:val="0"/>
            <w:vAlign w:val="top"/>
          </w:tcPr>
          <w:p w14:paraId="4695CE1E">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1018" w:type="dxa"/>
            <w:noWrap w:val="0"/>
            <w:vAlign w:val="top"/>
          </w:tcPr>
          <w:p w14:paraId="119917AA">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85" w:type="dxa"/>
            <w:noWrap w:val="0"/>
            <w:vAlign w:val="top"/>
          </w:tcPr>
          <w:p w14:paraId="7B62B8F8">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c>
          <w:tcPr>
            <w:tcW w:w="912" w:type="dxa"/>
            <w:noWrap w:val="0"/>
            <w:vAlign w:val="top"/>
          </w:tcPr>
          <w:p w14:paraId="2C40889D">
            <w:pPr>
              <w:pStyle w:val="3"/>
              <w:pageBreakBefore w:val="0"/>
              <w:widowControl w:val="0"/>
              <w:kinsoku/>
              <w:wordWrap/>
              <w:overflowPunct/>
              <w:topLinePunct w:val="0"/>
              <w:autoSpaceDE/>
              <w:autoSpaceDN/>
              <w:bidi w:val="0"/>
              <w:adjustRightInd w:val="0"/>
              <w:snapToGrid w:val="0"/>
              <w:spacing w:before="0" w:after="0" w:line="300" w:lineRule="exact"/>
              <w:textAlignment w:val="auto"/>
              <w:rPr>
                <w:rFonts w:hint="eastAsia" w:ascii="仿宋" w:hAnsi="仿宋" w:eastAsia="仿宋" w:cs="仿宋"/>
                <w:sz w:val="21"/>
                <w:szCs w:val="21"/>
              </w:rPr>
            </w:pPr>
          </w:p>
        </w:tc>
      </w:tr>
    </w:tbl>
    <w:p w14:paraId="7DC051A2">
      <w:pPr>
        <w:ind w:firstLine="210" w:firstLineChars="100"/>
        <w:rPr>
          <w:rFonts w:hint="eastAsia" w:ascii="仿宋" w:hAnsi="仿宋" w:eastAsia="仿宋" w:cs="仿宋"/>
        </w:rPr>
      </w:pPr>
      <w:r>
        <w:rPr>
          <w:rFonts w:hint="eastAsia" w:ascii="仿宋" w:hAnsi="仿宋" w:eastAsia="仿宋" w:cs="仿宋"/>
        </w:rPr>
        <w:t>注：填表说明：1、每项审查内容中填写“√”或“×”</w:t>
      </w:r>
    </w:p>
    <w:p w14:paraId="250A6F2F">
      <w:pPr>
        <w:rPr>
          <w:rFonts w:hint="eastAsia" w:ascii="仿宋" w:hAnsi="仿宋" w:eastAsia="仿宋" w:cs="仿宋"/>
        </w:rPr>
      </w:pPr>
      <w:r>
        <w:rPr>
          <w:rFonts w:hint="eastAsia" w:ascii="仿宋" w:hAnsi="仿宋" w:eastAsia="仿宋" w:cs="仿宋"/>
        </w:rPr>
        <w:t xml:space="preserve">          2、审查结论填写“通过”或“不通过”</w:t>
      </w:r>
    </w:p>
    <w:p w14:paraId="6E33D302">
      <w:pPr>
        <w:rPr>
          <w:rFonts w:hint="eastAsia" w:ascii="仿宋" w:hAnsi="仿宋" w:eastAsia="仿宋" w:cs="仿宋"/>
          <w:lang w:val="en-US" w:eastAsia="zh-CN"/>
        </w:rPr>
      </w:pPr>
      <w:r>
        <w:rPr>
          <w:rFonts w:hint="eastAsia" w:ascii="仿宋" w:hAnsi="仿宋" w:cs="仿宋"/>
          <w:lang w:val="en-US" w:eastAsia="zh-CN"/>
        </w:rPr>
        <w:t xml:space="preserve"> </w:t>
      </w:r>
    </w:p>
    <w:p w14:paraId="0934382A">
      <w:pPr>
        <w:pStyle w:val="13"/>
        <w:widowControl w:val="0"/>
        <w:snapToGrid w:val="0"/>
        <w:spacing w:before="0" w:beforeAutospacing="0" w:after="0" w:afterAutospacing="0" w:line="480" w:lineRule="auto"/>
        <w:ind w:left="5880" w:leftChars="100" w:hanging="5670" w:hangingChars="2700"/>
        <w:rPr>
          <w:rFonts w:hint="eastAsia" w:ascii="仿宋" w:hAnsi="仿宋" w:eastAsia="仿宋" w:cs="仿宋"/>
          <w:sz w:val="21"/>
          <w:szCs w:val="21"/>
        </w:rPr>
      </w:pPr>
      <w:r>
        <w:rPr>
          <w:rFonts w:hint="eastAsia" w:ascii="仿宋" w:hAnsi="仿宋" w:eastAsia="仿宋" w:cs="仿宋"/>
          <w:sz w:val="21"/>
          <w:szCs w:val="21"/>
        </w:rPr>
        <w:t xml:space="preserve">审查人签字： </w:t>
      </w:r>
    </w:p>
    <w:p w14:paraId="0D9889FE">
      <w:pPr>
        <w:pStyle w:val="13"/>
        <w:widowControl w:val="0"/>
        <w:snapToGrid w:val="0"/>
        <w:spacing w:before="0" w:beforeAutospacing="0" w:after="0" w:afterAutospacing="0" w:line="480" w:lineRule="auto"/>
        <w:ind w:left="5880" w:leftChars="100" w:hanging="5670" w:hangingChars="2700"/>
        <w:rPr>
          <w:rFonts w:hint="eastAsia" w:ascii="仿宋" w:hAnsi="仿宋" w:eastAsia="仿宋" w:cs="仿宋"/>
          <w:b/>
          <w:sz w:val="21"/>
          <w:szCs w:val="21"/>
        </w:rPr>
      </w:pPr>
      <w:r>
        <w:rPr>
          <w:rFonts w:hint="eastAsia" w:ascii="仿宋" w:hAnsi="仿宋" w:eastAsia="仿宋" w:cs="仿宋"/>
          <w:bCs/>
          <w:sz w:val="21"/>
          <w:szCs w:val="21"/>
        </w:rPr>
        <w:t>日      期：</w:t>
      </w:r>
      <w:r>
        <w:rPr>
          <w:rFonts w:hint="eastAsia" w:ascii="仿宋" w:hAnsi="仿宋" w:eastAsia="仿宋" w:cs="仿宋"/>
          <w:b/>
          <w:sz w:val="21"/>
          <w:szCs w:val="21"/>
        </w:rPr>
        <w:t xml:space="preserve"> </w:t>
      </w:r>
    </w:p>
    <w:p w14:paraId="1DC1011F">
      <w:pPr>
        <w:pStyle w:val="13"/>
        <w:widowControl w:val="0"/>
        <w:snapToGrid w:val="0"/>
        <w:spacing w:before="0" w:beforeAutospacing="0" w:after="0" w:afterAutospacing="0" w:line="480" w:lineRule="auto"/>
        <w:ind w:left="5903" w:hanging="5880" w:hangingChars="2800"/>
        <w:rPr>
          <w:rFonts w:hint="eastAsia" w:ascii="仿宋" w:hAnsi="仿宋" w:eastAsia="仿宋" w:cs="仿宋"/>
          <w:b/>
          <w:sz w:val="21"/>
          <w:szCs w:val="21"/>
        </w:rPr>
      </w:pPr>
    </w:p>
    <w:p w14:paraId="426A097B">
      <w:pPr>
        <w:pStyle w:val="3"/>
        <w:pageBreakBefore w:val="0"/>
        <w:widowControl w:val="0"/>
        <w:kinsoku/>
        <w:wordWrap/>
        <w:overflowPunct/>
        <w:topLinePunct w:val="0"/>
        <w:autoSpaceDE/>
        <w:autoSpaceDN/>
        <w:bidi w:val="0"/>
        <w:adjustRightInd w:val="0"/>
        <w:snapToGrid w:val="0"/>
        <w:spacing w:before="0" w:after="0" w:line="400" w:lineRule="exact"/>
        <w:jc w:val="left"/>
        <w:textAlignment w:val="auto"/>
        <w:rPr>
          <w:rFonts w:hint="eastAsia" w:ascii="仿宋" w:hAnsi="仿宋" w:eastAsia="仿宋" w:cs="仿宋"/>
          <w:sz w:val="32"/>
          <w:szCs w:val="32"/>
        </w:rPr>
      </w:pPr>
      <w:bookmarkStart w:id="145" w:name="_Toc17433_WPSOffice_Level2"/>
      <w:r>
        <w:rPr>
          <w:rFonts w:hint="eastAsia" w:ascii="仿宋" w:hAnsi="仿宋" w:eastAsia="仿宋" w:cs="仿宋"/>
          <w:szCs w:val="28"/>
        </w:rPr>
        <w:t xml:space="preserve">附件3                   </w:t>
      </w:r>
      <w:r>
        <w:rPr>
          <w:rFonts w:hint="eastAsia" w:ascii="仿宋" w:hAnsi="仿宋" w:eastAsia="仿宋" w:cs="仿宋"/>
          <w:sz w:val="32"/>
          <w:szCs w:val="32"/>
        </w:rPr>
        <w:t xml:space="preserve"> </w:t>
      </w:r>
    </w:p>
    <w:p w14:paraId="555F504F">
      <w:pPr>
        <w:pageBreakBefore w:val="0"/>
        <w:widowControl w:val="0"/>
        <w:kinsoku/>
        <w:wordWrap/>
        <w:overflowPunct/>
        <w:topLinePunct w:val="0"/>
        <w:autoSpaceDE/>
        <w:autoSpaceDN/>
        <w:bidi w:val="0"/>
        <w:spacing w:line="400" w:lineRule="exact"/>
        <w:jc w:val="center"/>
        <w:textAlignment w:val="auto"/>
        <w:rPr>
          <w:rFonts w:hint="eastAsia" w:ascii="仿宋" w:hAnsi="仿宋" w:eastAsia="仿宋" w:cs="仿宋"/>
          <w:b/>
          <w:sz w:val="32"/>
          <w:szCs w:val="32"/>
        </w:rPr>
      </w:pPr>
      <w:r>
        <w:rPr>
          <w:rFonts w:hint="eastAsia" w:ascii="仿宋" w:hAnsi="仿宋" w:eastAsia="仿宋" w:cs="仿宋"/>
          <w:b/>
          <w:sz w:val="32"/>
          <w:szCs w:val="32"/>
        </w:rPr>
        <w:t>评分细则</w:t>
      </w:r>
      <w:bookmarkEnd w:id="145"/>
    </w:p>
    <w:p w14:paraId="1087201A">
      <w:pPr>
        <w:pageBreakBefore w:val="0"/>
        <w:widowControl w:val="0"/>
        <w:kinsoku/>
        <w:wordWrap/>
        <w:overflowPunct/>
        <w:topLinePunct w:val="0"/>
        <w:autoSpaceDE/>
        <w:autoSpaceDN/>
        <w:bidi w:val="0"/>
        <w:spacing w:line="400" w:lineRule="exact"/>
        <w:jc w:val="center"/>
        <w:textAlignment w:val="auto"/>
        <w:rPr>
          <w:rFonts w:hint="eastAsia" w:ascii="仿宋" w:hAnsi="仿宋" w:eastAsia="仿宋" w:cs="仿宋"/>
          <w:b/>
          <w:sz w:val="28"/>
          <w:szCs w:val="28"/>
        </w:rPr>
      </w:pPr>
      <w:bookmarkStart w:id="146" w:name="_Toc28142_WPSOffice_Level2"/>
      <w:r>
        <w:rPr>
          <w:rFonts w:hint="eastAsia" w:ascii="仿宋" w:hAnsi="仿宋" w:eastAsia="仿宋" w:cs="仿宋"/>
          <w:b/>
          <w:sz w:val="28"/>
          <w:szCs w:val="28"/>
        </w:rPr>
        <w:t>（综合评分法适用）</w:t>
      </w:r>
      <w:bookmarkEnd w:id="146"/>
    </w:p>
    <w:p w14:paraId="20703F4B">
      <w:pPr>
        <w:numPr>
          <w:ilvl w:val="0"/>
          <w:numId w:val="10"/>
        </w:numPr>
        <w:jc w:val="left"/>
        <w:rPr>
          <w:rFonts w:hint="eastAsia" w:ascii="仿宋" w:hAnsi="仿宋" w:eastAsia="仿宋" w:cs="仿宋"/>
        </w:rPr>
      </w:pPr>
      <w:r>
        <w:rPr>
          <w:rFonts w:hint="eastAsia" w:ascii="仿宋" w:hAnsi="仿宋" w:eastAsia="仿宋" w:cs="仿宋"/>
          <w:b/>
          <w:szCs w:val="21"/>
        </w:rPr>
        <w:t>基本评分标准</w:t>
      </w:r>
    </w:p>
    <w:tbl>
      <w:tblPr>
        <w:tblStyle w:val="16"/>
        <w:tblW w:w="10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177"/>
        <w:gridCol w:w="7526"/>
        <w:gridCol w:w="767"/>
      </w:tblGrid>
      <w:tr w14:paraId="3068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846" w:type="dxa"/>
            <w:noWrap w:val="0"/>
            <w:vAlign w:val="center"/>
          </w:tcPr>
          <w:p w14:paraId="2FC604C7">
            <w:pPr>
              <w:pStyle w:val="13"/>
              <w:keepNext w:val="0"/>
              <w:keepLines w:val="0"/>
              <w:pageBreakBefore w:val="0"/>
              <w:shd w:val="clear"/>
              <w:kinsoku/>
              <w:wordWrap/>
              <w:overflowPunct/>
              <w:topLinePunct w:val="0"/>
              <w:autoSpaceDE/>
              <w:autoSpaceDN/>
              <w:bidi w:val="0"/>
              <w:adjustRightInd w:val="0"/>
              <w:snapToGrid w:val="0"/>
              <w:spacing w:before="0" w:beforeAutospacing="0" w:after="0" w:afterAutospacing="0" w:line="300" w:lineRule="atLeast"/>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包号</w:t>
            </w:r>
          </w:p>
        </w:tc>
        <w:tc>
          <w:tcPr>
            <w:tcW w:w="9470" w:type="dxa"/>
            <w:gridSpan w:val="3"/>
            <w:noWrap w:val="0"/>
            <w:vAlign w:val="center"/>
          </w:tcPr>
          <w:p w14:paraId="38B5889E">
            <w:pPr>
              <w:pStyle w:val="13"/>
              <w:keepNext w:val="0"/>
              <w:keepLines w:val="0"/>
              <w:pageBreakBefore w:val="0"/>
              <w:shd w:val="clear"/>
              <w:kinsoku/>
              <w:wordWrap/>
              <w:overflowPunct/>
              <w:topLinePunct w:val="0"/>
              <w:autoSpaceDE/>
              <w:autoSpaceDN/>
              <w:bidi w:val="0"/>
              <w:adjustRightInd w:val="0"/>
              <w:snapToGrid w:val="0"/>
              <w:spacing w:before="0" w:beforeAutospacing="0" w:after="0" w:afterAutospacing="0" w:line="300" w:lineRule="atLeast"/>
              <w:jc w:val="center"/>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rPr>
              <w:t>001</w:t>
            </w:r>
          </w:p>
        </w:tc>
      </w:tr>
      <w:tr w14:paraId="5FFC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noWrap w:val="0"/>
            <w:vAlign w:val="center"/>
          </w:tcPr>
          <w:p w14:paraId="2AC34AE7">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w:t>
            </w:r>
          </w:p>
        </w:tc>
        <w:tc>
          <w:tcPr>
            <w:tcW w:w="1177" w:type="dxa"/>
            <w:noWrap w:val="0"/>
            <w:vAlign w:val="center"/>
          </w:tcPr>
          <w:p w14:paraId="1D8AD10F">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分项名称</w:t>
            </w:r>
          </w:p>
        </w:tc>
        <w:tc>
          <w:tcPr>
            <w:tcW w:w="7526" w:type="dxa"/>
            <w:noWrap w:val="0"/>
            <w:vAlign w:val="center"/>
          </w:tcPr>
          <w:p w14:paraId="07BE8E52">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评分标准</w:t>
            </w:r>
          </w:p>
        </w:tc>
        <w:tc>
          <w:tcPr>
            <w:tcW w:w="767" w:type="dxa"/>
            <w:noWrap w:val="0"/>
            <w:vAlign w:val="center"/>
          </w:tcPr>
          <w:p w14:paraId="66017D14">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满分</w:t>
            </w:r>
          </w:p>
        </w:tc>
      </w:tr>
      <w:tr w14:paraId="075DB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846" w:type="dxa"/>
            <w:noWrap w:val="0"/>
            <w:vAlign w:val="center"/>
          </w:tcPr>
          <w:p w14:paraId="79E9791F">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价格部分</w:t>
            </w:r>
            <w:r>
              <w:rPr>
                <w:rFonts w:hint="eastAsia" w:ascii="仿宋" w:hAnsi="仿宋" w:eastAsia="仿宋" w:cs="仿宋"/>
                <w:kern w:val="2"/>
                <w:sz w:val="21"/>
                <w:szCs w:val="21"/>
                <w:highlight w:val="none"/>
              </w:rPr>
              <w:t>（</w:t>
            </w:r>
            <w:r>
              <w:rPr>
                <w:rFonts w:hint="eastAsia" w:ascii="仿宋" w:hAnsi="仿宋" w:cs="仿宋"/>
                <w:kern w:val="2"/>
                <w:sz w:val="21"/>
                <w:szCs w:val="21"/>
                <w:highlight w:val="none"/>
                <w:lang w:val="en-US" w:eastAsia="zh-CN"/>
              </w:rPr>
              <w:t>10</w:t>
            </w:r>
            <w:r>
              <w:rPr>
                <w:rFonts w:hint="eastAsia" w:ascii="仿宋" w:hAnsi="仿宋" w:eastAsia="仿宋" w:cs="仿宋"/>
                <w:kern w:val="2"/>
                <w:sz w:val="21"/>
                <w:szCs w:val="21"/>
                <w:highlight w:val="none"/>
              </w:rPr>
              <w:t>）</w:t>
            </w:r>
          </w:p>
        </w:tc>
        <w:tc>
          <w:tcPr>
            <w:tcW w:w="1177" w:type="dxa"/>
            <w:noWrap w:val="0"/>
            <w:vAlign w:val="center"/>
          </w:tcPr>
          <w:p w14:paraId="6EF3D56B">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w:t>
            </w:r>
          </w:p>
        </w:tc>
        <w:tc>
          <w:tcPr>
            <w:tcW w:w="7526" w:type="dxa"/>
            <w:noWrap w:val="0"/>
            <w:vAlign w:val="center"/>
          </w:tcPr>
          <w:p w14:paraId="46ED5C52">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1.评标基准价:满足招标文件要求且投标价格最低的投标报价为评标基准价，评标基准价为满分</w:t>
            </w:r>
            <w:r>
              <w:rPr>
                <w:rFonts w:hint="eastAsia" w:ascii="仿宋" w:hAnsi="仿宋" w:cs="仿宋"/>
                <w:color w:val="auto"/>
                <w:szCs w:val="21"/>
                <w:highlight w:val="none"/>
                <w:lang w:val="en-US" w:eastAsia="zh-CN"/>
              </w:rPr>
              <w:t>10</w:t>
            </w:r>
            <w:r>
              <w:rPr>
                <w:rFonts w:hint="eastAsia" w:ascii="仿宋" w:hAnsi="仿宋" w:eastAsia="仿宋" w:cs="仿宋"/>
                <w:color w:val="auto"/>
                <w:szCs w:val="21"/>
                <w:highlight w:val="none"/>
              </w:rPr>
              <w:t>分。</w:t>
            </w:r>
          </w:p>
          <w:p w14:paraId="1CC84C85">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2.投标报价得分按照下列公式计算:投标报价得分等于(评标基准价/投标报价)×</w:t>
            </w:r>
            <w:r>
              <w:rPr>
                <w:rFonts w:hint="eastAsia" w:ascii="仿宋" w:hAnsi="仿宋" w:cs="仿宋"/>
                <w:color w:val="auto"/>
                <w:szCs w:val="21"/>
                <w:highlight w:val="none"/>
                <w:lang w:val="en-US" w:eastAsia="zh-CN"/>
              </w:rPr>
              <w:t>10</w:t>
            </w:r>
            <w:r>
              <w:rPr>
                <w:rFonts w:hint="eastAsia" w:ascii="仿宋" w:hAnsi="仿宋" w:eastAsia="仿宋" w:cs="仿宋"/>
                <w:color w:val="auto"/>
                <w:szCs w:val="21"/>
                <w:highlight w:val="none"/>
              </w:rPr>
              <w:t>。</w:t>
            </w:r>
          </w:p>
          <w:p w14:paraId="4F23AAED">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3.得分保留至小数点后两位。</w:t>
            </w:r>
          </w:p>
        </w:tc>
        <w:tc>
          <w:tcPr>
            <w:tcW w:w="767" w:type="dxa"/>
            <w:noWrap w:val="0"/>
            <w:vAlign w:val="center"/>
          </w:tcPr>
          <w:p w14:paraId="629F0983">
            <w:pPr>
              <w:keepNext w:val="0"/>
              <w:keepLines w:val="0"/>
              <w:pageBreakBefore w:val="0"/>
              <w:shd w:val="clear"/>
              <w:kinsoku/>
              <w:wordWrap/>
              <w:overflowPunct/>
              <w:topLinePunct w:val="0"/>
              <w:autoSpaceDE/>
              <w:autoSpaceDN/>
              <w:bidi w:val="0"/>
              <w:spacing w:line="300" w:lineRule="atLeast"/>
              <w:jc w:val="center"/>
              <w:rPr>
                <w:rFonts w:hint="default" w:ascii="仿宋" w:hAnsi="仿宋" w:eastAsia="仿宋" w:cs="仿宋"/>
                <w:color w:val="auto"/>
                <w:szCs w:val="21"/>
                <w:highlight w:val="none"/>
                <w:lang w:val="en-US" w:eastAsia="zh-CN"/>
              </w:rPr>
            </w:pPr>
            <w:r>
              <w:rPr>
                <w:rFonts w:hint="eastAsia" w:ascii="仿宋" w:hAnsi="仿宋" w:cs="仿宋"/>
                <w:color w:val="auto"/>
                <w:szCs w:val="21"/>
                <w:highlight w:val="none"/>
                <w:lang w:val="en-US" w:eastAsia="zh-CN"/>
              </w:rPr>
              <w:t>10</w:t>
            </w:r>
          </w:p>
        </w:tc>
      </w:tr>
      <w:tr w14:paraId="321FD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vMerge w:val="restart"/>
            <w:noWrap w:val="0"/>
            <w:vAlign w:val="center"/>
          </w:tcPr>
          <w:p w14:paraId="0EF0758F">
            <w:pPr>
              <w:keepNext w:val="0"/>
              <w:keepLines w:val="0"/>
              <w:pageBreakBefore w:val="0"/>
              <w:shd w:val="clear"/>
              <w:kinsoku/>
              <w:wordWrap/>
              <w:overflowPunct/>
              <w:topLinePunct w:val="0"/>
              <w:autoSpaceDE/>
              <w:autoSpaceDN/>
              <w:bidi w:val="0"/>
              <w:spacing w:line="300" w:lineRule="atLeast"/>
              <w:jc w:val="center"/>
              <w:rPr>
                <w:rFonts w:hint="default" w:ascii="仿宋" w:hAnsi="仿宋" w:eastAsia="仿宋" w:cs="仿宋"/>
                <w:color w:val="auto"/>
                <w:szCs w:val="21"/>
                <w:highlight w:val="yellow"/>
                <w:lang w:val="en-US" w:eastAsia="zh-CN"/>
              </w:rPr>
            </w:pPr>
            <w:r>
              <w:rPr>
                <w:rFonts w:hint="eastAsia" w:ascii="仿宋" w:hAnsi="仿宋" w:cs="仿宋"/>
                <w:color w:val="auto"/>
                <w:szCs w:val="21"/>
                <w:highlight w:val="none"/>
                <w:lang w:val="en-US" w:eastAsia="zh-CN"/>
              </w:rPr>
              <w:t>技术部分（77分）</w:t>
            </w:r>
          </w:p>
        </w:tc>
        <w:tc>
          <w:tcPr>
            <w:tcW w:w="1177" w:type="dxa"/>
            <w:vMerge w:val="restart"/>
            <w:noWrap w:val="0"/>
            <w:vAlign w:val="center"/>
          </w:tcPr>
          <w:p w14:paraId="69064132">
            <w:pPr>
              <w:keepNext w:val="0"/>
              <w:keepLines w:val="0"/>
              <w:pageBreakBefore w:val="0"/>
              <w:widowControl w:val="0"/>
              <w:shd w:val="clear"/>
              <w:kinsoku/>
              <w:wordWrap/>
              <w:overflowPunct/>
              <w:topLinePunct w:val="0"/>
              <w:autoSpaceDE/>
              <w:autoSpaceDN/>
              <w:bidi w:val="0"/>
              <w:adjustRightInd w:val="0"/>
              <w:snapToGrid w:val="0"/>
              <w:spacing w:line="30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总体服务方案</w:t>
            </w:r>
          </w:p>
        </w:tc>
        <w:tc>
          <w:tcPr>
            <w:tcW w:w="7526" w:type="dxa"/>
            <w:noWrap w:val="0"/>
            <w:vAlign w:val="center"/>
          </w:tcPr>
          <w:p w14:paraId="31958EC1">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ind w:lef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根据投标人提供的总体运营管理服务方案进行评审，内容包括但不限于以下：</w:t>
            </w:r>
          </w:p>
          <w:p w14:paraId="0C672BD9">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）自身管理优势：</w:t>
            </w:r>
          </w:p>
          <w:p w14:paraId="2BD2F32E">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内容详细、完善、科学、合理、可行得</w:t>
            </w: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分；</w:t>
            </w:r>
          </w:p>
          <w:p w14:paraId="55C38B3D">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ind w:lef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内容完整、合理、条理清晰,得</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p w14:paraId="59AE4DB1">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ind w:lef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内容简略、合理，得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w:t>
            </w:r>
          </w:p>
          <w:p w14:paraId="1D0D19D8">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ind w:leftChars="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不提供不得分。</w:t>
            </w:r>
          </w:p>
        </w:tc>
        <w:tc>
          <w:tcPr>
            <w:tcW w:w="767" w:type="dxa"/>
            <w:vMerge w:val="restart"/>
            <w:noWrap w:val="0"/>
            <w:vAlign w:val="center"/>
          </w:tcPr>
          <w:p w14:paraId="3EBE930F">
            <w:pPr>
              <w:keepNext w:val="0"/>
              <w:keepLines w:val="0"/>
              <w:pageBreakBefore w:val="0"/>
              <w:shd w:val="clear"/>
              <w:kinsoku/>
              <w:wordWrap/>
              <w:overflowPunct/>
              <w:topLinePunct w:val="0"/>
              <w:autoSpaceDE/>
              <w:autoSpaceDN/>
              <w:bidi w:val="0"/>
              <w:spacing w:line="300" w:lineRule="atLeast"/>
              <w:jc w:val="center"/>
              <w:rPr>
                <w:rFonts w:hint="default"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13</w:t>
            </w:r>
          </w:p>
        </w:tc>
      </w:tr>
      <w:tr w14:paraId="0A74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46" w:type="dxa"/>
            <w:vMerge w:val="continue"/>
            <w:noWrap w:val="0"/>
            <w:vAlign w:val="center"/>
          </w:tcPr>
          <w:p w14:paraId="59C40B23">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vMerge w:val="continue"/>
            <w:noWrap w:val="0"/>
            <w:vAlign w:val="center"/>
          </w:tcPr>
          <w:p w14:paraId="1D835B5B">
            <w:pPr>
              <w:keepNext w:val="0"/>
              <w:keepLines w:val="0"/>
              <w:pageBreakBefore w:val="0"/>
              <w:widowControl w:val="0"/>
              <w:shd w:val="clear"/>
              <w:kinsoku/>
              <w:wordWrap/>
              <w:overflowPunct/>
              <w:topLinePunct w:val="0"/>
              <w:autoSpaceDE/>
              <w:autoSpaceDN/>
              <w:bidi w:val="0"/>
              <w:adjustRightInd w:val="0"/>
              <w:snapToGrid w:val="0"/>
              <w:spacing w:line="300" w:lineRule="atLeast"/>
              <w:jc w:val="center"/>
              <w:rPr>
                <w:rFonts w:hint="eastAsia" w:ascii="仿宋" w:hAnsi="仿宋" w:eastAsia="仿宋" w:cs="仿宋"/>
                <w:color w:val="auto"/>
                <w:sz w:val="21"/>
                <w:szCs w:val="21"/>
                <w:highlight w:val="none"/>
              </w:rPr>
            </w:pPr>
          </w:p>
        </w:tc>
        <w:tc>
          <w:tcPr>
            <w:tcW w:w="7526" w:type="dxa"/>
            <w:noWrap w:val="0"/>
            <w:vAlign w:val="center"/>
          </w:tcPr>
          <w:p w14:paraId="059D67E5">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）运营管理服务理念及设想：</w:t>
            </w:r>
          </w:p>
          <w:p w14:paraId="6124C170">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内容详细、完善、科学、合理、可行得</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p w14:paraId="47569FA9">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ind w:lef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内容完整、合理、条理清晰,得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w:t>
            </w:r>
          </w:p>
          <w:p w14:paraId="1EA98C87">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内容简略、合理，得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p w14:paraId="7AF56D2E">
            <w:pPr>
              <w:pStyle w:val="15"/>
              <w:keepNext w:val="0"/>
              <w:keepLines w:val="0"/>
              <w:pageBreakBefore w:val="0"/>
              <w:widowControl w:val="0"/>
              <w:numPr>
                <w:ilvl w:val="0"/>
                <w:numId w:val="0"/>
              </w:numPr>
              <w:shd w:val="clear"/>
              <w:kinsoku/>
              <w:wordWrap/>
              <w:overflowPunct/>
              <w:topLinePunct w:val="0"/>
              <w:autoSpaceDE/>
              <w:autoSpaceDN/>
              <w:bidi w:val="0"/>
              <w:adjustRightInd w:val="0"/>
              <w:spacing w:line="300" w:lineRule="atLeast"/>
              <w:rPr>
                <w:rFonts w:hint="eastAsia" w:ascii="仿宋" w:hAnsi="仿宋" w:eastAsia="仿宋" w:cs="仿宋"/>
                <w:color w:val="FF0000"/>
                <w:sz w:val="21"/>
                <w:szCs w:val="21"/>
                <w:highlight w:val="none"/>
              </w:rPr>
            </w:pPr>
            <w:r>
              <w:rPr>
                <w:rFonts w:hint="eastAsia" w:ascii="仿宋" w:hAnsi="仿宋" w:eastAsia="仿宋" w:cs="仿宋"/>
                <w:color w:val="auto"/>
                <w:sz w:val="21"/>
                <w:szCs w:val="21"/>
                <w:highlight w:val="none"/>
              </w:rPr>
              <w:t>不提供不得分。</w:t>
            </w:r>
          </w:p>
        </w:tc>
        <w:tc>
          <w:tcPr>
            <w:tcW w:w="767" w:type="dxa"/>
            <w:vMerge w:val="continue"/>
            <w:noWrap w:val="0"/>
            <w:vAlign w:val="center"/>
          </w:tcPr>
          <w:p w14:paraId="2186EBB9">
            <w:pPr>
              <w:keepNext w:val="0"/>
              <w:keepLines w:val="0"/>
              <w:pageBreakBefore w:val="0"/>
              <w:shd w:val="clear"/>
              <w:kinsoku/>
              <w:wordWrap/>
              <w:overflowPunct/>
              <w:topLinePunct w:val="0"/>
              <w:autoSpaceDE/>
              <w:autoSpaceDN/>
              <w:bidi w:val="0"/>
              <w:spacing w:line="300" w:lineRule="atLeast"/>
              <w:jc w:val="center"/>
              <w:rPr>
                <w:rFonts w:hint="eastAsia" w:ascii="仿宋" w:hAnsi="仿宋" w:cs="仿宋"/>
                <w:color w:val="auto"/>
                <w:sz w:val="21"/>
                <w:szCs w:val="21"/>
                <w:highlight w:val="none"/>
                <w:lang w:val="en-US" w:eastAsia="zh-CN"/>
              </w:rPr>
            </w:pPr>
          </w:p>
        </w:tc>
      </w:tr>
      <w:tr w14:paraId="5E03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trPr>
        <w:tc>
          <w:tcPr>
            <w:tcW w:w="846" w:type="dxa"/>
            <w:vMerge w:val="continue"/>
            <w:noWrap w:val="0"/>
            <w:vAlign w:val="center"/>
          </w:tcPr>
          <w:p w14:paraId="48F290D5">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vMerge w:val="restart"/>
            <w:noWrap w:val="0"/>
            <w:vAlign w:val="center"/>
          </w:tcPr>
          <w:p w14:paraId="3D1FE153">
            <w:pPr>
              <w:keepNext w:val="0"/>
              <w:keepLines w:val="0"/>
              <w:pageBreakBefore w:val="0"/>
              <w:widowControl w:val="0"/>
              <w:shd w:val="clear"/>
              <w:kinsoku/>
              <w:wordWrap/>
              <w:overflowPunct/>
              <w:topLinePunct w:val="0"/>
              <w:autoSpaceDE/>
              <w:autoSpaceDN/>
              <w:bidi w:val="0"/>
              <w:adjustRightInd w:val="0"/>
              <w:snapToGrid w:val="0"/>
              <w:spacing w:line="300" w:lineRule="atLeast"/>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质量保证</w:t>
            </w:r>
          </w:p>
        </w:tc>
        <w:tc>
          <w:tcPr>
            <w:tcW w:w="7526" w:type="dxa"/>
            <w:noWrap w:val="0"/>
            <w:vAlign w:val="top"/>
          </w:tcPr>
          <w:p w14:paraId="35D89F83">
            <w:pPr>
              <w:keepNext w:val="0"/>
              <w:keepLines w:val="0"/>
              <w:pageBreakBefore w:val="0"/>
              <w:numPr>
                <w:ilvl w:val="0"/>
                <w:numId w:val="11"/>
              </w:numPr>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根据投标人提供的医学检验实验室质量管理整体解决措施以确保检验试验结果可靠性的方案进行评审：</w:t>
            </w:r>
          </w:p>
          <w:p w14:paraId="53035FFF">
            <w:pPr>
              <w:keepNext w:val="0"/>
              <w:keepLines w:val="0"/>
              <w:pageBreakBefore w:val="0"/>
              <w:numPr>
                <w:ilvl w:val="0"/>
                <w:numId w:val="0"/>
              </w:numPr>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具体措施内容详细、完善、科学、合理、可行得</w:t>
            </w:r>
            <w:r>
              <w:rPr>
                <w:rFonts w:hint="eastAsia" w:ascii="仿宋" w:hAnsi="仿宋" w:cs="仿宋"/>
                <w:sz w:val="21"/>
                <w:szCs w:val="21"/>
                <w:highlight w:val="none"/>
                <w:lang w:val="en-US" w:eastAsia="zh-CN"/>
              </w:rPr>
              <w:t>8</w:t>
            </w:r>
            <w:r>
              <w:rPr>
                <w:rFonts w:hint="eastAsia" w:ascii="仿宋" w:hAnsi="仿宋" w:eastAsia="仿宋" w:cs="仿宋"/>
                <w:sz w:val="21"/>
                <w:szCs w:val="21"/>
                <w:highlight w:val="none"/>
              </w:rPr>
              <w:t>分；</w:t>
            </w:r>
          </w:p>
          <w:p w14:paraId="21AECE53">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内容完整、合理、条理清晰,得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rPr>
              <w:t>分；</w:t>
            </w:r>
          </w:p>
          <w:p w14:paraId="64836551">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内容简略、合理，得</w:t>
            </w:r>
            <w:r>
              <w:rPr>
                <w:rFonts w:hint="eastAsia" w:ascii="仿宋" w:hAnsi="仿宋" w:cs="仿宋"/>
                <w:sz w:val="21"/>
                <w:szCs w:val="21"/>
                <w:highlight w:val="none"/>
                <w:lang w:val="en-US" w:eastAsia="zh-CN"/>
              </w:rPr>
              <w:t>2</w:t>
            </w:r>
            <w:r>
              <w:rPr>
                <w:rFonts w:hint="eastAsia" w:ascii="仿宋" w:hAnsi="仿宋" w:eastAsia="仿宋" w:cs="仿宋"/>
                <w:sz w:val="21"/>
                <w:szCs w:val="21"/>
                <w:highlight w:val="none"/>
              </w:rPr>
              <w:t>分；</w:t>
            </w:r>
          </w:p>
          <w:p w14:paraId="1D3A8D6B">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不提供不得分。</w:t>
            </w:r>
          </w:p>
        </w:tc>
        <w:tc>
          <w:tcPr>
            <w:tcW w:w="767" w:type="dxa"/>
            <w:vMerge w:val="restart"/>
            <w:noWrap w:val="0"/>
            <w:vAlign w:val="center"/>
          </w:tcPr>
          <w:p w14:paraId="782CFD4A">
            <w:pPr>
              <w:keepNext w:val="0"/>
              <w:keepLines w:val="0"/>
              <w:pageBreakBefore w:val="0"/>
              <w:shd w:val="clear"/>
              <w:kinsoku/>
              <w:wordWrap/>
              <w:overflowPunct/>
              <w:topLinePunct w:val="0"/>
              <w:autoSpaceDE/>
              <w:autoSpaceDN/>
              <w:bidi w:val="0"/>
              <w:spacing w:line="300" w:lineRule="atLeast"/>
              <w:jc w:val="center"/>
              <w:rPr>
                <w:rFonts w:hint="default" w:ascii="仿宋" w:hAnsi="仿宋" w:eastAsia="仿宋" w:cs="仿宋"/>
                <w:color w:val="auto"/>
                <w:szCs w:val="21"/>
                <w:highlight w:val="none"/>
                <w:lang w:val="en-US" w:eastAsia="zh-CN"/>
              </w:rPr>
            </w:pPr>
            <w:r>
              <w:rPr>
                <w:rFonts w:hint="eastAsia" w:ascii="仿宋" w:hAnsi="仿宋" w:cs="仿宋"/>
                <w:color w:val="auto"/>
                <w:szCs w:val="21"/>
                <w:highlight w:val="none"/>
                <w:lang w:val="en-US" w:eastAsia="zh-CN"/>
              </w:rPr>
              <w:t>13</w:t>
            </w:r>
          </w:p>
        </w:tc>
      </w:tr>
      <w:tr w14:paraId="319D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3" w:hRule="atLeast"/>
          <w:jc w:val="center"/>
        </w:trPr>
        <w:tc>
          <w:tcPr>
            <w:tcW w:w="846" w:type="dxa"/>
            <w:vMerge w:val="continue"/>
            <w:noWrap w:val="0"/>
            <w:vAlign w:val="center"/>
          </w:tcPr>
          <w:p w14:paraId="4BF0A4F0">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vMerge w:val="continue"/>
            <w:noWrap w:val="0"/>
            <w:vAlign w:val="center"/>
          </w:tcPr>
          <w:p w14:paraId="3908F907">
            <w:pPr>
              <w:keepNext w:val="0"/>
              <w:keepLines w:val="0"/>
              <w:pageBreakBefore w:val="0"/>
              <w:widowControl w:val="0"/>
              <w:shd w:val="clear"/>
              <w:kinsoku/>
              <w:wordWrap/>
              <w:overflowPunct/>
              <w:topLinePunct w:val="0"/>
              <w:autoSpaceDE/>
              <w:autoSpaceDN/>
              <w:bidi w:val="0"/>
              <w:adjustRightInd w:val="0"/>
              <w:snapToGrid w:val="0"/>
              <w:spacing w:line="300" w:lineRule="atLeast"/>
              <w:jc w:val="center"/>
              <w:rPr>
                <w:rFonts w:hint="eastAsia" w:ascii="仿宋" w:hAnsi="仿宋" w:eastAsia="仿宋" w:cs="仿宋"/>
                <w:color w:val="auto"/>
                <w:sz w:val="21"/>
                <w:szCs w:val="21"/>
                <w:highlight w:val="none"/>
                <w:lang w:val="en-US" w:eastAsia="zh-CN"/>
              </w:rPr>
            </w:pPr>
          </w:p>
        </w:tc>
        <w:tc>
          <w:tcPr>
            <w:tcW w:w="7526" w:type="dxa"/>
            <w:noWrap w:val="0"/>
            <w:vAlign w:val="top"/>
          </w:tcPr>
          <w:p w14:paraId="7AFA0745">
            <w:pPr>
              <w:keepNext w:val="0"/>
              <w:keepLines w:val="0"/>
              <w:pageBreakBefore w:val="0"/>
              <w:numPr>
                <w:ilvl w:val="0"/>
                <w:numId w:val="11"/>
              </w:numPr>
              <w:shd w:val="clear"/>
              <w:kinsoku/>
              <w:wordWrap/>
              <w:overflowPunct/>
              <w:topLinePunct w:val="0"/>
              <w:autoSpaceDE/>
              <w:autoSpaceDN/>
              <w:bidi w:val="0"/>
              <w:spacing w:line="300" w:lineRule="atLeast"/>
              <w:ind w:left="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t>根据投标人协助采购人相应科室参加室间质评和参照等级医院的要求开展室内质控方案进行评审：</w:t>
            </w:r>
          </w:p>
          <w:p w14:paraId="5E396AFB">
            <w:pPr>
              <w:keepNext w:val="0"/>
              <w:keepLines w:val="0"/>
              <w:pageBreakBefore w:val="0"/>
              <w:numPr>
                <w:ilvl w:val="0"/>
                <w:numId w:val="0"/>
              </w:numPr>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具体措施内容详细、完善、科学、合理、可行得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rPr>
              <w:t>分；</w:t>
            </w:r>
          </w:p>
          <w:p w14:paraId="00935FA8">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内容完整、合理、条理清晰,得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rPr>
              <w:t>分；</w:t>
            </w:r>
          </w:p>
          <w:p w14:paraId="193E73DC">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内容简略、合理，得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rPr>
              <w:t>分；</w:t>
            </w:r>
          </w:p>
          <w:p w14:paraId="3768CE66">
            <w:pPr>
              <w:keepNext w:val="0"/>
              <w:keepLines w:val="0"/>
              <w:pageBreakBefore w:val="0"/>
              <w:numPr>
                <w:ilvl w:val="0"/>
                <w:numId w:val="0"/>
              </w:numPr>
              <w:shd w:val="clear"/>
              <w:kinsoku/>
              <w:wordWrap/>
              <w:overflowPunct/>
              <w:topLinePunct w:val="0"/>
              <w:autoSpaceDE/>
              <w:autoSpaceDN/>
              <w:bidi w:val="0"/>
              <w:spacing w:line="300" w:lineRule="atLeast"/>
              <w:ind w:leftChars="0"/>
              <w:rPr>
                <w:rFonts w:hint="eastAsia" w:ascii="仿宋" w:hAnsi="仿宋" w:eastAsia="仿宋" w:cs="仿宋"/>
                <w:sz w:val="21"/>
                <w:szCs w:val="21"/>
                <w:highlight w:val="none"/>
              </w:rPr>
            </w:pPr>
            <w:r>
              <w:rPr>
                <w:rFonts w:hint="eastAsia" w:ascii="仿宋" w:hAnsi="仿宋" w:eastAsia="仿宋" w:cs="仿宋"/>
                <w:sz w:val="21"/>
                <w:szCs w:val="21"/>
                <w:highlight w:val="none"/>
              </w:rPr>
              <w:t>不提供不得分。</w:t>
            </w:r>
          </w:p>
        </w:tc>
        <w:tc>
          <w:tcPr>
            <w:tcW w:w="767" w:type="dxa"/>
            <w:vMerge w:val="continue"/>
            <w:noWrap w:val="0"/>
            <w:vAlign w:val="center"/>
          </w:tcPr>
          <w:p w14:paraId="0E9768AF">
            <w:pPr>
              <w:keepNext w:val="0"/>
              <w:keepLines w:val="0"/>
              <w:pageBreakBefore w:val="0"/>
              <w:shd w:val="clear"/>
              <w:kinsoku/>
              <w:wordWrap/>
              <w:overflowPunct/>
              <w:topLinePunct w:val="0"/>
              <w:autoSpaceDE/>
              <w:autoSpaceDN/>
              <w:bidi w:val="0"/>
              <w:spacing w:line="300" w:lineRule="atLeast"/>
              <w:jc w:val="center"/>
              <w:rPr>
                <w:rFonts w:hint="eastAsia" w:ascii="仿宋" w:hAnsi="仿宋" w:cs="仿宋"/>
                <w:color w:val="auto"/>
                <w:szCs w:val="21"/>
                <w:highlight w:val="none"/>
                <w:lang w:val="en-US" w:eastAsia="zh-CN"/>
              </w:rPr>
            </w:pPr>
          </w:p>
        </w:tc>
      </w:tr>
      <w:tr w14:paraId="4189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846" w:type="dxa"/>
            <w:vMerge w:val="continue"/>
            <w:noWrap w:val="0"/>
            <w:vAlign w:val="center"/>
          </w:tcPr>
          <w:p w14:paraId="27B85B63">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noWrap w:val="0"/>
            <w:vAlign w:val="center"/>
          </w:tcPr>
          <w:p w14:paraId="12C6ACCF">
            <w:pPr>
              <w:keepNext w:val="0"/>
              <w:keepLines w:val="0"/>
              <w:pageBreakBefore w:val="0"/>
              <w:widowControl w:val="0"/>
              <w:shd w:val="clear"/>
              <w:kinsoku/>
              <w:wordWrap/>
              <w:overflowPunct/>
              <w:topLinePunct w:val="0"/>
              <w:autoSpaceDE/>
              <w:autoSpaceDN/>
              <w:bidi w:val="0"/>
              <w:adjustRightInd w:val="0"/>
              <w:snapToGrid w:val="0"/>
              <w:spacing w:line="30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团队配备</w:t>
            </w:r>
          </w:p>
        </w:tc>
        <w:tc>
          <w:tcPr>
            <w:tcW w:w="7526" w:type="dxa"/>
            <w:noWrap w:val="0"/>
            <w:vAlign w:val="top"/>
          </w:tcPr>
          <w:p w14:paraId="1BE59F80">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根据投标人针对本次项目配备的管理班组及技术人员的符合性、资质资格、经验技能等方面进行综合评审：</w:t>
            </w:r>
          </w:p>
          <w:p w14:paraId="2B232962">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符合采购需求、满足项目实际、描述详细、完善、科学、合理、可行得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rPr>
              <w:t>分；</w:t>
            </w:r>
          </w:p>
          <w:p w14:paraId="3C1187C6">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描述完整、合理、条理清晰,得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rPr>
              <w:t>分；</w:t>
            </w:r>
          </w:p>
          <w:p w14:paraId="7110CBE3">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描述简略、合理，得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rPr>
              <w:t>分；</w:t>
            </w:r>
          </w:p>
          <w:p w14:paraId="3C45AA9D">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Cs w:val="21"/>
                <w:highlight w:val="none"/>
              </w:rPr>
            </w:pPr>
            <w:r>
              <w:rPr>
                <w:rFonts w:hint="eastAsia" w:ascii="仿宋" w:hAnsi="仿宋" w:eastAsia="仿宋" w:cs="仿宋"/>
                <w:sz w:val="21"/>
                <w:szCs w:val="21"/>
                <w:highlight w:val="none"/>
              </w:rPr>
              <w:t>不提供不得分。</w:t>
            </w:r>
          </w:p>
        </w:tc>
        <w:tc>
          <w:tcPr>
            <w:tcW w:w="767" w:type="dxa"/>
            <w:noWrap w:val="0"/>
            <w:vAlign w:val="center"/>
          </w:tcPr>
          <w:p w14:paraId="5F8CF569">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lang w:val="en-US" w:eastAsia="zh-CN"/>
              </w:rPr>
            </w:pPr>
            <w:r>
              <w:rPr>
                <w:rFonts w:hint="eastAsia" w:ascii="仿宋" w:hAnsi="仿宋" w:cs="仿宋"/>
                <w:color w:val="auto"/>
                <w:szCs w:val="21"/>
                <w:highlight w:val="none"/>
                <w:lang w:val="en-US" w:eastAsia="zh-CN"/>
              </w:rPr>
              <w:t>5</w:t>
            </w:r>
          </w:p>
        </w:tc>
      </w:tr>
      <w:tr w14:paraId="7E659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846" w:type="dxa"/>
            <w:vMerge w:val="continue"/>
            <w:noWrap w:val="0"/>
            <w:vAlign w:val="center"/>
          </w:tcPr>
          <w:p w14:paraId="4943E008">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noWrap w:val="0"/>
            <w:vAlign w:val="center"/>
          </w:tcPr>
          <w:p w14:paraId="135527DE">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rPr>
              <w:t>仪器设备</w:t>
            </w:r>
          </w:p>
        </w:tc>
        <w:tc>
          <w:tcPr>
            <w:tcW w:w="7526" w:type="dxa"/>
            <w:noWrap w:val="0"/>
            <w:vAlign w:val="top"/>
          </w:tcPr>
          <w:p w14:paraId="47589E01">
            <w:pPr>
              <w:keepNext w:val="0"/>
              <w:keepLines w:val="0"/>
              <w:pageBreakBefore w:val="0"/>
              <w:shd w:val="clear"/>
              <w:kinsoku/>
              <w:wordWrap/>
              <w:overflowPunct/>
              <w:topLinePunct w:val="0"/>
              <w:autoSpaceDE/>
              <w:autoSpaceDN/>
              <w:bidi w:val="0"/>
              <w:spacing w:line="300" w:lineRule="atLeast"/>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投标人提供的仪器设备将依据技术偏离表</w:t>
            </w:r>
            <w:r>
              <w:rPr>
                <w:rFonts w:hint="eastAsia" w:ascii="仿宋" w:hAnsi="仿宋" w:cs="仿宋"/>
                <w:color w:val="auto"/>
                <w:sz w:val="21"/>
                <w:szCs w:val="21"/>
                <w:highlight w:val="none"/>
                <w:lang w:val="en-US" w:eastAsia="zh-CN"/>
              </w:rPr>
              <w:t>非</w:t>
            </w:r>
            <w:r>
              <w:rPr>
                <w:rFonts w:hint="eastAsia" w:ascii="仿宋" w:hAnsi="仿宋" w:eastAsia="仿宋" w:cs="仿宋"/>
                <w:color w:val="auto"/>
                <w:sz w:val="21"/>
                <w:szCs w:val="21"/>
                <w:highlight w:val="none"/>
                <w:lang w:val="en-US" w:eastAsia="zh-CN"/>
              </w:rPr>
              <w:t>★</w:t>
            </w:r>
            <w:r>
              <w:rPr>
                <w:rFonts w:hint="eastAsia" w:ascii="仿宋" w:hAnsi="仿宋" w:cs="仿宋"/>
                <w:color w:val="auto"/>
                <w:sz w:val="21"/>
                <w:szCs w:val="21"/>
                <w:highlight w:val="none"/>
                <w:lang w:val="en-US" w:eastAsia="zh-CN"/>
              </w:rPr>
              <w:t>项</w:t>
            </w:r>
            <w:r>
              <w:rPr>
                <w:rFonts w:hint="default" w:ascii="仿宋" w:hAnsi="仿宋" w:eastAsia="仿宋" w:cs="仿宋"/>
                <w:color w:val="auto"/>
                <w:sz w:val="21"/>
                <w:szCs w:val="21"/>
                <w:highlight w:val="none"/>
                <w:lang w:val="en-US" w:eastAsia="zh-CN"/>
              </w:rPr>
              <w:t>进行评估，对于每一项负偏离，将扣除0.2分，直至扣满10分为止。</w:t>
            </w:r>
          </w:p>
        </w:tc>
        <w:tc>
          <w:tcPr>
            <w:tcW w:w="767" w:type="dxa"/>
            <w:noWrap w:val="0"/>
            <w:vAlign w:val="center"/>
          </w:tcPr>
          <w:p w14:paraId="0B4A4590">
            <w:pPr>
              <w:keepNext w:val="0"/>
              <w:keepLines w:val="0"/>
              <w:pageBreakBefore w:val="0"/>
              <w:shd w:val="clear"/>
              <w:kinsoku/>
              <w:wordWrap/>
              <w:overflowPunct/>
              <w:topLinePunct w:val="0"/>
              <w:autoSpaceDE/>
              <w:autoSpaceDN/>
              <w:bidi w:val="0"/>
              <w:spacing w:line="300" w:lineRule="atLeast"/>
              <w:jc w:val="center"/>
              <w:rPr>
                <w:rFonts w:hint="default" w:ascii="仿宋" w:hAnsi="仿宋" w:eastAsia="仿宋" w:cs="仿宋"/>
                <w:color w:val="auto"/>
                <w:szCs w:val="21"/>
                <w:highlight w:val="none"/>
                <w:lang w:val="en-US" w:eastAsia="zh-CN"/>
              </w:rPr>
            </w:pPr>
            <w:r>
              <w:rPr>
                <w:rFonts w:hint="eastAsia" w:ascii="仿宋" w:hAnsi="仿宋" w:cs="仿宋"/>
                <w:color w:val="auto"/>
                <w:szCs w:val="21"/>
                <w:highlight w:val="none"/>
                <w:lang w:val="en-US" w:eastAsia="zh-CN"/>
              </w:rPr>
              <w:t>10</w:t>
            </w:r>
          </w:p>
        </w:tc>
      </w:tr>
      <w:tr w14:paraId="4C835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846" w:type="dxa"/>
            <w:vMerge w:val="continue"/>
            <w:noWrap w:val="0"/>
            <w:vAlign w:val="center"/>
          </w:tcPr>
          <w:p w14:paraId="4CA79BC5">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noWrap w:val="0"/>
            <w:vAlign w:val="top"/>
          </w:tcPr>
          <w:p w14:paraId="76278313">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rPr>
            </w:pPr>
          </w:p>
          <w:p w14:paraId="14292B8A">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rPr>
            </w:pPr>
          </w:p>
          <w:p w14:paraId="5411B35B">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lang w:val="en-US" w:eastAsia="en-US"/>
              </w:rPr>
            </w:pPr>
            <w:r>
              <w:rPr>
                <w:rFonts w:hint="eastAsia" w:ascii="仿宋" w:hAnsi="仿宋" w:eastAsia="仿宋" w:cs="仿宋"/>
                <w:sz w:val="21"/>
                <w:szCs w:val="21"/>
                <w:highlight w:val="none"/>
              </w:rPr>
              <w:t>物流服务</w:t>
            </w:r>
          </w:p>
        </w:tc>
        <w:tc>
          <w:tcPr>
            <w:tcW w:w="7526" w:type="dxa"/>
            <w:noWrap w:val="0"/>
            <w:vAlign w:val="top"/>
          </w:tcPr>
          <w:p w14:paraId="78F483B5">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根据投标人提供的检验样本外送服务方案（包括但不限于样本收集、运送方式、是否采用冷链物流、运输线路、发送报告单方式、时效性等）的科学性、严密性、合理性、可靠性、时效性进行评审：</w:t>
            </w:r>
          </w:p>
          <w:p w14:paraId="62D5CB0F">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描述详细、完善、科学、合理、可行得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rPr>
              <w:t>分；</w:t>
            </w:r>
          </w:p>
          <w:p w14:paraId="654ACECD">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描述完整、合理、条理清晰,得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rPr>
              <w:t>分；</w:t>
            </w:r>
          </w:p>
          <w:p w14:paraId="00C9006E">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rPr>
            </w:pPr>
            <w:r>
              <w:rPr>
                <w:rFonts w:hint="eastAsia" w:ascii="仿宋" w:hAnsi="仿宋" w:eastAsia="仿宋" w:cs="仿宋"/>
                <w:sz w:val="21"/>
                <w:szCs w:val="21"/>
                <w:highlight w:val="none"/>
              </w:rPr>
              <w:t>描述简略、合理，得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rPr>
              <w:t>分；</w:t>
            </w:r>
          </w:p>
          <w:p w14:paraId="05BB3AD8">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不提供不得分。</w:t>
            </w:r>
          </w:p>
        </w:tc>
        <w:tc>
          <w:tcPr>
            <w:tcW w:w="767" w:type="dxa"/>
            <w:noWrap w:val="0"/>
            <w:vAlign w:val="center"/>
          </w:tcPr>
          <w:p w14:paraId="1A264656">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5</w:t>
            </w:r>
          </w:p>
        </w:tc>
      </w:tr>
      <w:tr w14:paraId="6D73A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846" w:type="dxa"/>
            <w:vMerge w:val="continue"/>
            <w:noWrap w:val="0"/>
            <w:vAlign w:val="center"/>
          </w:tcPr>
          <w:p w14:paraId="0C7315CB">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noWrap w:val="0"/>
            <w:vAlign w:val="center"/>
          </w:tcPr>
          <w:p w14:paraId="17517924">
            <w:pPr>
              <w:pStyle w:val="24"/>
              <w:keepNext w:val="0"/>
              <w:keepLines w:val="0"/>
              <w:pageBreakBefore w:val="0"/>
              <w:shd w:val="clear"/>
              <w:kinsoku/>
              <w:wordWrap/>
              <w:overflowPunct/>
              <w:topLinePunct w:val="0"/>
              <w:autoSpaceDE/>
              <w:autoSpaceDN/>
              <w:bidi w:val="0"/>
              <w:spacing w:line="300" w:lineRule="atLeast"/>
              <w:ind w:left="113" w:leftChars="0"/>
              <w:jc w:val="center"/>
              <w:rPr>
                <w:rFonts w:hint="eastAsia" w:ascii="仿宋" w:hAnsi="仿宋" w:eastAsia="仿宋" w:cs="仿宋"/>
                <w:color w:val="auto"/>
                <w:kern w:val="2"/>
                <w:sz w:val="21"/>
                <w:szCs w:val="21"/>
                <w:highlight w:val="none"/>
                <w:lang w:val="en-US" w:eastAsia="en-US" w:bidi="ar-SA"/>
              </w:rPr>
            </w:pPr>
            <w:r>
              <w:rPr>
                <w:rFonts w:hint="eastAsia" w:ascii="仿宋" w:hAnsi="仿宋" w:eastAsia="仿宋" w:cs="仿宋"/>
                <w:color w:val="auto"/>
                <w:spacing w:val="-2"/>
                <w:sz w:val="21"/>
                <w:szCs w:val="21"/>
                <w:highlight w:val="none"/>
                <w:lang w:val="en-US" w:eastAsia="zh-CN"/>
              </w:rPr>
              <w:t>信</w:t>
            </w:r>
            <w:r>
              <w:rPr>
                <w:rFonts w:hint="eastAsia" w:ascii="仿宋" w:hAnsi="仿宋" w:eastAsia="仿宋" w:cs="仿宋"/>
                <w:color w:val="auto"/>
                <w:spacing w:val="-2"/>
                <w:sz w:val="21"/>
                <w:szCs w:val="21"/>
                <w:highlight w:val="none"/>
              </w:rPr>
              <w:t>息化服务</w:t>
            </w:r>
          </w:p>
        </w:tc>
        <w:tc>
          <w:tcPr>
            <w:tcW w:w="7526" w:type="dxa"/>
            <w:noWrap w:val="0"/>
            <w:vAlign w:val="top"/>
          </w:tcPr>
          <w:p w14:paraId="01984BE1">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w:t>
            </w:r>
            <w:r>
              <w:rPr>
                <w:rFonts w:hint="eastAsia" w:ascii="仿宋" w:hAnsi="仿宋" w:cs="仿宋"/>
                <w:color w:val="auto"/>
                <w:sz w:val="21"/>
                <w:szCs w:val="21"/>
                <w:highlight w:val="none"/>
                <w:lang w:val="en-US" w:eastAsia="zh-CN"/>
              </w:rPr>
              <w:t>人</w:t>
            </w:r>
            <w:r>
              <w:rPr>
                <w:rFonts w:hint="eastAsia" w:ascii="仿宋" w:hAnsi="仿宋" w:eastAsia="仿宋" w:cs="仿宋"/>
                <w:color w:val="auto"/>
                <w:sz w:val="21"/>
                <w:szCs w:val="21"/>
                <w:highlight w:val="none"/>
                <w:lang w:val="en-US" w:eastAsia="zh-CN"/>
              </w:rPr>
              <w:t>提供区域信息化检验平台，能够使区域检验中心、乡镇医院、中心实验室三方对接。社区医院可以通过区域平台提交申请单、下载报告、查看报告。</w:t>
            </w:r>
          </w:p>
          <w:p w14:paraId="4ACBA45B">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区域检验中心可以通过区域平台提交申请单、下载报告、查看报告，查看标本全流程可视化，区域数据分析、区域内医院参考收入、多层多角色区域化管理、区域质控中心、危急值分析等。</w:t>
            </w:r>
          </w:p>
          <w:p w14:paraId="20094F81">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提供详细、完善、科学、合理、可行的检验信息化平台方案得</w:t>
            </w:r>
            <w:r>
              <w:rPr>
                <w:rFonts w:hint="eastAsia" w:ascii="仿宋" w:hAnsi="仿宋" w:cs="仿宋"/>
                <w:color w:val="auto"/>
                <w:sz w:val="21"/>
                <w:szCs w:val="21"/>
                <w:highlight w:val="none"/>
                <w:lang w:val="en-US" w:eastAsia="zh-CN"/>
              </w:rPr>
              <w:t>7</w:t>
            </w:r>
            <w:r>
              <w:rPr>
                <w:rFonts w:hint="eastAsia" w:ascii="仿宋" w:hAnsi="仿宋" w:eastAsia="仿宋" w:cs="仿宋"/>
                <w:color w:val="auto"/>
                <w:sz w:val="21"/>
                <w:szCs w:val="21"/>
                <w:highlight w:val="none"/>
                <w:lang w:val="en-US" w:eastAsia="zh-CN"/>
              </w:rPr>
              <w:t>分</w:t>
            </w:r>
          </w:p>
          <w:p w14:paraId="15640486">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 w:val="21"/>
                <w:szCs w:val="21"/>
                <w:highlight w:val="none"/>
              </w:rPr>
            </w:pPr>
            <w:r>
              <w:rPr>
                <w:rFonts w:hint="eastAsia" w:ascii="仿宋" w:hAnsi="仿宋" w:cs="仿宋"/>
                <w:color w:val="auto"/>
                <w:sz w:val="21"/>
                <w:szCs w:val="21"/>
                <w:highlight w:val="none"/>
                <w:lang w:val="en-US" w:eastAsia="zh-CN"/>
              </w:rPr>
              <w:t>提供</w:t>
            </w:r>
            <w:r>
              <w:rPr>
                <w:rFonts w:hint="eastAsia" w:ascii="仿宋" w:hAnsi="仿宋" w:eastAsia="仿宋" w:cs="仿宋"/>
                <w:color w:val="auto"/>
                <w:sz w:val="21"/>
                <w:szCs w:val="21"/>
                <w:highlight w:val="none"/>
              </w:rPr>
              <w:t>完整、合理、条理清晰</w:t>
            </w:r>
            <w:r>
              <w:rPr>
                <w:rFonts w:hint="eastAsia" w:ascii="仿宋" w:hAnsi="仿宋" w:cs="仿宋"/>
                <w:color w:val="auto"/>
                <w:sz w:val="21"/>
                <w:szCs w:val="21"/>
                <w:highlight w:val="none"/>
                <w:lang w:val="en-US" w:eastAsia="zh-CN"/>
              </w:rPr>
              <w:t>的检验信息化平台方案</w:t>
            </w:r>
            <w:r>
              <w:rPr>
                <w:rFonts w:hint="eastAsia" w:ascii="仿宋" w:hAnsi="仿宋" w:eastAsia="仿宋" w:cs="仿宋"/>
                <w:color w:val="auto"/>
                <w:sz w:val="21"/>
                <w:szCs w:val="21"/>
                <w:highlight w:val="none"/>
              </w:rPr>
              <w:t>得</w:t>
            </w:r>
            <w:r>
              <w:rPr>
                <w:rFonts w:hint="eastAsia" w:ascii="仿宋" w:hAnsi="仿宋" w:cs="仿宋"/>
                <w:color w:val="auto"/>
                <w:sz w:val="21"/>
                <w:szCs w:val="21"/>
                <w:highlight w:val="none"/>
                <w:lang w:val="en-US" w:eastAsia="zh-CN"/>
              </w:rPr>
              <w:t>4</w:t>
            </w:r>
            <w:r>
              <w:rPr>
                <w:rFonts w:hint="eastAsia" w:ascii="仿宋" w:hAnsi="仿宋" w:eastAsia="仿宋" w:cs="仿宋"/>
                <w:color w:val="auto"/>
                <w:sz w:val="21"/>
                <w:szCs w:val="21"/>
                <w:highlight w:val="none"/>
              </w:rPr>
              <w:t>分</w:t>
            </w:r>
          </w:p>
          <w:p w14:paraId="0825A715">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描述简略、合理</w:t>
            </w:r>
            <w:r>
              <w:rPr>
                <w:rFonts w:hint="eastAsia" w:ascii="仿宋" w:hAnsi="仿宋" w:cs="仿宋"/>
                <w:color w:val="auto"/>
                <w:sz w:val="21"/>
                <w:szCs w:val="21"/>
                <w:highlight w:val="none"/>
                <w:lang w:val="en-US" w:eastAsia="zh-CN"/>
              </w:rPr>
              <w:t>的检验信息化平台方案</w:t>
            </w:r>
            <w:r>
              <w:rPr>
                <w:rFonts w:hint="eastAsia" w:ascii="仿宋" w:hAnsi="仿宋" w:eastAsia="仿宋" w:cs="仿宋"/>
                <w:color w:val="auto"/>
                <w:sz w:val="21"/>
                <w:szCs w:val="21"/>
                <w:highlight w:val="none"/>
              </w:rPr>
              <w:t>得</w:t>
            </w:r>
            <w:r>
              <w:rPr>
                <w:rFonts w:hint="eastAsia" w:ascii="仿宋" w:hAnsi="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tc>
        <w:tc>
          <w:tcPr>
            <w:tcW w:w="767" w:type="dxa"/>
            <w:noWrap w:val="0"/>
            <w:vAlign w:val="center"/>
          </w:tcPr>
          <w:p w14:paraId="39FA7488">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7</w:t>
            </w:r>
          </w:p>
        </w:tc>
      </w:tr>
      <w:tr w14:paraId="6153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vMerge w:val="continue"/>
            <w:noWrap w:val="0"/>
            <w:vAlign w:val="center"/>
          </w:tcPr>
          <w:p w14:paraId="66E2B202">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vMerge w:val="restart"/>
            <w:noWrap w:val="0"/>
            <w:vAlign w:val="center"/>
          </w:tcPr>
          <w:p w14:paraId="0BCEF374">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lang w:val="en-US" w:eastAsia="en-US"/>
              </w:rPr>
            </w:pPr>
            <w:r>
              <w:rPr>
                <w:rFonts w:hint="eastAsia" w:ascii="仿宋" w:hAnsi="仿宋" w:eastAsia="仿宋" w:cs="仿宋"/>
                <w:sz w:val="21"/>
                <w:szCs w:val="21"/>
                <w:highlight w:val="none"/>
                <w:lang w:val="en-US" w:eastAsia="zh-CN"/>
              </w:rPr>
              <w:t>售后服务方案</w:t>
            </w:r>
          </w:p>
        </w:tc>
        <w:tc>
          <w:tcPr>
            <w:tcW w:w="7526" w:type="dxa"/>
            <w:noWrap w:val="0"/>
            <w:vAlign w:val="top"/>
          </w:tcPr>
          <w:p w14:paraId="27DDA55C">
            <w:pPr>
              <w:keepNext w:val="0"/>
              <w:keepLines w:val="0"/>
              <w:pageBreakBefore w:val="0"/>
              <w:numPr>
                <w:ilvl w:val="0"/>
                <w:numId w:val="12"/>
              </w:numPr>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根椐投标人提供的售后服务方案（包括但不限于服务内容及承诺、服务响应时间等）的合理性、可靠性进行评审：</w:t>
            </w:r>
          </w:p>
          <w:p w14:paraId="110BDFAE">
            <w:pPr>
              <w:keepNext w:val="0"/>
              <w:keepLines w:val="0"/>
              <w:pageBreakBefore w:val="0"/>
              <w:numPr>
                <w:ilvl w:val="0"/>
                <w:numId w:val="0"/>
              </w:numPr>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描述详细、完善、科学、合理、可行得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lang w:val="en-US" w:eastAsia="zh-CN"/>
              </w:rPr>
              <w:t>分；</w:t>
            </w:r>
          </w:p>
          <w:p w14:paraId="31197C29">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w:t>
            </w:r>
          </w:p>
          <w:p w14:paraId="3DC6301B">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lang w:val="en-US" w:eastAsia="zh-CN"/>
              </w:rPr>
              <w:t>分；</w:t>
            </w:r>
          </w:p>
          <w:p w14:paraId="5DB242D8">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不提供不得分。</w:t>
            </w:r>
          </w:p>
        </w:tc>
        <w:tc>
          <w:tcPr>
            <w:tcW w:w="767" w:type="dxa"/>
            <w:vMerge w:val="restart"/>
            <w:noWrap w:val="0"/>
            <w:vAlign w:val="center"/>
          </w:tcPr>
          <w:p w14:paraId="2B064C9E">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10</w:t>
            </w:r>
          </w:p>
        </w:tc>
      </w:tr>
      <w:tr w14:paraId="46BD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46" w:type="dxa"/>
            <w:vMerge w:val="continue"/>
            <w:noWrap w:val="0"/>
            <w:vAlign w:val="center"/>
          </w:tcPr>
          <w:p w14:paraId="1B3AEBBB">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vMerge w:val="continue"/>
            <w:noWrap w:val="0"/>
            <w:vAlign w:val="center"/>
          </w:tcPr>
          <w:p w14:paraId="20EDBA25">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lang w:val="en-US" w:eastAsia="zh-CN"/>
              </w:rPr>
            </w:pPr>
          </w:p>
        </w:tc>
        <w:tc>
          <w:tcPr>
            <w:tcW w:w="7526" w:type="dxa"/>
            <w:noWrap w:val="0"/>
            <w:vAlign w:val="top"/>
          </w:tcPr>
          <w:p w14:paraId="476C8C5B">
            <w:pPr>
              <w:keepNext w:val="0"/>
              <w:keepLines w:val="0"/>
              <w:pageBreakBefore w:val="0"/>
              <w:numPr>
                <w:ilvl w:val="0"/>
                <w:numId w:val="12"/>
              </w:numPr>
              <w:shd w:val="clear"/>
              <w:kinsoku/>
              <w:wordWrap/>
              <w:overflowPunct/>
              <w:topLinePunct w:val="0"/>
              <w:autoSpaceDE/>
              <w:autoSpaceDN/>
              <w:bidi w:val="0"/>
              <w:spacing w:line="300" w:lineRule="atLeast"/>
              <w:ind w:left="0" w:leftChars="0" w:firstLine="0" w:firstLine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针对现有仪器设备出现故障提供的处理方案（包括但不限于故障维修、响应及维修时间、备用设备的方案等）的合理性、可靠性进行评审：</w:t>
            </w:r>
          </w:p>
          <w:p w14:paraId="45A3CF08">
            <w:pPr>
              <w:keepNext w:val="0"/>
              <w:keepLines w:val="0"/>
              <w:pageBreakBefore w:val="0"/>
              <w:numPr>
                <w:ilvl w:val="0"/>
                <w:numId w:val="0"/>
              </w:numPr>
              <w:shd w:val="clear"/>
              <w:kinsoku/>
              <w:wordWrap/>
              <w:overflowPunct/>
              <w:topLinePunct w:val="0"/>
              <w:autoSpaceDE/>
              <w:autoSpaceDN/>
              <w:bidi w:val="0"/>
              <w:spacing w:line="300" w:lineRule="atLeast"/>
              <w:ind w:left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描述详细、完善、科学、合理、可行得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lang w:val="en-US" w:eastAsia="zh-CN"/>
              </w:rPr>
              <w:t>分；</w:t>
            </w:r>
          </w:p>
          <w:p w14:paraId="435B17DA">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w:t>
            </w:r>
          </w:p>
          <w:p w14:paraId="1840D1BC">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lang w:val="en-US" w:eastAsia="zh-CN"/>
              </w:rPr>
              <w:t>分；</w:t>
            </w:r>
          </w:p>
          <w:p w14:paraId="014F9E7A">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不提供不得分。</w:t>
            </w:r>
          </w:p>
        </w:tc>
        <w:tc>
          <w:tcPr>
            <w:tcW w:w="767" w:type="dxa"/>
            <w:vMerge w:val="continue"/>
            <w:noWrap w:val="0"/>
            <w:vAlign w:val="center"/>
          </w:tcPr>
          <w:p w14:paraId="402A8D66">
            <w:pPr>
              <w:keepNext w:val="0"/>
              <w:keepLines w:val="0"/>
              <w:pageBreakBefore w:val="0"/>
              <w:shd w:val="clear"/>
              <w:kinsoku/>
              <w:wordWrap/>
              <w:overflowPunct/>
              <w:topLinePunct w:val="0"/>
              <w:autoSpaceDE/>
              <w:autoSpaceDN/>
              <w:bidi w:val="0"/>
              <w:spacing w:line="300" w:lineRule="atLeast"/>
              <w:jc w:val="center"/>
              <w:rPr>
                <w:rFonts w:hint="eastAsia" w:ascii="仿宋" w:hAnsi="仿宋" w:cs="仿宋"/>
                <w:color w:val="auto"/>
                <w:szCs w:val="21"/>
                <w:highlight w:val="none"/>
                <w:lang w:val="en-US" w:eastAsia="zh-CN"/>
              </w:rPr>
            </w:pPr>
          </w:p>
        </w:tc>
      </w:tr>
      <w:tr w14:paraId="6356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46" w:type="dxa"/>
            <w:vMerge w:val="continue"/>
            <w:noWrap w:val="0"/>
            <w:vAlign w:val="center"/>
          </w:tcPr>
          <w:p w14:paraId="5A077D2E">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noWrap w:val="0"/>
            <w:vAlign w:val="center"/>
          </w:tcPr>
          <w:p w14:paraId="42D34C1A">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lang w:val="en-US" w:eastAsia="en-US"/>
              </w:rPr>
            </w:pPr>
            <w:r>
              <w:rPr>
                <w:rFonts w:hint="eastAsia" w:ascii="仿宋" w:hAnsi="仿宋" w:eastAsia="仿宋" w:cs="仿宋"/>
                <w:sz w:val="21"/>
                <w:szCs w:val="21"/>
                <w:highlight w:val="none"/>
                <w:lang w:val="en-US" w:eastAsia="zh-CN"/>
              </w:rPr>
              <w:t>应急服务</w:t>
            </w:r>
          </w:p>
        </w:tc>
        <w:tc>
          <w:tcPr>
            <w:tcW w:w="7526" w:type="dxa"/>
            <w:noWrap w:val="0"/>
            <w:vAlign w:val="top"/>
          </w:tcPr>
          <w:p w14:paraId="7B02354A">
            <w:pPr>
              <w:keepNext w:val="0"/>
              <w:keepLines w:val="0"/>
              <w:pageBreakBefore w:val="0"/>
              <w:numPr>
                <w:ilvl w:val="0"/>
                <w:numId w:val="0"/>
              </w:numPr>
              <w:shd w:val="clear"/>
              <w:kinsoku/>
              <w:wordWrap/>
              <w:overflowPunct/>
              <w:topLinePunct w:val="0"/>
              <w:autoSpaceDE/>
              <w:autoSpaceDN/>
              <w:bidi w:val="0"/>
              <w:spacing w:line="300" w:lineRule="atLeast"/>
              <w:ind w:left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根椐投标人提供的应急处置方案（包括但不限于物流应急能力、检验报告出具应急预案、信息传输故障应急预案等）的科学性、合理性、可靠性进行评审：</w:t>
            </w:r>
          </w:p>
          <w:p w14:paraId="7F3B8CBF">
            <w:pPr>
              <w:keepNext w:val="0"/>
              <w:keepLines w:val="0"/>
              <w:pageBreakBefore w:val="0"/>
              <w:numPr>
                <w:ilvl w:val="0"/>
                <w:numId w:val="0"/>
              </w:numPr>
              <w:shd w:val="clear"/>
              <w:kinsoku/>
              <w:wordWrap/>
              <w:overflowPunct/>
              <w:topLinePunct w:val="0"/>
              <w:autoSpaceDE/>
              <w:autoSpaceDN/>
              <w:bidi w:val="0"/>
              <w:spacing w:line="300" w:lineRule="atLeast"/>
              <w:ind w:leftChars="0"/>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描述详细、完善、科学、合理、可行得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lang w:val="en-US" w:eastAsia="zh-CN"/>
              </w:rPr>
              <w:t>分；</w:t>
            </w:r>
          </w:p>
          <w:p w14:paraId="0737D9F3">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w:t>
            </w:r>
          </w:p>
          <w:p w14:paraId="3AEA8DD4">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lang w:val="en-US" w:eastAsia="zh-CN"/>
              </w:rPr>
              <w:t>分；</w:t>
            </w:r>
          </w:p>
          <w:p w14:paraId="23E02316">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不提供不得分。</w:t>
            </w:r>
          </w:p>
        </w:tc>
        <w:tc>
          <w:tcPr>
            <w:tcW w:w="767" w:type="dxa"/>
            <w:noWrap w:val="0"/>
            <w:vAlign w:val="center"/>
          </w:tcPr>
          <w:p w14:paraId="5BB8C3E9">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5</w:t>
            </w:r>
          </w:p>
        </w:tc>
      </w:tr>
      <w:tr w14:paraId="5712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46" w:type="dxa"/>
            <w:vMerge w:val="continue"/>
            <w:noWrap w:val="0"/>
            <w:vAlign w:val="center"/>
          </w:tcPr>
          <w:p w14:paraId="358EACB5">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noWrap w:val="0"/>
            <w:vAlign w:val="center"/>
          </w:tcPr>
          <w:p w14:paraId="63ADD064">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lang w:val="en-US" w:eastAsia="en-US"/>
              </w:rPr>
            </w:pPr>
            <w:r>
              <w:rPr>
                <w:rFonts w:hint="eastAsia" w:ascii="仿宋" w:hAnsi="仿宋" w:eastAsia="仿宋" w:cs="仿宋"/>
                <w:sz w:val="21"/>
                <w:szCs w:val="21"/>
                <w:highlight w:val="none"/>
                <w:lang w:val="en-US" w:eastAsia="zh-CN"/>
              </w:rPr>
              <w:t>人员培训</w:t>
            </w:r>
          </w:p>
        </w:tc>
        <w:tc>
          <w:tcPr>
            <w:tcW w:w="7526" w:type="dxa"/>
            <w:noWrap w:val="0"/>
            <w:vAlign w:val="top"/>
          </w:tcPr>
          <w:p w14:paraId="1D5F78FF">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对检验人员培训的详细方案（包括但不限于培训频次、时长、地点、方式、人员安排等）的科学性、合理性、可靠性进行评审：</w:t>
            </w:r>
          </w:p>
          <w:p w14:paraId="1FCC43E6">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描述详细、完善、科学、合理、可行得</w:t>
            </w:r>
            <w:r>
              <w:rPr>
                <w:rFonts w:hint="eastAsia" w:ascii="仿宋" w:hAnsi="仿宋" w:cs="仿宋"/>
                <w:sz w:val="21"/>
                <w:szCs w:val="21"/>
                <w:highlight w:val="none"/>
                <w:lang w:val="en-US" w:eastAsia="zh-CN"/>
              </w:rPr>
              <w:t>5</w:t>
            </w:r>
            <w:r>
              <w:rPr>
                <w:rFonts w:hint="eastAsia" w:ascii="仿宋" w:hAnsi="仿宋" w:eastAsia="仿宋" w:cs="仿宋"/>
                <w:sz w:val="21"/>
                <w:szCs w:val="21"/>
                <w:highlight w:val="none"/>
                <w:lang w:val="en-US" w:eastAsia="zh-CN"/>
              </w:rPr>
              <w:t>分；</w:t>
            </w:r>
          </w:p>
          <w:p w14:paraId="73B94E92">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w:t>
            </w:r>
          </w:p>
          <w:p w14:paraId="2699F6EF">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描述简略、合理，得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lang w:val="en-US" w:eastAsia="zh-CN"/>
              </w:rPr>
              <w:t>分；</w:t>
            </w:r>
          </w:p>
          <w:p w14:paraId="6E78D3AE">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不提供不得分。</w:t>
            </w:r>
          </w:p>
        </w:tc>
        <w:tc>
          <w:tcPr>
            <w:tcW w:w="767" w:type="dxa"/>
            <w:noWrap w:val="0"/>
            <w:vAlign w:val="center"/>
          </w:tcPr>
          <w:p w14:paraId="150870CB">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5</w:t>
            </w:r>
          </w:p>
        </w:tc>
      </w:tr>
      <w:tr w14:paraId="4B96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46" w:type="dxa"/>
            <w:vMerge w:val="continue"/>
            <w:noWrap w:val="0"/>
            <w:vAlign w:val="center"/>
          </w:tcPr>
          <w:p w14:paraId="299BCCB3">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yellow"/>
              </w:rPr>
            </w:pPr>
          </w:p>
        </w:tc>
        <w:tc>
          <w:tcPr>
            <w:tcW w:w="1177" w:type="dxa"/>
            <w:noWrap w:val="0"/>
            <w:vAlign w:val="center"/>
          </w:tcPr>
          <w:p w14:paraId="3B29790F">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sz w:val="21"/>
                <w:szCs w:val="21"/>
                <w:highlight w:val="none"/>
                <w:lang w:val="en-US" w:eastAsia="en-US"/>
              </w:rPr>
            </w:pPr>
            <w:r>
              <w:rPr>
                <w:rFonts w:hint="eastAsia" w:ascii="仿宋" w:hAnsi="仿宋" w:eastAsia="仿宋" w:cs="仿宋"/>
                <w:sz w:val="21"/>
                <w:szCs w:val="21"/>
                <w:highlight w:val="none"/>
                <w:lang w:val="en-US" w:eastAsia="zh-CN"/>
              </w:rPr>
              <w:t>增值服务</w:t>
            </w:r>
          </w:p>
        </w:tc>
        <w:tc>
          <w:tcPr>
            <w:tcW w:w="7526" w:type="dxa"/>
            <w:noWrap w:val="0"/>
            <w:vAlign w:val="top"/>
          </w:tcPr>
          <w:p w14:paraId="1C1AABC5">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能提供的有利于医院条款、检验科长足发展的增值服务：</w:t>
            </w:r>
          </w:p>
          <w:p w14:paraId="7909B2F2">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内容详细、完善、科学、合理、可行得</w:t>
            </w:r>
            <w:r>
              <w:rPr>
                <w:rFonts w:hint="eastAsia" w:ascii="仿宋" w:hAnsi="仿宋" w:cs="仿宋"/>
                <w:sz w:val="21"/>
                <w:szCs w:val="21"/>
                <w:highlight w:val="none"/>
                <w:lang w:val="en-US" w:eastAsia="zh-CN"/>
              </w:rPr>
              <w:t>4</w:t>
            </w:r>
            <w:r>
              <w:rPr>
                <w:rFonts w:hint="eastAsia" w:ascii="仿宋" w:hAnsi="仿宋" w:eastAsia="仿宋" w:cs="仿宋"/>
                <w:sz w:val="21"/>
                <w:szCs w:val="21"/>
                <w:highlight w:val="none"/>
                <w:lang w:val="en-US" w:eastAsia="zh-CN"/>
              </w:rPr>
              <w:t>分；</w:t>
            </w:r>
          </w:p>
          <w:p w14:paraId="7CA7AF65">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内容完整、合理、条理清晰,得</w:t>
            </w:r>
            <w:r>
              <w:rPr>
                <w:rFonts w:hint="eastAsia" w:ascii="仿宋" w:hAnsi="仿宋" w:cs="仿宋"/>
                <w:sz w:val="21"/>
                <w:szCs w:val="21"/>
                <w:highlight w:val="none"/>
                <w:lang w:val="en-US" w:eastAsia="zh-CN"/>
              </w:rPr>
              <w:t>3</w:t>
            </w:r>
            <w:r>
              <w:rPr>
                <w:rFonts w:hint="eastAsia" w:ascii="仿宋" w:hAnsi="仿宋" w:eastAsia="仿宋" w:cs="仿宋"/>
                <w:sz w:val="21"/>
                <w:szCs w:val="21"/>
                <w:highlight w:val="none"/>
                <w:lang w:val="en-US" w:eastAsia="zh-CN"/>
              </w:rPr>
              <w:t>分；</w:t>
            </w:r>
          </w:p>
          <w:p w14:paraId="1D0C42DE">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内容简略、合理，得</w:t>
            </w:r>
            <w:r>
              <w:rPr>
                <w:rFonts w:hint="eastAsia" w:ascii="仿宋" w:hAnsi="仿宋" w:cs="仿宋"/>
                <w:sz w:val="21"/>
                <w:szCs w:val="21"/>
                <w:highlight w:val="none"/>
                <w:lang w:val="en-US" w:eastAsia="zh-CN"/>
              </w:rPr>
              <w:t>1</w:t>
            </w:r>
            <w:r>
              <w:rPr>
                <w:rFonts w:hint="eastAsia" w:ascii="仿宋" w:hAnsi="仿宋" w:eastAsia="仿宋" w:cs="仿宋"/>
                <w:sz w:val="21"/>
                <w:szCs w:val="21"/>
                <w:highlight w:val="none"/>
                <w:lang w:val="en-US" w:eastAsia="zh-CN"/>
              </w:rPr>
              <w:t>分；</w:t>
            </w:r>
          </w:p>
          <w:p w14:paraId="5CE0404E">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不提供不得分。</w:t>
            </w:r>
          </w:p>
        </w:tc>
        <w:tc>
          <w:tcPr>
            <w:tcW w:w="767" w:type="dxa"/>
            <w:noWrap w:val="0"/>
            <w:vAlign w:val="center"/>
          </w:tcPr>
          <w:p w14:paraId="23470349">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4</w:t>
            </w:r>
          </w:p>
        </w:tc>
      </w:tr>
      <w:tr w14:paraId="03AF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46" w:type="dxa"/>
            <w:vMerge w:val="restart"/>
            <w:noWrap w:val="0"/>
            <w:vAlign w:val="center"/>
          </w:tcPr>
          <w:p w14:paraId="7AF93AE2">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商务部分</w:t>
            </w:r>
            <w:r>
              <w:rPr>
                <w:rFonts w:hint="eastAsia" w:ascii="仿宋" w:hAnsi="仿宋" w:eastAsia="仿宋" w:cs="仿宋"/>
                <w:kern w:val="2"/>
                <w:sz w:val="21"/>
                <w:szCs w:val="21"/>
                <w:highlight w:val="none"/>
              </w:rPr>
              <w:t>（</w:t>
            </w:r>
            <w:r>
              <w:rPr>
                <w:rFonts w:hint="eastAsia" w:ascii="仿宋" w:hAnsi="仿宋" w:cs="仿宋"/>
                <w:kern w:val="2"/>
                <w:sz w:val="21"/>
                <w:szCs w:val="21"/>
                <w:highlight w:val="none"/>
                <w:lang w:val="en-US" w:eastAsia="zh-CN"/>
              </w:rPr>
              <w:t>13分</w:t>
            </w:r>
            <w:r>
              <w:rPr>
                <w:rFonts w:hint="eastAsia" w:ascii="仿宋" w:hAnsi="仿宋" w:eastAsia="仿宋" w:cs="仿宋"/>
                <w:kern w:val="2"/>
                <w:sz w:val="21"/>
                <w:szCs w:val="21"/>
                <w:highlight w:val="none"/>
              </w:rPr>
              <w:t>）</w:t>
            </w:r>
          </w:p>
        </w:tc>
        <w:tc>
          <w:tcPr>
            <w:tcW w:w="1177" w:type="dxa"/>
            <w:vMerge w:val="restart"/>
            <w:noWrap w:val="0"/>
            <w:vAlign w:val="center"/>
          </w:tcPr>
          <w:p w14:paraId="6941D1CB">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企业综合实力</w:t>
            </w:r>
          </w:p>
        </w:tc>
        <w:tc>
          <w:tcPr>
            <w:tcW w:w="7526" w:type="dxa"/>
            <w:noWrap w:val="0"/>
            <w:vAlign w:val="top"/>
          </w:tcPr>
          <w:p w14:paraId="37244466">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投标人具有有效的质量管理体系认证证书、环境管理体系认证证书、职业健康安全管理体系认证证书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信息安全体系证书</w:t>
            </w:r>
            <w:r>
              <w:rPr>
                <w:rFonts w:hint="eastAsia" w:ascii="仿宋" w:hAnsi="仿宋" w:eastAsia="仿宋" w:cs="仿宋"/>
                <w:color w:val="auto"/>
                <w:sz w:val="21"/>
                <w:szCs w:val="21"/>
                <w:highlight w:val="none"/>
              </w:rPr>
              <w:t>，每有</w:t>
            </w:r>
            <w:r>
              <w:rPr>
                <w:rFonts w:hint="eastAsia" w:ascii="仿宋" w:hAnsi="仿宋" w:cs="仿宋"/>
                <w:color w:val="auto"/>
                <w:sz w:val="21"/>
                <w:szCs w:val="21"/>
                <w:highlight w:val="none"/>
                <w:lang w:val="en-US" w:eastAsia="zh-CN"/>
              </w:rPr>
              <w:t>1</w:t>
            </w:r>
            <w:r>
              <w:rPr>
                <w:rFonts w:hint="eastAsia" w:ascii="仿宋" w:hAnsi="仿宋" w:eastAsia="仿宋" w:cs="仿宋"/>
                <w:color w:val="auto"/>
                <w:sz w:val="21"/>
                <w:szCs w:val="21"/>
                <w:highlight w:val="none"/>
              </w:rPr>
              <w:t>项得</w:t>
            </w:r>
            <w:r>
              <w:rPr>
                <w:rFonts w:hint="eastAsia" w:ascii="仿宋" w:hAnsi="仿宋" w:cs="仿宋"/>
                <w:color w:val="auto"/>
                <w:sz w:val="21"/>
                <w:szCs w:val="21"/>
                <w:highlight w:val="none"/>
                <w:lang w:val="en-US" w:eastAsia="zh-CN"/>
              </w:rPr>
              <w:t>1</w:t>
            </w:r>
            <w:r>
              <w:rPr>
                <w:rFonts w:hint="eastAsia" w:ascii="仿宋" w:hAnsi="仿宋" w:eastAsia="仿宋" w:cs="仿宋"/>
                <w:color w:val="auto"/>
                <w:sz w:val="21"/>
                <w:szCs w:val="21"/>
                <w:highlight w:val="none"/>
              </w:rPr>
              <w:t>分，最高</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w:t>
            </w:r>
          </w:p>
        </w:tc>
        <w:tc>
          <w:tcPr>
            <w:tcW w:w="767" w:type="dxa"/>
            <w:noWrap w:val="0"/>
            <w:vAlign w:val="center"/>
          </w:tcPr>
          <w:p w14:paraId="0FFF72B8">
            <w:pPr>
              <w:keepNext w:val="0"/>
              <w:keepLines w:val="0"/>
              <w:pageBreakBefore w:val="0"/>
              <w:shd w:val="clear"/>
              <w:kinsoku/>
              <w:wordWrap/>
              <w:overflowPunct/>
              <w:topLinePunct w:val="0"/>
              <w:autoSpaceDE/>
              <w:autoSpaceDN/>
              <w:bidi w:val="0"/>
              <w:spacing w:line="300" w:lineRule="atLeast"/>
              <w:jc w:val="center"/>
              <w:rPr>
                <w:rFonts w:hint="default" w:ascii="仿宋" w:hAnsi="仿宋" w:eastAsia="仿宋" w:cs="仿宋"/>
                <w:color w:val="auto"/>
                <w:szCs w:val="21"/>
                <w:highlight w:val="none"/>
                <w:lang w:val="en-US" w:eastAsia="zh-CN"/>
              </w:rPr>
            </w:pPr>
            <w:r>
              <w:rPr>
                <w:rFonts w:hint="eastAsia" w:ascii="仿宋" w:hAnsi="仿宋" w:cs="仿宋"/>
                <w:color w:val="auto"/>
                <w:szCs w:val="21"/>
                <w:highlight w:val="none"/>
                <w:lang w:val="en-US" w:eastAsia="zh-CN"/>
              </w:rPr>
              <w:t>4</w:t>
            </w:r>
          </w:p>
        </w:tc>
      </w:tr>
      <w:tr w14:paraId="52C8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846" w:type="dxa"/>
            <w:vMerge w:val="continue"/>
            <w:noWrap w:val="0"/>
            <w:vAlign w:val="center"/>
          </w:tcPr>
          <w:p w14:paraId="7FD81D63">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p>
        </w:tc>
        <w:tc>
          <w:tcPr>
            <w:tcW w:w="1177" w:type="dxa"/>
            <w:vMerge w:val="continue"/>
            <w:noWrap w:val="0"/>
            <w:vAlign w:val="center"/>
          </w:tcPr>
          <w:p w14:paraId="6344F742">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p>
        </w:tc>
        <w:tc>
          <w:tcPr>
            <w:tcW w:w="7526" w:type="dxa"/>
            <w:noWrap w:val="0"/>
            <w:vAlign w:val="top"/>
          </w:tcPr>
          <w:p w14:paraId="5C0703D6">
            <w:pPr>
              <w:keepNext w:val="0"/>
              <w:keepLines w:val="0"/>
              <w:pageBreakBefore w:val="0"/>
              <w:numPr>
                <w:ilvl w:val="0"/>
                <w:numId w:val="0"/>
              </w:numPr>
              <w:shd w:val="clear"/>
              <w:kinsoku/>
              <w:wordWrap/>
              <w:overflowPunct/>
              <w:topLinePunct w:val="0"/>
              <w:autoSpaceDE/>
              <w:autoSpaceDN/>
              <w:bidi w:val="0"/>
              <w:spacing w:line="300" w:lineRule="atLeast"/>
              <w:rPr>
                <w:rFonts w:hint="eastAsia" w:ascii="仿宋" w:hAnsi="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投标人质量体系认证，已通过ISO15189评审，得1分，未通过不得分</w:t>
            </w:r>
          </w:p>
        </w:tc>
        <w:tc>
          <w:tcPr>
            <w:tcW w:w="767" w:type="dxa"/>
            <w:noWrap w:val="0"/>
            <w:vAlign w:val="center"/>
          </w:tcPr>
          <w:p w14:paraId="1B21EDF6">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1</w:t>
            </w:r>
          </w:p>
        </w:tc>
      </w:tr>
      <w:tr w14:paraId="1D75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46" w:type="dxa"/>
            <w:vMerge w:val="continue"/>
            <w:noWrap w:val="0"/>
            <w:vAlign w:val="center"/>
          </w:tcPr>
          <w:p w14:paraId="3F4129D3">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p>
        </w:tc>
        <w:tc>
          <w:tcPr>
            <w:tcW w:w="1177" w:type="dxa"/>
            <w:vMerge w:val="continue"/>
            <w:noWrap w:val="0"/>
            <w:vAlign w:val="center"/>
          </w:tcPr>
          <w:p w14:paraId="5BADB725">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p>
        </w:tc>
        <w:tc>
          <w:tcPr>
            <w:tcW w:w="7526" w:type="dxa"/>
            <w:noWrap w:val="0"/>
            <w:vAlign w:val="top"/>
          </w:tcPr>
          <w:p w14:paraId="25B7CE34">
            <w:pPr>
              <w:keepNext w:val="0"/>
              <w:keepLines w:val="0"/>
              <w:pageBreakBefore w:val="0"/>
              <w:numPr>
                <w:ilvl w:val="0"/>
                <w:numId w:val="0"/>
              </w:numPr>
              <w:shd w:val="clear"/>
              <w:kinsoku/>
              <w:wordWrap/>
              <w:overflowPunct/>
              <w:topLinePunct w:val="0"/>
              <w:autoSpaceDE/>
              <w:autoSpaceDN/>
              <w:bidi w:val="0"/>
              <w:spacing w:line="300" w:lineRule="atLeast"/>
              <w:rPr>
                <w:rFonts w:hint="eastAsia" w:ascii="仿宋" w:hAnsi="仿宋" w:eastAsia="仿宋" w:cs="仿宋"/>
                <w:color w:val="auto"/>
                <w:sz w:val="21"/>
                <w:szCs w:val="21"/>
                <w:highlight w:val="yellow"/>
                <w:lang w:val="en-US" w:eastAsia="zh-CN"/>
              </w:rPr>
            </w:pPr>
            <w:r>
              <w:rPr>
                <w:rFonts w:hint="eastAsia" w:ascii="仿宋" w:hAnsi="仿宋" w:cs="仿宋"/>
                <w:color w:val="auto"/>
                <w:sz w:val="21"/>
                <w:szCs w:val="21"/>
                <w:highlight w:val="none"/>
                <w:lang w:val="en-US" w:eastAsia="zh-CN"/>
              </w:rPr>
              <w:t>投标人同时具备《医学检验生物样本冷链物流运作规范》国家标准达标证书、《药品冷链物流运作规范》试点证书，得3分。</w:t>
            </w:r>
          </w:p>
        </w:tc>
        <w:tc>
          <w:tcPr>
            <w:tcW w:w="767" w:type="dxa"/>
            <w:noWrap w:val="0"/>
            <w:vAlign w:val="center"/>
          </w:tcPr>
          <w:p w14:paraId="3E31C9CA">
            <w:pPr>
              <w:keepNext w:val="0"/>
              <w:keepLines w:val="0"/>
              <w:pageBreakBefore w:val="0"/>
              <w:shd w:val="clear"/>
              <w:kinsoku/>
              <w:wordWrap/>
              <w:overflowPunct/>
              <w:topLinePunct w:val="0"/>
              <w:autoSpaceDE/>
              <w:autoSpaceDN/>
              <w:bidi w:val="0"/>
              <w:spacing w:line="300" w:lineRule="atLeast"/>
              <w:jc w:val="center"/>
              <w:rPr>
                <w:rFonts w:hint="default" w:ascii="仿宋" w:hAnsi="仿宋" w:cs="仿宋"/>
                <w:color w:val="auto"/>
                <w:szCs w:val="21"/>
                <w:highlight w:val="none"/>
                <w:lang w:val="en-US" w:eastAsia="zh-CN"/>
              </w:rPr>
            </w:pPr>
            <w:r>
              <w:rPr>
                <w:rFonts w:hint="eastAsia" w:ascii="仿宋" w:hAnsi="仿宋" w:cs="仿宋"/>
                <w:color w:val="auto"/>
                <w:szCs w:val="21"/>
                <w:highlight w:val="none"/>
                <w:lang w:val="en-US" w:eastAsia="zh-CN"/>
              </w:rPr>
              <w:t>3</w:t>
            </w:r>
          </w:p>
        </w:tc>
      </w:tr>
      <w:tr w14:paraId="55990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6" w:type="dxa"/>
            <w:vMerge w:val="continue"/>
            <w:noWrap w:val="0"/>
            <w:vAlign w:val="center"/>
          </w:tcPr>
          <w:p w14:paraId="51BC2BE7">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p>
        </w:tc>
        <w:tc>
          <w:tcPr>
            <w:tcW w:w="1177" w:type="dxa"/>
            <w:shd w:val="clear" w:color="auto" w:fill="auto"/>
            <w:noWrap w:val="0"/>
            <w:vAlign w:val="center"/>
          </w:tcPr>
          <w:p w14:paraId="2FD7CA29">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color w:val="auto"/>
                <w:szCs w:val="21"/>
                <w:highlight w:val="none"/>
              </w:rPr>
              <w:t>拟派服务团队</w:t>
            </w:r>
          </w:p>
        </w:tc>
        <w:tc>
          <w:tcPr>
            <w:tcW w:w="7526" w:type="dxa"/>
            <w:shd w:val="clear" w:color="auto" w:fill="auto"/>
            <w:noWrap w:val="0"/>
            <w:vAlign w:val="center"/>
          </w:tcPr>
          <w:p w14:paraId="25B4615A">
            <w:pPr>
              <w:keepNext w:val="0"/>
              <w:keepLines w:val="0"/>
              <w:pageBreakBefore w:val="0"/>
              <w:numPr>
                <w:ilvl w:val="0"/>
                <w:numId w:val="0"/>
              </w:numPr>
              <w:shd w:val="clear"/>
              <w:kinsoku/>
              <w:wordWrap/>
              <w:overflowPunct/>
              <w:topLinePunct w:val="0"/>
              <w:autoSpaceDE/>
              <w:autoSpaceDN/>
              <w:bidi w:val="0"/>
              <w:spacing w:line="300" w:lineRule="atLeast"/>
              <w:rPr>
                <w:rFonts w:hint="eastAsia" w:ascii="仿宋" w:hAnsi="仿宋" w:cs="仿宋"/>
                <w:color w:val="auto"/>
                <w:sz w:val="21"/>
                <w:szCs w:val="21"/>
                <w:highlight w:val="none"/>
                <w:lang w:val="en-US" w:eastAsia="zh-CN"/>
              </w:rPr>
            </w:pPr>
            <w:r>
              <w:rPr>
                <w:rFonts w:hint="eastAsia" w:ascii="仿宋" w:hAnsi="仿宋" w:cs="仿宋"/>
                <w:color w:val="auto"/>
                <w:sz w:val="21"/>
                <w:szCs w:val="21"/>
                <w:highlight w:val="none"/>
                <w:lang w:val="en-US" w:eastAsia="zh-CN"/>
              </w:rPr>
              <w:t>义县县域医共体成员单位内现已有医学检验相关专业本科学历并具有检验主任技师职称的人员，为更好服务义县医共体项目，投标人配备项目负责人应对区域检验中心进行定期指导：①同时具有医学检验相关专业博士学位及临床医学检验主任技师职称证书的得3分；②同时具有医学检验相关专业硕士（或以上）学位及临床医学检验副主任（或以上）技师职称证书的得2分；③同时具有医学检验相关专业学士（或以上）学位及临床医学检验副主任（或以上）技师职称证书的得1分；以上三项同时满足的按最优得分只计算一次。</w:t>
            </w:r>
          </w:p>
          <w:p w14:paraId="11560792">
            <w:pPr>
              <w:keepNext w:val="0"/>
              <w:keepLines w:val="0"/>
              <w:pageBreakBefore w:val="0"/>
              <w:numPr>
                <w:ilvl w:val="0"/>
                <w:numId w:val="0"/>
              </w:numPr>
              <w:shd w:val="clear"/>
              <w:kinsoku/>
              <w:wordWrap/>
              <w:overflowPunct/>
              <w:topLinePunct w:val="0"/>
              <w:autoSpaceDE/>
              <w:autoSpaceDN/>
              <w:bidi w:val="0"/>
              <w:spacing w:line="300" w:lineRule="atLeast"/>
              <w:ind w:left="0" w:leftChars="0" w:firstLine="0" w:firstLineChars="0"/>
              <w:rPr>
                <w:rFonts w:hint="eastAsia" w:ascii="Times New Roman" w:hAnsi="Times New Roman" w:eastAsia="仿宋" w:cs="Times New Roman"/>
                <w:color w:val="auto"/>
                <w:kern w:val="2"/>
                <w:sz w:val="21"/>
                <w:szCs w:val="24"/>
                <w:highlight w:val="none"/>
                <w:lang w:val="en-US" w:eastAsia="zh-CN" w:bidi="ar-SA"/>
              </w:rPr>
            </w:pPr>
            <w:r>
              <w:rPr>
                <w:rFonts w:hint="eastAsia" w:ascii="仿宋" w:hAnsi="仿宋" w:cs="仿宋"/>
                <w:color w:val="auto"/>
                <w:sz w:val="21"/>
                <w:szCs w:val="21"/>
                <w:highlight w:val="none"/>
                <w:lang w:val="en-US" w:eastAsia="zh-CN"/>
              </w:rPr>
              <w:t>说明：</w:t>
            </w:r>
            <w:r>
              <w:rPr>
                <w:rFonts w:hint="eastAsia" w:ascii="宋体" w:hAnsi="宋体" w:eastAsia="宋体" w:cs="宋体"/>
                <w:color w:val="auto"/>
                <w:sz w:val="21"/>
                <w:szCs w:val="21"/>
                <w:highlight w:val="none"/>
                <w:lang w:val="en-US" w:eastAsia="zh-CN"/>
              </w:rPr>
              <w:t>⑴</w:t>
            </w:r>
            <w:r>
              <w:rPr>
                <w:rFonts w:hint="eastAsia" w:ascii="仿宋" w:hAnsi="仿宋" w:cs="仿宋"/>
                <w:color w:val="auto"/>
                <w:sz w:val="21"/>
                <w:szCs w:val="21"/>
                <w:highlight w:val="none"/>
                <w:lang w:val="en-US" w:eastAsia="zh-CN"/>
              </w:rPr>
              <w:t>项目负责人为本单位员工需提供社保缴纳证明，如为退休返聘人员，需提供聘用协议（合同）。</w:t>
            </w:r>
            <w:r>
              <w:rPr>
                <w:rFonts w:hint="eastAsia" w:ascii="宋体" w:hAnsi="宋体" w:eastAsia="宋体" w:cs="宋体"/>
                <w:color w:val="auto"/>
                <w:sz w:val="21"/>
                <w:szCs w:val="21"/>
                <w:highlight w:val="none"/>
                <w:lang w:val="en-US" w:eastAsia="zh-CN"/>
              </w:rPr>
              <w:t>⑵</w:t>
            </w:r>
            <w:r>
              <w:rPr>
                <w:rFonts w:hint="eastAsia" w:ascii="仿宋" w:hAnsi="仿宋" w:cs="仿宋"/>
                <w:color w:val="auto"/>
                <w:sz w:val="21"/>
                <w:szCs w:val="21"/>
                <w:highlight w:val="none"/>
                <w:lang w:val="en-US" w:eastAsia="zh-CN"/>
              </w:rPr>
              <w:t>如供应商不具备以上人员，可与该类型人才双方签订意向合作协议并提供相关人员证书，同时必须承诺中标后能够胜任本项目项目负责人，也可计分，中标后不到岗的做出相应补偿，并在合同中约定。</w:t>
            </w:r>
          </w:p>
        </w:tc>
        <w:tc>
          <w:tcPr>
            <w:tcW w:w="767" w:type="dxa"/>
            <w:shd w:val="clear" w:color="auto" w:fill="auto"/>
            <w:noWrap w:val="0"/>
            <w:vAlign w:val="center"/>
          </w:tcPr>
          <w:p w14:paraId="40C1C44A">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lang w:val="en-US" w:eastAsia="zh-CN"/>
              </w:rPr>
              <w:t>3</w:t>
            </w:r>
          </w:p>
        </w:tc>
      </w:tr>
      <w:tr w14:paraId="5AB1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846" w:type="dxa"/>
            <w:vMerge w:val="continue"/>
            <w:noWrap w:val="0"/>
            <w:vAlign w:val="center"/>
          </w:tcPr>
          <w:p w14:paraId="1C7F119A">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p>
        </w:tc>
        <w:tc>
          <w:tcPr>
            <w:tcW w:w="1177" w:type="dxa"/>
            <w:shd w:val="clear" w:color="auto" w:fill="auto"/>
            <w:noWrap w:val="0"/>
            <w:vAlign w:val="center"/>
          </w:tcPr>
          <w:p w14:paraId="566F3E71">
            <w:pPr>
              <w:keepNext w:val="0"/>
              <w:keepLines w:val="0"/>
              <w:pageBreakBefore w:val="0"/>
              <w:numPr>
                <w:ilvl w:val="0"/>
                <w:numId w:val="0"/>
              </w:numPr>
              <w:shd w:val="clear"/>
              <w:kinsoku/>
              <w:wordWrap/>
              <w:overflowPunct/>
              <w:topLinePunct w:val="0"/>
              <w:autoSpaceDE/>
              <w:autoSpaceDN/>
              <w:bidi w:val="0"/>
              <w:spacing w:line="300" w:lineRule="atLeast"/>
              <w:ind w:left="0" w:leftChars="0" w:firstLine="0" w:firstLineChars="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lang w:val="en-US" w:eastAsia="zh-CN"/>
              </w:rPr>
              <w:t>业绩</w:t>
            </w:r>
          </w:p>
        </w:tc>
        <w:tc>
          <w:tcPr>
            <w:tcW w:w="7526" w:type="dxa"/>
            <w:shd w:val="clear" w:color="auto" w:fill="auto"/>
            <w:noWrap w:val="0"/>
            <w:vAlign w:val="top"/>
          </w:tcPr>
          <w:p w14:paraId="26AA895D">
            <w:pPr>
              <w:keepNext w:val="0"/>
              <w:keepLines w:val="0"/>
              <w:pageBreakBefore w:val="0"/>
              <w:numPr>
                <w:ilvl w:val="0"/>
                <w:numId w:val="0"/>
              </w:numPr>
              <w:shd w:val="clear"/>
              <w:kinsoku/>
              <w:wordWrap/>
              <w:overflowPunct/>
              <w:topLinePunct w:val="0"/>
              <w:autoSpaceDE/>
              <w:autoSpaceDN/>
              <w:bidi w:val="0"/>
              <w:spacing w:line="300" w:lineRule="atLeast"/>
              <w:jc w:val="left"/>
            </w:pPr>
            <w:r>
              <w:rPr>
                <w:rFonts w:hint="eastAsia" w:ascii="仿宋" w:hAnsi="仿宋" w:eastAsia="仿宋" w:cs="仿宋"/>
                <w:sz w:val="21"/>
                <w:szCs w:val="21"/>
                <w:highlight w:val="none"/>
                <w:lang w:val="en-US" w:eastAsia="zh-CN"/>
              </w:rPr>
              <w:t>投标人提供</w:t>
            </w:r>
            <w:r>
              <w:rPr>
                <w:rFonts w:hint="eastAsia" w:ascii="仿宋" w:hAnsi="仿宋" w:cs="仿宋"/>
                <w:sz w:val="21"/>
                <w:szCs w:val="21"/>
                <w:highlight w:val="none"/>
                <w:lang w:val="en-US" w:eastAsia="zh-CN"/>
              </w:rPr>
              <w:t>2021年以后</w:t>
            </w:r>
            <w:r>
              <w:rPr>
                <w:rFonts w:hint="eastAsia" w:ascii="仿宋" w:hAnsi="仿宋" w:eastAsia="仿宋" w:cs="仿宋"/>
                <w:sz w:val="21"/>
                <w:szCs w:val="21"/>
                <w:highlight w:val="none"/>
                <w:lang w:val="en-US" w:eastAsia="zh-CN"/>
              </w:rPr>
              <w:t>类似项目业绩，每提供一份业绩得</w:t>
            </w:r>
            <w:r>
              <w:rPr>
                <w:rFonts w:hint="eastAsia" w:ascii="仿宋" w:hAnsi="仿宋" w:cs="仿宋"/>
                <w:sz w:val="21"/>
                <w:szCs w:val="21"/>
                <w:highlight w:val="none"/>
                <w:lang w:val="en-US" w:eastAsia="zh-CN"/>
              </w:rPr>
              <w:t>2</w:t>
            </w:r>
            <w:r>
              <w:rPr>
                <w:rFonts w:hint="eastAsia" w:ascii="仿宋" w:hAnsi="仿宋" w:eastAsia="仿宋" w:cs="仿宋"/>
                <w:sz w:val="21"/>
                <w:szCs w:val="21"/>
                <w:highlight w:val="none"/>
                <w:lang w:val="en-US" w:eastAsia="zh-CN"/>
              </w:rPr>
              <w:t>分，满分</w:t>
            </w:r>
            <w:r>
              <w:rPr>
                <w:rFonts w:hint="eastAsia" w:ascii="仿宋" w:hAnsi="仿宋" w:cs="仿宋"/>
                <w:sz w:val="21"/>
                <w:szCs w:val="21"/>
                <w:highlight w:val="none"/>
                <w:lang w:val="en-US" w:eastAsia="zh-CN"/>
              </w:rPr>
              <w:t>2</w:t>
            </w:r>
            <w:r>
              <w:rPr>
                <w:rFonts w:hint="eastAsia" w:ascii="仿宋" w:hAnsi="仿宋" w:eastAsia="仿宋" w:cs="仿宋"/>
                <w:sz w:val="21"/>
                <w:szCs w:val="21"/>
                <w:highlight w:val="none"/>
                <w:lang w:val="en-US" w:eastAsia="zh-CN"/>
              </w:rPr>
              <w:t>分。</w:t>
            </w:r>
          </w:p>
          <w:p w14:paraId="10A94138">
            <w:pPr>
              <w:keepNext w:val="0"/>
              <w:keepLines w:val="0"/>
              <w:pageBreakBefore w:val="0"/>
              <w:numPr>
                <w:ilvl w:val="0"/>
                <w:numId w:val="0"/>
              </w:numPr>
              <w:shd w:val="clear"/>
              <w:kinsoku/>
              <w:wordWrap/>
              <w:overflowPunct/>
              <w:topLinePunct w:val="0"/>
              <w:autoSpaceDE/>
              <w:autoSpaceDN/>
              <w:bidi w:val="0"/>
              <w:spacing w:line="300" w:lineRule="atLeast"/>
              <w:ind w:left="0" w:leftChars="0" w:firstLine="0" w:firstLineChars="0"/>
              <w:jc w:val="left"/>
              <w:rPr>
                <w:rFonts w:hint="eastAsia" w:ascii="Times New Roman" w:hAnsi="Times New Roman" w:eastAsia="仿宋" w:cs="Times New Roman"/>
                <w:kern w:val="2"/>
                <w:sz w:val="21"/>
                <w:szCs w:val="24"/>
                <w:lang w:val="en-US" w:eastAsia="zh-CN" w:bidi="ar-SA"/>
              </w:rPr>
            </w:pPr>
            <w:r>
              <w:rPr>
                <w:rFonts w:hint="eastAsia" w:ascii="宋体" w:hAnsi="宋体" w:cs="宋体"/>
                <w:bCs/>
                <w:szCs w:val="21"/>
              </w:rPr>
              <w:t>注：业绩证明材料包括区域检验中心合同（协议）投标文件中提供</w:t>
            </w:r>
            <w:r>
              <w:rPr>
                <w:rFonts w:hint="eastAsia" w:ascii="宋体" w:hAnsi="宋体"/>
                <w:szCs w:val="21"/>
              </w:rPr>
              <w:t>合同（协议）复印件、注明用户联系方式及运行情况的用户证明</w:t>
            </w:r>
            <w:r>
              <w:rPr>
                <w:rFonts w:hint="eastAsia" w:ascii="宋体" w:hAnsi="宋体" w:cs="宋体"/>
                <w:bCs/>
                <w:szCs w:val="21"/>
              </w:rPr>
              <w:t>。</w:t>
            </w:r>
            <w:r>
              <w:rPr>
                <w:rFonts w:hint="eastAsia"/>
                <w:kern w:val="0"/>
                <w:szCs w:val="21"/>
              </w:rPr>
              <w:t>否则不予计分。</w:t>
            </w:r>
          </w:p>
        </w:tc>
        <w:tc>
          <w:tcPr>
            <w:tcW w:w="767" w:type="dxa"/>
            <w:shd w:val="clear" w:color="auto" w:fill="auto"/>
            <w:noWrap w:val="0"/>
            <w:vAlign w:val="center"/>
          </w:tcPr>
          <w:p w14:paraId="41BD1897">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szCs w:val="21"/>
                <w:highlight w:val="none"/>
                <w:lang w:val="en-US" w:eastAsia="zh-CN"/>
              </w:rPr>
              <w:t>2</w:t>
            </w:r>
          </w:p>
        </w:tc>
      </w:tr>
      <w:tr w14:paraId="38A59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46" w:type="dxa"/>
            <w:noWrap w:val="0"/>
            <w:vAlign w:val="center"/>
          </w:tcPr>
          <w:p w14:paraId="4F2EA008">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合计</w:t>
            </w:r>
          </w:p>
        </w:tc>
        <w:tc>
          <w:tcPr>
            <w:tcW w:w="1177" w:type="dxa"/>
            <w:noWrap w:val="0"/>
            <w:vAlign w:val="center"/>
          </w:tcPr>
          <w:p w14:paraId="07DE1B3E">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p>
        </w:tc>
        <w:tc>
          <w:tcPr>
            <w:tcW w:w="7526" w:type="dxa"/>
            <w:noWrap w:val="0"/>
            <w:vAlign w:val="center"/>
          </w:tcPr>
          <w:p w14:paraId="474F49CF">
            <w:pPr>
              <w:keepNext w:val="0"/>
              <w:keepLines w:val="0"/>
              <w:pageBreakBefore w:val="0"/>
              <w:shd w:val="clear"/>
              <w:kinsoku/>
              <w:wordWrap/>
              <w:overflowPunct/>
              <w:topLinePunct w:val="0"/>
              <w:autoSpaceDE/>
              <w:autoSpaceDN/>
              <w:bidi w:val="0"/>
              <w:spacing w:line="300" w:lineRule="atLeast"/>
              <w:rPr>
                <w:rFonts w:hint="eastAsia" w:ascii="仿宋" w:hAnsi="仿宋" w:eastAsia="仿宋" w:cs="仿宋"/>
                <w:color w:val="auto"/>
                <w:szCs w:val="21"/>
                <w:highlight w:val="none"/>
              </w:rPr>
            </w:pPr>
          </w:p>
        </w:tc>
        <w:tc>
          <w:tcPr>
            <w:tcW w:w="767" w:type="dxa"/>
            <w:noWrap w:val="0"/>
            <w:vAlign w:val="center"/>
          </w:tcPr>
          <w:p w14:paraId="377D5DEC">
            <w:pPr>
              <w:keepNext w:val="0"/>
              <w:keepLines w:val="0"/>
              <w:pageBreakBefore w:val="0"/>
              <w:shd w:val="clear"/>
              <w:kinsoku/>
              <w:wordWrap/>
              <w:overflowPunct/>
              <w:topLinePunct w:val="0"/>
              <w:autoSpaceDE/>
              <w:autoSpaceDN/>
              <w:bidi w:val="0"/>
              <w:spacing w:line="300" w:lineRule="atLeas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100</w:t>
            </w:r>
          </w:p>
        </w:tc>
      </w:tr>
    </w:tbl>
    <w:p w14:paraId="33C5B140">
      <w:pPr>
        <w:widowControl/>
        <w:shd w:val="clear" w:color="auto" w:fill="FFFFFF"/>
        <w:spacing w:line="240" w:lineRule="exact"/>
        <w:jc w:val="left"/>
        <w:rPr>
          <w:rFonts w:hint="eastAsia" w:ascii="仿宋" w:hAnsi="仿宋" w:eastAsia="仿宋" w:cs="仿宋"/>
          <w:kern w:val="0"/>
          <w:szCs w:val="21"/>
        </w:rPr>
      </w:pPr>
    </w:p>
    <w:p w14:paraId="70A18BF0">
      <w:pPr>
        <w:spacing w:line="360" w:lineRule="auto"/>
        <w:ind w:firstLine="315" w:firstLineChars="150"/>
        <w:rPr>
          <w:rFonts w:hint="eastAsia" w:ascii="仿宋" w:hAnsi="仿宋" w:eastAsia="仿宋" w:cs="仿宋"/>
          <w:b/>
          <w:szCs w:val="21"/>
        </w:rPr>
      </w:pPr>
      <w:r>
        <w:rPr>
          <w:rFonts w:hint="eastAsia" w:ascii="仿宋" w:hAnsi="仿宋" w:eastAsia="仿宋" w:cs="仿宋"/>
          <w:b/>
          <w:szCs w:val="21"/>
        </w:rPr>
        <w:t>注：1、凡有变更事项，须提供相关行政主管部门出具的证明；</w:t>
      </w:r>
    </w:p>
    <w:p w14:paraId="4AA13F11">
      <w:pPr>
        <w:spacing w:line="360" w:lineRule="auto"/>
        <w:ind w:left="1040" w:leftChars="349" w:hanging="308" w:hangingChars="147"/>
        <w:rPr>
          <w:rFonts w:hint="eastAsia" w:ascii="仿宋" w:hAnsi="仿宋" w:eastAsia="仿宋" w:cs="仿宋"/>
          <w:b/>
          <w:color w:val="FF0000"/>
          <w:szCs w:val="21"/>
        </w:rPr>
      </w:pPr>
      <w:r>
        <w:rPr>
          <w:rFonts w:hint="eastAsia" w:ascii="仿宋" w:hAnsi="仿宋" w:eastAsia="仿宋" w:cs="仿宋"/>
          <w:b/>
          <w:szCs w:val="21"/>
        </w:rPr>
        <w:t>2、评标结束后，采购人有权向有关主管部门核实以上证明材料的真实性，经查实存在弄虚作假的取消其中标资格，并向相关部门通报。</w:t>
      </w:r>
    </w:p>
    <w:p w14:paraId="00DAAEA8">
      <w:pPr>
        <w:pStyle w:val="2"/>
        <w:adjustRightInd w:val="0"/>
        <w:snapToGrid w:val="0"/>
        <w:spacing w:before="319" w:beforeLines="100" w:after="319" w:afterLines="100"/>
        <w:rPr>
          <w:rFonts w:hint="eastAsia" w:ascii="仿宋" w:hAnsi="仿宋" w:eastAsia="仿宋" w:cs="仿宋"/>
          <w:b w:val="0"/>
          <w:sz w:val="28"/>
          <w:szCs w:val="28"/>
        </w:rPr>
      </w:pPr>
      <w:bookmarkStart w:id="147" w:name="_Toc25922_WPSOffice_Level1"/>
      <w:bookmarkStart w:id="148" w:name="_Toc61118395"/>
      <w:r>
        <w:rPr>
          <w:rFonts w:hint="eastAsia" w:ascii="仿宋" w:hAnsi="仿宋" w:eastAsia="仿宋" w:cs="仿宋"/>
        </w:rPr>
        <w:br w:type="page"/>
      </w:r>
      <w:r>
        <w:rPr>
          <w:rFonts w:hint="eastAsia" w:ascii="仿宋" w:hAnsi="仿宋" w:eastAsia="仿宋" w:cs="仿宋"/>
        </w:rPr>
        <w:t>第五章 政府采购合同条款</w:t>
      </w:r>
      <w:bookmarkEnd w:id="147"/>
      <w:r>
        <w:rPr>
          <w:rFonts w:hint="eastAsia" w:ascii="仿宋" w:hAnsi="仿宋" w:eastAsia="仿宋" w:cs="仿宋"/>
        </w:rPr>
        <w:t>及格式</w:t>
      </w:r>
      <w:bookmarkEnd w:id="148"/>
      <w:bookmarkStart w:id="149" w:name="_Toc23704_WPSOffice_Level1"/>
    </w:p>
    <w:p w14:paraId="4C4341F9">
      <w:pPr>
        <w:pStyle w:val="3"/>
        <w:adjustRightInd w:val="0"/>
        <w:snapToGrid w:val="0"/>
        <w:spacing w:before="0" w:after="0" w:line="240" w:lineRule="auto"/>
        <w:jc w:val="left"/>
        <w:rPr>
          <w:rFonts w:hint="eastAsia" w:ascii="仿宋" w:hAnsi="仿宋" w:eastAsia="仿宋" w:cs="仿宋"/>
          <w:szCs w:val="28"/>
        </w:rPr>
      </w:pPr>
      <w:r>
        <w:rPr>
          <w:rFonts w:hint="eastAsia" w:ascii="仿宋" w:hAnsi="仿宋" w:eastAsia="仿宋" w:cs="仿宋"/>
          <w:szCs w:val="28"/>
        </w:rPr>
        <w:t>合同条款</w:t>
      </w:r>
      <w:bookmarkEnd w:id="149"/>
      <w:r>
        <w:rPr>
          <w:rFonts w:hint="eastAsia" w:ascii="仿宋" w:hAnsi="仿宋" w:eastAsia="仿宋" w:cs="仿宋"/>
          <w:szCs w:val="28"/>
        </w:rPr>
        <w:t xml:space="preserve">                    </w:t>
      </w:r>
    </w:p>
    <w:p w14:paraId="08513A3A">
      <w:pPr>
        <w:spacing w:before="319" w:beforeLines="100" w:after="319" w:afterLines="100" w:line="480" w:lineRule="exact"/>
        <w:jc w:val="center"/>
        <w:rPr>
          <w:rFonts w:hint="eastAsia" w:ascii="仿宋" w:hAnsi="仿宋" w:eastAsia="仿宋" w:cs="仿宋"/>
          <w:b/>
          <w:sz w:val="44"/>
          <w:szCs w:val="44"/>
        </w:rPr>
      </w:pPr>
      <w:bookmarkStart w:id="150" w:name="_Toc30224_WPSOffice_Level1"/>
      <w:r>
        <w:rPr>
          <w:rFonts w:hint="eastAsia" w:ascii="仿宋" w:hAnsi="仿宋" w:eastAsia="仿宋" w:cs="仿宋"/>
          <w:b/>
          <w:sz w:val="44"/>
          <w:szCs w:val="44"/>
        </w:rPr>
        <w:t>政府采购合同条款</w:t>
      </w:r>
      <w:bookmarkEnd w:id="150"/>
    </w:p>
    <w:p w14:paraId="0EC8CAE6">
      <w:pPr>
        <w:adjustRightInd w:val="0"/>
        <w:snapToGrid w:val="0"/>
        <w:spacing w:line="360" w:lineRule="auto"/>
        <w:ind w:firstLine="411" w:firstLineChars="196"/>
        <w:rPr>
          <w:rFonts w:hint="eastAsia" w:ascii="仿宋" w:hAnsi="仿宋" w:eastAsia="仿宋" w:cs="仿宋"/>
          <w:b/>
          <w:bCs/>
          <w:szCs w:val="21"/>
        </w:rPr>
      </w:pPr>
      <w:bookmarkStart w:id="151" w:name="_Toc25596_WPSOffice_Level1"/>
      <w:bookmarkStart w:id="152" w:name="_Toc10117_WPSOffice_Level1"/>
      <w:bookmarkStart w:id="153" w:name="_Toc398_WPSOffice_Level1"/>
      <w:r>
        <w:rPr>
          <w:rFonts w:hint="eastAsia" w:ascii="仿宋" w:hAnsi="仿宋" w:eastAsia="仿宋" w:cs="仿宋"/>
          <w:b/>
          <w:bCs/>
          <w:szCs w:val="21"/>
        </w:rPr>
        <w:t>1.术语定义</w:t>
      </w:r>
      <w:bookmarkEnd w:id="151"/>
      <w:bookmarkEnd w:id="152"/>
      <w:bookmarkEnd w:id="153"/>
    </w:p>
    <w:p w14:paraId="03BD5C8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本政府采购合同下列术语应解释为：</w:t>
      </w:r>
    </w:p>
    <w:p w14:paraId="141483F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1.1“政府采购合同”指供需双方依照政府采购程序.按照招标文件投标文件确定的事项所达成的协议，包括附件.附录和上述文件所提到的构成政府采购合同的所有文件。</w:t>
      </w:r>
    </w:p>
    <w:p w14:paraId="280C715F">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1.2“政府采购合同价”指根据合同约定供方在正确地完全履行政府采购合同义务后，需方应支付给供方的价格。</w:t>
      </w:r>
    </w:p>
    <w:p w14:paraId="23D6267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091DEF6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0BC515B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1.5“需方”指项目基本内容及要求中所述取得货物和服务的采购人。</w:t>
      </w:r>
    </w:p>
    <w:p w14:paraId="386B868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1.6“供方”指项目基本内容及要求中所述提供产品和服务的中标人。</w:t>
      </w:r>
    </w:p>
    <w:p w14:paraId="450BF9E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1.7“检验”指需方或者需方的最终用户收货后，按照本政府采购合同约定的标准对政府采购合同货物进行的检测与查验。</w:t>
      </w:r>
    </w:p>
    <w:p w14:paraId="55B0260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1.8“验收书”指需方对供方履行政府采购合同情况及结果进行现场检验和评估意见的文件。</w:t>
      </w:r>
    </w:p>
    <w:p w14:paraId="5E87FAC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1.9“技术资料”指安装.调试.使用.维修政府采购合同货物所应具备的产品使用说明书和.或使用指南.操作手册.维修指南.服务手册.电路图.产品演示等文件及音像资料。</w:t>
      </w:r>
    </w:p>
    <w:p w14:paraId="47C4B3A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1.10“保修期”指自验收书签署之日起，供方以自担费用方式保证政府采购合同货物正常运行的时期。</w:t>
      </w:r>
    </w:p>
    <w:p w14:paraId="101FEC15">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1.11“第三人”是指本政府采购合同双方以外的任何中国境内外的自然人.法人或其它经济组织。</w:t>
      </w:r>
    </w:p>
    <w:p w14:paraId="361AF9C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1.12“法律.法规”是指由中国各级政府及有关部门制定的法律.行政法规.地方性法规.规章及其它规范性文件的有关规定。</w:t>
      </w:r>
    </w:p>
    <w:p w14:paraId="1C2BCF8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1.13“招标文件”指采购人或者采购代理机构发布的招标文件。</w:t>
      </w:r>
    </w:p>
    <w:p w14:paraId="4B8CA15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1.14“投标文件”指供方按照采购代理机构招标文件的要求编制和递交，并最终被评标委员会接受的投标文件。</w:t>
      </w:r>
    </w:p>
    <w:p w14:paraId="5F46E3C7">
      <w:pPr>
        <w:rPr>
          <w:rFonts w:hint="eastAsia" w:ascii="仿宋" w:hAnsi="仿宋" w:eastAsia="仿宋" w:cs="仿宋"/>
        </w:rPr>
      </w:pPr>
      <w:bookmarkStart w:id="154" w:name="_Toc29737_WPSOffice_Level1"/>
      <w:bookmarkStart w:id="155" w:name="_Toc22454_WPSOffice_Level1"/>
      <w:bookmarkStart w:id="156" w:name="_Toc750_WPSOffice_Level1"/>
      <w:r>
        <w:rPr>
          <w:rFonts w:hint="eastAsia" w:ascii="仿宋" w:hAnsi="仿宋" w:eastAsia="仿宋" w:cs="仿宋"/>
        </w:rPr>
        <w:t>2.技术指标</w:t>
      </w:r>
      <w:bookmarkEnd w:id="154"/>
      <w:bookmarkEnd w:id="155"/>
      <w:bookmarkEnd w:id="156"/>
    </w:p>
    <w:p w14:paraId="1EC88DE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2.1交付产品的技术指标应与招标文件规定的技术指标要求及投标文件中的“技术规格偏离表及商务条款偏离表”的承诺内容相一致。</w:t>
      </w:r>
    </w:p>
    <w:p w14:paraId="10203F6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2.2 除技术指标另有规定外，计量单位应该使用公制。</w:t>
      </w:r>
    </w:p>
    <w:p w14:paraId="37BA7C0F">
      <w:pPr>
        <w:adjustRightInd w:val="0"/>
        <w:snapToGrid w:val="0"/>
        <w:spacing w:line="360" w:lineRule="auto"/>
        <w:ind w:firstLine="411" w:firstLineChars="196"/>
        <w:rPr>
          <w:rFonts w:hint="eastAsia" w:ascii="仿宋" w:hAnsi="仿宋" w:eastAsia="仿宋" w:cs="仿宋"/>
          <w:b/>
          <w:szCs w:val="21"/>
        </w:rPr>
      </w:pPr>
      <w:bookmarkStart w:id="157" w:name="_Toc17648_WPSOffice_Level1"/>
      <w:bookmarkStart w:id="158" w:name="_Toc1538_WPSOffice_Level1"/>
      <w:bookmarkStart w:id="159" w:name="_Toc19640_WPSOffice_Level1"/>
      <w:r>
        <w:rPr>
          <w:rFonts w:hint="eastAsia" w:ascii="仿宋" w:hAnsi="仿宋" w:eastAsia="仿宋" w:cs="仿宋"/>
          <w:b/>
          <w:szCs w:val="21"/>
        </w:rPr>
        <w:t>3.交货</w:t>
      </w:r>
      <w:bookmarkEnd w:id="157"/>
      <w:bookmarkEnd w:id="158"/>
      <w:bookmarkEnd w:id="159"/>
    </w:p>
    <w:p w14:paraId="4733AC6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3.1供方按照合同约定的时间.地点交货</w:t>
      </w:r>
    </w:p>
    <w:p w14:paraId="135E3C52">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3.2供方交货的同时应提交下列文件：销售发票，制造厂商出具的质量检验证书.产品合格证以及招标文件.投标文件确定供方应随货物同时提供的其他资料。</w:t>
      </w:r>
    </w:p>
    <w:p w14:paraId="36455384">
      <w:pPr>
        <w:adjustRightInd w:val="0"/>
        <w:snapToGrid w:val="0"/>
        <w:spacing w:line="360" w:lineRule="auto"/>
        <w:ind w:firstLine="411" w:firstLineChars="196"/>
        <w:rPr>
          <w:rFonts w:hint="eastAsia" w:ascii="仿宋" w:hAnsi="仿宋" w:eastAsia="仿宋" w:cs="仿宋"/>
          <w:b/>
          <w:szCs w:val="21"/>
        </w:rPr>
      </w:pPr>
      <w:bookmarkStart w:id="160" w:name="_Toc1266_WPSOffice_Level1"/>
      <w:bookmarkStart w:id="161" w:name="_Toc15048_WPSOffice_Level1"/>
      <w:bookmarkStart w:id="162" w:name="_Toc11745_WPSOffice_Level1"/>
      <w:r>
        <w:rPr>
          <w:rFonts w:hint="eastAsia" w:ascii="仿宋" w:hAnsi="仿宋" w:eastAsia="仿宋" w:cs="仿宋"/>
          <w:b/>
          <w:szCs w:val="21"/>
        </w:rPr>
        <w:t>4.合同金额</w:t>
      </w:r>
      <w:bookmarkEnd w:id="160"/>
      <w:bookmarkEnd w:id="161"/>
      <w:bookmarkEnd w:id="162"/>
    </w:p>
    <w:p w14:paraId="3ED2D056">
      <w:pPr>
        <w:adjustRightInd w:val="0"/>
        <w:snapToGrid w:val="0"/>
        <w:spacing w:line="360" w:lineRule="auto"/>
        <w:ind w:firstLine="411" w:firstLineChars="196"/>
        <w:rPr>
          <w:rFonts w:hint="eastAsia" w:ascii="仿宋" w:hAnsi="仿宋" w:eastAsia="仿宋" w:cs="仿宋"/>
          <w:b/>
          <w:szCs w:val="21"/>
        </w:rPr>
      </w:pPr>
      <w:r>
        <w:rPr>
          <w:rFonts w:hint="eastAsia" w:ascii="仿宋" w:hAnsi="仿宋" w:eastAsia="仿宋" w:cs="仿宋"/>
          <w:szCs w:val="21"/>
        </w:rPr>
        <w:t>根据政府采购合同文件要求，确定政府采购合同的总金额。</w:t>
      </w:r>
    </w:p>
    <w:p w14:paraId="4C00BC62">
      <w:pPr>
        <w:adjustRightInd w:val="0"/>
        <w:snapToGrid w:val="0"/>
        <w:spacing w:line="360" w:lineRule="auto"/>
        <w:ind w:firstLine="411" w:firstLineChars="196"/>
        <w:rPr>
          <w:rFonts w:hint="eastAsia" w:ascii="仿宋" w:hAnsi="仿宋" w:eastAsia="仿宋" w:cs="仿宋"/>
          <w:b/>
          <w:szCs w:val="21"/>
        </w:rPr>
      </w:pPr>
      <w:bookmarkStart w:id="163" w:name="_Toc22359_WPSOffice_Level1"/>
      <w:bookmarkStart w:id="164" w:name="_Toc941_WPSOffice_Level1"/>
      <w:bookmarkStart w:id="165" w:name="_Toc11969_WPSOffice_Level1"/>
      <w:r>
        <w:rPr>
          <w:rFonts w:hint="eastAsia" w:ascii="仿宋" w:hAnsi="仿宋" w:eastAsia="仿宋" w:cs="仿宋"/>
          <w:b/>
          <w:szCs w:val="21"/>
        </w:rPr>
        <w:t>5.付款</w:t>
      </w:r>
      <w:bookmarkEnd w:id="163"/>
      <w:bookmarkEnd w:id="164"/>
      <w:bookmarkEnd w:id="165"/>
    </w:p>
    <w:p w14:paraId="6CF2772B">
      <w:pPr>
        <w:adjustRightInd w:val="0"/>
        <w:snapToGrid w:val="0"/>
        <w:spacing w:line="360" w:lineRule="auto"/>
        <w:ind w:firstLine="411" w:firstLineChars="196"/>
        <w:rPr>
          <w:rFonts w:hint="eastAsia" w:ascii="仿宋" w:hAnsi="仿宋" w:eastAsia="仿宋" w:cs="仿宋"/>
          <w:szCs w:val="21"/>
          <w:u w:val="single"/>
        </w:rPr>
      </w:pPr>
      <w:bookmarkStart w:id="166" w:name="_Toc22351_WPSOffice_Level2"/>
      <w:r>
        <w:rPr>
          <w:rFonts w:hint="eastAsia" w:ascii="仿宋" w:hAnsi="仿宋" w:eastAsia="仿宋" w:cs="仿宋"/>
          <w:szCs w:val="21"/>
        </w:rPr>
        <w:t>5.1付款方式.条件：需方按照合同约定的方式和条件付款。</w:t>
      </w:r>
      <w:bookmarkEnd w:id="166"/>
    </w:p>
    <w:p w14:paraId="1762696A">
      <w:pPr>
        <w:adjustRightInd w:val="0"/>
        <w:snapToGrid w:val="0"/>
        <w:spacing w:line="360" w:lineRule="auto"/>
        <w:ind w:firstLine="411" w:firstLineChars="196"/>
        <w:rPr>
          <w:rFonts w:hint="eastAsia" w:ascii="仿宋" w:hAnsi="仿宋" w:eastAsia="仿宋" w:cs="仿宋"/>
          <w:b/>
          <w:szCs w:val="21"/>
        </w:rPr>
      </w:pPr>
      <w:bookmarkStart w:id="167" w:name="_Toc10526_WPSOffice_Level1"/>
      <w:bookmarkStart w:id="168" w:name="_Toc27769_WPSOffice_Level1"/>
      <w:bookmarkStart w:id="169" w:name="_Toc30478_WPSOffice_Level1"/>
      <w:r>
        <w:rPr>
          <w:rFonts w:hint="eastAsia" w:ascii="仿宋" w:hAnsi="仿宋" w:eastAsia="仿宋" w:cs="仿宋"/>
          <w:b/>
          <w:szCs w:val="21"/>
        </w:rPr>
        <w:t>6.验收</w:t>
      </w:r>
      <w:bookmarkEnd w:id="167"/>
      <w:bookmarkEnd w:id="168"/>
      <w:bookmarkEnd w:id="169"/>
      <w:r>
        <w:rPr>
          <w:rFonts w:hint="eastAsia" w:ascii="仿宋" w:hAnsi="仿宋" w:eastAsia="仿宋" w:cs="仿宋"/>
          <w:b/>
          <w:szCs w:val="21"/>
        </w:rPr>
        <w:t xml:space="preserve"> </w:t>
      </w:r>
    </w:p>
    <w:p w14:paraId="37A93A0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6.1供方提交的货物由需方或者需方的最终用户负责验收。</w:t>
      </w:r>
    </w:p>
    <w:p w14:paraId="1307EA3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6.2需方或者需方的最终用户应当按照采购合同规定的技术.服务等要求组织对投标单位履约的验收，并出具验收书。验收书应当包括每一项技术.服务等要求的履约情况。</w:t>
      </w:r>
    </w:p>
    <w:p w14:paraId="2D32EE0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6.3大型或者复杂的项目，应当邀请国家认可的质量检测机构参加验收。</w:t>
      </w:r>
    </w:p>
    <w:p w14:paraId="5DF76D1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6.4政府向社会公众提供的公共服务项目，验收时应当邀请服务对象参与并出具意见，验收结果应当向社会公告。</w:t>
      </w:r>
    </w:p>
    <w:p w14:paraId="70036D8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  需方向供方收取本政府采购合同第3.3款所列明的销售发票等文件并在验收书上签字和加盖单位公章，作为验收合格.同意付款的依据。</w:t>
      </w:r>
    </w:p>
    <w:p w14:paraId="6CA0BE4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6.6货物保修期自验收书签署之日起计算。</w:t>
      </w:r>
    </w:p>
    <w:p w14:paraId="7FA6EAC1">
      <w:pPr>
        <w:adjustRightInd w:val="0"/>
        <w:snapToGrid w:val="0"/>
        <w:spacing w:line="360" w:lineRule="auto"/>
        <w:ind w:firstLine="411" w:firstLineChars="196"/>
        <w:rPr>
          <w:rFonts w:hint="eastAsia" w:ascii="仿宋" w:hAnsi="仿宋" w:eastAsia="仿宋" w:cs="仿宋"/>
          <w:b/>
          <w:szCs w:val="21"/>
        </w:rPr>
      </w:pPr>
      <w:bookmarkStart w:id="170" w:name="_Toc31292_WPSOffice_Level1"/>
      <w:bookmarkStart w:id="171" w:name="_Toc21868_WPSOffice_Level1"/>
      <w:bookmarkStart w:id="172" w:name="_Toc23127_WPSOffice_Level1"/>
      <w:r>
        <w:rPr>
          <w:rFonts w:hint="eastAsia" w:ascii="仿宋" w:hAnsi="仿宋" w:eastAsia="仿宋" w:cs="仿宋"/>
          <w:b/>
          <w:szCs w:val="21"/>
        </w:rPr>
        <w:t>7.知识产权及有关规定</w:t>
      </w:r>
      <w:bookmarkEnd w:id="170"/>
      <w:bookmarkEnd w:id="171"/>
      <w:bookmarkEnd w:id="172"/>
    </w:p>
    <w:p w14:paraId="6091FE1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296347D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7.2一方对另一方提供的技术资料.样件.图纸及其他与质量.技术.经营相关信息（包括但不限于价格.数量）有保密义务。双方应确保其人员及相关协作方承担保密义务。</w:t>
      </w:r>
    </w:p>
    <w:p w14:paraId="12A36BB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659E0E4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7.4本合同中涉及保密和知识产权任何条款，在合同期限内及合同终止后持续有效。</w:t>
      </w:r>
    </w:p>
    <w:p w14:paraId="669213BD">
      <w:pPr>
        <w:adjustRightInd w:val="0"/>
        <w:snapToGrid w:val="0"/>
        <w:spacing w:line="360" w:lineRule="auto"/>
        <w:ind w:firstLine="411" w:firstLineChars="196"/>
        <w:rPr>
          <w:rFonts w:hint="eastAsia" w:ascii="仿宋" w:hAnsi="仿宋" w:eastAsia="仿宋" w:cs="仿宋"/>
          <w:b/>
          <w:szCs w:val="21"/>
        </w:rPr>
      </w:pPr>
      <w:bookmarkStart w:id="173" w:name="_Toc21090_WPSOffice_Level1"/>
      <w:bookmarkStart w:id="174" w:name="_Toc26796_WPSOffice_Level1"/>
      <w:bookmarkStart w:id="175" w:name="_Toc24765_WPSOffice_Level1"/>
      <w:r>
        <w:rPr>
          <w:rFonts w:hint="eastAsia" w:ascii="仿宋" w:hAnsi="仿宋" w:eastAsia="仿宋" w:cs="仿宋"/>
          <w:b/>
          <w:szCs w:val="21"/>
        </w:rPr>
        <w:t>8.包装要求</w:t>
      </w:r>
      <w:bookmarkEnd w:id="173"/>
      <w:bookmarkEnd w:id="174"/>
      <w:bookmarkEnd w:id="175"/>
    </w:p>
    <w:p w14:paraId="104E29B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62BD6DB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8.2每一个包装箱内应附一份详细的装箱单和质量合格证书。</w:t>
      </w:r>
    </w:p>
    <w:p w14:paraId="694DCB3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8.3包装费由供方承担，包装物不回收。</w:t>
      </w:r>
    </w:p>
    <w:p w14:paraId="3F1E8E48">
      <w:pPr>
        <w:adjustRightInd w:val="0"/>
        <w:snapToGrid w:val="0"/>
        <w:spacing w:line="360" w:lineRule="auto"/>
        <w:ind w:firstLine="411" w:firstLineChars="196"/>
        <w:rPr>
          <w:rFonts w:hint="eastAsia" w:ascii="仿宋" w:hAnsi="仿宋" w:eastAsia="仿宋" w:cs="仿宋"/>
          <w:b/>
          <w:szCs w:val="21"/>
        </w:rPr>
      </w:pPr>
      <w:bookmarkStart w:id="176" w:name="_Toc1308_WPSOffice_Level1"/>
      <w:bookmarkStart w:id="177" w:name="_Toc2304_WPSOffice_Level1"/>
      <w:bookmarkStart w:id="178" w:name="_Toc26447_WPSOffice_Level1"/>
      <w:r>
        <w:rPr>
          <w:rFonts w:hint="eastAsia" w:ascii="仿宋" w:hAnsi="仿宋" w:eastAsia="仿宋" w:cs="仿宋"/>
          <w:b/>
          <w:szCs w:val="21"/>
        </w:rPr>
        <w:t>9.伴随服务</w:t>
      </w:r>
      <w:bookmarkEnd w:id="176"/>
      <w:bookmarkEnd w:id="177"/>
      <w:bookmarkEnd w:id="178"/>
    </w:p>
    <w:p w14:paraId="1C171635">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9.1供方应提供所交付货物的全套技术文件资料，包括产品目录.图纸.操作手册.使用说明.维护手册和服务指南等。</w:t>
      </w:r>
    </w:p>
    <w:p w14:paraId="5476871F">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9.2供方还应提供下列服务：</w:t>
      </w:r>
    </w:p>
    <w:p w14:paraId="6DA213AF">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9.2.1货物的现场安装.启动和试运行；</w:t>
      </w:r>
    </w:p>
    <w:p w14:paraId="6ACD891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9.2.2提供货物组装和维修所需的工具；</w:t>
      </w:r>
    </w:p>
    <w:p w14:paraId="78BFCC2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0897DA75">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9.2.4在制造厂家或在项目现场就货物的安装.启动.运行.维护等对需方人员进行培训，直至需方人员掌握全部上述技能为止。</w:t>
      </w:r>
    </w:p>
    <w:p w14:paraId="60419C0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9.3伴随服务的费用应含在合同价中，不单独进行支付。</w:t>
      </w:r>
    </w:p>
    <w:p w14:paraId="0AD1BADD">
      <w:pPr>
        <w:adjustRightInd w:val="0"/>
        <w:snapToGrid w:val="0"/>
        <w:spacing w:line="360" w:lineRule="auto"/>
        <w:ind w:firstLine="411" w:firstLineChars="196"/>
        <w:rPr>
          <w:rFonts w:hint="eastAsia" w:ascii="仿宋" w:hAnsi="仿宋" w:eastAsia="仿宋" w:cs="仿宋"/>
          <w:b/>
          <w:szCs w:val="21"/>
        </w:rPr>
      </w:pPr>
      <w:bookmarkStart w:id="179" w:name="_Toc7636_WPSOffice_Level1"/>
      <w:bookmarkStart w:id="180" w:name="_Toc8205_WPSOffice_Level1"/>
      <w:bookmarkStart w:id="181" w:name="_Toc14320_WPSOffice_Level1"/>
      <w:r>
        <w:rPr>
          <w:rFonts w:hint="eastAsia" w:ascii="仿宋" w:hAnsi="仿宋" w:eastAsia="仿宋" w:cs="仿宋"/>
          <w:b/>
          <w:szCs w:val="21"/>
        </w:rPr>
        <w:t>10.质量保证期</w:t>
      </w:r>
      <w:bookmarkEnd w:id="179"/>
      <w:bookmarkEnd w:id="180"/>
      <w:bookmarkEnd w:id="181"/>
    </w:p>
    <w:p w14:paraId="65E58CE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10.1以招标文件中的规定为准，如果投标文件中的承诺优于招标文件规定，则以投标文件为准。</w:t>
      </w:r>
    </w:p>
    <w:p w14:paraId="316D35C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10.2如果招标文件没有特别要求，以供方在投标文件中提交的制造厂商的有关文件为准。如果上述文件规定有不一致之处，以对需方有利的为准。</w:t>
      </w:r>
    </w:p>
    <w:p w14:paraId="09493853">
      <w:pPr>
        <w:adjustRightInd w:val="0"/>
        <w:snapToGrid w:val="0"/>
        <w:spacing w:line="360" w:lineRule="auto"/>
        <w:ind w:firstLine="411" w:firstLineChars="196"/>
        <w:rPr>
          <w:rFonts w:hint="eastAsia" w:ascii="仿宋" w:hAnsi="仿宋" w:eastAsia="仿宋" w:cs="仿宋"/>
          <w:b/>
          <w:szCs w:val="21"/>
        </w:rPr>
      </w:pPr>
      <w:bookmarkStart w:id="182" w:name="_Toc13950_WPSOffice_Level1"/>
      <w:bookmarkStart w:id="183" w:name="_Toc16220_WPSOffice_Level1"/>
      <w:bookmarkStart w:id="184" w:name="_Toc18427_WPSOffice_Level1"/>
      <w:r>
        <w:rPr>
          <w:rFonts w:hint="eastAsia" w:ascii="仿宋" w:hAnsi="仿宋" w:eastAsia="仿宋" w:cs="仿宋"/>
          <w:b/>
          <w:szCs w:val="21"/>
        </w:rPr>
        <w:t>11.质量保证</w:t>
      </w:r>
      <w:bookmarkEnd w:id="182"/>
      <w:bookmarkEnd w:id="183"/>
      <w:bookmarkEnd w:id="184"/>
    </w:p>
    <w:p w14:paraId="0465B55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46342CC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70EBD2C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05985BC0">
      <w:pPr>
        <w:adjustRightInd w:val="0"/>
        <w:snapToGrid w:val="0"/>
        <w:spacing w:line="360" w:lineRule="auto"/>
        <w:ind w:firstLine="411" w:firstLineChars="196"/>
        <w:rPr>
          <w:rFonts w:hint="eastAsia" w:ascii="仿宋" w:hAnsi="仿宋" w:eastAsia="仿宋" w:cs="仿宋"/>
          <w:b/>
          <w:szCs w:val="21"/>
        </w:rPr>
      </w:pPr>
      <w:bookmarkStart w:id="185" w:name="_Toc24667_WPSOffice_Level1"/>
      <w:bookmarkStart w:id="186" w:name="_Toc9090_WPSOffice_Level1"/>
      <w:bookmarkStart w:id="187" w:name="_Toc29469_WPSOffice_Level1"/>
      <w:r>
        <w:rPr>
          <w:rFonts w:hint="eastAsia" w:ascii="仿宋" w:hAnsi="仿宋" w:eastAsia="仿宋" w:cs="仿宋"/>
          <w:b/>
          <w:szCs w:val="21"/>
        </w:rPr>
        <w:t>12.技术服务和保修责任</w:t>
      </w:r>
      <w:bookmarkEnd w:id="185"/>
      <w:bookmarkEnd w:id="186"/>
      <w:bookmarkEnd w:id="187"/>
    </w:p>
    <w:p w14:paraId="757AD56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12.1供方对政府采购合同货物的保修期，以招标文件中的规定为准，如果投标文件中的承诺优于招标文件规定，则以投标文件为准。</w:t>
      </w:r>
    </w:p>
    <w:p w14:paraId="162C76A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12.2投标人应按如下内容提供售后服务承诺书：</w:t>
      </w:r>
    </w:p>
    <w:p w14:paraId="032CE8C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46435FB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4BDFB41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12.2.3保修期间供方要保修除消耗品以外的所有产品。如果系统.设备等发生故障，供方要调查故障原因并修复直至满足最终验收指标和性能的要求，或者修理.更换整个或部分有缺陷的材料。</w:t>
      </w:r>
    </w:p>
    <w:p w14:paraId="015E6D6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12.2.4保修期内，供方提供电话.电子邮件.Web.现场服务等方式的技术支持，对用户的现场服务要求，供方必须按投标文件做出的承诺进行响应。</w:t>
      </w:r>
    </w:p>
    <w:p w14:paraId="2FBF14E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12.2.5保修期内，供方应对出现故障无法修复的产品或无法正常运行的系统，提供替代产品以保证系统的正常工作。</w:t>
      </w:r>
    </w:p>
    <w:p w14:paraId="2B167D9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12.2.6保修期内，供方应投标时的承诺提供相关服务。</w:t>
      </w:r>
    </w:p>
    <w:p w14:paraId="235E295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62B8EAE9">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4920774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质尚未支付的政府采购合同价款中扣除。如果这些金额不足以补偿，需方有权向供方提出不足部分的赔偿要求。货物经维修或更换后仍无法达到约定质量要求和技术标准，需方有权退货并向供方索赔。</w:t>
      </w:r>
    </w:p>
    <w:p w14:paraId="6BF571A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2D6DE32B">
      <w:pPr>
        <w:adjustRightInd w:val="0"/>
        <w:snapToGrid w:val="0"/>
        <w:spacing w:line="360" w:lineRule="auto"/>
        <w:ind w:firstLine="411" w:firstLineChars="196"/>
        <w:rPr>
          <w:rFonts w:hint="eastAsia" w:ascii="仿宋" w:hAnsi="仿宋" w:eastAsia="仿宋" w:cs="仿宋"/>
          <w:b/>
          <w:szCs w:val="21"/>
        </w:rPr>
      </w:pPr>
      <w:bookmarkStart w:id="188" w:name="_Toc16924_WPSOffice_Level1"/>
      <w:bookmarkStart w:id="189" w:name="_Toc8548_WPSOffice_Level1"/>
      <w:bookmarkStart w:id="190" w:name="_Toc11781_WPSOffice_Level1"/>
      <w:r>
        <w:rPr>
          <w:rFonts w:hint="eastAsia" w:ascii="仿宋" w:hAnsi="仿宋" w:eastAsia="仿宋" w:cs="仿宋"/>
          <w:b/>
          <w:szCs w:val="21"/>
        </w:rPr>
        <w:t>13.违约责任</w:t>
      </w:r>
      <w:bookmarkEnd w:id="188"/>
      <w:bookmarkEnd w:id="189"/>
      <w:bookmarkEnd w:id="190"/>
    </w:p>
    <w:p w14:paraId="478CCAD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5EA5D1C5">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13.1.1在需方同意延长的期限内交付全部货物.提供服务并承担由此给需方造成的一切损失；</w:t>
      </w:r>
    </w:p>
    <w:p w14:paraId="2FDA352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05DE713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13.1.3根据货物低劣程度.损坏程度以及使需方所遭受的损失，经双方商定降低货物的价格或赔偿需方所遭受的损失；</w:t>
      </w:r>
    </w:p>
    <w:p w14:paraId="5021F0F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34364F9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13.1.5需方有权部分或全部解除政府采购合同并要求供方赔偿由此造成的损失。此时需方可采取必要的补救措施，相关费用由供方承担。</w:t>
      </w:r>
    </w:p>
    <w:p w14:paraId="65414F35">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1ACC5904">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13.3延期交货的违约责任</w:t>
      </w:r>
    </w:p>
    <w:p w14:paraId="24E132D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37CF893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79C87120">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13.4以上各项交付的违约金并不影响违约方履行政府采购合同的各项义务。</w:t>
      </w:r>
    </w:p>
    <w:p w14:paraId="34243190">
      <w:pPr>
        <w:adjustRightInd w:val="0"/>
        <w:snapToGrid w:val="0"/>
        <w:spacing w:line="360" w:lineRule="auto"/>
        <w:ind w:firstLine="411" w:firstLineChars="196"/>
        <w:rPr>
          <w:rFonts w:hint="eastAsia" w:ascii="仿宋" w:hAnsi="仿宋" w:eastAsia="仿宋" w:cs="仿宋"/>
          <w:b/>
          <w:szCs w:val="21"/>
        </w:rPr>
      </w:pPr>
      <w:bookmarkStart w:id="191" w:name="_Toc32310_WPSOffice_Level1"/>
      <w:bookmarkStart w:id="192" w:name="_Toc28610_WPSOffice_Level1"/>
      <w:bookmarkStart w:id="193" w:name="_Toc21833_WPSOffice_Level1"/>
      <w:r>
        <w:rPr>
          <w:rFonts w:hint="eastAsia" w:ascii="仿宋" w:hAnsi="仿宋" w:eastAsia="仿宋" w:cs="仿宋"/>
          <w:b/>
          <w:szCs w:val="21"/>
        </w:rPr>
        <w:t>14.不可抗力</w:t>
      </w:r>
      <w:bookmarkEnd w:id="191"/>
      <w:bookmarkEnd w:id="192"/>
      <w:bookmarkEnd w:id="193"/>
    </w:p>
    <w:p w14:paraId="33245AB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3509C4DF">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14.2本条所述的“不可抗力”系指那些双方无法控制，不可预见的事件，但不包括双方的违约或疏忽。这些事件包括但不限于：战争.严重火灾.洪水.台风.地震。</w:t>
      </w:r>
    </w:p>
    <w:p w14:paraId="29AA99D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4916D961">
      <w:pPr>
        <w:adjustRightInd w:val="0"/>
        <w:snapToGrid w:val="0"/>
        <w:spacing w:line="360" w:lineRule="auto"/>
        <w:ind w:firstLine="411" w:firstLineChars="196"/>
        <w:rPr>
          <w:rFonts w:hint="eastAsia" w:ascii="仿宋" w:hAnsi="仿宋" w:eastAsia="仿宋" w:cs="仿宋"/>
          <w:b/>
          <w:szCs w:val="21"/>
        </w:rPr>
      </w:pPr>
      <w:bookmarkStart w:id="194" w:name="_Toc3262_WPSOffice_Level1"/>
      <w:bookmarkStart w:id="195" w:name="_Toc12037_WPSOffice_Level1"/>
      <w:bookmarkStart w:id="196" w:name="_Toc13390_WPSOffice_Level1"/>
      <w:r>
        <w:rPr>
          <w:rFonts w:hint="eastAsia" w:ascii="仿宋" w:hAnsi="仿宋" w:eastAsia="仿宋" w:cs="仿宋"/>
          <w:b/>
          <w:szCs w:val="21"/>
        </w:rPr>
        <w:t>15.争端的解决</w:t>
      </w:r>
      <w:bookmarkEnd w:id="194"/>
      <w:bookmarkEnd w:id="195"/>
      <w:bookmarkEnd w:id="196"/>
    </w:p>
    <w:p w14:paraId="2239A133">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15.1政府采购合同的履行.违约责任和解决争议的方法等适用《中华人民共和国合同法》。</w:t>
      </w:r>
    </w:p>
    <w:p w14:paraId="122E0D48">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15.2需方和供方应通过友好协商，解决在执行本政府采购合同过程中所发生的或与本政府采购合同有关的一切争端。</w:t>
      </w:r>
    </w:p>
    <w:p w14:paraId="77C954AD">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15.3如果调解不成，双方中的任何一方可向需方所在地的人民法院提起诉讼。</w:t>
      </w:r>
    </w:p>
    <w:p w14:paraId="666B07FA">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15.4因政府采购合同部分履行引发诉讼的，在诉讼期间，除正在进行诉讼的部分外，本政府采购合同的其它部分应继续执行。</w:t>
      </w:r>
    </w:p>
    <w:p w14:paraId="154A0564">
      <w:pPr>
        <w:adjustRightInd w:val="0"/>
        <w:snapToGrid w:val="0"/>
        <w:spacing w:line="360" w:lineRule="auto"/>
        <w:ind w:firstLine="411" w:firstLineChars="196"/>
        <w:rPr>
          <w:rFonts w:hint="eastAsia" w:ascii="仿宋" w:hAnsi="仿宋" w:eastAsia="仿宋" w:cs="仿宋"/>
          <w:b/>
          <w:szCs w:val="21"/>
        </w:rPr>
      </w:pPr>
      <w:bookmarkStart w:id="197" w:name="_Toc1917_WPSOffice_Level1"/>
      <w:bookmarkStart w:id="198" w:name="_Toc27539_WPSOffice_Level1"/>
      <w:bookmarkStart w:id="199" w:name="_Toc7773_WPSOffice_Level1"/>
      <w:r>
        <w:rPr>
          <w:rFonts w:hint="eastAsia" w:ascii="仿宋" w:hAnsi="仿宋" w:eastAsia="仿宋" w:cs="仿宋"/>
          <w:b/>
          <w:szCs w:val="21"/>
        </w:rPr>
        <w:t>16.违约终止政府采购合同</w:t>
      </w:r>
      <w:bookmarkEnd w:id="197"/>
      <w:bookmarkEnd w:id="198"/>
      <w:bookmarkEnd w:id="199"/>
    </w:p>
    <w:p w14:paraId="19F4F0DE">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16.1在需方因供方违约而按政府采购合同约定采取的任何补救措施均无效的情况下，需方可在下列情况下向供方发出书面通知，提出终止部分或全部政府采购合同。</w:t>
      </w:r>
    </w:p>
    <w:p w14:paraId="655F40D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16.1.1如果供方未能在政府采购合同规定的限期或需方同意延长的限期内提供部分或全部货物和服务；</w:t>
      </w:r>
    </w:p>
    <w:p w14:paraId="1D2A2907">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16.1.2未经需方事先书面同意，供方部分转让和分包或全部转让和分包其应履行的政府采购合同义务。</w:t>
      </w:r>
    </w:p>
    <w:p w14:paraId="33516B9B">
      <w:pPr>
        <w:adjustRightInd w:val="0"/>
        <w:snapToGrid w:val="0"/>
        <w:spacing w:line="360" w:lineRule="auto"/>
        <w:ind w:firstLine="411" w:firstLineChars="196"/>
        <w:rPr>
          <w:rFonts w:hint="eastAsia" w:ascii="仿宋" w:hAnsi="仿宋" w:eastAsia="仿宋" w:cs="仿宋"/>
          <w:b/>
          <w:szCs w:val="21"/>
        </w:rPr>
      </w:pPr>
      <w:bookmarkStart w:id="200" w:name="_Toc4220_WPSOffice_Level1"/>
      <w:bookmarkStart w:id="201" w:name="_Toc11967_WPSOffice_Level1"/>
      <w:bookmarkStart w:id="202" w:name="_Toc27976_WPSOffice_Level1"/>
      <w:r>
        <w:rPr>
          <w:rFonts w:hint="eastAsia" w:ascii="仿宋" w:hAnsi="仿宋" w:eastAsia="仿宋" w:cs="仿宋"/>
          <w:b/>
          <w:szCs w:val="21"/>
        </w:rPr>
        <w:t>17.政府采购合同转让和分包</w:t>
      </w:r>
      <w:bookmarkEnd w:id="200"/>
      <w:bookmarkEnd w:id="201"/>
      <w:bookmarkEnd w:id="202"/>
    </w:p>
    <w:p w14:paraId="2095963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除招标文件规定,并经需方事先书面同意外，供方不得部分转让和分包或全部转让和分包其应履行的政府采购合同义务。</w:t>
      </w:r>
    </w:p>
    <w:p w14:paraId="115B9006">
      <w:pPr>
        <w:adjustRightInd w:val="0"/>
        <w:snapToGrid w:val="0"/>
        <w:spacing w:line="360" w:lineRule="auto"/>
        <w:ind w:firstLine="411" w:firstLineChars="196"/>
        <w:rPr>
          <w:rFonts w:hint="eastAsia" w:ascii="仿宋" w:hAnsi="仿宋" w:eastAsia="仿宋" w:cs="仿宋"/>
          <w:b/>
          <w:szCs w:val="21"/>
        </w:rPr>
      </w:pPr>
      <w:bookmarkStart w:id="203" w:name="_Toc30020_WPSOffice_Level1"/>
      <w:bookmarkStart w:id="204" w:name="_Toc16873_WPSOffice_Level1"/>
      <w:bookmarkStart w:id="205" w:name="_Toc737_WPSOffice_Level1"/>
      <w:r>
        <w:rPr>
          <w:rFonts w:hint="eastAsia" w:ascii="仿宋" w:hAnsi="仿宋" w:eastAsia="仿宋" w:cs="仿宋"/>
          <w:b/>
          <w:szCs w:val="21"/>
        </w:rPr>
        <w:t>18.适用法律：</w:t>
      </w:r>
      <w:bookmarkEnd w:id="203"/>
      <w:bookmarkEnd w:id="204"/>
      <w:bookmarkEnd w:id="205"/>
    </w:p>
    <w:p w14:paraId="68694556">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本政府采购合同按照中华人民共和国的现行法律进行解释。</w:t>
      </w:r>
    </w:p>
    <w:p w14:paraId="1DE6F3FE">
      <w:pPr>
        <w:adjustRightInd w:val="0"/>
        <w:snapToGrid w:val="0"/>
        <w:spacing w:line="360" w:lineRule="auto"/>
        <w:ind w:firstLine="411" w:firstLineChars="196"/>
        <w:rPr>
          <w:rFonts w:hint="eastAsia" w:ascii="仿宋" w:hAnsi="仿宋" w:eastAsia="仿宋" w:cs="仿宋"/>
          <w:b/>
          <w:szCs w:val="21"/>
        </w:rPr>
      </w:pPr>
      <w:bookmarkStart w:id="206" w:name="_Toc29009_WPSOffice_Level1"/>
      <w:bookmarkStart w:id="207" w:name="_Toc23749_WPSOffice_Level1"/>
      <w:bookmarkStart w:id="208" w:name="_Toc20985_WPSOffice_Level1"/>
      <w:r>
        <w:rPr>
          <w:rFonts w:hint="eastAsia" w:ascii="仿宋" w:hAnsi="仿宋" w:eastAsia="仿宋" w:cs="仿宋"/>
          <w:b/>
          <w:szCs w:val="21"/>
        </w:rPr>
        <w:t>19.政府采购合同生效</w:t>
      </w:r>
      <w:bookmarkEnd w:id="206"/>
      <w:bookmarkEnd w:id="207"/>
      <w:bookmarkEnd w:id="208"/>
    </w:p>
    <w:p w14:paraId="550122B1">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19.1本政府采购合同在供需双方法定代表人或其授权代理人签字和加盖公章后生效。</w:t>
      </w:r>
    </w:p>
    <w:p w14:paraId="571B0CEB">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19.2本政府采购合同一式五份，需方执二份，供方.采购代理机构.财政部门各执一份。</w:t>
      </w:r>
    </w:p>
    <w:p w14:paraId="06A95A09">
      <w:pPr>
        <w:adjustRightInd w:val="0"/>
        <w:snapToGrid w:val="0"/>
        <w:spacing w:line="360" w:lineRule="auto"/>
        <w:ind w:firstLine="411" w:firstLineChars="196"/>
        <w:rPr>
          <w:rFonts w:hint="eastAsia" w:ascii="仿宋" w:hAnsi="仿宋" w:eastAsia="仿宋" w:cs="仿宋"/>
          <w:b/>
          <w:szCs w:val="21"/>
        </w:rPr>
      </w:pPr>
      <w:bookmarkStart w:id="209" w:name="_Toc20274_WPSOffice_Level1"/>
      <w:bookmarkStart w:id="210" w:name="_Toc12339_WPSOffice_Level1"/>
      <w:bookmarkStart w:id="211" w:name="_Toc405_WPSOffice_Level1"/>
      <w:r>
        <w:rPr>
          <w:rFonts w:hint="eastAsia" w:ascii="仿宋" w:hAnsi="仿宋" w:eastAsia="仿宋" w:cs="仿宋"/>
          <w:b/>
          <w:szCs w:val="21"/>
        </w:rPr>
        <w:t>20.政府采购合同附件</w:t>
      </w:r>
      <w:bookmarkEnd w:id="209"/>
      <w:bookmarkEnd w:id="210"/>
      <w:bookmarkEnd w:id="211"/>
    </w:p>
    <w:p w14:paraId="3C4035FC">
      <w:pPr>
        <w:adjustRightInd w:val="0"/>
        <w:snapToGrid w:val="0"/>
        <w:spacing w:line="360" w:lineRule="auto"/>
        <w:ind w:firstLine="411" w:firstLineChars="196"/>
        <w:rPr>
          <w:rFonts w:hint="eastAsia" w:ascii="仿宋" w:hAnsi="仿宋" w:eastAsia="仿宋" w:cs="仿宋"/>
          <w:szCs w:val="21"/>
        </w:rPr>
      </w:pPr>
      <w:r>
        <w:rPr>
          <w:rFonts w:hint="eastAsia" w:ascii="仿宋" w:hAnsi="仿宋" w:eastAsia="仿宋" w:cs="仿宋"/>
          <w:szCs w:val="21"/>
        </w:rPr>
        <w:t>下列文件构成本政府采购合同不可分割的组成部分，与本政府采购合同具有同等法律效力：</w:t>
      </w:r>
    </w:p>
    <w:p w14:paraId="016DB4F2">
      <w:pPr>
        <w:adjustRightInd w:val="0"/>
        <w:snapToGrid w:val="0"/>
        <w:spacing w:line="360" w:lineRule="auto"/>
        <w:ind w:firstLine="411" w:firstLineChars="196"/>
        <w:rPr>
          <w:rFonts w:hint="eastAsia" w:ascii="仿宋" w:hAnsi="仿宋" w:eastAsia="仿宋" w:cs="仿宋"/>
          <w:szCs w:val="21"/>
        </w:rPr>
      </w:pPr>
      <w:bookmarkStart w:id="212" w:name="_Toc3518_WPSOffice_Level2"/>
      <w:r>
        <w:rPr>
          <w:rFonts w:hint="eastAsia" w:ascii="仿宋" w:hAnsi="仿宋" w:eastAsia="仿宋" w:cs="仿宋"/>
          <w:szCs w:val="21"/>
        </w:rPr>
        <w:t>20.1招标文件；</w:t>
      </w:r>
      <w:bookmarkEnd w:id="212"/>
    </w:p>
    <w:p w14:paraId="49D849DD">
      <w:pPr>
        <w:adjustRightInd w:val="0"/>
        <w:snapToGrid w:val="0"/>
        <w:spacing w:line="360" w:lineRule="auto"/>
        <w:ind w:firstLine="411" w:firstLineChars="196"/>
        <w:rPr>
          <w:rFonts w:hint="eastAsia" w:ascii="仿宋" w:hAnsi="仿宋" w:eastAsia="仿宋" w:cs="仿宋"/>
          <w:szCs w:val="21"/>
        </w:rPr>
      </w:pPr>
      <w:bookmarkStart w:id="213" w:name="_Toc7342_WPSOffice_Level2"/>
      <w:r>
        <w:rPr>
          <w:rFonts w:hint="eastAsia" w:ascii="仿宋" w:hAnsi="仿宋" w:eastAsia="仿宋" w:cs="仿宋"/>
          <w:szCs w:val="21"/>
        </w:rPr>
        <w:t>20.2招标文件的更正公告.变更公告；</w:t>
      </w:r>
      <w:bookmarkEnd w:id="213"/>
    </w:p>
    <w:p w14:paraId="274319D9">
      <w:pPr>
        <w:adjustRightInd w:val="0"/>
        <w:snapToGrid w:val="0"/>
        <w:spacing w:line="360" w:lineRule="auto"/>
        <w:ind w:firstLine="411" w:firstLineChars="196"/>
        <w:rPr>
          <w:rFonts w:hint="eastAsia" w:ascii="仿宋" w:hAnsi="仿宋" w:eastAsia="仿宋" w:cs="仿宋"/>
          <w:szCs w:val="21"/>
        </w:rPr>
      </w:pPr>
      <w:bookmarkStart w:id="214" w:name="_Toc576_WPSOffice_Level2"/>
      <w:r>
        <w:rPr>
          <w:rFonts w:hint="eastAsia" w:ascii="仿宋" w:hAnsi="仿宋" w:eastAsia="仿宋" w:cs="仿宋"/>
          <w:szCs w:val="21"/>
        </w:rPr>
        <w:t>20.3中标人提交的投标文件；</w:t>
      </w:r>
      <w:bookmarkEnd w:id="214"/>
    </w:p>
    <w:p w14:paraId="1F30D09C">
      <w:pPr>
        <w:adjustRightInd w:val="0"/>
        <w:snapToGrid w:val="0"/>
        <w:spacing w:line="360" w:lineRule="auto"/>
        <w:ind w:firstLine="411" w:firstLineChars="196"/>
        <w:rPr>
          <w:rFonts w:hint="eastAsia" w:ascii="仿宋" w:hAnsi="仿宋" w:eastAsia="仿宋" w:cs="仿宋"/>
          <w:szCs w:val="21"/>
        </w:rPr>
      </w:pPr>
      <w:bookmarkStart w:id="215" w:name="_Toc25464_WPSOffice_Level2"/>
      <w:r>
        <w:rPr>
          <w:rFonts w:hint="eastAsia" w:ascii="仿宋" w:hAnsi="仿宋" w:eastAsia="仿宋" w:cs="仿宋"/>
          <w:szCs w:val="21"/>
        </w:rPr>
        <w:t>20.4政府采购合同条款；</w:t>
      </w:r>
      <w:bookmarkEnd w:id="215"/>
    </w:p>
    <w:p w14:paraId="40B1F19A">
      <w:pPr>
        <w:adjustRightInd w:val="0"/>
        <w:snapToGrid w:val="0"/>
        <w:spacing w:line="360" w:lineRule="auto"/>
        <w:ind w:firstLine="411" w:firstLineChars="196"/>
        <w:rPr>
          <w:rFonts w:hint="eastAsia" w:ascii="仿宋" w:hAnsi="仿宋" w:eastAsia="仿宋" w:cs="仿宋"/>
          <w:szCs w:val="21"/>
        </w:rPr>
      </w:pPr>
      <w:bookmarkStart w:id="216" w:name="_Toc25590_WPSOffice_Level2"/>
      <w:r>
        <w:rPr>
          <w:rFonts w:hint="eastAsia" w:ascii="仿宋" w:hAnsi="仿宋" w:eastAsia="仿宋" w:cs="仿宋"/>
          <w:szCs w:val="21"/>
        </w:rPr>
        <w:t>20.5中标通知书；</w:t>
      </w:r>
      <w:bookmarkEnd w:id="216"/>
    </w:p>
    <w:p w14:paraId="590921F8">
      <w:pPr>
        <w:adjustRightInd w:val="0"/>
        <w:snapToGrid w:val="0"/>
        <w:spacing w:line="360" w:lineRule="auto"/>
        <w:ind w:firstLine="411" w:firstLineChars="196"/>
        <w:rPr>
          <w:rFonts w:hint="eastAsia" w:ascii="仿宋" w:hAnsi="仿宋" w:eastAsia="仿宋" w:cs="仿宋"/>
          <w:szCs w:val="21"/>
        </w:rPr>
      </w:pPr>
      <w:bookmarkStart w:id="217" w:name="_Toc10297_WPSOffice_Level2"/>
      <w:r>
        <w:rPr>
          <w:rFonts w:hint="eastAsia" w:ascii="仿宋" w:hAnsi="仿宋" w:eastAsia="仿宋" w:cs="仿宋"/>
          <w:szCs w:val="21"/>
        </w:rPr>
        <w:t>20.6政府采购合同的其它附件。</w:t>
      </w:r>
      <w:bookmarkEnd w:id="217"/>
    </w:p>
    <w:p w14:paraId="60267BDC">
      <w:pPr>
        <w:ind w:firstLine="470" w:firstLineChars="196"/>
        <w:rPr>
          <w:rFonts w:hint="eastAsia" w:ascii="仿宋" w:hAnsi="仿宋" w:eastAsia="仿宋" w:cs="仿宋"/>
          <w:sz w:val="24"/>
        </w:rPr>
      </w:pPr>
    </w:p>
    <w:p w14:paraId="43E6CE58">
      <w:pPr>
        <w:ind w:firstLine="470" w:firstLineChars="196"/>
        <w:rPr>
          <w:rFonts w:hint="eastAsia" w:ascii="仿宋" w:hAnsi="仿宋" w:eastAsia="仿宋" w:cs="仿宋"/>
          <w:sz w:val="24"/>
        </w:rPr>
      </w:pPr>
    </w:p>
    <w:p w14:paraId="627ADBEE">
      <w:pPr>
        <w:rPr>
          <w:rFonts w:hint="eastAsia" w:ascii="仿宋" w:hAnsi="仿宋" w:eastAsia="仿宋" w:cs="仿宋"/>
          <w:sz w:val="24"/>
        </w:rPr>
      </w:pPr>
      <w:r>
        <w:rPr>
          <w:rFonts w:hint="eastAsia" w:ascii="仿宋" w:hAnsi="仿宋" w:eastAsia="仿宋" w:cs="仿宋"/>
          <w:sz w:val="24"/>
        </w:rPr>
        <w:br w:type="page"/>
      </w:r>
    </w:p>
    <w:p w14:paraId="33F820C8">
      <w:pPr>
        <w:pStyle w:val="3"/>
        <w:adjustRightInd w:val="0"/>
        <w:snapToGrid w:val="0"/>
        <w:spacing w:before="0" w:after="0" w:line="240" w:lineRule="auto"/>
        <w:jc w:val="left"/>
        <w:rPr>
          <w:rFonts w:hint="eastAsia" w:ascii="仿宋" w:hAnsi="仿宋" w:eastAsia="仿宋" w:cs="仿宋"/>
          <w:sz w:val="21"/>
          <w:szCs w:val="21"/>
        </w:rPr>
      </w:pPr>
      <w:bookmarkStart w:id="218" w:name="_Toc372_WPSOffice_Level1"/>
      <w:bookmarkStart w:id="219" w:name="_Toc3044_WPSOffice_Level1"/>
      <w:bookmarkStart w:id="220" w:name="_Toc7342_WPSOffice_Level1"/>
      <w:r>
        <w:rPr>
          <w:rFonts w:hint="eastAsia" w:ascii="仿宋" w:hAnsi="仿宋" w:eastAsia="仿宋" w:cs="仿宋"/>
          <w:szCs w:val="28"/>
        </w:rPr>
        <w:t>合同格式</w:t>
      </w:r>
      <w:bookmarkEnd w:id="218"/>
      <w:bookmarkEnd w:id="219"/>
      <w:bookmarkEnd w:id="220"/>
      <w:r>
        <w:rPr>
          <w:rFonts w:hint="eastAsia" w:ascii="仿宋" w:hAnsi="仿宋" w:eastAsia="仿宋" w:cs="仿宋"/>
          <w:szCs w:val="28"/>
        </w:rPr>
        <w:t xml:space="preserve">   </w:t>
      </w:r>
    </w:p>
    <w:p w14:paraId="7A57DA00">
      <w:pPr>
        <w:adjustRightInd w:val="0"/>
        <w:snapToGrid w:val="0"/>
        <w:spacing w:line="360" w:lineRule="auto"/>
        <w:jc w:val="center"/>
        <w:rPr>
          <w:rFonts w:hint="eastAsia" w:ascii="仿宋" w:hAnsi="仿宋" w:eastAsia="仿宋" w:cs="仿宋"/>
          <w:b/>
          <w:bCs/>
          <w:sz w:val="44"/>
          <w:szCs w:val="44"/>
        </w:rPr>
      </w:pPr>
      <w:bookmarkStart w:id="221" w:name="_Toc7832_WPSOffice_Level1"/>
      <w:bookmarkStart w:id="222" w:name="_Toc11644_WPSOffice_Level1"/>
      <w:r>
        <w:rPr>
          <w:rFonts w:hint="eastAsia" w:ascii="仿宋" w:hAnsi="仿宋" w:eastAsia="仿宋" w:cs="仿宋"/>
          <w:b/>
          <w:bCs/>
          <w:sz w:val="44"/>
          <w:szCs w:val="44"/>
        </w:rPr>
        <w:t>政府采购合同格式</w:t>
      </w:r>
      <w:bookmarkEnd w:id="221"/>
      <w:bookmarkEnd w:id="222"/>
    </w:p>
    <w:p w14:paraId="708C912A">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政府采购合同编号：</w:t>
      </w:r>
    </w:p>
    <w:p w14:paraId="58D28422">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签订地点：</w:t>
      </w:r>
    </w:p>
    <w:p w14:paraId="2505315A">
      <w:pPr>
        <w:adjustRightInd w:val="0"/>
        <w:snapToGrid w:val="0"/>
        <w:spacing w:line="360" w:lineRule="auto"/>
        <w:ind w:firstLine="640"/>
        <w:jc w:val="left"/>
        <w:rPr>
          <w:rFonts w:hint="eastAsia" w:ascii="仿宋" w:hAnsi="仿宋" w:eastAsia="仿宋" w:cs="仿宋"/>
          <w:szCs w:val="21"/>
        </w:rPr>
      </w:pPr>
      <w:r>
        <w:rPr>
          <w:rFonts w:hint="eastAsia" w:ascii="仿宋" w:hAnsi="仿宋" w:eastAsia="仿宋" w:cs="仿宋"/>
          <w:szCs w:val="21"/>
          <w:u w:val="single"/>
        </w:rPr>
        <w:t xml:space="preserve">    (需方名称</w:t>
      </w:r>
      <w:r>
        <w:rPr>
          <w:rFonts w:hint="eastAsia" w:ascii="仿宋" w:hAnsi="仿宋" w:eastAsia="仿宋" w:cs="仿宋"/>
          <w:szCs w:val="21"/>
        </w:rPr>
        <w:t>)</w:t>
      </w:r>
      <w:r>
        <w:rPr>
          <w:rFonts w:hint="eastAsia" w:ascii="仿宋" w:hAnsi="仿宋" w:eastAsia="仿宋" w:cs="仿宋"/>
          <w:szCs w:val="21"/>
          <w:u w:val="single"/>
        </w:rPr>
        <w:t xml:space="preserve">            </w:t>
      </w:r>
      <w:r>
        <w:rPr>
          <w:rFonts w:hint="eastAsia" w:ascii="仿宋" w:hAnsi="仿宋" w:eastAsia="仿宋" w:cs="仿宋"/>
          <w:szCs w:val="21"/>
        </w:rPr>
        <w:t xml:space="preserve"> （以下简称需方）和</w:t>
      </w:r>
      <w:r>
        <w:rPr>
          <w:rFonts w:hint="eastAsia" w:ascii="仿宋" w:hAnsi="仿宋" w:eastAsia="仿宋" w:cs="仿宋"/>
          <w:szCs w:val="21"/>
          <w:u w:val="single"/>
        </w:rPr>
        <w:t xml:space="preserve">   (供方名称)    </w:t>
      </w:r>
      <w:r>
        <w:rPr>
          <w:rFonts w:hint="eastAsia" w:ascii="仿宋" w:hAnsi="仿宋" w:eastAsia="仿宋" w:cs="仿宋"/>
          <w:szCs w:val="21"/>
        </w:rPr>
        <w:t xml:space="preserve"> （以下简称供方）根据《中华人民共和国合同法》和有关法律法规，遵循平等.自愿.公平和诚实信用原则，同意按照下面的条款和条件订立本政府采购合同，共同信守。</w:t>
      </w:r>
    </w:p>
    <w:p w14:paraId="60E6534D">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23" w:name="_Toc13230_WPSOffice_Level2"/>
      <w:r>
        <w:rPr>
          <w:rFonts w:hint="eastAsia" w:ascii="仿宋" w:hAnsi="仿宋" w:eastAsia="仿宋" w:cs="仿宋"/>
          <w:b/>
          <w:szCs w:val="21"/>
        </w:rPr>
        <w:t>一.政府采购合同文件</w:t>
      </w:r>
      <w:bookmarkEnd w:id="223"/>
    </w:p>
    <w:p w14:paraId="22DC9AE5">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本政府采购合同所附下列文件是构成本政府采购合同不可分割的部分：</w:t>
      </w:r>
    </w:p>
    <w:p w14:paraId="095D9AF1">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1.招标文件（招标文件编号</w:t>
      </w:r>
      <w:r>
        <w:rPr>
          <w:rFonts w:hint="eastAsia" w:ascii="仿宋" w:hAnsi="仿宋" w:eastAsia="仿宋" w:cs="仿宋"/>
          <w:szCs w:val="21"/>
          <w:u w:val="single"/>
        </w:rPr>
        <w:t xml:space="preserve">           </w:t>
      </w:r>
      <w:r>
        <w:rPr>
          <w:rFonts w:hint="eastAsia" w:ascii="仿宋" w:hAnsi="仿宋" w:eastAsia="仿宋" w:cs="仿宋"/>
          <w:szCs w:val="21"/>
        </w:rPr>
        <w:t>）；</w:t>
      </w:r>
    </w:p>
    <w:p w14:paraId="2ADD1211">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2.招标文件的更正公告.变更公告；</w:t>
      </w:r>
    </w:p>
    <w:p w14:paraId="6F6BF737">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3.中标人提交的投标文件；</w:t>
      </w:r>
    </w:p>
    <w:p w14:paraId="4D0160AA">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4.政府采购合同条款；</w:t>
      </w:r>
    </w:p>
    <w:p w14:paraId="29C1A653">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5.中标通知书；</w:t>
      </w:r>
    </w:p>
    <w:p w14:paraId="64CF07F5">
      <w:pPr>
        <w:adjustRightInd w:val="0"/>
        <w:snapToGrid w:val="0"/>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6.政府采购合同的其它附件。</w:t>
      </w:r>
    </w:p>
    <w:p w14:paraId="56C8F5DA">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24" w:name="_Toc19527_WPSOffice_Level2"/>
      <w:r>
        <w:rPr>
          <w:rFonts w:hint="eastAsia" w:ascii="仿宋" w:hAnsi="仿宋" w:eastAsia="仿宋" w:cs="仿宋"/>
          <w:b/>
          <w:szCs w:val="21"/>
        </w:rPr>
        <w:t>二.政府采购合同范围和条件</w:t>
      </w:r>
      <w:bookmarkEnd w:id="224"/>
    </w:p>
    <w:p w14:paraId="3A7825A0">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本政府采购合同的范围和条件与上述政府采购合同文件的规定相一致。</w:t>
      </w:r>
    </w:p>
    <w:p w14:paraId="7F5C80CF">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25" w:name="_Toc18050_WPSOffice_Level2"/>
      <w:r>
        <w:rPr>
          <w:rFonts w:hint="eastAsia" w:ascii="仿宋" w:hAnsi="仿宋" w:eastAsia="仿宋" w:cs="仿宋"/>
          <w:b/>
          <w:szCs w:val="21"/>
        </w:rPr>
        <w:t>三.政府采购合同标的</w:t>
      </w:r>
      <w:bookmarkEnd w:id="225"/>
    </w:p>
    <w:p w14:paraId="142F885F">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本政府采购合同的标的和数量为政府采购合同货物清单(同投标文件中投标产品价格明细表)中所列货物及相关服务。</w:t>
      </w:r>
    </w:p>
    <w:p w14:paraId="440CA31C">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26" w:name="_Toc27886_WPSOffice_Level2"/>
      <w:r>
        <w:rPr>
          <w:rFonts w:hint="eastAsia" w:ascii="仿宋" w:hAnsi="仿宋" w:eastAsia="仿宋" w:cs="仿宋"/>
          <w:b/>
          <w:szCs w:val="21"/>
        </w:rPr>
        <w:t>四.政府采购合同金额</w:t>
      </w:r>
      <w:bookmarkEnd w:id="226"/>
    </w:p>
    <w:p w14:paraId="0A854391">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根据上述政府采购合同文件要求，政府采购合同的总金额为人民币</w:t>
      </w:r>
      <w:r>
        <w:rPr>
          <w:rFonts w:hint="eastAsia" w:ascii="仿宋" w:hAnsi="仿宋" w:eastAsia="仿宋" w:cs="仿宋"/>
          <w:szCs w:val="21"/>
          <w:u w:val="single"/>
        </w:rPr>
        <w:t xml:space="preserve">  （大写）                </w:t>
      </w:r>
      <w:r>
        <w:rPr>
          <w:rFonts w:hint="eastAsia" w:ascii="仿宋" w:hAnsi="仿宋" w:eastAsia="仿宋" w:cs="仿宋"/>
          <w:szCs w:val="21"/>
        </w:rPr>
        <w:t xml:space="preserve"> 元。</w:t>
      </w:r>
    </w:p>
    <w:p w14:paraId="2716AF26">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注：存在分项产品的必须清晰列明分项产品明细，包括名称.数量.分项报价等，并作为合同组成部分。</w:t>
      </w:r>
    </w:p>
    <w:p w14:paraId="2C4C3A55">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27" w:name="_Toc22211_WPSOffice_Level2"/>
      <w:r>
        <w:rPr>
          <w:rFonts w:hint="eastAsia" w:ascii="仿宋" w:hAnsi="仿宋" w:eastAsia="仿宋" w:cs="仿宋"/>
          <w:b/>
          <w:szCs w:val="21"/>
        </w:rPr>
        <w:t>五.付款方式及条件</w:t>
      </w:r>
      <w:bookmarkEnd w:id="227"/>
    </w:p>
    <w:p w14:paraId="74602EAE">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1.付款时间：</w:t>
      </w:r>
      <w:r>
        <w:rPr>
          <w:rFonts w:hint="eastAsia" w:ascii="仿宋" w:hAnsi="仿宋" w:eastAsia="仿宋" w:cs="仿宋"/>
          <w:szCs w:val="21"/>
          <w:u w:val="single"/>
        </w:rPr>
        <w:t xml:space="preserve">        </w:t>
      </w:r>
    </w:p>
    <w:p w14:paraId="5A156408">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2.付款方式：</w:t>
      </w:r>
      <w:r>
        <w:rPr>
          <w:rFonts w:hint="eastAsia" w:ascii="仿宋" w:hAnsi="仿宋" w:eastAsia="仿宋" w:cs="仿宋"/>
          <w:szCs w:val="21"/>
          <w:u w:val="single"/>
        </w:rPr>
        <w:t xml:space="preserve">        </w:t>
      </w:r>
    </w:p>
    <w:p w14:paraId="6CFDF90E">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3.付款条件：</w:t>
      </w:r>
      <w:r>
        <w:rPr>
          <w:rFonts w:hint="eastAsia" w:ascii="仿宋" w:hAnsi="仿宋" w:eastAsia="仿宋" w:cs="仿宋"/>
          <w:szCs w:val="21"/>
          <w:u w:val="single"/>
        </w:rPr>
        <w:t xml:space="preserve">        </w:t>
      </w:r>
    </w:p>
    <w:p w14:paraId="4AE77260">
      <w:pPr>
        <w:adjustRightInd w:val="0"/>
        <w:snapToGrid w:val="0"/>
        <w:spacing w:line="360" w:lineRule="auto"/>
        <w:jc w:val="left"/>
        <w:rPr>
          <w:rFonts w:hint="eastAsia" w:ascii="仿宋" w:hAnsi="仿宋" w:eastAsia="仿宋" w:cs="仿宋"/>
          <w:szCs w:val="21"/>
        </w:rPr>
      </w:pPr>
      <w:r>
        <w:rPr>
          <w:rFonts w:hint="eastAsia" w:ascii="仿宋" w:hAnsi="仿宋" w:eastAsia="仿宋" w:cs="仿宋"/>
          <w:b/>
          <w:szCs w:val="21"/>
        </w:rPr>
        <w:t>　　</w:t>
      </w:r>
      <w:bookmarkStart w:id="228" w:name="_Toc27813_WPSOffice_Level2"/>
      <w:r>
        <w:rPr>
          <w:rFonts w:hint="eastAsia" w:ascii="仿宋" w:hAnsi="仿宋" w:eastAsia="仿宋" w:cs="仿宋"/>
          <w:b/>
          <w:szCs w:val="21"/>
        </w:rPr>
        <w:t>六.交货时间和交货地点</w:t>
      </w:r>
      <w:bookmarkEnd w:id="228"/>
      <w:r>
        <w:rPr>
          <w:rFonts w:hint="eastAsia" w:ascii="仿宋" w:hAnsi="仿宋" w:eastAsia="仿宋" w:cs="仿宋"/>
          <w:szCs w:val="21"/>
        </w:rPr>
        <w:t xml:space="preserve">   </w:t>
      </w:r>
    </w:p>
    <w:p w14:paraId="35908568">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1.交货时间：</w:t>
      </w:r>
      <w:r>
        <w:rPr>
          <w:rFonts w:hint="eastAsia" w:ascii="仿宋" w:hAnsi="仿宋" w:eastAsia="仿宋" w:cs="仿宋"/>
          <w:szCs w:val="21"/>
          <w:u w:val="single"/>
        </w:rPr>
        <w:t xml:space="preserve">        </w:t>
      </w:r>
    </w:p>
    <w:p w14:paraId="1C68F756">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szCs w:val="21"/>
        </w:rPr>
        <w:t xml:space="preserve">    2.交货地点：</w:t>
      </w:r>
      <w:r>
        <w:rPr>
          <w:rFonts w:hint="eastAsia" w:ascii="仿宋" w:hAnsi="仿宋" w:eastAsia="仿宋" w:cs="仿宋"/>
          <w:szCs w:val="21"/>
          <w:u w:val="single"/>
        </w:rPr>
        <w:t xml:space="preserve">        </w:t>
      </w:r>
    </w:p>
    <w:p w14:paraId="3A28250E">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w:t>
      </w:r>
      <w:bookmarkStart w:id="229" w:name="_Toc12497_WPSOffice_Level2"/>
      <w:r>
        <w:rPr>
          <w:rFonts w:hint="eastAsia" w:ascii="仿宋" w:hAnsi="仿宋" w:eastAsia="仿宋" w:cs="仿宋"/>
          <w:b/>
          <w:szCs w:val="21"/>
        </w:rPr>
        <w:t>七.验收要求</w:t>
      </w:r>
      <w:bookmarkEnd w:id="229"/>
    </w:p>
    <w:p w14:paraId="1C5EEE4B">
      <w:pPr>
        <w:adjustRightInd w:val="0"/>
        <w:snapToGrid w:val="0"/>
        <w:spacing w:line="360" w:lineRule="auto"/>
        <w:jc w:val="left"/>
        <w:rPr>
          <w:rFonts w:hint="eastAsia" w:ascii="仿宋" w:hAnsi="仿宋" w:eastAsia="仿宋" w:cs="仿宋"/>
          <w:szCs w:val="21"/>
          <w:u w:val="single"/>
        </w:rPr>
      </w:pPr>
      <w:r>
        <w:rPr>
          <w:rFonts w:hint="eastAsia" w:ascii="仿宋" w:hAnsi="仿宋" w:eastAsia="仿宋" w:cs="仿宋"/>
          <w:b/>
          <w:szCs w:val="21"/>
        </w:rPr>
        <w:t xml:space="preserve">    </w:t>
      </w:r>
      <w:r>
        <w:rPr>
          <w:rFonts w:hint="eastAsia" w:ascii="仿宋" w:hAnsi="仿宋" w:eastAsia="仿宋" w:cs="仿宋"/>
          <w:szCs w:val="21"/>
        </w:rPr>
        <w:t>供方完全履行合同义务后，需方或需方的最终用户按照上述政府采购合同文件列明的标准进行验收，验收不合格的，供方需按照第八条第2款的约定承担相应违约责任。</w:t>
      </w:r>
    </w:p>
    <w:p w14:paraId="7A4B7A27">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xml:space="preserve">    </w:t>
      </w:r>
      <w:bookmarkStart w:id="230" w:name="_Toc4868_WPSOffice_Level2"/>
      <w:r>
        <w:rPr>
          <w:rFonts w:hint="eastAsia" w:ascii="仿宋" w:hAnsi="仿宋" w:eastAsia="仿宋" w:cs="仿宋"/>
          <w:b/>
          <w:szCs w:val="21"/>
        </w:rPr>
        <w:t>八.违约责任</w:t>
      </w:r>
      <w:bookmarkEnd w:id="230"/>
    </w:p>
    <w:p w14:paraId="3AACB2D8">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1.供方逾期供货的，每逾期一天向需方支付逾期供货金额</w:t>
      </w:r>
      <w:r>
        <w:rPr>
          <w:rFonts w:hint="eastAsia" w:ascii="仿宋" w:hAnsi="仿宋" w:eastAsia="仿宋" w:cs="仿宋"/>
          <w:szCs w:val="21"/>
          <w:u w:val="single"/>
        </w:rPr>
        <w:t xml:space="preserve">  </w:t>
      </w:r>
      <w:r>
        <w:rPr>
          <w:rFonts w:hint="eastAsia" w:ascii="仿宋" w:hAnsi="仿宋" w:eastAsia="仿宋" w:cs="仿宋"/>
          <w:szCs w:val="21"/>
        </w:rPr>
        <w:t>%的违约金，逾期</w:t>
      </w:r>
      <w:r>
        <w:rPr>
          <w:rFonts w:hint="eastAsia" w:ascii="仿宋" w:hAnsi="仿宋" w:eastAsia="仿宋" w:cs="仿宋"/>
          <w:szCs w:val="21"/>
          <w:u w:val="single"/>
        </w:rPr>
        <w:t xml:space="preserve">  </w:t>
      </w:r>
      <w:r>
        <w:rPr>
          <w:rFonts w:hint="eastAsia" w:ascii="仿宋" w:hAnsi="仿宋" w:eastAsia="仿宋" w:cs="仿宋"/>
          <w:szCs w:val="21"/>
        </w:rPr>
        <w:t>日的，需方有权单方面解除本协议。</w:t>
      </w:r>
    </w:p>
    <w:p w14:paraId="45D8FC4A">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27B1C667">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 xml:space="preserve">    3.需方逾期付款的，每逾期一天向供方支付逾期金额</w:t>
      </w:r>
      <w:r>
        <w:rPr>
          <w:rFonts w:hint="eastAsia" w:ascii="仿宋" w:hAnsi="仿宋" w:eastAsia="仿宋" w:cs="仿宋"/>
          <w:szCs w:val="21"/>
          <w:u w:val="single"/>
        </w:rPr>
        <w:t xml:space="preserve">  </w:t>
      </w:r>
      <w:r>
        <w:rPr>
          <w:rFonts w:hint="eastAsia" w:ascii="仿宋" w:hAnsi="仿宋" w:eastAsia="仿宋" w:cs="仿宋"/>
          <w:szCs w:val="21"/>
        </w:rPr>
        <w:t>%的违约金，逾期</w:t>
      </w:r>
      <w:r>
        <w:rPr>
          <w:rFonts w:hint="eastAsia" w:ascii="仿宋" w:hAnsi="仿宋" w:eastAsia="仿宋" w:cs="仿宋"/>
          <w:szCs w:val="21"/>
          <w:u w:val="single"/>
        </w:rPr>
        <w:t xml:space="preserve">  </w:t>
      </w:r>
      <w:r>
        <w:rPr>
          <w:rFonts w:hint="eastAsia" w:ascii="仿宋" w:hAnsi="仿宋" w:eastAsia="仿宋" w:cs="仿宋"/>
          <w:szCs w:val="21"/>
        </w:rPr>
        <w:t>日的，供方有权单方面解除本协议。</w:t>
      </w:r>
    </w:p>
    <w:p w14:paraId="3838BBED">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xml:space="preserve">    </w:t>
      </w:r>
      <w:bookmarkStart w:id="231" w:name="_Toc24496_WPSOffice_Level2"/>
      <w:r>
        <w:rPr>
          <w:rFonts w:hint="eastAsia" w:ascii="仿宋" w:hAnsi="仿宋" w:eastAsia="仿宋" w:cs="仿宋"/>
          <w:b/>
          <w:szCs w:val="21"/>
        </w:rPr>
        <w:t>九.争议解决</w:t>
      </w:r>
      <w:bookmarkEnd w:id="231"/>
    </w:p>
    <w:p w14:paraId="6ECA2794">
      <w:pPr>
        <w:adjustRightInd w:val="0"/>
        <w:snapToGrid w:val="0"/>
        <w:spacing w:line="360" w:lineRule="auto"/>
        <w:jc w:val="left"/>
        <w:rPr>
          <w:rFonts w:hint="eastAsia" w:ascii="仿宋" w:hAnsi="仿宋" w:eastAsia="仿宋" w:cs="仿宋"/>
          <w:b/>
          <w:szCs w:val="21"/>
        </w:rPr>
      </w:pPr>
      <w:r>
        <w:rPr>
          <w:rFonts w:hint="eastAsia" w:ascii="仿宋" w:hAnsi="仿宋" w:eastAsia="仿宋" w:cs="仿宋"/>
          <w:szCs w:val="21"/>
        </w:rPr>
        <w:t xml:space="preserve">    双方因履行本协议而产生的争议，应友好协商解决，协商不成的，任何一方可向需方所在地的人民法院提起诉讼。</w:t>
      </w:r>
    </w:p>
    <w:p w14:paraId="30661F64">
      <w:pPr>
        <w:adjustRightInd w:val="0"/>
        <w:snapToGrid w:val="0"/>
        <w:spacing w:line="360" w:lineRule="auto"/>
        <w:jc w:val="left"/>
        <w:rPr>
          <w:rFonts w:hint="eastAsia" w:ascii="仿宋" w:hAnsi="仿宋" w:eastAsia="仿宋" w:cs="仿宋"/>
          <w:b/>
          <w:szCs w:val="21"/>
        </w:rPr>
      </w:pPr>
      <w:r>
        <w:rPr>
          <w:rFonts w:hint="eastAsia" w:ascii="仿宋" w:hAnsi="仿宋" w:eastAsia="仿宋" w:cs="仿宋"/>
          <w:b/>
          <w:szCs w:val="21"/>
        </w:rPr>
        <w:t xml:space="preserve">    </w:t>
      </w:r>
      <w:bookmarkStart w:id="232" w:name="_Toc24974_WPSOffice_Level2"/>
      <w:r>
        <w:rPr>
          <w:rFonts w:hint="eastAsia" w:ascii="仿宋" w:hAnsi="仿宋" w:eastAsia="仿宋" w:cs="仿宋"/>
          <w:b/>
          <w:szCs w:val="21"/>
        </w:rPr>
        <w:t>十.合同生效</w:t>
      </w:r>
      <w:bookmarkEnd w:id="232"/>
    </w:p>
    <w:p w14:paraId="1F52D2A3">
      <w:pPr>
        <w:adjustRightInd w:val="0"/>
        <w:snapToGrid w:val="0"/>
        <w:spacing w:line="360" w:lineRule="auto"/>
        <w:ind w:firstLine="420"/>
        <w:jc w:val="left"/>
        <w:rPr>
          <w:rFonts w:hint="eastAsia" w:ascii="仿宋" w:hAnsi="仿宋" w:eastAsia="仿宋" w:cs="仿宋"/>
          <w:szCs w:val="21"/>
        </w:rPr>
      </w:pPr>
      <w:r>
        <w:rPr>
          <w:rFonts w:hint="eastAsia" w:ascii="仿宋" w:hAnsi="仿宋" w:eastAsia="仿宋" w:cs="仿宋"/>
          <w:szCs w:val="21"/>
        </w:rPr>
        <w:t>本政府采购合同经双方授权代表签字盖章后生效。</w:t>
      </w:r>
    </w:p>
    <w:p w14:paraId="525E938C">
      <w:pPr>
        <w:adjustRightInd w:val="0"/>
        <w:snapToGrid w:val="0"/>
        <w:spacing w:line="360" w:lineRule="auto"/>
        <w:ind w:firstLine="420"/>
        <w:jc w:val="left"/>
        <w:rPr>
          <w:rFonts w:hint="eastAsia" w:ascii="仿宋" w:hAnsi="仿宋" w:eastAsia="仿宋" w:cs="仿宋"/>
          <w:szCs w:val="21"/>
        </w:rPr>
      </w:pPr>
    </w:p>
    <w:p w14:paraId="605E4585">
      <w:pPr>
        <w:adjustRightInd w:val="0"/>
        <w:snapToGrid w:val="0"/>
        <w:spacing w:line="360" w:lineRule="auto"/>
        <w:ind w:firstLine="420"/>
        <w:jc w:val="left"/>
        <w:rPr>
          <w:rFonts w:hint="eastAsia" w:ascii="仿宋" w:hAnsi="仿宋" w:eastAsia="仿宋" w:cs="仿宋"/>
          <w:szCs w:val="21"/>
        </w:rPr>
      </w:pPr>
    </w:p>
    <w:p w14:paraId="1D93DBD8">
      <w:pPr>
        <w:adjustRightInd w:val="0"/>
        <w:snapToGrid w:val="0"/>
        <w:spacing w:line="360" w:lineRule="auto"/>
        <w:ind w:firstLine="420"/>
        <w:jc w:val="left"/>
        <w:rPr>
          <w:rFonts w:hint="eastAsia" w:ascii="仿宋" w:hAnsi="仿宋" w:eastAsia="仿宋" w:cs="仿宋"/>
          <w:szCs w:val="21"/>
        </w:rPr>
      </w:pPr>
    </w:p>
    <w:p w14:paraId="661E76B5">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需方（公章）：</w:t>
      </w:r>
      <w:r>
        <w:rPr>
          <w:rFonts w:hint="eastAsia" w:ascii="仿宋" w:hAnsi="仿宋" w:eastAsia="仿宋" w:cs="仿宋"/>
          <w:szCs w:val="21"/>
          <w:u w:val="single"/>
        </w:rPr>
        <w:t xml:space="preserve">                     </w:t>
      </w:r>
      <w:r>
        <w:rPr>
          <w:rFonts w:hint="eastAsia" w:ascii="仿宋" w:hAnsi="仿宋" w:eastAsia="仿宋" w:cs="仿宋"/>
          <w:szCs w:val="21"/>
        </w:rPr>
        <w:t xml:space="preserve">        供方(公章)：</w:t>
      </w:r>
      <w:r>
        <w:rPr>
          <w:rFonts w:hint="eastAsia" w:ascii="仿宋" w:hAnsi="仿宋" w:eastAsia="仿宋" w:cs="仿宋"/>
          <w:szCs w:val="21"/>
          <w:u w:val="single"/>
        </w:rPr>
        <w:t xml:space="preserve">                     </w:t>
      </w:r>
    </w:p>
    <w:p w14:paraId="3BF670BB">
      <w:pPr>
        <w:adjustRightInd w:val="0"/>
        <w:snapToGrid w:val="0"/>
        <w:spacing w:line="360" w:lineRule="auto"/>
        <w:jc w:val="left"/>
        <w:rPr>
          <w:rFonts w:hint="eastAsia" w:ascii="仿宋" w:hAnsi="仿宋" w:eastAsia="仿宋" w:cs="仿宋"/>
          <w:szCs w:val="21"/>
        </w:rPr>
      </w:pPr>
      <w:r>
        <w:rPr>
          <w:rFonts w:hint="eastAsia" w:ascii="仿宋" w:hAnsi="仿宋" w:eastAsia="仿宋" w:cs="仿宋"/>
          <w:szCs w:val="21"/>
        </w:rPr>
        <w:t>法定代表人或授权代表人(签字):</w:t>
      </w:r>
      <w:r>
        <w:rPr>
          <w:rFonts w:hint="eastAsia" w:ascii="仿宋" w:hAnsi="仿宋" w:eastAsia="仿宋" w:cs="仿宋"/>
          <w:szCs w:val="21"/>
          <w:u w:val="single"/>
        </w:rPr>
        <w:t xml:space="preserve">     </w:t>
      </w:r>
      <w:r>
        <w:rPr>
          <w:rFonts w:hint="eastAsia" w:ascii="仿宋" w:hAnsi="仿宋" w:eastAsia="仿宋" w:cs="仿宋"/>
          <w:szCs w:val="21"/>
        </w:rPr>
        <w:t xml:space="preserve">        法定代表人或授权代表人(签字):</w:t>
      </w:r>
      <w:r>
        <w:rPr>
          <w:rFonts w:hint="eastAsia" w:ascii="仿宋" w:hAnsi="仿宋" w:eastAsia="仿宋" w:cs="仿宋"/>
          <w:szCs w:val="21"/>
          <w:u w:val="single"/>
        </w:rPr>
        <w:t xml:space="preserve">     </w:t>
      </w:r>
    </w:p>
    <w:p w14:paraId="25402762">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地址：</w:t>
      </w:r>
      <w:r>
        <w:rPr>
          <w:rFonts w:hint="eastAsia" w:ascii="仿宋" w:hAnsi="仿宋" w:eastAsia="仿宋" w:cs="仿宋"/>
          <w:szCs w:val="21"/>
          <w:u w:val="single"/>
        </w:rPr>
        <w:t xml:space="preserve">                            </w:t>
      </w:r>
      <w:r>
        <w:rPr>
          <w:rFonts w:hint="eastAsia" w:ascii="仿宋" w:hAnsi="仿宋" w:eastAsia="仿宋" w:cs="仿宋"/>
          <w:szCs w:val="21"/>
        </w:rPr>
        <w:t xml:space="preserve">        地址：</w:t>
      </w:r>
      <w:r>
        <w:rPr>
          <w:rFonts w:hint="eastAsia" w:ascii="仿宋" w:hAnsi="仿宋" w:eastAsia="仿宋" w:cs="仿宋"/>
          <w:szCs w:val="21"/>
          <w:u w:val="single"/>
        </w:rPr>
        <w:t xml:space="preserve">                            </w:t>
      </w:r>
    </w:p>
    <w:p w14:paraId="38E5ECBE">
      <w:pPr>
        <w:adjustRightInd w:val="0"/>
        <w:snapToGrid w:val="0"/>
        <w:spacing w:line="360" w:lineRule="auto"/>
        <w:rPr>
          <w:rFonts w:hint="eastAsia" w:ascii="仿宋" w:hAnsi="仿宋" w:eastAsia="仿宋" w:cs="仿宋"/>
          <w:szCs w:val="21"/>
        </w:rPr>
      </w:pPr>
      <w:r>
        <w:rPr>
          <w:rFonts w:hint="eastAsia" w:ascii="仿宋" w:hAnsi="仿宋" w:eastAsia="仿宋" w:cs="仿宋"/>
          <w:szCs w:val="21"/>
        </w:rPr>
        <w:t>联系人：</w:t>
      </w:r>
      <w:r>
        <w:rPr>
          <w:rFonts w:hint="eastAsia" w:ascii="仿宋" w:hAnsi="仿宋" w:eastAsia="仿宋" w:cs="仿宋"/>
          <w:szCs w:val="21"/>
          <w:u w:val="single"/>
        </w:rPr>
        <w:t xml:space="preserve">                          </w:t>
      </w:r>
      <w:r>
        <w:rPr>
          <w:rFonts w:hint="eastAsia" w:ascii="仿宋" w:hAnsi="仿宋" w:eastAsia="仿宋" w:cs="仿宋"/>
          <w:szCs w:val="21"/>
        </w:rPr>
        <w:t xml:space="preserve">        联系人：</w:t>
      </w:r>
      <w:r>
        <w:rPr>
          <w:rFonts w:hint="eastAsia" w:ascii="仿宋" w:hAnsi="仿宋" w:eastAsia="仿宋" w:cs="仿宋"/>
          <w:szCs w:val="21"/>
          <w:u w:val="single"/>
        </w:rPr>
        <w:t xml:space="preserve">                          </w:t>
      </w:r>
    </w:p>
    <w:p w14:paraId="4DD0532C">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电话：</w:t>
      </w:r>
      <w:r>
        <w:rPr>
          <w:rFonts w:hint="eastAsia" w:ascii="仿宋" w:hAnsi="仿宋" w:eastAsia="仿宋" w:cs="仿宋"/>
          <w:szCs w:val="21"/>
          <w:u w:val="single"/>
        </w:rPr>
        <w:t xml:space="preserve">                            </w:t>
      </w:r>
      <w:r>
        <w:rPr>
          <w:rFonts w:hint="eastAsia" w:ascii="仿宋" w:hAnsi="仿宋" w:eastAsia="仿宋" w:cs="仿宋"/>
          <w:szCs w:val="21"/>
        </w:rPr>
        <w:t xml:space="preserve">        电话：</w:t>
      </w:r>
      <w:r>
        <w:rPr>
          <w:rFonts w:hint="eastAsia" w:ascii="仿宋" w:hAnsi="仿宋" w:eastAsia="仿宋" w:cs="仿宋"/>
          <w:szCs w:val="21"/>
          <w:u w:val="single"/>
        </w:rPr>
        <w:t xml:space="preserve">                            </w:t>
      </w:r>
    </w:p>
    <w:p w14:paraId="26025903">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传真：</w:t>
      </w:r>
      <w:r>
        <w:rPr>
          <w:rFonts w:hint="eastAsia" w:ascii="仿宋" w:hAnsi="仿宋" w:eastAsia="仿宋" w:cs="仿宋"/>
          <w:szCs w:val="21"/>
          <w:u w:val="single"/>
        </w:rPr>
        <w:t xml:space="preserve">                            </w:t>
      </w:r>
      <w:r>
        <w:rPr>
          <w:rFonts w:hint="eastAsia" w:ascii="仿宋" w:hAnsi="仿宋" w:eastAsia="仿宋" w:cs="仿宋"/>
          <w:szCs w:val="21"/>
        </w:rPr>
        <w:t xml:space="preserve">        传真：</w:t>
      </w:r>
      <w:r>
        <w:rPr>
          <w:rFonts w:hint="eastAsia" w:ascii="仿宋" w:hAnsi="仿宋" w:eastAsia="仿宋" w:cs="仿宋"/>
          <w:szCs w:val="21"/>
          <w:u w:val="single"/>
        </w:rPr>
        <w:t xml:space="preserve">                            </w:t>
      </w:r>
    </w:p>
    <w:p w14:paraId="17BDC7A2">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邮编：</w:t>
      </w:r>
      <w:r>
        <w:rPr>
          <w:rFonts w:hint="eastAsia" w:ascii="仿宋" w:hAnsi="仿宋" w:eastAsia="仿宋" w:cs="仿宋"/>
          <w:szCs w:val="21"/>
          <w:u w:val="single"/>
        </w:rPr>
        <w:t xml:space="preserve">                            </w:t>
      </w:r>
      <w:r>
        <w:rPr>
          <w:rFonts w:hint="eastAsia" w:ascii="仿宋" w:hAnsi="仿宋" w:eastAsia="仿宋" w:cs="仿宋"/>
          <w:szCs w:val="21"/>
        </w:rPr>
        <w:t xml:space="preserve">        邮编：</w:t>
      </w:r>
      <w:r>
        <w:rPr>
          <w:rFonts w:hint="eastAsia" w:ascii="仿宋" w:hAnsi="仿宋" w:eastAsia="仿宋" w:cs="仿宋"/>
          <w:szCs w:val="21"/>
          <w:u w:val="single"/>
        </w:rPr>
        <w:t xml:space="preserve">                           </w:t>
      </w:r>
    </w:p>
    <w:p w14:paraId="0E65C723">
      <w:pPr>
        <w:adjustRightInd w:val="0"/>
        <w:snapToGrid w:val="0"/>
        <w:spacing w:line="360" w:lineRule="auto"/>
        <w:rPr>
          <w:rFonts w:hint="eastAsia" w:ascii="仿宋" w:hAnsi="仿宋" w:eastAsia="仿宋" w:cs="仿宋"/>
          <w:szCs w:val="21"/>
          <w:u w:val="single"/>
        </w:rPr>
      </w:pPr>
      <w:r>
        <w:rPr>
          <w:rFonts w:hint="eastAsia" w:ascii="仿宋" w:hAnsi="仿宋" w:eastAsia="仿宋" w:cs="仿宋"/>
          <w:szCs w:val="21"/>
        </w:rPr>
        <w:t>日期：</w:t>
      </w:r>
      <w:r>
        <w:rPr>
          <w:rFonts w:hint="eastAsia" w:ascii="仿宋" w:hAnsi="仿宋" w:eastAsia="仿宋" w:cs="仿宋"/>
          <w:szCs w:val="21"/>
          <w:u w:val="single"/>
        </w:rPr>
        <w:t xml:space="preserve">                            </w:t>
      </w:r>
      <w:r>
        <w:rPr>
          <w:rFonts w:hint="eastAsia" w:ascii="仿宋" w:hAnsi="仿宋" w:eastAsia="仿宋" w:cs="仿宋"/>
          <w:szCs w:val="21"/>
        </w:rPr>
        <w:t xml:space="preserve">        日期：</w:t>
      </w:r>
      <w:r>
        <w:rPr>
          <w:rFonts w:hint="eastAsia" w:ascii="仿宋" w:hAnsi="仿宋" w:eastAsia="仿宋" w:cs="仿宋"/>
          <w:szCs w:val="21"/>
          <w:u w:val="single"/>
        </w:rPr>
        <w:t xml:space="preserve">                           </w:t>
      </w:r>
    </w:p>
    <w:p w14:paraId="6F60CBE6">
      <w:pPr>
        <w:wordWrap w:val="0"/>
        <w:adjustRightInd w:val="0"/>
        <w:snapToGrid w:val="0"/>
        <w:spacing w:line="360" w:lineRule="auto"/>
        <w:jc w:val="right"/>
        <w:rPr>
          <w:rFonts w:hint="eastAsia" w:ascii="仿宋" w:hAnsi="仿宋" w:eastAsia="仿宋" w:cs="仿宋"/>
          <w:szCs w:val="21"/>
        </w:rPr>
      </w:pPr>
    </w:p>
    <w:p w14:paraId="3067A93D">
      <w:pPr>
        <w:wordWrap w:val="0"/>
        <w:adjustRightInd w:val="0"/>
        <w:snapToGrid w:val="0"/>
        <w:spacing w:line="360" w:lineRule="auto"/>
        <w:jc w:val="right"/>
        <w:rPr>
          <w:rFonts w:hint="eastAsia" w:ascii="仿宋" w:hAnsi="仿宋" w:eastAsia="仿宋" w:cs="仿宋"/>
          <w:szCs w:val="21"/>
        </w:rPr>
      </w:pPr>
    </w:p>
    <w:p w14:paraId="38329ACB"/>
    <w:sectPr>
      <w:headerReference r:id="rId8" w:type="default"/>
      <w:footerReference r:id="rId9" w:type="default"/>
      <w:pgSz w:w="11906" w:h="16838"/>
      <w:pgMar w:top="1440" w:right="1080" w:bottom="1440" w:left="1080" w:header="851" w:footer="992" w:gutter="0"/>
      <w:pgNumType w:fmt="numberInDash"/>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6538E98-E847-4B4E-98CF-F702C4D400D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2" w:fontKey="{DEA88C04-88B6-4AAB-8842-D5043CBEC532}"/>
  </w:font>
  <w:font w:name="Tahoma">
    <w:panose1 w:val="020B0604030504040204"/>
    <w:charset w:val="00"/>
    <w:family w:val="auto"/>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embedRegular r:id="rId3" w:fontKey="{512A4ABD-467F-4075-9A37-25BD142ABE26}"/>
  </w:font>
  <w:font w:name="Wingdings 2">
    <w:panose1 w:val="05020102010507070707"/>
    <w:charset w:val="02"/>
    <w:family w:val="roman"/>
    <w:pitch w:val="default"/>
    <w:sig w:usb0="00000000" w:usb1="00000000" w:usb2="00000000" w:usb3="00000000" w:csb0="80000000" w:csb1="00000000"/>
    <w:embedRegular r:id="rId4" w:fontKey="{1ADC9CEB-7BE1-49A2-9882-B446AB6C27F9}"/>
  </w:font>
  <w:font w:name="方正仿宋_GB18030">
    <w:panose1 w:val="02000000000000000000"/>
    <w:charset w:val="86"/>
    <w:family w:val="auto"/>
    <w:pitch w:val="default"/>
    <w:sig w:usb0="00000001" w:usb1="08000000" w:usb2="00000000" w:usb3="00000000" w:csb0="00040000" w:csb1="00000000"/>
    <w:embedRegular r:id="rId5" w:fontKey="{B580C617-A383-4EE9-ADC7-CDC2A70EFD3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7667B">
    <w:pPr>
      <w:pStyle w:val="10"/>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007F110">
                          <w:pPr>
                            <w:pStyle w:val="10"/>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007F110">
                    <w:pPr>
                      <w:pStyle w:val="10"/>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B2EA8">
    <w:pPr>
      <w:pStyle w:val="10"/>
      <w:jc w:val="left"/>
    </w:pPr>
    <w:r>
      <w:rPr>
        <w:sz w:val="18"/>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D3374F">
                          <w:pPr>
                            <w:pStyle w:val="10"/>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66D3374F">
                    <w:pPr>
                      <w:pStyle w:val="10"/>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16510</wp:posOffset>
              </wp:positionH>
              <wp:positionV relativeFrom="paragraph">
                <wp:posOffset>-71755</wp:posOffset>
              </wp:positionV>
              <wp:extent cx="6057900" cy="635"/>
              <wp:effectExtent l="38100" t="38100" r="38100" b="56515"/>
              <wp:wrapNone/>
              <wp:docPr id="9" name="直接连接符 9"/>
              <wp:cNvGraphicFramePr/>
              <a:graphic xmlns:a="http://schemas.openxmlformats.org/drawingml/2006/main">
                <a:graphicData uri="http://schemas.microsoft.com/office/word/2010/wordprocessingShape">
                  <wps:wsp>
                    <wps:cNvCnPr/>
                    <wps:spPr>
                      <a:xfrm>
                        <a:off x="0" y="0"/>
                        <a:ext cx="6057900" cy="635"/>
                      </a:xfrm>
                      <a:prstGeom prst="line">
                        <a:avLst/>
                      </a:prstGeom>
                      <a:ln w="19050" cap="flat" cmpd="sng">
                        <a:solidFill>
                          <a:srgbClr val="800080"/>
                        </a:solidFill>
                        <a:prstDash val="solid"/>
                        <a:headEnd type="diamond" w="med" len="med"/>
                        <a:tailEnd type="diamond" w="med" len="med"/>
                      </a:ln>
                    </wps:spPr>
                    <wps:bodyPr upright="1"/>
                  </wps:wsp>
                </a:graphicData>
              </a:graphic>
            </wp:anchor>
          </w:drawing>
        </mc:Choice>
        <mc:Fallback>
          <w:pict>
            <v:line id="_x0000_s1026" o:spid="_x0000_s1026" o:spt="20" style="position:absolute;left:0pt;margin-left:1.3pt;margin-top:-5.65pt;height:0.05pt;width:477pt;z-index:251662336;mso-width-relative:page;mso-height-relative:page;" filled="f" stroked="t" coordsize="21600,21600" o:gfxdata="UEsDBAoAAAAAAIdO4kAAAAAAAAAAAAAAAAAEAAAAZHJzL1BLAwQUAAAACACHTuJAZx2T9NcAAAAJ&#10;AQAADwAAAGRycy9kb3ducmV2LnhtbE2PzU7DMBCE70i8g7VI3FrnR0RpiFMVBBcOSG15gG3sJlFj&#10;O7WdH96ehQs97sxo9ptyu+ieTcr5zhoB8ToCpkxtZWcaAV/H91UOzAc0EntrlIBv5WFb3d+VWEg7&#10;m72aDqFhVGJ8gQLaEIaCc1+3SqNf20EZ8s7WaQx0uoZLhzOV654nUZRxjZ2hDy0O6rVV9eUwagGb&#10;fHwb3BGv1/Rll+7mj/30mS9CPD7E0TOwoJbwH4ZffEKHiphOdjTSs15AklFQwCqOU2Dkb54yUk5/&#10;SgK8KvntguoHUEsDBBQAAAAIAIdO4kAtJ9LL+wEAAO0DAAAOAAAAZHJzL2Uyb0RvYy54bWytU72O&#10;EzEQ7pF4B8s92c2hhGSVzRUXjgZBJOABJrY3a8l/8jjZ5CV4ASQ6qCjpeZs7HoPxbsjB0aSgsWc8&#10;48/zfTNeXB+sYXsVUXtX8/Go5Ew54aV225p/eH/7bMYZJnASjHeq5keF/Hr59MmiC5W68q03UkVG&#10;IA6rLtS8TSlURYGiVRZw5INyFGx8tJDIjdtCRugI3ZriqiynReejDNELhUinqyHIT4jxEkDfNFqo&#10;lRc7q1waUKMykIgStjogX/bVNo0S6W3ToErM1JyYpn6lR8je5LVYLqDaRgitFqcS4JISHnGyoB09&#10;eoZaQQK2i/ofKKtF9OibNBLeFgORXhFiMS4fafOuhaB6LiQ1hrPo+P9gxZv9OjItaz7nzIGlht9/&#10;+n738cvPH59pvf/2lc2zSF3AinJv3DqePAzrmBkfmmjzTlzYoRf2eBZWHRITdDgtJy/mJWkuKDZ9&#10;PsmIxcPVEDG9Ut6ybNTcaJdZQwX715iG1N8p+dg41tHkzstJRgSawYZ6T6YNxAPdtr+M3mh5q43J&#10;VzBuNzcmsj3QHMzKspz1raca/krLr6wA2yGvDw0T0iqQL51k6RhIIanBeid5LsMq2o2ir5QtKhaq&#10;BNpcmEwFGEdaZHkHQbO18fJIXdmFqLctCTLu9coRmoJeudPE5jH70++RHn7p8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nHZP01wAAAAkBAAAPAAAAAAAAAAEAIAAAACIAAABkcnMvZG93bnJldi54&#10;bWxQSwECFAAUAAAACACHTuJALSfSy/sBAADtAwAADgAAAAAAAAABACAAAAAmAQAAZHJzL2Uyb0Rv&#10;Yy54bWxQSwUGAAAAAAYABgBZAQAAkwUAAAAA&#10;">
              <v:fill on="f" focussize="0,0"/>
              <v:stroke weight="1.5pt" color="#800080" joinstyle="round" startarrow="diamond" endarrow="diamond"/>
              <v:imagedata o:title=""/>
              <o:lock v:ext="edit" aspectratio="f"/>
            </v:line>
          </w:pict>
        </mc:Fallback>
      </mc:AlternateContent>
    </w:r>
    <w:r>
      <w:rPr>
        <w:rFonts w:hint="eastAsia" w:ascii="宋体" w:hAnsi="宋体" w:cs="仿宋_GB2312"/>
        <w:kern w:val="0"/>
        <w:szCs w:val="21"/>
        <w:lang w:eastAsia="zh-CN"/>
      </w:rPr>
      <w:t>义县县域医共体与第三方医学检验机构联合建设区域检验与病理中心项目</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E3ADB">
    <w:pPr>
      <w:pStyle w:val="10"/>
      <w:jc w:val="left"/>
    </w:pPr>
    <w:r>
      <w:rPr>
        <w:sz w:val="18"/>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4CA766">
                          <w:pPr>
                            <w:pStyle w:val="10"/>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04CA766">
                    <w:pPr>
                      <w:pStyle w:val="10"/>
                    </w:pPr>
                    <w:r>
                      <w:fldChar w:fldCharType="begin"/>
                    </w:r>
                    <w:r>
                      <w:instrText xml:space="preserve"> PAGE  \* MERGEFORMAT </w:instrText>
                    </w:r>
                    <w:r>
                      <w:fldChar w:fldCharType="separate"/>
                    </w:r>
                    <w:r>
                      <w:t>- 2 -</w:t>
                    </w:r>
                    <w:r>
                      <w:fldChar w:fldCharType="end"/>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E0F94F">
                          <w:pPr>
                            <w:pStyle w:val="10"/>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13E0F94F">
                    <w:pPr>
                      <w:pStyle w:val="10"/>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16510</wp:posOffset>
              </wp:positionH>
              <wp:positionV relativeFrom="paragraph">
                <wp:posOffset>-71755</wp:posOffset>
              </wp:positionV>
              <wp:extent cx="6057900" cy="635"/>
              <wp:effectExtent l="38100" t="38100" r="38100" b="56515"/>
              <wp:wrapNone/>
              <wp:docPr id="5" name="直接连接符 5"/>
              <wp:cNvGraphicFramePr/>
              <a:graphic xmlns:a="http://schemas.openxmlformats.org/drawingml/2006/main">
                <a:graphicData uri="http://schemas.microsoft.com/office/word/2010/wordprocessingShape">
                  <wps:wsp>
                    <wps:cNvCnPr/>
                    <wps:spPr>
                      <a:xfrm>
                        <a:off x="0" y="0"/>
                        <a:ext cx="6057900" cy="635"/>
                      </a:xfrm>
                      <a:prstGeom prst="line">
                        <a:avLst/>
                      </a:prstGeom>
                      <a:ln w="19050" cap="flat" cmpd="sng">
                        <a:solidFill>
                          <a:srgbClr val="800080"/>
                        </a:solidFill>
                        <a:prstDash val="solid"/>
                        <a:headEnd type="diamond" w="med" len="med"/>
                        <a:tailEnd type="diamond" w="med" len="med"/>
                      </a:ln>
                    </wps:spPr>
                    <wps:bodyPr upright="1"/>
                  </wps:wsp>
                </a:graphicData>
              </a:graphic>
            </wp:anchor>
          </w:drawing>
        </mc:Choice>
        <mc:Fallback>
          <w:pict>
            <v:line id="_x0000_s1026" o:spid="_x0000_s1026" o:spt="20" style="position:absolute;left:0pt;margin-left:1.3pt;margin-top:-5.65pt;height:0.05pt;width:477pt;z-index:251666432;mso-width-relative:page;mso-height-relative:page;" filled="f" stroked="t" coordsize="21600,21600" o:gfxdata="UEsDBAoAAAAAAIdO4kAAAAAAAAAAAAAAAAAEAAAAZHJzL1BLAwQUAAAACACHTuJAZx2T9NcAAAAJ&#10;AQAADwAAAGRycy9kb3ducmV2LnhtbE2PzU7DMBCE70i8g7VI3FrnR0RpiFMVBBcOSG15gG3sJlFj&#10;O7WdH96ehQs97sxo9ptyu+ieTcr5zhoB8ToCpkxtZWcaAV/H91UOzAc0EntrlIBv5WFb3d+VWEg7&#10;m72aDqFhVGJ8gQLaEIaCc1+3SqNf20EZ8s7WaQx0uoZLhzOV654nUZRxjZ2hDy0O6rVV9eUwagGb&#10;fHwb3BGv1/Rll+7mj/30mS9CPD7E0TOwoJbwH4ZffEKHiphOdjTSs15AklFQwCqOU2Dkb54yUk5/&#10;SgK8KvntguoHUEsDBBQAAAAIAIdO4kB3vR4L+gEAAO0DAAAOAAAAZHJzL2Uyb0RvYy54bWytU72O&#10;EzEQ7pF4B8s9WedQwt0qmysuHA2CSMADTGzvriX/yXayyUvwAkh0UFHS8zZ3PAZjb8jB0aSgscee&#10;8TfzfTNeXO+NJjsZonK2odMJo0Ra7oSyXUM/vL99dklJTGAFaGdlQw8y0uvl0yeLwdfywvVOCxkI&#10;gthYD76hfUq+rqrIe2kgTpyXFp2tCwYSHkNXiQADohtdXTA2rwYXhA+OyxjxdjU66RExnAPo2lZx&#10;uXJ8a6RNI2qQGhJSir3ykS5LtW0reXrbtlEmohuKTFNZMQnam7xWywXUXQDfK34sAc4p4REnA8pi&#10;0hPUChKQbVD/QBnFg4uuTRPuTDUSKYogiyl7pM27HrwsXFDq6E+ix/8Hy9/s1oEo0dAZJRYMNvz+&#10;0/e7j19+/viM6/23r2SWRRp8rDH2xq7D8RT9OmTG+zaYvCMXsi/CHk7Cyn0iHC/nbPbiiqHmHH3z&#10;5wWxenjqQ0yvpDMkGw3VymbWUMPudUyYDkN/h+RrbcmAk3vFZhkRcAZb7D2axiOPaLvyODqtxK3S&#10;Oj+Jodvc6EB2gHNwyRi7LK1H4L/CcpYVxH6MK65xQnoJ4qUVJB08KiQUGGcFzWUYibuW+JWyVcYp&#10;gdJnBmMB2iLBLO8oaLY2ThywK1sfVNejINOMW2JwCoocx4nNY/bnuUQ9/NLl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cdk/TXAAAACQEAAA8AAAAAAAAAAQAgAAAAIgAAAGRycy9kb3ducmV2Lnht&#10;bFBLAQIUABQAAAAIAIdO4kB3vR4L+gEAAO0DAAAOAAAAAAAAAAEAIAAAACYBAABkcnMvZTJvRG9j&#10;LnhtbFBLBQYAAAAABgAGAFkBAACSBQAAAAA=&#10;">
              <v:fill on="f" focussize="0,0"/>
              <v:stroke weight="1.5pt" color="#800080" joinstyle="round" startarrow="diamond" endarrow="diamond"/>
              <v:imagedata o:title=""/>
              <o:lock v:ext="edit" aspectratio="f"/>
            </v:line>
          </w:pict>
        </mc:Fallback>
      </mc:AlternateContent>
    </w:r>
    <w:r>
      <w:rPr>
        <w:rFonts w:hint="eastAsia" w:ascii="宋体" w:hAnsi="宋体" w:cs="仿宋_GB2312"/>
        <w:kern w:val="0"/>
        <w:szCs w:val="21"/>
        <w:lang w:eastAsia="zh-CN"/>
      </w:rPr>
      <w:t>义县县域医共体与第三方医学检验机构联合建设区域检验与病理中心项目</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0D025">
    <w:pPr>
      <w:pStyle w:val="10"/>
      <w:jc w:val="left"/>
    </w:pPr>
    <w:r>
      <w:rPr>
        <w:sz w:val="18"/>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62FF8E">
                          <w:pPr>
                            <w:pStyle w:val="1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762FF8E">
                    <w:pPr>
                      <w:pStyle w:val="10"/>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16510</wp:posOffset>
              </wp:positionH>
              <wp:positionV relativeFrom="paragraph">
                <wp:posOffset>-71755</wp:posOffset>
              </wp:positionV>
              <wp:extent cx="6057900" cy="635"/>
              <wp:effectExtent l="38100" t="38100" r="38100" b="56515"/>
              <wp:wrapNone/>
              <wp:docPr id="8" name="直接连接符 8"/>
              <wp:cNvGraphicFramePr/>
              <a:graphic xmlns:a="http://schemas.openxmlformats.org/drawingml/2006/main">
                <a:graphicData uri="http://schemas.microsoft.com/office/word/2010/wordprocessingShape">
                  <wps:wsp>
                    <wps:cNvCnPr/>
                    <wps:spPr>
                      <a:xfrm>
                        <a:off x="0" y="0"/>
                        <a:ext cx="6057900" cy="635"/>
                      </a:xfrm>
                      <a:prstGeom prst="line">
                        <a:avLst/>
                      </a:prstGeom>
                      <a:ln w="19050" cap="flat" cmpd="sng">
                        <a:solidFill>
                          <a:srgbClr val="800080"/>
                        </a:solidFill>
                        <a:prstDash val="solid"/>
                        <a:headEnd type="diamond" w="med" len="med"/>
                        <a:tailEnd type="diamond" w="med" len="med"/>
                      </a:ln>
                    </wps:spPr>
                    <wps:bodyPr upright="1"/>
                  </wps:wsp>
                </a:graphicData>
              </a:graphic>
            </wp:anchor>
          </w:drawing>
        </mc:Choice>
        <mc:Fallback>
          <w:pict>
            <v:line id="_x0000_s1026" o:spid="_x0000_s1026" o:spt="20" style="position:absolute;left:0pt;margin-left:1.3pt;margin-top:-5.65pt;height:0.05pt;width:477pt;z-index:251666432;mso-width-relative:page;mso-height-relative:page;" filled="f" stroked="t" coordsize="21600,21600" o:gfxdata="UEsDBAoAAAAAAIdO4kAAAAAAAAAAAAAAAAAEAAAAZHJzL1BLAwQUAAAACACHTuJAZx2T9NcAAAAJ&#10;AQAADwAAAGRycy9kb3ducmV2LnhtbE2PzU7DMBCE70i8g7VI3FrnR0RpiFMVBBcOSG15gG3sJlFj&#10;O7WdH96ehQs97sxo9ptyu+ieTcr5zhoB8ToCpkxtZWcaAV/H91UOzAc0EntrlIBv5WFb3d+VWEg7&#10;m72aDqFhVGJ8gQLaEIaCc1+3SqNf20EZ8s7WaQx0uoZLhzOV654nUZRxjZ2hDy0O6rVV9eUwagGb&#10;fHwb3BGv1/Rll+7mj/30mS9CPD7E0TOwoJbwH4ZffEKHiphOdjTSs15AklFQwCqOU2Dkb54yUk5/&#10;SgK8KvntguoHUEsDBBQAAAAIAIdO4kCAuXs2+wEAAO0DAAAOAAAAZHJzL2Uyb0RvYy54bWytU72O&#10;EzEQ7pF4B8s92c2hhNwqmysuHA2Ck4AHmNjeXUv+k8fJJi/BCyDRQUVJz9vc8RiMd0MOjiYFjT3j&#10;GX+e75vx8mpvDdupiNq7mk8nJWfKCS+1a2v+4f3NswVnmMBJMN6pmh8U8qvV0yfLPlTqwnfeSBUZ&#10;gTis+lDzLqVQFQWKTlnAiQ/KUbDx0UIiN7aFjNATujXFRVnOi95HGaIXCpFO12OQHxHjOYC+abRQ&#10;ay+2Vrk0okZlIBEl7HRAvhqqbRol0tumQZWYqTkxTcNKj5C9yWuxWkLVRgidFscS4JwSHnGyoB09&#10;eoJaQwK2jfofKKtF9OibNBHeFiORQRFiMS0fafOug6AGLiQ1hpPo+P9gxZvdbWRa1pza7sBSw+8/&#10;fb/7+OXnj8+03n/7yhZZpD5gRbnX7jYePQy3MTPeN9Hmnbiw/SDs4SSs2icm6HBezl5clqS5oNj8&#10;+SwjFg9XQ8T0SnnLslFzo11mDRXsXmMaU3+n5GPjWE+Te1nOMiLQDDbUezJtIB7o2uEyeqPljTYm&#10;X8HYbq5NZDugOViUZbkYWk81/JWWX1kDdmPeEBonpFMgXzrJ0iGQQlKD9U7yXIZVtBtFXylbVCxU&#10;CbQ5M5kKMI60yPKOgmZr4+WBurINUbcdCTId9MoRmoJBuePE5jH70x+QHn7p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nHZP01wAAAAkBAAAPAAAAAAAAAAEAIAAAACIAAABkcnMvZG93bnJldi54&#10;bWxQSwECFAAUAAAACACHTuJAgLl7NvsBAADtAwAADgAAAAAAAAABACAAAAAmAQAAZHJzL2Uyb0Rv&#10;Yy54bWxQSwUGAAAAAAYABgBZAQAAkwUAAAAA&#10;">
              <v:fill on="f" focussize="0,0"/>
              <v:stroke weight="1.5pt" color="#800080" joinstyle="round" startarrow="diamond" endarrow="diamond"/>
              <v:imagedata o:title=""/>
              <o:lock v:ext="edit" aspectratio="f"/>
            </v:line>
          </w:pict>
        </mc:Fallback>
      </mc:AlternateContent>
    </w:r>
    <w:r>
      <w:rPr>
        <w:rFonts w:hint="eastAsia" w:ascii="宋体" w:hAnsi="宋体" w:cs="仿宋_GB2312"/>
        <w:kern w:val="0"/>
        <w:szCs w:val="21"/>
        <w:lang w:eastAsia="zh-CN"/>
      </w:rPr>
      <w:t>义县县域医共体与第三方医学检验机构联合建设区域检验与病理中心项目</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EC927">
    <w:pPr>
      <w:pStyle w:val="10"/>
      <w:jc w:val="center"/>
      <w:rPr>
        <w:rFonts w:hint="eastAsia" w:eastAsia="仿宋"/>
        <w:lang w:eastAsia="zh-CN"/>
      </w:rPr>
    </w:pPr>
    <w:r>
      <w:rPr>
        <w:sz w:val="18"/>
      </w:rPr>
      <mc:AlternateContent>
        <mc:Choice Requires="wps">
          <w:drawing>
            <wp:anchor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E3DD8">
                          <w:pPr>
                            <w:pStyle w:val="10"/>
                          </w:pPr>
                          <w:r>
                            <w:fldChar w:fldCharType="begin"/>
                          </w:r>
                          <w:r>
                            <w:instrText xml:space="preserve"> PAGE  \* MERGEFORMAT </w:instrText>
                          </w:r>
                          <w:r>
                            <w:fldChar w:fldCharType="separate"/>
                          </w:r>
                          <w:r>
                            <w:t>- 54 -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91E3DD8">
                    <w:pPr>
                      <w:pStyle w:val="10"/>
                    </w:pPr>
                    <w:r>
                      <w:fldChar w:fldCharType="begin"/>
                    </w:r>
                    <w:r>
                      <w:instrText xml:space="preserve"> PAGE  \* MERGEFORMAT </w:instrText>
                    </w:r>
                    <w:r>
                      <w:fldChar w:fldCharType="separate"/>
                    </w:r>
                    <w:r>
                      <w:t>- 54 -</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16510</wp:posOffset>
              </wp:positionH>
              <wp:positionV relativeFrom="paragraph">
                <wp:posOffset>-71755</wp:posOffset>
              </wp:positionV>
              <wp:extent cx="6057900" cy="635"/>
              <wp:effectExtent l="38100" t="38100" r="38100" b="56515"/>
              <wp:wrapNone/>
              <wp:docPr id="6" name="直接连接符 6"/>
              <wp:cNvGraphicFramePr/>
              <a:graphic xmlns:a="http://schemas.openxmlformats.org/drawingml/2006/main">
                <a:graphicData uri="http://schemas.microsoft.com/office/word/2010/wordprocessingShape">
                  <wps:wsp>
                    <wps:cNvCnPr/>
                    <wps:spPr>
                      <a:xfrm>
                        <a:off x="0" y="0"/>
                        <a:ext cx="6057900" cy="635"/>
                      </a:xfrm>
                      <a:prstGeom prst="line">
                        <a:avLst/>
                      </a:prstGeom>
                      <a:ln w="19050" cap="flat" cmpd="sng">
                        <a:solidFill>
                          <a:srgbClr val="800080"/>
                        </a:solidFill>
                        <a:prstDash val="solid"/>
                        <a:headEnd type="diamond" w="med" len="med"/>
                        <a:tailEnd type="diamond" w="med" len="med"/>
                      </a:ln>
                    </wps:spPr>
                    <wps:bodyPr upright="1"/>
                  </wps:wsp>
                </a:graphicData>
              </a:graphic>
            </wp:anchor>
          </w:drawing>
        </mc:Choice>
        <mc:Fallback>
          <w:pict>
            <v:line id="_x0000_s1026" o:spid="_x0000_s1026" o:spt="20" style="position:absolute;left:0pt;margin-left:1.3pt;margin-top:-5.65pt;height:0.05pt;width:477pt;z-index:251661312;mso-width-relative:page;mso-height-relative:page;" filled="f" stroked="t" coordsize="21600,21600" o:gfxdata="UEsDBAoAAAAAAIdO4kAAAAAAAAAAAAAAAAAEAAAAZHJzL1BLAwQUAAAACACHTuJAZx2T9NcAAAAJ&#10;AQAADwAAAGRycy9kb3ducmV2LnhtbE2PzU7DMBCE70i8g7VI3FrnR0RpiFMVBBcOSG15gG3sJlFj&#10;O7WdH96ehQs97sxo9ptyu+ieTcr5zhoB8ToCpkxtZWcaAV/H91UOzAc0EntrlIBv5WFb3d+VWEg7&#10;m72aDqFhVGJ8gQLaEIaCc1+3SqNf20EZ8s7WaQx0uoZLhzOV654nUZRxjZ2hDy0O6rVV9eUwagGb&#10;fHwb3BGv1/Rll+7mj/30mS9CPD7E0TOwoJbwH4ZffEKHiphOdjTSs15AklFQwCqOU2Dkb54yUk5/&#10;SgK8KvntguoHUEsDBBQAAAAIAIdO4kDBGJXW+wEAAO0DAAAOAAAAZHJzL2Uyb0RvYy54bWytU72O&#10;EzEQ7pF4B8s92c2hhLtVNldcOBoEkYAHmNjeXUv+k8fJJi/BCyDRQUVJz9vc8RiMd0MOjiYFjT3j&#10;GX+e75vx4npvDdupiNq7mk8nJWfKCS+1a2v+4f3ts0vOMIGTYLxTNT8o5NfLp08WfajUhe+8kSoy&#10;AnFY9aHmXUqhKgoUnbKAEx+Uo2Djo4VEbmwLGaEndGuKi7KcF72PMkQvFCKdrsYgPyLGcwB902ih&#10;Vl5srXJpRI3KQCJK2OmAfDlU2zRKpLdNgyoxU3NimoaVHiF7k9diuYCqjRA6LY4lwDklPOJkQTt6&#10;9AS1ggRsG/U/UFaL6NE3aSK8LUYigyLEYlo+0uZdB0ENXEhqDCfR8f/Bije7dWRa1nzOmQNLDb//&#10;9P3u45efPz7Tev/tK5tnkfqAFeXeuHU8ehjWMTPeN9Hmnbiw/SDs4SSs2icm6HBezl5claS5oNj8&#10;+SwjFg9XQ8T0SnnLslFzo11mDRXsXmMaU3+n5GPjWE+Te1XOMiLQDDbUezJtIB7o2uEyeqPlrTYm&#10;X8HYbm5MZDugObgsy/JyaD3V8FdafmUF2I15Q2ickE6BfOkkS4dACkkN1jvJcxlW0W4UfaVsUbFQ&#10;JdDmzGQqwDjSIss7CpqtjZcH6so2RN12JMh00CtHaAoG5Y4Tm8fsT39Aevily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nHZP01wAAAAkBAAAPAAAAAAAAAAEAIAAAACIAAABkcnMvZG93bnJldi54&#10;bWxQSwECFAAUAAAACACHTuJAwRiV1vsBAADtAwAADgAAAAAAAAABACAAAAAmAQAAZHJzL2Uyb0Rv&#10;Yy54bWxQSwUGAAAAAAYABgBZAQAAkwUAAAAA&#10;">
              <v:fill on="f" focussize="0,0"/>
              <v:stroke weight="1.5pt" color="#800080" joinstyle="round" startarrow="diamond" endarrow="diamond"/>
              <v:imagedata o:title=""/>
              <o:lock v:ext="edit" aspectratio="f"/>
            </v:line>
          </w:pict>
        </mc:Fallback>
      </mc:AlternateContent>
    </w:r>
    <w:r>
      <w:rPr>
        <w:rFonts w:hint="eastAsia" w:ascii="宋体" w:hAnsi="宋体" w:cs="仿宋_GB2312"/>
        <w:kern w:val="0"/>
        <w:szCs w:val="21"/>
        <w:lang w:eastAsia="zh-CN"/>
      </w:rPr>
      <w:t>义县县域医共体与第三方医学检验机构联合建设区域检验与病理中心项目</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BB774">
    <w:pPr>
      <w:pStyle w:val="11"/>
    </w:pPr>
    <w:r>
      <w:drawing>
        <wp:anchor distT="0" distB="0" distL="114300" distR="114300" simplePos="0" relativeHeight="251665408" behindDoc="1" locked="0" layoutInCell="1" allowOverlap="1">
          <wp:simplePos x="0" y="0"/>
          <wp:positionH relativeFrom="column">
            <wp:posOffset>-144145</wp:posOffset>
          </wp:positionH>
          <wp:positionV relativeFrom="paragraph">
            <wp:posOffset>-73660</wp:posOffset>
          </wp:positionV>
          <wp:extent cx="6278880" cy="354965"/>
          <wp:effectExtent l="0" t="0" r="7620" b="6985"/>
          <wp:wrapTight wrapText="bothSides">
            <wp:wrapPolygon>
              <wp:start x="0" y="0"/>
              <wp:lineTo x="0" y="20170"/>
              <wp:lineTo x="21561" y="20170"/>
              <wp:lineTo x="21561" y="0"/>
              <wp:lineTo x="0" y="0"/>
            </wp:wrapPolygon>
          </wp:wrapTight>
          <wp:docPr id="1" name="图片 1" descr="招标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文件"/>
                  <pic:cNvPicPr>
                    <a:picLocks noChangeAspect="1"/>
                  </pic:cNvPicPr>
                </pic:nvPicPr>
                <pic:blipFill>
                  <a:blip r:embed="rId1"/>
                  <a:stretch>
                    <a:fillRect/>
                  </a:stretch>
                </pic:blipFill>
                <pic:spPr>
                  <a:xfrm>
                    <a:off x="0" y="0"/>
                    <a:ext cx="6278880" cy="35496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9DE08">
    <w:pPr>
      <w:pStyle w:val="11"/>
    </w:pPr>
    <w:r>
      <w:drawing>
        <wp:anchor distT="0" distB="0" distL="114300" distR="114300" simplePos="0" relativeHeight="251660288" behindDoc="1" locked="0" layoutInCell="1" allowOverlap="1">
          <wp:simplePos x="0" y="0"/>
          <wp:positionH relativeFrom="column">
            <wp:posOffset>-144145</wp:posOffset>
          </wp:positionH>
          <wp:positionV relativeFrom="paragraph">
            <wp:posOffset>-73660</wp:posOffset>
          </wp:positionV>
          <wp:extent cx="6278880" cy="354965"/>
          <wp:effectExtent l="0" t="0" r="7620" b="6985"/>
          <wp:wrapTight wrapText="bothSides">
            <wp:wrapPolygon>
              <wp:start x="0" y="0"/>
              <wp:lineTo x="0" y="20170"/>
              <wp:lineTo x="21561" y="20170"/>
              <wp:lineTo x="21561" y="0"/>
              <wp:lineTo x="0" y="0"/>
            </wp:wrapPolygon>
          </wp:wrapTight>
          <wp:docPr id="7" name="图片 1" descr="招标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招标文件"/>
                  <pic:cNvPicPr>
                    <a:picLocks noChangeAspect="1"/>
                  </pic:cNvPicPr>
                </pic:nvPicPr>
                <pic:blipFill>
                  <a:blip r:embed="rId1"/>
                  <a:stretch>
                    <a:fillRect/>
                  </a:stretch>
                </pic:blipFill>
                <pic:spPr>
                  <a:xfrm>
                    <a:off x="0" y="0"/>
                    <a:ext cx="6278880" cy="35496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2420D4D"/>
    <w:multiLevelType w:val="singleLevel"/>
    <w:tmpl w:val="E2420D4D"/>
    <w:lvl w:ilvl="0" w:tentative="0">
      <w:start w:val="4"/>
      <w:numFmt w:val="decimal"/>
      <w:suff w:val="nothing"/>
      <w:lvlText w:val="%1、"/>
      <w:lvlJc w:val="left"/>
      <w:pPr>
        <w:ind w:left="210" w:firstLine="0"/>
      </w:pPr>
    </w:lvl>
  </w:abstractNum>
  <w:abstractNum w:abstractNumId="4">
    <w:nsid w:val="EE8E3184"/>
    <w:multiLevelType w:val="singleLevel"/>
    <w:tmpl w:val="EE8E3184"/>
    <w:lvl w:ilvl="0" w:tentative="0">
      <w:start w:val="1"/>
      <w:numFmt w:val="decimal"/>
      <w:suff w:val="nothing"/>
      <w:lvlText w:val="（%1）"/>
      <w:lvlJc w:val="left"/>
    </w:lvl>
  </w:abstractNum>
  <w:abstractNum w:abstractNumId="5">
    <w:nsid w:val="09E2EEB3"/>
    <w:multiLevelType w:val="singleLevel"/>
    <w:tmpl w:val="09E2EEB3"/>
    <w:lvl w:ilvl="0" w:tentative="0">
      <w:start w:val="1"/>
      <w:numFmt w:val="chineseCounting"/>
      <w:suff w:val="nothing"/>
      <w:lvlText w:val="（%1）"/>
      <w:lvlJc w:val="left"/>
      <w:rPr>
        <w:rFonts w:hint="eastAsia"/>
      </w:rPr>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5704CD36"/>
    <w:multiLevelType w:val="singleLevel"/>
    <w:tmpl w:val="5704CD36"/>
    <w:lvl w:ilvl="0" w:tentative="0">
      <w:start w:val="41"/>
      <w:numFmt w:val="decimal"/>
      <w:lvlText w:val="%1."/>
      <w:lvlJc w:val="left"/>
      <w:pPr>
        <w:tabs>
          <w:tab w:val="left" w:pos="312"/>
        </w:tabs>
      </w:pPr>
    </w:lvl>
  </w:abstractNum>
  <w:abstractNum w:abstractNumId="8">
    <w:nsid w:val="68A96C1C"/>
    <w:multiLevelType w:val="singleLevel"/>
    <w:tmpl w:val="68A96C1C"/>
    <w:lvl w:ilvl="0" w:tentative="0">
      <w:start w:val="3"/>
      <w:numFmt w:val="decimal"/>
      <w:suff w:val="nothing"/>
      <w:lvlText w:val="%1、"/>
      <w:lvlJc w:val="left"/>
    </w:lvl>
  </w:abstractNum>
  <w:abstractNum w:abstractNumId="9">
    <w:nsid w:val="733F28BE"/>
    <w:multiLevelType w:val="singleLevel"/>
    <w:tmpl w:val="733F28BE"/>
    <w:lvl w:ilvl="0" w:tentative="0">
      <w:start w:val="1"/>
      <w:numFmt w:val="decimal"/>
      <w:suff w:val="nothing"/>
      <w:lvlText w:val="%1）"/>
      <w:lvlJc w:val="left"/>
    </w:lvl>
  </w:abstractNum>
  <w:abstractNum w:abstractNumId="10">
    <w:nsid w:val="7B4156D0"/>
    <w:multiLevelType w:val="singleLevel"/>
    <w:tmpl w:val="7B4156D0"/>
    <w:lvl w:ilvl="0" w:tentative="0">
      <w:start w:val="1"/>
      <w:numFmt w:val="decimal"/>
      <w:suff w:val="nothing"/>
      <w:lvlText w:val="（%1）"/>
      <w:lvlJc w:val="left"/>
    </w:lvl>
  </w:abstractNum>
  <w:abstractNum w:abstractNumId="11">
    <w:nsid w:val="7EB20C69"/>
    <w:multiLevelType w:val="singleLevel"/>
    <w:tmpl w:val="7EB20C69"/>
    <w:lvl w:ilvl="0" w:tentative="0">
      <w:start w:val="1"/>
      <w:numFmt w:val="decimal"/>
      <w:suff w:val="nothing"/>
      <w:lvlText w:val="%1）"/>
      <w:lvlJc w:val="left"/>
    </w:lvl>
  </w:abstractNum>
  <w:num w:numId="1">
    <w:abstractNumId w:val="3"/>
  </w:num>
  <w:num w:numId="2">
    <w:abstractNumId w:val="8"/>
  </w:num>
  <w:num w:numId="3">
    <w:abstractNumId w:val="0"/>
  </w:num>
  <w:num w:numId="4">
    <w:abstractNumId w:val="7"/>
  </w:num>
  <w:num w:numId="5">
    <w:abstractNumId w:val="2"/>
  </w:num>
  <w:num w:numId="6">
    <w:abstractNumId w:val="1"/>
  </w:num>
  <w:num w:numId="7">
    <w:abstractNumId w:val="6"/>
  </w:num>
  <w:num w:numId="8">
    <w:abstractNumId w:val="4"/>
  </w:num>
  <w:num w:numId="9">
    <w:abstractNumId w:val="10"/>
  </w:num>
  <w:num w:numId="10">
    <w:abstractNumId w:val="5"/>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B43EA"/>
    <w:rsid w:val="031F2043"/>
    <w:rsid w:val="04074FB1"/>
    <w:rsid w:val="06247E33"/>
    <w:rsid w:val="0B6C3107"/>
    <w:rsid w:val="0BCA6E98"/>
    <w:rsid w:val="0DEB14A0"/>
    <w:rsid w:val="0E37195A"/>
    <w:rsid w:val="10E74DC6"/>
    <w:rsid w:val="10F1501F"/>
    <w:rsid w:val="12D577CA"/>
    <w:rsid w:val="1A615C64"/>
    <w:rsid w:val="1B693E72"/>
    <w:rsid w:val="1C9F0D78"/>
    <w:rsid w:val="1CF864FE"/>
    <w:rsid w:val="1D3F35B6"/>
    <w:rsid w:val="1D86001F"/>
    <w:rsid w:val="1EFB4E1D"/>
    <w:rsid w:val="1F0D0973"/>
    <w:rsid w:val="20ED750E"/>
    <w:rsid w:val="224E65B7"/>
    <w:rsid w:val="26CF7759"/>
    <w:rsid w:val="273117DF"/>
    <w:rsid w:val="286E0F2E"/>
    <w:rsid w:val="294C6B7C"/>
    <w:rsid w:val="29F067FC"/>
    <w:rsid w:val="2A174F9B"/>
    <w:rsid w:val="2B70070F"/>
    <w:rsid w:val="2CB325CB"/>
    <w:rsid w:val="2F176141"/>
    <w:rsid w:val="337D6587"/>
    <w:rsid w:val="339165C8"/>
    <w:rsid w:val="377C4D93"/>
    <w:rsid w:val="38740160"/>
    <w:rsid w:val="3B622B9B"/>
    <w:rsid w:val="3D6B36F4"/>
    <w:rsid w:val="3D8C7CFA"/>
    <w:rsid w:val="44FD328B"/>
    <w:rsid w:val="46AE2A8F"/>
    <w:rsid w:val="47AB0900"/>
    <w:rsid w:val="48422E23"/>
    <w:rsid w:val="486677BF"/>
    <w:rsid w:val="49964AD1"/>
    <w:rsid w:val="4B1F5D09"/>
    <w:rsid w:val="4BCB03A2"/>
    <w:rsid w:val="4CAF4663"/>
    <w:rsid w:val="4E8C20DE"/>
    <w:rsid w:val="4EF00F19"/>
    <w:rsid w:val="50D00800"/>
    <w:rsid w:val="5167665C"/>
    <w:rsid w:val="52577F39"/>
    <w:rsid w:val="54722753"/>
    <w:rsid w:val="55124B31"/>
    <w:rsid w:val="5B5C7F16"/>
    <w:rsid w:val="5CAE513F"/>
    <w:rsid w:val="5D4635C9"/>
    <w:rsid w:val="5D504448"/>
    <w:rsid w:val="5D663866"/>
    <w:rsid w:val="5F846A9A"/>
    <w:rsid w:val="61D2367E"/>
    <w:rsid w:val="622163B3"/>
    <w:rsid w:val="638304BF"/>
    <w:rsid w:val="678B644F"/>
    <w:rsid w:val="68132EF5"/>
    <w:rsid w:val="681F3395"/>
    <w:rsid w:val="68FC7232"/>
    <w:rsid w:val="6AAB0F10"/>
    <w:rsid w:val="6C023E13"/>
    <w:rsid w:val="6C077DA8"/>
    <w:rsid w:val="72730089"/>
    <w:rsid w:val="72AA090C"/>
    <w:rsid w:val="76515048"/>
    <w:rsid w:val="77F53DF1"/>
    <w:rsid w:val="785C7AA2"/>
    <w:rsid w:val="78B533EB"/>
    <w:rsid w:val="79C01356"/>
    <w:rsid w:val="7C0D1A2A"/>
    <w:rsid w:val="7C2E374F"/>
    <w:rsid w:val="7CCB71F0"/>
    <w:rsid w:val="7E1A042F"/>
    <w:rsid w:val="7E200D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4">
    <w:name w:val="heading 4"/>
    <w:basedOn w:val="1"/>
    <w:next w:val="1"/>
    <w:qFormat/>
    <w:uiPriority w:val="0"/>
    <w:pPr>
      <w:keepNext/>
      <w:keepLines/>
      <w:outlineLvl w:val="3"/>
    </w:pPr>
    <w:rPr>
      <w:rFonts w:ascii="Arial" w:hAnsi="Arial" w:eastAsia="黑体"/>
      <w:bCs/>
      <w:kern w:val="0"/>
      <w:sz w:val="24"/>
      <w:szCs w:val="28"/>
    </w:rPr>
  </w:style>
  <w:style w:type="paragraph" w:styleId="5">
    <w:name w:val="heading 8"/>
    <w:basedOn w:val="1"/>
    <w:next w:val="1"/>
    <w:qFormat/>
    <w:uiPriority w:val="1"/>
    <w:pPr>
      <w:ind w:left="1140"/>
      <w:outlineLvl w:val="7"/>
    </w:pPr>
    <w:rPr>
      <w:rFonts w:ascii="宋体" w:hAnsi="宋体" w:eastAsia="宋体" w:cs="宋体"/>
      <w:sz w:val="28"/>
      <w:szCs w:val="28"/>
      <w:lang w:val="zh-CN" w:eastAsia="zh-CN" w:bidi="zh-CN"/>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6">
    <w:name w:val="annotation text"/>
    <w:basedOn w:val="1"/>
    <w:unhideWhenUsed/>
    <w:qFormat/>
    <w:uiPriority w:val="99"/>
    <w:pPr>
      <w:jc w:val="left"/>
    </w:pPr>
    <w:rPr>
      <w:rFonts w:ascii="Calibri" w:hAnsi="Calibri"/>
    </w:rPr>
  </w:style>
  <w:style w:type="paragraph" w:styleId="7">
    <w:name w:val="Body Text"/>
    <w:basedOn w:val="1"/>
    <w:semiHidden/>
    <w:qFormat/>
    <w:uiPriority w:val="0"/>
    <w:rPr>
      <w:rFonts w:ascii="Arial" w:hAnsi="Arial" w:eastAsia="Arial" w:cs="Arial"/>
      <w:sz w:val="21"/>
      <w:szCs w:val="21"/>
      <w:lang w:val="en-US" w:eastAsia="en-US" w:bidi="ar-SA"/>
    </w:rPr>
  </w:style>
  <w:style w:type="paragraph" w:styleId="8">
    <w:name w:val="Body Text Indent"/>
    <w:basedOn w:val="1"/>
    <w:next w:val="9"/>
    <w:qFormat/>
    <w:uiPriority w:val="0"/>
    <w:pPr>
      <w:spacing w:line="360" w:lineRule="auto"/>
      <w:ind w:firstLine="480" w:firstLineChars="200"/>
    </w:pPr>
    <w:rPr>
      <w:rFonts w:ascii="宋体"/>
      <w:sz w:val="24"/>
      <w:szCs w:val="20"/>
    </w:rPr>
  </w:style>
  <w:style w:type="paragraph" w:styleId="9">
    <w:name w:val="envelope return"/>
    <w:basedOn w:val="1"/>
    <w:qFormat/>
    <w:uiPriority w:val="0"/>
    <w:pPr>
      <w:snapToGrid w:val="0"/>
    </w:pPr>
    <w:rPr>
      <w:rFonts w:ascii="Arial" w:hAnsi="Arial" w:cs="Arial"/>
      <w:szCs w:val="21"/>
    </w:rPr>
  </w:style>
  <w:style w:type="paragraph" w:styleId="10">
    <w:name w:val="footer"/>
    <w:basedOn w:val="1"/>
    <w:qFormat/>
    <w:uiPriority w:val="99"/>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4">
    <w:name w:val="Body Text First Indent"/>
    <w:basedOn w:val="1"/>
    <w:next w:val="15"/>
    <w:unhideWhenUsed/>
    <w:qFormat/>
    <w:uiPriority w:val="99"/>
    <w:pPr>
      <w:spacing w:before="120" w:line="300" w:lineRule="auto"/>
      <w:ind w:firstLine="431"/>
    </w:pPr>
    <w:rPr>
      <w:rFonts w:ascii="Tahoma" w:hAnsi="Tahoma"/>
      <w:szCs w:val="21"/>
    </w:rPr>
  </w:style>
  <w:style w:type="paragraph" w:styleId="15">
    <w:name w:val="Body Text First Indent 2"/>
    <w:basedOn w:val="8"/>
    <w:next w:val="14"/>
    <w:qFormat/>
    <w:uiPriority w:val="0"/>
    <w:pPr>
      <w:adjustRightInd w:val="0"/>
      <w:spacing w:line="520" w:lineRule="exact"/>
      <w:ind w:firstLine="210"/>
      <w:textAlignment w:val="baseline"/>
    </w:pPr>
    <w:rPr>
      <w:rFonts w:ascii="黑体" w:hAnsi="Arial" w:eastAsia="黑体"/>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qFormat/>
    <w:uiPriority w:val="99"/>
    <w:rPr>
      <w:color w:val="337AB7"/>
      <w:sz w:val="27"/>
      <w:szCs w:val="27"/>
      <w:u w:val="none"/>
    </w:rPr>
  </w:style>
  <w:style w:type="paragraph" w:styleId="20">
    <w:name w:val="List Paragraph"/>
    <w:basedOn w:val="1"/>
    <w:qFormat/>
    <w:uiPriority w:val="34"/>
    <w:pPr>
      <w:ind w:firstLine="420" w:firstLineChars="200"/>
    </w:pPr>
  </w:style>
  <w:style w:type="character" w:customStyle="1" w:styleId="21">
    <w:name w:val=" Char Char Char"/>
    <w:qFormat/>
    <w:uiPriority w:val="0"/>
    <w:rPr>
      <w:rFonts w:eastAsia="黑体"/>
      <w:bCs/>
      <w:sz w:val="28"/>
      <w:szCs w:val="32"/>
      <w:lang w:val="en-US" w:eastAsia="zh-CN" w:bidi="ar-SA"/>
    </w:rPr>
  </w:style>
  <w:style w:type="paragraph" w:customStyle="1" w:styleId="22">
    <w:name w:val="p0"/>
    <w:basedOn w:val="1"/>
    <w:qFormat/>
    <w:uiPriority w:val="0"/>
    <w:pPr>
      <w:widowControl/>
    </w:pPr>
    <w:rPr>
      <w:kern w:val="0"/>
      <w:szCs w:val="21"/>
    </w:rPr>
  </w:style>
  <w:style w:type="paragraph" w:customStyle="1" w:styleId="23">
    <w:name w:val="列出段落11"/>
    <w:basedOn w:val="1"/>
    <w:qFormat/>
    <w:uiPriority w:val="34"/>
    <w:pPr>
      <w:ind w:firstLine="420" w:firstLineChars="200"/>
    </w:pPr>
    <w:rPr>
      <w:rFonts w:ascii="Calibri" w:hAnsi="Calibri" w:eastAsia="宋体" w:cs="Times New Roman"/>
      <w:szCs w:val="22"/>
      <w:lang w:val="zh-CN"/>
    </w:rPr>
  </w:style>
  <w:style w:type="paragraph" w:customStyle="1" w:styleId="24">
    <w:name w:val="Table Text"/>
    <w:basedOn w:val="1"/>
    <w:semiHidden/>
    <w:qFormat/>
    <w:uiPriority w:val="0"/>
    <w:rPr>
      <w:rFonts w:ascii="宋体" w:hAnsi="宋体" w:eastAsia="宋体" w:cs="宋体"/>
      <w:sz w:val="24"/>
      <w:szCs w:val="24"/>
      <w:lang w:val="en-US" w:eastAsia="en-US"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91</Pages>
  <Words>52308</Words>
  <Characters>55114</Characters>
  <Lines>0</Lines>
  <Paragraphs>0</Paragraphs>
  <TotalTime>20</TotalTime>
  <ScaleCrop>false</ScaleCrop>
  <LinksUpToDate>false</LinksUpToDate>
  <CharactersWithSpaces>57950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2025-07-13T03:18:00Z</dcterms:created>
  <dc:creator>Administrator</dc:creator>
  <cp:lastModifiedBy>hualong04</cp:lastModifiedBy>
  <dcterms:modified xsi:type="dcterms:W3CDTF">2025-09-17T02:28:16Z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eyJoZGlkIjoiYzFjOTdlMTkxM2Q5NWU2ODllYjNjMjk2MTIwMmM5MWYiLCJ1c2VySWQiOiIyOTc4MDA2OTYifQ==</vt:lpwstr>
  </property>
  <property fmtid="{D5CDD505-2E9C-101B-9397-08002B2CF9AE}" pid="4" name="ICV">
    <vt:lpwstr>98416883815B4154867319BEAAD20EB7_13</vt:lpwstr>
  </property>
</Properties>
</file>