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仿宋" w:hAnsi="仿宋" w:cs="仿宋"/>
          <w:b/>
          <w:sz w:val="32"/>
          <w:szCs w:val="32"/>
        </w:rPr>
      </w:pPr>
    </w:p>
    <w:p>
      <w:pPr>
        <w:spacing w:line="360" w:lineRule="auto"/>
        <w:ind w:firstLine="260" w:firstLineChars="50"/>
        <w:jc w:val="center"/>
        <w:rPr>
          <w:rFonts w:ascii="仿宋" w:hAnsi="仿宋" w:cs="仿宋"/>
          <w:b/>
          <w:sz w:val="52"/>
          <w:szCs w:val="52"/>
        </w:rPr>
      </w:pPr>
    </w:p>
    <w:p>
      <w:pPr>
        <w:spacing w:line="360" w:lineRule="auto"/>
        <w:ind w:firstLine="260" w:firstLineChars="50"/>
        <w:jc w:val="center"/>
        <w:rPr>
          <w:rFonts w:ascii="仿宋" w:hAnsi="仿宋" w:cs="仿宋"/>
          <w:b/>
          <w:sz w:val="52"/>
          <w:szCs w:val="52"/>
        </w:rPr>
      </w:pPr>
    </w:p>
    <w:p>
      <w:pPr>
        <w:spacing w:line="360" w:lineRule="auto"/>
        <w:ind w:firstLine="120" w:firstLineChars="50"/>
        <w:jc w:val="center"/>
        <w:rPr>
          <w:rFonts w:ascii="仿宋" w:hAnsi="仿宋" w:cs="仿宋"/>
          <w:b/>
          <w:sz w:val="24"/>
        </w:rPr>
      </w:pPr>
    </w:p>
    <w:p>
      <w:pPr>
        <w:spacing w:line="360" w:lineRule="auto"/>
        <w:ind w:firstLine="360" w:firstLineChars="50"/>
        <w:jc w:val="center"/>
        <w:rPr>
          <w:rFonts w:ascii="仿宋" w:hAnsi="仿宋" w:cs="仿宋"/>
          <w:b/>
          <w:sz w:val="72"/>
          <w:szCs w:val="72"/>
        </w:rPr>
      </w:pPr>
      <w:r>
        <w:rPr>
          <w:rFonts w:hint="eastAsia" w:ascii="仿宋" w:hAnsi="仿宋" w:cs="仿宋"/>
          <w:b/>
          <w:sz w:val="72"/>
          <w:szCs w:val="72"/>
        </w:rPr>
        <w:t>货物类公开招标</w:t>
      </w:r>
    </w:p>
    <w:p>
      <w:pPr>
        <w:spacing w:line="360" w:lineRule="auto"/>
        <w:ind w:firstLine="360" w:firstLineChars="50"/>
        <w:jc w:val="center"/>
        <w:rPr>
          <w:rFonts w:ascii="仿宋" w:hAnsi="仿宋" w:cs="仿宋"/>
          <w:b/>
          <w:sz w:val="72"/>
          <w:szCs w:val="72"/>
        </w:rPr>
      </w:pPr>
    </w:p>
    <w:p>
      <w:pPr>
        <w:spacing w:line="360" w:lineRule="auto"/>
        <w:ind w:firstLine="360" w:firstLineChars="50"/>
        <w:jc w:val="center"/>
        <w:rPr>
          <w:rFonts w:ascii="仿宋" w:hAnsi="仿宋" w:cs="仿宋"/>
          <w:b/>
          <w:sz w:val="72"/>
          <w:szCs w:val="72"/>
        </w:rPr>
      </w:pPr>
      <w:r>
        <w:rPr>
          <w:rFonts w:hint="eastAsia" w:ascii="仿宋" w:hAnsi="仿宋" w:cs="仿宋"/>
          <w:b/>
          <w:sz w:val="72"/>
          <w:szCs w:val="72"/>
        </w:rPr>
        <w:t>招标文件</w:t>
      </w: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480" w:lineRule="exact"/>
        <w:jc w:val="center"/>
        <w:rPr>
          <w:rFonts w:ascii="仿宋" w:hAnsi="仿宋" w:cs="仿宋"/>
          <w:b/>
          <w:sz w:val="24"/>
        </w:rPr>
      </w:pPr>
    </w:p>
    <w:p>
      <w:pPr>
        <w:spacing w:line="360" w:lineRule="auto"/>
        <w:rPr>
          <w:rFonts w:ascii="仿宋" w:hAnsi="仿宋" w:cs="仿宋"/>
          <w:b/>
          <w:sz w:val="32"/>
          <w:szCs w:val="32"/>
          <w:u w:val="single"/>
        </w:rPr>
      </w:pPr>
      <w:r>
        <w:rPr>
          <w:rFonts w:hint="eastAsia" w:ascii="仿宋" w:hAnsi="仿宋" w:cs="仿宋"/>
          <w:b/>
          <w:sz w:val="32"/>
          <w:szCs w:val="32"/>
        </w:rPr>
        <w:t>项目名称：</w:t>
      </w:r>
      <w:r>
        <w:rPr>
          <w:rFonts w:hint="eastAsia" w:ascii="仿宋" w:hAnsi="仿宋" w:cs="仿宋"/>
          <w:b/>
          <w:sz w:val="32"/>
          <w:szCs w:val="32"/>
          <w:u w:val="single"/>
        </w:rPr>
        <w:t>辽宁省消防救援总队自然灾害应急能力提升工程沈阳支队装备建设项目-雨雪冰冻装备项目</w:t>
      </w:r>
    </w:p>
    <w:p>
      <w:pPr>
        <w:spacing w:line="360" w:lineRule="auto"/>
        <w:rPr>
          <w:rFonts w:ascii="仿宋" w:hAnsi="仿宋" w:cs="仿宋"/>
          <w:b/>
          <w:sz w:val="32"/>
          <w:szCs w:val="32"/>
        </w:rPr>
      </w:pPr>
      <w:r>
        <w:rPr>
          <w:rFonts w:hint="eastAsia" w:ascii="仿宋" w:hAnsi="仿宋" w:cs="仿宋"/>
          <w:b/>
          <w:sz w:val="32"/>
          <w:szCs w:val="32"/>
        </w:rPr>
        <w:t>项目编号：</w:t>
      </w:r>
      <w:r>
        <w:rPr>
          <w:rFonts w:hint="eastAsia" w:ascii="仿宋" w:hAnsi="仿宋" w:cs="仿宋"/>
          <w:b/>
          <w:sz w:val="32"/>
          <w:szCs w:val="32"/>
          <w:u w:val="single"/>
        </w:rPr>
        <w:t>6753295921713311604233-2024042818</w:t>
      </w:r>
    </w:p>
    <w:p>
      <w:pPr>
        <w:spacing w:line="360" w:lineRule="auto"/>
        <w:rPr>
          <w:rFonts w:ascii="仿宋" w:hAnsi="仿宋" w:cs="仿宋"/>
          <w:b/>
          <w:sz w:val="32"/>
          <w:szCs w:val="32"/>
        </w:rPr>
      </w:pPr>
      <w:r>
        <w:rPr>
          <w:rFonts w:hint="eastAsia" w:ascii="仿宋" w:hAnsi="仿宋" w:cs="仿宋"/>
          <w:b/>
          <w:sz w:val="32"/>
          <w:szCs w:val="32"/>
        </w:rPr>
        <w:t>采 购 人：</w:t>
      </w:r>
      <w:r>
        <w:rPr>
          <w:rFonts w:hint="eastAsia" w:ascii="仿宋" w:hAnsi="仿宋" w:cs="仿宋"/>
          <w:b/>
          <w:sz w:val="32"/>
          <w:szCs w:val="32"/>
          <w:u w:val="single"/>
        </w:rPr>
        <w:t>沈阳市消防救援支队</w:t>
      </w:r>
    </w:p>
    <w:p>
      <w:pPr>
        <w:spacing w:line="360" w:lineRule="auto"/>
        <w:rPr>
          <w:rFonts w:ascii="仿宋" w:hAnsi="仿宋" w:cs="仿宋"/>
          <w:b/>
          <w:sz w:val="32"/>
          <w:szCs w:val="32"/>
        </w:rPr>
      </w:pPr>
      <w:r>
        <w:rPr>
          <w:rFonts w:hint="eastAsia" w:ascii="仿宋" w:hAnsi="仿宋" w:cs="仿宋"/>
          <w:b/>
          <w:sz w:val="32"/>
          <w:szCs w:val="32"/>
        </w:rPr>
        <w:t>采购代理机构：</w:t>
      </w:r>
      <w:r>
        <w:rPr>
          <w:rFonts w:hint="eastAsia" w:ascii="仿宋" w:hAnsi="仿宋" w:cs="仿宋"/>
          <w:b/>
          <w:sz w:val="32"/>
          <w:szCs w:val="32"/>
          <w:u w:val="single"/>
        </w:rPr>
        <w:t>辽宁浩亿招投标有限公司</w:t>
      </w:r>
    </w:p>
    <w:p>
      <w:pPr>
        <w:spacing w:line="360" w:lineRule="auto"/>
        <w:ind w:firstLine="752" w:firstLineChars="235"/>
        <w:rPr>
          <w:rFonts w:ascii="仿宋" w:hAnsi="仿宋" w:cs="仿宋"/>
          <w:b/>
          <w:sz w:val="32"/>
          <w:szCs w:val="32"/>
        </w:rPr>
        <w:sectPr>
          <w:pgSz w:w="11906" w:h="16838"/>
          <w:pgMar w:top="1440" w:right="1800" w:bottom="1440" w:left="1800" w:header="851" w:footer="992" w:gutter="0"/>
          <w:cols w:space="720" w:num="1"/>
          <w:docGrid w:type="linesAndChars" w:linePitch="312" w:charSpace="0"/>
        </w:sectPr>
      </w:pPr>
    </w:p>
    <w:p>
      <w:pPr>
        <w:jc w:val="center"/>
        <w:rPr>
          <w:rFonts w:ascii="仿宋" w:hAnsi="仿宋" w:cs="仿宋"/>
          <w:b/>
          <w:bCs/>
          <w:sz w:val="44"/>
          <w:szCs w:val="44"/>
        </w:rPr>
      </w:pPr>
      <w:r>
        <w:rPr>
          <w:rFonts w:hint="eastAsia" w:ascii="仿宋" w:hAnsi="仿宋" w:cs="仿宋"/>
          <w:b/>
          <w:bCs/>
          <w:sz w:val="44"/>
          <w:szCs w:val="44"/>
        </w:rPr>
        <w:t>目  录</w:t>
      </w:r>
    </w:p>
    <w:p>
      <w:pPr>
        <w:jc w:val="center"/>
        <w:rPr>
          <w:rFonts w:ascii="仿宋" w:hAnsi="仿宋" w:cs="仿宋"/>
          <w:b/>
          <w:bCs/>
          <w:sz w:val="44"/>
          <w:szCs w:val="44"/>
        </w:rPr>
      </w:pPr>
    </w:p>
    <w:p>
      <w:pPr>
        <w:pStyle w:val="17"/>
        <w:tabs>
          <w:tab w:val="right" w:leader="dot" w:pos="8306"/>
        </w:tabs>
        <w:spacing w:line="480" w:lineRule="auto"/>
        <w:rPr>
          <w:rFonts w:ascii="仿宋" w:hAnsi="仿宋" w:cs="仿宋"/>
          <w:b/>
          <w:bCs/>
          <w:sz w:val="24"/>
        </w:rPr>
      </w:pPr>
      <w:r>
        <w:rPr>
          <w:rFonts w:hint="eastAsia" w:ascii="仿宋" w:hAnsi="仿宋" w:cs="仿宋"/>
          <w:b/>
          <w:bCs/>
          <w:sz w:val="24"/>
        </w:rPr>
        <w:fldChar w:fldCharType="begin"/>
      </w:r>
      <w:r>
        <w:rPr>
          <w:rFonts w:hint="eastAsia" w:ascii="仿宋" w:hAnsi="仿宋" w:cs="仿宋"/>
          <w:b/>
          <w:bCs/>
          <w:sz w:val="24"/>
        </w:rPr>
        <w:instrText xml:space="preserve">TOC \o "1-1" \h \u </w:instrText>
      </w:r>
      <w:r>
        <w:rPr>
          <w:rFonts w:hint="eastAsia" w:ascii="仿宋" w:hAnsi="仿宋" w:cs="仿宋"/>
          <w:b/>
          <w:bCs/>
          <w:sz w:val="24"/>
        </w:rPr>
        <w:fldChar w:fldCharType="separate"/>
      </w:r>
      <w:r>
        <w:fldChar w:fldCharType="begin"/>
      </w:r>
      <w:r>
        <w:instrText xml:space="preserve"> HYPERLINK \l "_Toc7381" </w:instrText>
      </w:r>
      <w:r>
        <w:fldChar w:fldCharType="separate"/>
      </w:r>
      <w:r>
        <w:rPr>
          <w:rFonts w:hint="eastAsia" w:ascii="仿宋" w:hAnsi="仿宋" w:cs="仿宋"/>
          <w:b/>
          <w:bCs/>
          <w:sz w:val="24"/>
        </w:rPr>
        <w:t>招标公告</w:t>
      </w:r>
      <w:r>
        <w:rPr>
          <w:rFonts w:hint="eastAsia" w:ascii="仿宋" w:hAnsi="仿宋" w:cs="仿宋"/>
          <w:b/>
          <w:bCs/>
          <w:sz w:val="24"/>
        </w:rPr>
        <w:tab/>
      </w:r>
      <w:r>
        <w:rPr>
          <w:rFonts w:hint="eastAsia" w:ascii="仿宋" w:hAnsi="仿宋" w:cs="仿宋"/>
          <w:b/>
          <w:bCs/>
          <w:sz w:val="24"/>
        </w:rPr>
        <w:fldChar w:fldCharType="begin"/>
      </w:r>
      <w:r>
        <w:rPr>
          <w:rFonts w:hint="eastAsia" w:ascii="仿宋" w:hAnsi="仿宋" w:cs="仿宋"/>
          <w:b/>
          <w:bCs/>
          <w:sz w:val="24"/>
        </w:rPr>
        <w:instrText xml:space="preserve"> PAGEREF _Toc7381 </w:instrText>
      </w:r>
      <w:r>
        <w:rPr>
          <w:rFonts w:hint="eastAsia" w:ascii="仿宋" w:hAnsi="仿宋" w:cs="仿宋"/>
          <w:b/>
          <w:bCs/>
          <w:sz w:val="24"/>
        </w:rPr>
        <w:fldChar w:fldCharType="separate"/>
      </w:r>
      <w:r>
        <w:rPr>
          <w:rFonts w:hint="eastAsia" w:ascii="仿宋" w:hAnsi="仿宋" w:cs="仿宋"/>
          <w:b/>
          <w:bCs/>
          <w:sz w:val="24"/>
        </w:rPr>
        <w:t>2</w:t>
      </w:r>
      <w:r>
        <w:rPr>
          <w:rFonts w:hint="eastAsia" w:ascii="仿宋" w:hAnsi="仿宋" w:cs="仿宋"/>
          <w:b/>
          <w:bCs/>
          <w:sz w:val="24"/>
        </w:rPr>
        <w:fldChar w:fldCharType="end"/>
      </w:r>
      <w:r>
        <w:rPr>
          <w:rFonts w:hint="eastAsia" w:ascii="仿宋" w:hAnsi="仿宋" w:cs="仿宋"/>
          <w:b/>
          <w:bCs/>
          <w:sz w:val="24"/>
        </w:rPr>
        <w:fldChar w:fldCharType="end"/>
      </w:r>
    </w:p>
    <w:p>
      <w:pPr>
        <w:pStyle w:val="17"/>
        <w:tabs>
          <w:tab w:val="right" w:leader="dot" w:pos="8306"/>
        </w:tabs>
        <w:spacing w:line="480" w:lineRule="auto"/>
        <w:rPr>
          <w:rFonts w:ascii="仿宋" w:hAnsi="仿宋" w:cs="仿宋"/>
          <w:b/>
          <w:bCs/>
          <w:sz w:val="24"/>
        </w:rPr>
      </w:pPr>
      <w:r>
        <w:fldChar w:fldCharType="begin"/>
      </w:r>
      <w:r>
        <w:instrText xml:space="preserve"> HYPERLINK \l "_Toc9614" </w:instrText>
      </w:r>
      <w:r>
        <w:fldChar w:fldCharType="separate"/>
      </w:r>
      <w:r>
        <w:rPr>
          <w:rFonts w:hint="eastAsia" w:ascii="仿宋" w:hAnsi="仿宋" w:cs="仿宋"/>
          <w:b/>
          <w:bCs/>
          <w:sz w:val="24"/>
        </w:rPr>
        <w:t>第一章 供应商须知</w:t>
      </w:r>
      <w:r>
        <w:rPr>
          <w:rFonts w:hint="eastAsia" w:ascii="仿宋" w:hAnsi="仿宋" w:cs="仿宋"/>
          <w:b/>
          <w:bCs/>
          <w:sz w:val="24"/>
        </w:rPr>
        <w:tab/>
      </w:r>
      <w:r>
        <w:rPr>
          <w:rFonts w:hint="eastAsia" w:ascii="仿宋" w:hAnsi="仿宋" w:cs="仿宋"/>
          <w:b/>
          <w:bCs/>
          <w:sz w:val="24"/>
        </w:rPr>
        <w:fldChar w:fldCharType="end"/>
      </w:r>
      <w:r>
        <w:rPr>
          <w:rFonts w:hint="eastAsia" w:ascii="仿宋" w:hAnsi="仿宋" w:cs="仿宋"/>
          <w:b/>
          <w:bCs/>
          <w:sz w:val="24"/>
        </w:rPr>
        <w:t>9</w:t>
      </w:r>
    </w:p>
    <w:p>
      <w:pPr>
        <w:pStyle w:val="17"/>
        <w:tabs>
          <w:tab w:val="right" w:leader="dot" w:pos="8306"/>
        </w:tabs>
        <w:spacing w:line="480" w:lineRule="auto"/>
        <w:rPr>
          <w:rFonts w:ascii="仿宋" w:hAnsi="仿宋" w:cs="仿宋"/>
          <w:b/>
          <w:bCs/>
          <w:sz w:val="24"/>
        </w:rPr>
      </w:pPr>
      <w:r>
        <w:fldChar w:fldCharType="begin"/>
      </w:r>
      <w:r>
        <w:instrText xml:space="preserve"> HYPERLINK \l "_Toc6403" </w:instrText>
      </w:r>
      <w:r>
        <w:fldChar w:fldCharType="separate"/>
      </w:r>
      <w:r>
        <w:rPr>
          <w:rFonts w:hint="eastAsia" w:ascii="仿宋" w:hAnsi="仿宋" w:cs="仿宋"/>
          <w:b/>
          <w:bCs/>
          <w:sz w:val="24"/>
        </w:rPr>
        <w:t>第二章 投标文件内容及格式</w:t>
      </w:r>
      <w:r>
        <w:rPr>
          <w:rFonts w:hint="eastAsia" w:ascii="仿宋" w:hAnsi="仿宋" w:cs="仿宋"/>
          <w:b/>
          <w:bCs/>
          <w:sz w:val="24"/>
        </w:rPr>
        <w:tab/>
      </w:r>
      <w:r>
        <w:rPr>
          <w:rFonts w:hint="eastAsia" w:ascii="仿宋" w:hAnsi="仿宋" w:cs="仿宋"/>
          <w:b/>
          <w:bCs/>
          <w:sz w:val="24"/>
        </w:rPr>
        <w:t>25</w:t>
      </w:r>
      <w:r>
        <w:rPr>
          <w:rFonts w:hint="eastAsia" w:ascii="仿宋" w:hAnsi="仿宋" w:cs="仿宋"/>
          <w:b/>
          <w:bCs/>
          <w:sz w:val="24"/>
        </w:rPr>
        <w:fldChar w:fldCharType="end"/>
      </w:r>
    </w:p>
    <w:p>
      <w:pPr>
        <w:pStyle w:val="17"/>
        <w:tabs>
          <w:tab w:val="right" w:leader="dot" w:pos="8306"/>
        </w:tabs>
        <w:spacing w:line="480" w:lineRule="auto"/>
        <w:rPr>
          <w:rFonts w:ascii="仿宋" w:hAnsi="仿宋" w:cs="仿宋"/>
          <w:b/>
          <w:bCs/>
          <w:sz w:val="24"/>
        </w:rPr>
      </w:pPr>
      <w:r>
        <w:fldChar w:fldCharType="begin"/>
      </w:r>
      <w:r>
        <w:instrText xml:space="preserve"> HYPERLINK \l "_Toc17590" </w:instrText>
      </w:r>
      <w:r>
        <w:fldChar w:fldCharType="separate"/>
      </w:r>
      <w:r>
        <w:rPr>
          <w:rFonts w:hint="eastAsia" w:ascii="仿宋" w:hAnsi="仿宋" w:cs="仿宋"/>
          <w:b/>
          <w:bCs/>
          <w:sz w:val="24"/>
        </w:rPr>
        <w:t>第三章 货物需求</w:t>
      </w:r>
      <w:r>
        <w:rPr>
          <w:rFonts w:hint="eastAsia" w:ascii="仿宋" w:hAnsi="仿宋" w:cs="仿宋"/>
          <w:b/>
          <w:bCs/>
          <w:sz w:val="24"/>
        </w:rPr>
        <w:tab/>
      </w:r>
      <w:r>
        <w:rPr>
          <w:rFonts w:hint="eastAsia" w:ascii="仿宋" w:hAnsi="仿宋" w:cs="仿宋"/>
          <w:b/>
          <w:bCs/>
          <w:sz w:val="24"/>
        </w:rPr>
        <w:t>5</w:t>
      </w:r>
      <w:r>
        <w:rPr>
          <w:rFonts w:hint="eastAsia" w:ascii="仿宋" w:hAnsi="仿宋" w:cs="仿宋"/>
          <w:b/>
          <w:bCs/>
          <w:sz w:val="24"/>
        </w:rPr>
        <w:fldChar w:fldCharType="end"/>
      </w:r>
      <w:r>
        <w:rPr>
          <w:rFonts w:hint="eastAsia" w:ascii="仿宋" w:hAnsi="仿宋" w:cs="仿宋"/>
          <w:b/>
          <w:bCs/>
          <w:sz w:val="24"/>
        </w:rPr>
        <w:t>0</w:t>
      </w:r>
    </w:p>
    <w:p>
      <w:pPr>
        <w:pStyle w:val="17"/>
        <w:tabs>
          <w:tab w:val="right" w:leader="dot" w:pos="8306"/>
        </w:tabs>
        <w:spacing w:line="480" w:lineRule="auto"/>
        <w:rPr>
          <w:rFonts w:ascii="仿宋" w:hAnsi="仿宋" w:cs="仿宋"/>
          <w:b/>
          <w:bCs/>
          <w:sz w:val="24"/>
        </w:rPr>
      </w:pPr>
      <w:r>
        <w:fldChar w:fldCharType="begin"/>
      </w:r>
      <w:r>
        <w:instrText xml:space="preserve"> HYPERLINK \l "_Toc25237" </w:instrText>
      </w:r>
      <w:r>
        <w:fldChar w:fldCharType="separate"/>
      </w:r>
      <w:r>
        <w:rPr>
          <w:rFonts w:hint="eastAsia" w:ascii="仿宋" w:hAnsi="仿宋" w:cs="仿宋"/>
          <w:b/>
          <w:bCs/>
          <w:sz w:val="24"/>
        </w:rPr>
        <w:t>第四章 评标方法</w:t>
      </w:r>
      <w:r>
        <w:rPr>
          <w:rFonts w:hint="eastAsia" w:ascii="仿宋" w:hAnsi="仿宋" w:cs="仿宋"/>
          <w:b/>
          <w:bCs/>
          <w:sz w:val="24"/>
        </w:rPr>
        <w:tab/>
      </w:r>
      <w:r>
        <w:rPr>
          <w:rFonts w:hint="eastAsia" w:ascii="仿宋" w:hAnsi="仿宋" w:cs="仿宋"/>
          <w:b/>
          <w:bCs/>
          <w:sz w:val="24"/>
        </w:rPr>
        <w:t>5</w:t>
      </w:r>
      <w:r>
        <w:rPr>
          <w:rFonts w:hint="eastAsia" w:ascii="仿宋" w:hAnsi="仿宋" w:cs="仿宋"/>
          <w:b/>
          <w:bCs/>
          <w:sz w:val="24"/>
        </w:rPr>
        <w:fldChar w:fldCharType="end"/>
      </w:r>
      <w:r>
        <w:rPr>
          <w:rFonts w:hint="eastAsia" w:ascii="仿宋" w:hAnsi="仿宋" w:cs="仿宋"/>
          <w:b/>
          <w:bCs/>
          <w:sz w:val="24"/>
        </w:rPr>
        <w:t>1</w:t>
      </w:r>
    </w:p>
    <w:p>
      <w:pPr>
        <w:pStyle w:val="17"/>
        <w:tabs>
          <w:tab w:val="right" w:leader="dot" w:pos="8306"/>
        </w:tabs>
        <w:spacing w:line="480" w:lineRule="auto"/>
        <w:rPr>
          <w:rFonts w:ascii="仿宋" w:hAnsi="仿宋" w:cs="仿宋"/>
          <w:b/>
          <w:bCs/>
          <w:sz w:val="24"/>
        </w:rPr>
      </w:pPr>
      <w:r>
        <w:fldChar w:fldCharType="begin"/>
      </w:r>
      <w:r>
        <w:instrText xml:space="preserve"> HYPERLINK \l "_Toc19588" </w:instrText>
      </w:r>
      <w:r>
        <w:fldChar w:fldCharType="separate"/>
      </w:r>
      <w:r>
        <w:rPr>
          <w:rFonts w:hint="eastAsia" w:ascii="仿宋" w:hAnsi="仿宋" w:cs="仿宋"/>
          <w:b/>
          <w:bCs/>
          <w:sz w:val="24"/>
        </w:rPr>
        <w:t>第五章 政府采购合同条款及格式</w:t>
      </w:r>
      <w:r>
        <w:rPr>
          <w:rFonts w:hint="eastAsia" w:ascii="仿宋" w:hAnsi="仿宋" w:cs="仿宋"/>
          <w:b/>
          <w:bCs/>
          <w:sz w:val="24"/>
        </w:rPr>
        <w:tab/>
      </w:r>
      <w:r>
        <w:rPr>
          <w:rFonts w:hint="eastAsia" w:ascii="仿宋" w:hAnsi="仿宋" w:cs="仿宋"/>
          <w:b/>
          <w:bCs/>
          <w:sz w:val="24"/>
        </w:rPr>
        <w:t>6</w:t>
      </w:r>
      <w:r>
        <w:rPr>
          <w:rFonts w:hint="eastAsia" w:ascii="仿宋" w:hAnsi="仿宋" w:cs="仿宋"/>
          <w:b/>
          <w:bCs/>
          <w:sz w:val="24"/>
        </w:rPr>
        <w:fldChar w:fldCharType="end"/>
      </w:r>
      <w:r>
        <w:rPr>
          <w:rFonts w:hint="eastAsia" w:ascii="仿宋" w:hAnsi="仿宋" w:cs="仿宋"/>
          <w:b/>
          <w:bCs/>
          <w:sz w:val="24"/>
        </w:rPr>
        <w:t>1</w:t>
      </w:r>
    </w:p>
    <w:p>
      <w:pPr>
        <w:spacing w:line="480" w:lineRule="auto"/>
        <w:rPr>
          <w:rFonts w:ascii="仿宋" w:hAnsi="仿宋" w:cs="仿宋"/>
        </w:rPr>
      </w:pPr>
      <w:r>
        <w:rPr>
          <w:rFonts w:hint="eastAsia" w:ascii="仿宋" w:hAnsi="仿宋" w:cs="仿宋"/>
          <w:b/>
          <w:bCs/>
          <w:sz w:val="24"/>
        </w:rPr>
        <w:fldChar w:fldCharType="end"/>
      </w:r>
    </w:p>
    <w:p>
      <w:pPr>
        <w:pStyle w:val="2"/>
        <w:rPr>
          <w:rFonts w:ascii="仿宋" w:hAnsi="仿宋" w:cs="仿宋"/>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p>
      <w:pPr>
        <w:pStyle w:val="2"/>
        <w:spacing w:before="0" w:after="0"/>
        <w:rPr>
          <w:rFonts w:ascii="仿宋" w:hAnsi="仿宋" w:cs="仿宋"/>
          <w:sz w:val="36"/>
          <w:szCs w:val="36"/>
        </w:rPr>
      </w:pPr>
      <w:r>
        <w:rPr>
          <w:rFonts w:hint="eastAsia" w:ascii="仿宋" w:hAnsi="仿宋" w:cs="仿宋"/>
          <w:sz w:val="36"/>
          <w:szCs w:val="36"/>
        </w:rPr>
        <w:t>辽宁省消防救援总队自然灾害应急能力提升工程沈阳支队装备建设项目-雨雪冰冻装备项目</w:t>
      </w:r>
    </w:p>
    <w:p>
      <w:pPr>
        <w:pStyle w:val="2"/>
        <w:spacing w:before="0" w:after="0"/>
        <w:rPr>
          <w:rFonts w:ascii="仿宋" w:hAnsi="仿宋" w:cs="仿宋"/>
          <w:sz w:val="36"/>
          <w:szCs w:val="36"/>
        </w:rPr>
      </w:pPr>
      <w:r>
        <w:rPr>
          <w:rFonts w:hint="eastAsia" w:ascii="仿宋" w:hAnsi="仿宋" w:cs="仿宋"/>
          <w:sz w:val="36"/>
          <w:szCs w:val="36"/>
        </w:rPr>
        <w:t>公开招标公告</w:t>
      </w:r>
      <w:bookmarkEnd w:id="0"/>
      <w:bookmarkEnd w:id="1"/>
    </w:p>
    <w:p>
      <w:pPr>
        <w:pStyle w:val="4"/>
        <w:keepNext w:val="0"/>
        <w:keepLines w:val="0"/>
        <w:widowControl/>
        <w:spacing w:before="150" w:after="150" w:line="480" w:lineRule="atLeast"/>
        <w:ind w:right="946"/>
        <w:jc w:val="left"/>
        <w:textAlignment w:val="baseline"/>
        <w:rPr>
          <w:rFonts w:ascii="仿宋" w:hAnsi="仿宋" w:cs="仿宋"/>
          <w:sz w:val="21"/>
          <w:szCs w:val="21"/>
        </w:rPr>
      </w:pPr>
      <w:r>
        <w:rPr>
          <w:rFonts w:hint="eastAsia" w:ascii="仿宋" w:hAnsi="仿宋" w:cs="仿宋"/>
          <w:sz w:val="21"/>
          <w:szCs w:val="21"/>
          <w:shd w:val="clear" w:color="auto" w:fill="FFFFFF"/>
        </w:rPr>
        <w:t>项目概况</w:t>
      </w:r>
    </w:p>
    <w:p>
      <w:pPr>
        <w:ind w:firstLine="420" w:firstLineChars="200"/>
        <w:rPr>
          <w:rFonts w:ascii="仿宋" w:hAnsi="仿宋" w:cs="仿宋"/>
          <w:kern w:val="0"/>
          <w:szCs w:val="21"/>
          <w:shd w:val="clear" w:color="auto" w:fill="FFFFFF"/>
        </w:rPr>
      </w:pPr>
      <w:r>
        <w:rPr>
          <w:rFonts w:hint="eastAsia" w:ascii="仿宋" w:hAnsi="仿宋" w:cs="仿宋"/>
          <w:kern w:val="0"/>
          <w:szCs w:val="21"/>
          <w:u w:val="single"/>
          <w:shd w:val="clear" w:color="auto" w:fill="FFFFFF"/>
        </w:rPr>
        <w:t>辽宁省消防救援总队自然灾害应急能力提升工程沈阳支队装备建设项目-雨雪冰冻装备项目</w:t>
      </w:r>
      <w:r>
        <w:rPr>
          <w:rFonts w:hint="eastAsia" w:ascii="仿宋" w:hAnsi="仿宋" w:cs="仿宋"/>
          <w:kern w:val="0"/>
          <w:szCs w:val="21"/>
          <w:shd w:val="clear" w:color="auto" w:fill="FFFFFF"/>
        </w:rPr>
        <w:t>招标项目的潜在供应商应在</w:t>
      </w:r>
      <w:r>
        <w:rPr>
          <w:rFonts w:hint="eastAsia" w:ascii="仿宋" w:hAnsi="仿宋" w:cs="仿宋"/>
          <w:kern w:val="0"/>
          <w:szCs w:val="21"/>
          <w:u w:val="single"/>
          <w:shd w:val="clear" w:color="auto" w:fill="FFFFFF"/>
        </w:rPr>
        <w:t>辽宁浩亿招投标有限公司</w:t>
      </w:r>
      <w:r>
        <w:rPr>
          <w:rFonts w:hint="eastAsia" w:ascii="仿宋" w:hAnsi="仿宋" w:cs="仿宋"/>
          <w:kern w:val="0"/>
          <w:szCs w:val="21"/>
          <w:shd w:val="clear" w:color="auto" w:fill="FFFFFF"/>
        </w:rPr>
        <w:t>获取招标文件，并于</w:t>
      </w:r>
      <w:r>
        <w:rPr>
          <w:rFonts w:hint="eastAsia" w:ascii="仿宋" w:hAnsi="仿宋" w:cs="仿宋"/>
          <w:bCs/>
          <w:szCs w:val="21"/>
          <w:u w:val="single"/>
        </w:rPr>
        <w:t>2024年</w:t>
      </w:r>
      <w:r>
        <w:rPr>
          <w:rFonts w:hint="eastAsia" w:ascii="仿宋" w:hAnsi="仿宋" w:cs="仿宋"/>
          <w:bCs/>
          <w:szCs w:val="21"/>
          <w:u w:val="single"/>
          <w:lang w:val="en-US" w:eastAsia="zh-CN"/>
        </w:rPr>
        <w:t>7</w:t>
      </w:r>
      <w:r>
        <w:rPr>
          <w:rFonts w:hint="eastAsia" w:ascii="仿宋" w:hAnsi="仿宋" w:cs="仿宋"/>
          <w:bCs/>
          <w:szCs w:val="21"/>
          <w:u w:val="single"/>
        </w:rPr>
        <w:t>月</w:t>
      </w:r>
      <w:r>
        <w:rPr>
          <w:rFonts w:hint="eastAsia" w:ascii="仿宋" w:hAnsi="仿宋" w:cs="仿宋"/>
          <w:bCs/>
          <w:szCs w:val="21"/>
          <w:u w:val="single"/>
          <w:lang w:val="en-US" w:eastAsia="zh-CN"/>
        </w:rPr>
        <w:t>4</w:t>
      </w:r>
      <w:r>
        <w:rPr>
          <w:rFonts w:hint="eastAsia" w:ascii="仿宋" w:hAnsi="仿宋" w:cs="仿宋"/>
          <w:bCs/>
          <w:szCs w:val="21"/>
          <w:u w:val="single"/>
        </w:rPr>
        <w:t>日09点</w:t>
      </w:r>
      <w:r>
        <w:rPr>
          <w:rFonts w:hint="eastAsia" w:ascii="仿宋" w:hAnsi="仿宋" w:cs="仿宋"/>
          <w:bCs/>
          <w:szCs w:val="21"/>
          <w:u w:val="single"/>
          <w:lang w:val="en-US" w:eastAsia="zh-CN"/>
        </w:rPr>
        <w:t>0</w:t>
      </w:r>
      <w:r>
        <w:rPr>
          <w:rFonts w:hint="eastAsia" w:ascii="仿宋" w:hAnsi="仿宋" w:cs="仿宋"/>
          <w:bCs/>
          <w:szCs w:val="21"/>
          <w:u w:val="single"/>
        </w:rPr>
        <w:t>0分</w:t>
      </w:r>
      <w:r>
        <w:rPr>
          <w:rFonts w:hint="eastAsia" w:ascii="仿宋" w:hAnsi="仿宋" w:cs="仿宋"/>
          <w:kern w:val="0"/>
          <w:szCs w:val="21"/>
          <w:shd w:val="clear" w:color="auto" w:fill="FFFFFF"/>
        </w:rPr>
        <w:t>（北京时间）前递交投标文件。</w:t>
      </w:r>
    </w:p>
    <w:p>
      <w:pPr>
        <w:adjustRightInd w:val="0"/>
        <w:snapToGrid w:val="0"/>
        <w:spacing w:line="360" w:lineRule="auto"/>
        <w:rPr>
          <w:rFonts w:ascii="仿宋" w:hAnsi="仿宋" w:cs="仿宋"/>
          <w:b/>
          <w:bCs/>
          <w:szCs w:val="21"/>
        </w:rPr>
      </w:pPr>
      <w:bookmarkStart w:id="2" w:name="_Toc35393790"/>
      <w:bookmarkStart w:id="3" w:name="_Toc35393621"/>
      <w:bookmarkStart w:id="4" w:name="_Toc28359002"/>
      <w:bookmarkStart w:id="5" w:name="_Toc28359079"/>
      <w:bookmarkStart w:id="6" w:name="_Hlk24379207"/>
      <w:r>
        <w:rPr>
          <w:rFonts w:hint="eastAsia" w:ascii="仿宋" w:hAnsi="仿宋" w:cs="仿宋"/>
          <w:b/>
          <w:bCs/>
          <w:szCs w:val="21"/>
        </w:rPr>
        <w:t>一、项目基本情况</w:t>
      </w:r>
      <w:bookmarkEnd w:id="2"/>
      <w:bookmarkEnd w:id="3"/>
      <w:bookmarkEnd w:id="4"/>
      <w:bookmarkEnd w:id="5"/>
    </w:p>
    <w:bookmarkEnd w:id="6"/>
    <w:p>
      <w:pPr>
        <w:adjustRightInd w:val="0"/>
        <w:snapToGrid w:val="0"/>
        <w:spacing w:line="360" w:lineRule="auto"/>
        <w:ind w:firstLine="210" w:firstLineChars="100"/>
        <w:rPr>
          <w:rFonts w:ascii="仿宋" w:hAnsi="仿宋" w:cs="仿宋"/>
          <w:szCs w:val="21"/>
        </w:rPr>
      </w:pPr>
      <w:bookmarkStart w:id="7" w:name="_Toc35393791"/>
      <w:bookmarkStart w:id="8" w:name="_Toc35393622"/>
      <w:bookmarkStart w:id="9" w:name="_Toc28359080"/>
      <w:bookmarkStart w:id="10" w:name="_Toc28359003"/>
      <w:r>
        <w:rPr>
          <w:rFonts w:hint="eastAsia" w:ascii="仿宋" w:hAnsi="仿宋" w:cs="仿宋"/>
          <w:szCs w:val="21"/>
        </w:rPr>
        <w:t>项目编号：67</w:t>
      </w:r>
      <w:bookmarkStart w:id="136" w:name="_GoBack"/>
      <w:bookmarkEnd w:id="136"/>
      <w:r>
        <w:rPr>
          <w:rFonts w:hint="eastAsia" w:ascii="仿宋" w:hAnsi="仿宋" w:cs="仿宋"/>
          <w:szCs w:val="21"/>
        </w:rPr>
        <w:t>53295921713311604233-2024042818</w:t>
      </w:r>
    </w:p>
    <w:p>
      <w:pPr>
        <w:adjustRightInd w:val="0"/>
        <w:snapToGrid w:val="0"/>
        <w:spacing w:line="360" w:lineRule="auto"/>
        <w:ind w:firstLine="210" w:firstLineChars="100"/>
        <w:rPr>
          <w:rFonts w:ascii="仿宋" w:hAnsi="仿宋" w:cs="仿宋"/>
        </w:rPr>
      </w:pPr>
      <w:r>
        <w:rPr>
          <w:rFonts w:hint="eastAsia" w:ascii="仿宋" w:hAnsi="仿宋" w:cs="仿宋"/>
          <w:szCs w:val="21"/>
        </w:rPr>
        <w:t>项目名称：</w:t>
      </w:r>
      <w:r>
        <w:rPr>
          <w:rFonts w:hint="eastAsia" w:ascii="仿宋" w:hAnsi="仿宋" w:cs="仿宋"/>
        </w:rPr>
        <w:t>辽宁省消防救援总队自然灾害应急能力提升工程沈阳支队装备建设项目-雨雪冰冻装备项目</w:t>
      </w:r>
    </w:p>
    <w:p>
      <w:pPr>
        <w:adjustRightInd w:val="0"/>
        <w:snapToGrid w:val="0"/>
        <w:spacing w:line="360" w:lineRule="auto"/>
        <w:ind w:firstLine="210" w:firstLineChars="100"/>
        <w:rPr>
          <w:rFonts w:ascii="仿宋" w:hAnsi="仿宋" w:cs="仿宋"/>
          <w:szCs w:val="21"/>
        </w:rPr>
      </w:pPr>
      <w:r>
        <w:rPr>
          <w:rFonts w:hint="eastAsia" w:ascii="仿宋" w:hAnsi="仿宋" w:cs="仿宋"/>
          <w:szCs w:val="21"/>
        </w:rPr>
        <w:t>包    号：001</w:t>
      </w:r>
    </w:p>
    <w:p>
      <w:pPr>
        <w:adjustRightInd w:val="0"/>
        <w:snapToGrid w:val="0"/>
        <w:spacing w:line="360" w:lineRule="auto"/>
        <w:ind w:firstLine="210" w:firstLineChars="100"/>
        <w:rPr>
          <w:rFonts w:ascii="仿宋" w:hAnsi="仿宋" w:cs="仿宋"/>
          <w:szCs w:val="21"/>
        </w:rPr>
      </w:pPr>
      <w:r>
        <w:rPr>
          <w:rFonts w:hint="eastAsia" w:ascii="仿宋" w:hAnsi="仿宋" w:cs="仿宋"/>
          <w:szCs w:val="21"/>
        </w:rPr>
        <w:t>预算金额：296.92万元（人民币）</w:t>
      </w:r>
    </w:p>
    <w:p>
      <w:pPr>
        <w:adjustRightInd w:val="0"/>
        <w:snapToGrid w:val="0"/>
        <w:spacing w:line="360" w:lineRule="auto"/>
        <w:ind w:firstLine="210" w:firstLineChars="100"/>
        <w:rPr>
          <w:rFonts w:ascii="仿宋" w:hAnsi="仿宋" w:cs="仿宋"/>
          <w:szCs w:val="21"/>
        </w:rPr>
      </w:pPr>
      <w:r>
        <w:rPr>
          <w:rFonts w:hint="eastAsia" w:ascii="仿宋" w:hAnsi="仿宋" w:cs="仿宋"/>
          <w:szCs w:val="21"/>
        </w:rPr>
        <w:t>最高限价：296.92万元（人民币）</w:t>
      </w:r>
    </w:p>
    <w:p>
      <w:pPr>
        <w:adjustRightInd w:val="0"/>
        <w:snapToGrid w:val="0"/>
        <w:spacing w:line="360" w:lineRule="auto"/>
        <w:ind w:firstLine="210" w:firstLineChars="100"/>
        <w:rPr>
          <w:rFonts w:ascii="仿宋" w:hAnsi="仿宋" w:cs="仿宋"/>
          <w:szCs w:val="21"/>
        </w:rPr>
      </w:pPr>
      <w:r>
        <w:rPr>
          <w:rFonts w:hint="eastAsia" w:ascii="仿宋" w:hAnsi="仿宋" w:cs="仿宋"/>
          <w:szCs w:val="21"/>
        </w:rPr>
        <w:t>采购需求：详见附件1</w:t>
      </w:r>
    </w:p>
    <w:p>
      <w:pPr>
        <w:adjustRightInd w:val="0"/>
        <w:snapToGrid w:val="0"/>
        <w:spacing w:line="360" w:lineRule="auto"/>
        <w:ind w:firstLine="210" w:firstLineChars="100"/>
        <w:rPr>
          <w:rFonts w:ascii="仿宋" w:hAnsi="仿宋" w:cs="仿宋"/>
          <w:szCs w:val="21"/>
        </w:rPr>
      </w:pPr>
      <w:r>
        <w:rPr>
          <w:rFonts w:hint="eastAsia" w:ascii="仿宋" w:hAnsi="仿宋" w:cs="仿宋"/>
          <w:szCs w:val="21"/>
        </w:rPr>
        <w:t>合同履约期限：合同签订后60日内供货；</w:t>
      </w:r>
    </w:p>
    <w:p>
      <w:pPr>
        <w:adjustRightInd w:val="0"/>
        <w:snapToGrid w:val="0"/>
        <w:spacing w:line="360" w:lineRule="auto"/>
        <w:ind w:firstLine="210" w:firstLineChars="100"/>
        <w:rPr>
          <w:rFonts w:ascii="仿宋" w:hAnsi="仿宋" w:cs="仿宋"/>
          <w:b/>
          <w:bCs/>
          <w:szCs w:val="21"/>
        </w:rPr>
      </w:pPr>
      <w:r>
        <w:rPr>
          <w:rFonts w:hint="eastAsia" w:ascii="仿宋" w:hAnsi="仿宋" w:cs="仿宋"/>
          <w:szCs w:val="21"/>
        </w:rPr>
        <w:t>本项目( 不接受 )联合体投标。</w:t>
      </w:r>
    </w:p>
    <w:p>
      <w:pPr>
        <w:adjustRightInd w:val="0"/>
        <w:snapToGrid w:val="0"/>
        <w:spacing w:line="360" w:lineRule="auto"/>
        <w:rPr>
          <w:rFonts w:ascii="仿宋" w:hAnsi="仿宋" w:cs="仿宋"/>
          <w:b/>
          <w:bCs/>
          <w:szCs w:val="21"/>
        </w:rPr>
      </w:pPr>
      <w:r>
        <w:rPr>
          <w:rFonts w:hint="eastAsia" w:ascii="仿宋" w:hAnsi="仿宋" w:cs="仿宋"/>
          <w:b/>
          <w:bCs/>
          <w:szCs w:val="21"/>
        </w:rPr>
        <w:t>二、申请人的资格要求：</w:t>
      </w:r>
      <w:bookmarkEnd w:id="7"/>
      <w:bookmarkEnd w:id="8"/>
      <w:bookmarkEnd w:id="9"/>
      <w:bookmarkEnd w:id="10"/>
    </w:p>
    <w:p>
      <w:pPr>
        <w:adjustRightInd w:val="0"/>
        <w:snapToGrid w:val="0"/>
        <w:spacing w:line="360" w:lineRule="auto"/>
        <w:ind w:firstLine="210" w:firstLineChars="100"/>
        <w:rPr>
          <w:rFonts w:ascii="仿宋" w:hAnsi="仿宋" w:cs="仿宋"/>
          <w:szCs w:val="21"/>
        </w:rPr>
      </w:pPr>
      <w:bookmarkStart w:id="11" w:name="_Toc28359004"/>
      <w:bookmarkStart w:id="12" w:name="_Toc35393792"/>
      <w:bookmarkStart w:id="13" w:name="_Toc28359081"/>
      <w:bookmarkStart w:id="14" w:name="_Toc35393623"/>
      <w:r>
        <w:rPr>
          <w:rFonts w:hint="eastAsia" w:ascii="仿宋" w:hAnsi="仿宋" w:cs="仿宋"/>
          <w:szCs w:val="21"/>
        </w:rPr>
        <w:t>1.满足《中华人民共和国政府采购法》第二十二条规定；</w:t>
      </w:r>
    </w:p>
    <w:p>
      <w:pPr>
        <w:adjustRightInd w:val="0"/>
        <w:snapToGrid w:val="0"/>
        <w:spacing w:line="360" w:lineRule="auto"/>
        <w:ind w:firstLine="210" w:firstLineChars="100"/>
        <w:rPr>
          <w:rFonts w:ascii="仿宋" w:hAnsi="仿宋" w:cs="仿宋"/>
          <w:szCs w:val="21"/>
        </w:rPr>
      </w:pPr>
      <w:r>
        <w:rPr>
          <w:rFonts w:hint="eastAsia" w:ascii="仿宋" w:hAnsi="仿宋" w:cs="仿宋"/>
          <w:szCs w:val="21"/>
        </w:rPr>
        <w:t>2.落实政府采购政策需满足的资格要求：本项目专门面向中小企业采购，供应商所投产品厂商须为中型或小型或微型企业，残疾人福利性单位、监狱企业视同小型和微型企业；</w:t>
      </w:r>
    </w:p>
    <w:p>
      <w:pPr>
        <w:adjustRightInd w:val="0"/>
        <w:snapToGrid w:val="0"/>
        <w:spacing w:line="360" w:lineRule="auto"/>
        <w:ind w:firstLine="210" w:firstLineChars="100"/>
        <w:rPr>
          <w:rFonts w:ascii="仿宋" w:hAnsi="仿宋" w:cs="仿宋"/>
          <w:szCs w:val="21"/>
        </w:rPr>
      </w:pPr>
      <w:r>
        <w:rPr>
          <w:rFonts w:hint="eastAsia" w:ascii="仿宋" w:hAnsi="仿宋" w:cs="仿宋"/>
          <w:szCs w:val="21"/>
        </w:rPr>
        <w:t>3.本项目的特定资格要求：无。</w:t>
      </w:r>
    </w:p>
    <w:p>
      <w:pPr>
        <w:adjustRightInd w:val="0"/>
        <w:snapToGrid w:val="0"/>
        <w:spacing w:line="360" w:lineRule="auto"/>
        <w:rPr>
          <w:rFonts w:ascii="仿宋" w:hAnsi="仿宋" w:cs="仿宋"/>
          <w:b/>
          <w:bCs/>
          <w:szCs w:val="21"/>
        </w:rPr>
      </w:pPr>
      <w:r>
        <w:rPr>
          <w:rFonts w:hint="eastAsia" w:ascii="仿宋" w:hAnsi="仿宋" w:cs="仿宋"/>
          <w:b/>
          <w:bCs/>
          <w:szCs w:val="21"/>
        </w:rPr>
        <w:t>三、获取招标文件</w:t>
      </w:r>
      <w:bookmarkEnd w:id="11"/>
      <w:bookmarkEnd w:id="12"/>
      <w:bookmarkEnd w:id="13"/>
      <w:bookmarkEnd w:id="14"/>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时间：</w:t>
      </w:r>
      <w:r>
        <w:rPr>
          <w:rFonts w:hint="eastAsia" w:ascii="仿宋" w:hAnsi="仿宋" w:cs="仿宋"/>
          <w:szCs w:val="21"/>
          <w:u w:val="single"/>
        </w:rPr>
        <w:t>2024年</w:t>
      </w:r>
      <w:r>
        <w:rPr>
          <w:rFonts w:hint="eastAsia" w:ascii="仿宋" w:hAnsi="仿宋" w:cs="仿宋"/>
          <w:szCs w:val="21"/>
          <w:u w:val="single"/>
          <w:lang w:val="en-US" w:eastAsia="zh-CN"/>
        </w:rPr>
        <w:t>6</w:t>
      </w:r>
      <w:r>
        <w:rPr>
          <w:rFonts w:hint="eastAsia" w:ascii="仿宋" w:hAnsi="仿宋" w:cs="仿宋"/>
          <w:szCs w:val="21"/>
          <w:u w:val="single"/>
        </w:rPr>
        <w:t>月</w:t>
      </w:r>
      <w:r>
        <w:rPr>
          <w:rFonts w:hint="eastAsia" w:ascii="仿宋" w:hAnsi="仿宋" w:cs="仿宋"/>
          <w:szCs w:val="21"/>
          <w:u w:val="single"/>
          <w:lang w:val="en-US" w:eastAsia="zh-CN"/>
        </w:rPr>
        <w:t>13</w:t>
      </w:r>
      <w:r>
        <w:rPr>
          <w:rFonts w:hint="eastAsia" w:ascii="仿宋" w:hAnsi="仿宋" w:cs="仿宋"/>
          <w:szCs w:val="21"/>
          <w:u w:val="single"/>
        </w:rPr>
        <w:t>日</w:t>
      </w:r>
      <w:r>
        <w:rPr>
          <w:rFonts w:hint="eastAsia" w:ascii="仿宋" w:hAnsi="仿宋" w:cs="仿宋"/>
          <w:szCs w:val="21"/>
        </w:rPr>
        <w:t>至</w:t>
      </w:r>
      <w:r>
        <w:rPr>
          <w:rFonts w:hint="eastAsia" w:ascii="仿宋" w:hAnsi="仿宋" w:cs="仿宋"/>
          <w:szCs w:val="21"/>
          <w:u w:val="single"/>
        </w:rPr>
        <w:t>2024年</w:t>
      </w:r>
      <w:r>
        <w:rPr>
          <w:rFonts w:hint="eastAsia" w:ascii="仿宋" w:hAnsi="仿宋" w:cs="仿宋"/>
          <w:szCs w:val="21"/>
          <w:u w:val="single"/>
          <w:lang w:val="en-US" w:eastAsia="zh-CN"/>
        </w:rPr>
        <w:t>6</w:t>
      </w:r>
      <w:r>
        <w:rPr>
          <w:rFonts w:hint="eastAsia" w:ascii="仿宋" w:hAnsi="仿宋" w:cs="仿宋"/>
          <w:szCs w:val="21"/>
          <w:u w:val="single"/>
        </w:rPr>
        <w:t>月</w:t>
      </w:r>
      <w:r>
        <w:rPr>
          <w:rFonts w:hint="eastAsia" w:ascii="仿宋" w:hAnsi="仿宋" w:cs="仿宋"/>
          <w:szCs w:val="21"/>
          <w:u w:val="single"/>
          <w:lang w:val="en-US" w:eastAsia="zh-CN"/>
        </w:rPr>
        <w:t>20</w:t>
      </w:r>
      <w:r>
        <w:rPr>
          <w:rFonts w:hint="eastAsia" w:ascii="仿宋" w:hAnsi="仿宋" w:cs="仿宋"/>
          <w:szCs w:val="21"/>
          <w:u w:val="single"/>
        </w:rPr>
        <w:t>日</w:t>
      </w:r>
      <w:r>
        <w:rPr>
          <w:rFonts w:hint="eastAsia" w:ascii="仿宋" w:hAnsi="仿宋" w:cs="仿宋"/>
          <w:szCs w:val="21"/>
        </w:rPr>
        <w:t>，每天上午8:30至11:30，下午13:00至17:00（北京时间，法定节假日除外）</w:t>
      </w:r>
    </w:p>
    <w:p>
      <w:pPr>
        <w:adjustRightInd w:val="0"/>
        <w:snapToGrid w:val="0"/>
        <w:spacing w:line="360" w:lineRule="auto"/>
        <w:ind w:firstLine="420" w:firstLineChars="200"/>
        <w:rPr>
          <w:rFonts w:ascii="仿宋" w:hAnsi="仿宋" w:cs="仿宋"/>
          <w:szCs w:val="21"/>
          <w:u w:val="single"/>
        </w:rPr>
      </w:pPr>
      <w:r>
        <w:rPr>
          <w:rFonts w:hint="eastAsia" w:ascii="仿宋" w:hAnsi="仿宋" w:cs="仿宋"/>
          <w:szCs w:val="21"/>
        </w:rPr>
        <w:t>地点：</w:t>
      </w:r>
      <w:bookmarkStart w:id="15" w:name="_Toc28359005"/>
      <w:bookmarkStart w:id="16" w:name="_Toc28359082"/>
      <w:bookmarkStart w:id="17" w:name="_Toc35393624"/>
      <w:bookmarkStart w:id="18" w:name="_Toc35393793"/>
      <w:r>
        <w:rPr>
          <w:rFonts w:hint="eastAsia" w:ascii="仿宋" w:hAnsi="仿宋" w:cs="仿宋"/>
          <w:szCs w:val="21"/>
        </w:rPr>
        <w:t>辽宁浩亿招投标有限公司</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方式：</w:t>
      </w:r>
      <w:r>
        <w:rPr>
          <w:rFonts w:hint="eastAsia" w:ascii="仿宋" w:hAnsi="仿宋" w:cs="仿宋"/>
          <w:kern w:val="0"/>
          <w:szCs w:val="21"/>
        </w:rPr>
        <w:t>现场领取</w:t>
      </w:r>
    </w:p>
    <w:p>
      <w:pPr>
        <w:adjustRightInd w:val="0"/>
        <w:snapToGrid w:val="0"/>
        <w:spacing w:line="360" w:lineRule="auto"/>
        <w:ind w:firstLine="420" w:firstLineChars="200"/>
        <w:rPr>
          <w:rFonts w:ascii="仿宋" w:hAnsi="仿宋" w:cs="仿宋"/>
          <w:szCs w:val="21"/>
        </w:rPr>
      </w:pPr>
      <w:r>
        <w:rPr>
          <w:rFonts w:hint="eastAsia" w:ascii="仿宋" w:hAnsi="仿宋" w:cs="仿宋"/>
          <w:kern w:val="0"/>
          <w:szCs w:val="21"/>
        </w:rPr>
        <w:t>现场领取：</w:t>
      </w:r>
      <w:r>
        <w:rPr>
          <w:rFonts w:hint="eastAsia" w:ascii="仿宋" w:hAnsi="仿宋" w:cs="仿宋"/>
          <w:szCs w:val="21"/>
        </w:rPr>
        <w:t>购买招标文件时须携带以下材料：1、法人或者其他组织的营业执照等主体证明文件或自然人的身份证明复印件（自然人身份证明仅限在自然人作为响应主体时使用）；2、法定代表人（或非法人组织负责人）</w:t>
      </w:r>
      <w:r>
        <w:rPr>
          <w:rFonts w:hint="eastAsia" w:ascii="仿宋" w:hAnsi="仿宋" w:cs="仿宋"/>
          <w:b/>
          <w:bCs/>
          <w:szCs w:val="21"/>
        </w:rPr>
        <w:t>（详见附件2-1）</w:t>
      </w:r>
      <w:r>
        <w:rPr>
          <w:rFonts w:hint="eastAsia" w:ascii="仿宋" w:hAnsi="仿宋" w:cs="仿宋"/>
          <w:szCs w:val="21"/>
        </w:rPr>
        <w:t>身份证明书原件（自然人作为响应主体时不需提供）；3、授权委托书原件</w:t>
      </w:r>
      <w:r>
        <w:rPr>
          <w:rFonts w:hint="eastAsia" w:ascii="仿宋" w:hAnsi="仿宋" w:cs="仿宋"/>
          <w:b/>
          <w:bCs/>
          <w:szCs w:val="21"/>
        </w:rPr>
        <w:t>（详见附件2-2）</w:t>
      </w:r>
      <w:r>
        <w:rPr>
          <w:rFonts w:hint="eastAsia" w:ascii="仿宋" w:hAnsi="仿宋" w:cs="仿宋"/>
          <w:szCs w:val="21"/>
        </w:rPr>
        <w:t>（法定代表人、非法人组织负责人、自然人本人购买招标文件的无需提供）。</w:t>
      </w:r>
    </w:p>
    <w:p>
      <w:pPr>
        <w:adjustRightInd w:val="0"/>
        <w:snapToGrid w:val="0"/>
        <w:spacing w:line="360" w:lineRule="auto"/>
        <w:ind w:firstLine="540"/>
        <w:rPr>
          <w:rFonts w:ascii="仿宋" w:hAnsi="仿宋" w:cs="仿宋"/>
          <w:szCs w:val="21"/>
        </w:rPr>
      </w:pPr>
      <w:r>
        <w:rPr>
          <w:rFonts w:hint="eastAsia" w:ascii="仿宋" w:hAnsi="仿宋" w:cs="仿宋"/>
          <w:szCs w:val="21"/>
        </w:rPr>
        <w:t>售价：￥500.0 元，本公告包含的招标文件售价总和</w:t>
      </w:r>
    </w:p>
    <w:p>
      <w:pPr>
        <w:adjustRightInd w:val="0"/>
        <w:snapToGrid w:val="0"/>
        <w:spacing w:line="360" w:lineRule="auto"/>
        <w:rPr>
          <w:rFonts w:ascii="仿宋" w:hAnsi="仿宋" w:cs="仿宋"/>
          <w:b/>
          <w:bCs/>
          <w:szCs w:val="21"/>
        </w:rPr>
      </w:pPr>
      <w:r>
        <w:rPr>
          <w:rFonts w:hint="eastAsia" w:ascii="仿宋" w:hAnsi="仿宋" w:cs="仿宋"/>
          <w:b/>
          <w:bCs/>
          <w:szCs w:val="21"/>
        </w:rPr>
        <w:t>四、提交投标文件</w:t>
      </w:r>
      <w:bookmarkEnd w:id="15"/>
      <w:bookmarkEnd w:id="16"/>
      <w:r>
        <w:rPr>
          <w:rFonts w:hint="eastAsia" w:ascii="仿宋" w:hAnsi="仿宋" w:cs="仿宋"/>
          <w:b/>
          <w:bCs/>
          <w:szCs w:val="21"/>
        </w:rPr>
        <w:t>截止时间、开标时间和地点</w:t>
      </w:r>
      <w:bookmarkEnd w:id="17"/>
      <w:bookmarkEnd w:id="18"/>
    </w:p>
    <w:p>
      <w:pPr>
        <w:adjustRightInd w:val="0"/>
        <w:snapToGrid w:val="0"/>
        <w:spacing w:line="360" w:lineRule="auto"/>
        <w:ind w:firstLine="420" w:firstLineChars="200"/>
        <w:rPr>
          <w:rFonts w:ascii="仿宋" w:hAnsi="仿宋" w:cs="仿宋"/>
          <w:bCs/>
          <w:szCs w:val="21"/>
          <w:u w:val="single"/>
        </w:rPr>
      </w:pPr>
      <w:r>
        <w:rPr>
          <w:rFonts w:hint="eastAsia" w:ascii="仿宋" w:hAnsi="仿宋" w:cs="仿宋"/>
          <w:bCs/>
          <w:szCs w:val="21"/>
        </w:rPr>
        <w:t>时间;</w:t>
      </w:r>
      <w:r>
        <w:rPr>
          <w:rFonts w:hint="eastAsia" w:ascii="仿宋" w:hAnsi="仿宋" w:cs="仿宋"/>
          <w:bCs/>
          <w:szCs w:val="21"/>
          <w:u w:val="single"/>
        </w:rPr>
        <w:t>2024年</w:t>
      </w:r>
      <w:r>
        <w:rPr>
          <w:rFonts w:hint="eastAsia" w:ascii="仿宋" w:hAnsi="仿宋" w:cs="仿宋"/>
          <w:bCs/>
          <w:szCs w:val="21"/>
          <w:u w:val="single"/>
          <w:lang w:val="en-US" w:eastAsia="zh-CN"/>
        </w:rPr>
        <w:t>7</w:t>
      </w:r>
      <w:r>
        <w:rPr>
          <w:rFonts w:hint="eastAsia" w:ascii="仿宋" w:hAnsi="仿宋" w:cs="仿宋"/>
          <w:bCs/>
          <w:szCs w:val="21"/>
          <w:u w:val="single"/>
        </w:rPr>
        <w:t>月</w:t>
      </w:r>
      <w:r>
        <w:rPr>
          <w:rFonts w:hint="eastAsia" w:ascii="仿宋" w:hAnsi="仿宋" w:cs="仿宋"/>
          <w:bCs/>
          <w:szCs w:val="21"/>
          <w:u w:val="single"/>
          <w:lang w:val="en-US" w:eastAsia="zh-CN"/>
        </w:rPr>
        <w:t>4</w:t>
      </w:r>
      <w:r>
        <w:rPr>
          <w:rFonts w:hint="eastAsia" w:ascii="仿宋" w:hAnsi="仿宋" w:cs="仿宋"/>
          <w:bCs/>
          <w:szCs w:val="21"/>
          <w:u w:val="single"/>
        </w:rPr>
        <w:t>日09点</w:t>
      </w:r>
      <w:r>
        <w:rPr>
          <w:rFonts w:hint="eastAsia" w:ascii="仿宋" w:hAnsi="仿宋" w:cs="仿宋"/>
          <w:bCs/>
          <w:szCs w:val="21"/>
          <w:u w:val="single"/>
          <w:lang w:val="en-US" w:eastAsia="zh-CN"/>
        </w:rPr>
        <w:t>0</w:t>
      </w:r>
      <w:r>
        <w:rPr>
          <w:rFonts w:hint="eastAsia" w:ascii="仿宋" w:hAnsi="仿宋" w:cs="仿宋"/>
          <w:bCs/>
          <w:szCs w:val="21"/>
          <w:u w:val="single"/>
        </w:rPr>
        <w:t>0分</w:t>
      </w:r>
      <w:r>
        <w:rPr>
          <w:rFonts w:hint="eastAsia" w:ascii="仿宋" w:hAnsi="仿宋" w:cs="仿宋"/>
          <w:bCs/>
          <w:szCs w:val="21"/>
        </w:rPr>
        <w:t>（北京时间）</w:t>
      </w:r>
    </w:p>
    <w:p>
      <w:pPr>
        <w:adjustRightInd w:val="0"/>
        <w:snapToGrid w:val="0"/>
        <w:spacing w:line="360" w:lineRule="auto"/>
        <w:ind w:firstLine="420" w:firstLineChars="200"/>
        <w:rPr>
          <w:rFonts w:ascii="仿宋" w:hAnsi="仿宋" w:cs="仿宋"/>
          <w:bCs/>
          <w:szCs w:val="21"/>
          <w:u w:val="single"/>
        </w:rPr>
      </w:pPr>
      <w:r>
        <w:rPr>
          <w:rFonts w:hint="eastAsia" w:ascii="仿宋" w:hAnsi="仿宋" w:cs="仿宋"/>
          <w:szCs w:val="21"/>
        </w:rPr>
        <w:t>地点：辽宁浩亿招投标有限公司会议室（沈阳市皇姑区同江街11-1号3门）</w:t>
      </w:r>
    </w:p>
    <w:p>
      <w:pPr>
        <w:adjustRightInd w:val="0"/>
        <w:snapToGrid w:val="0"/>
        <w:spacing w:line="360" w:lineRule="auto"/>
        <w:rPr>
          <w:rFonts w:ascii="仿宋" w:hAnsi="仿宋" w:cs="仿宋"/>
          <w:b/>
          <w:bCs/>
          <w:szCs w:val="21"/>
        </w:rPr>
      </w:pPr>
      <w:bookmarkStart w:id="19" w:name="_Toc28359084"/>
      <w:bookmarkStart w:id="20" w:name="_Toc35393794"/>
      <w:bookmarkStart w:id="21" w:name="_Toc35393625"/>
      <w:bookmarkStart w:id="22" w:name="_Toc28359007"/>
      <w:r>
        <w:rPr>
          <w:rFonts w:hint="eastAsia" w:ascii="仿宋" w:hAnsi="仿宋" w:cs="仿宋"/>
          <w:b/>
          <w:bCs/>
          <w:szCs w:val="21"/>
        </w:rPr>
        <w:t>五、公告期限</w:t>
      </w:r>
      <w:bookmarkEnd w:id="19"/>
      <w:bookmarkEnd w:id="20"/>
      <w:bookmarkEnd w:id="21"/>
      <w:bookmarkEnd w:id="22"/>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自本公告发布之日起5个工作日。</w:t>
      </w:r>
    </w:p>
    <w:p>
      <w:pPr>
        <w:keepNext/>
        <w:keepLines/>
        <w:adjustRightInd w:val="0"/>
        <w:snapToGrid w:val="0"/>
        <w:spacing w:line="360" w:lineRule="auto"/>
        <w:rPr>
          <w:rFonts w:ascii="仿宋" w:hAnsi="仿宋" w:cs="仿宋"/>
          <w:kern w:val="0"/>
          <w:szCs w:val="21"/>
        </w:rPr>
      </w:pPr>
      <w:r>
        <w:rPr>
          <w:rFonts w:hint="eastAsia" w:ascii="仿宋" w:hAnsi="仿宋" w:cs="仿宋"/>
          <w:b/>
          <w:szCs w:val="21"/>
        </w:rPr>
        <w:t>六、</w:t>
      </w:r>
      <w:bookmarkStart w:id="23" w:name="_Toc35393626"/>
      <w:bookmarkStart w:id="24" w:name="_Toc35393795"/>
      <w:r>
        <w:rPr>
          <w:rFonts w:hint="eastAsia" w:ascii="仿宋" w:hAnsi="仿宋" w:cs="仿宋"/>
          <w:b/>
          <w:bCs/>
          <w:szCs w:val="21"/>
        </w:rPr>
        <w:t>其他补充事宜</w:t>
      </w:r>
      <w:bookmarkEnd w:id="23"/>
      <w:bookmarkEnd w:id="24"/>
      <w:bookmarkStart w:id="25" w:name="_Toc28359085"/>
      <w:bookmarkStart w:id="26" w:name="_Toc28359008"/>
      <w:bookmarkStart w:id="27" w:name="_Toc35393796"/>
      <w:bookmarkStart w:id="28" w:name="_Toc35393627"/>
    </w:p>
    <w:p>
      <w:pPr>
        <w:widowControl/>
        <w:adjustRightInd w:val="0"/>
        <w:snapToGrid w:val="0"/>
        <w:spacing w:line="360" w:lineRule="auto"/>
        <w:ind w:firstLine="420" w:firstLineChars="200"/>
        <w:jc w:val="left"/>
        <w:rPr>
          <w:rFonts w:ascii="仿宋" w:hAnsi="仿宋" w:cs="仿宋"/>
          <w:kern w:val="0"/>
          <w:szCs w:val="21"/>
        </w:rPr>
      </w:pPr>
      <w:r>
        <w:rPr>
          <w:rFonts w:hint="eastAsia" w:ascii="仿宋" w:hAnsi="仿宋" w:cs="仿宋"/>
          <w:kern w:val="0"/>
          <w:szCs w:val="21"/>
        </w:rPr>
        <w:t>1、供应商认为自己的权益受到损害的，可以在知道或者应知其权益受到损害之日起七个工作日内，向采购代理机构或采购人提出质疑。</w:t>
      </w:r>
    </w:p>
    <w:p>
      <w:pPr>
        <w:widowControl/>
        <w:adjustRightInd w:val="0"/>
        <w:snapToGrid w:val="0"/>
        <w:spacing w:line="360" w:lineRule="auto"/>
        <w:ind w:firstLine="480"/>
        <w:jc w:val="left"/>
        <w:rPr>
          <w:rFonts w:ascii="仿宋" w:hAnsi="仿宋" w:cs="仿宋"/>
          <w:kern w:val="0"/>
          <w:szCs w:val="21"/>
        </w:rPr>
      </w:pPr>
      <w:r>
        <w:rPr>
          <w:rFonts w:hint="eastAsia" w:ascii="仿宋" w:hAnsi="仿宋" w:cs="仿宋"/>
          <w:kern w:val="0"/>
          <w:szCs w:val="21"/>
        </w:rPr>
        <w:t>1.1接收质疑函方式：书面纸质质疑函</w:t>
      </w:r>
    </w:p>
    <w:p>
      <w:pPr>
        <w:widowControl/>
        <w:adjustRightInd w:val="0"/>
        <w:snapToGrid w:val="0"/>
        <w:spacing w:line="360" w:lineRule="auto"/>
        <w:ind w:firstLine="480"/>
        <w:jc w:val="left"/>
        <w:rPr>
          <w:rFonts w:ascii="仿宋" w:hAnsi="仿宋" w:cs="仿宋"/>
          <w:kern w:val="0"/>
          <w:szCs w:val="21"/>
        </w:rPr>
      </w:pPr>
      <w:r>
        <w:rPr>
          <w:rFonts w:hint="eastAsia" w:ascii="仿宋" w:hAnsi="仿宋" w:cs="仿宋"/>
          <w:kern w:val="0"/>
          <w:szCs w:val="21"/>
        </w:rPr>
        <w:t>1.2质疑函内容、格式：应符合《政府采购质疑和投诉办法》相关规定和财政部制定的《政府采购质疑函范本》格式，详见政府采购网。</w:t>
      </w:r>
    </w:p>
    <w:p>
      <w:pPr>
        <w:widowControl/>
        <w:adjustRightInd w:val="0"/>
        <w:snapToGrid w:val="0"/>
        <w:spacing w:line="360" w:lineRule="auto"/>
        <w:ind w:firstLine="480"/>
        <w:jc w:val="left"/>
        <w:rPr>
          <w:rFonts w:ascii="仿宋" w:hAnsi="仿宋" w:cs="仿宋"/>
          <w:kern w:val="0"/>
          <w:szCs w:val="21"/>
        </w:rPr>
      </w:pPr>
      <w:r>
        <w:rPr>
          <w:rFonts w:hint="eastAsia" w:ascii="仿宋" w:hAnsi="仿宋" w:cs="仿宋"/>
          <w:kern w:val="0"/>
          <w:szCs w:val="21"/>
        </w:rPr>
        <w:t>质疑供应商对采购人、采购代理机构的答复不满意，或者采购人、采购代理机构未在规定时间内作出答复的，可以在答复期满后15个工作日内向本级财政部门提起投诉。</w:t>
      </w:r>
    </w:p>
    <w:p>
      <w:pPr>
        <w:adjustRightInd w:val="0"/>
        <w:snapToGrid w:val="0"/>
        <w:spacing w:line="360" w:lineRule="auto"/>
        <w:ind w:firstLine="420" w:firstLineChars="200"/>
        <w:rPr>
          <w:rFonts w:ascii="仿宋" w:hAnsi="仿宋" w:cs="仿宋"/>
          <w:szCs w:val="21"/>
          <w:lang w:bidi="ar"/>
        </w:rPr>
      </w:pPr>
      <w:r>
        <w:rPr>
          <w:rFonts w:hint="eastAsia" w:ascii="仿宋" w:hAnsi="仿宋" w:cs="仿宋"/>
          <w:szCs w:val="21"/>
        </w:rPr>
        <w:t>2</w:t>
      </w:r>
      <w:r>
        <w:rPr>
          <w:rFonts w:hint="eastAsia" w:ascii="仿宋" w:hAnsi="仿宋" w:cs="仿宋"/>
          <w:kern w:val="0"/>
          <w:szCs w:val="21"/>
        </w:rPr>
        <w:t>、</w:t>
      </w:r>
      <w:r>
        <w:rPr>
          <w:rFonts w:hint="eastAsia" w:ascii="仿宋" w:hAnsi="仿宋" w:cs="仿宋"/>
          <w:szCs w:val="21"/>
        </w:rPr>
        <w:t>需落实的政府采购政策内容：</w:t>
      </w:r>
      <w:r>
        <w:rPr>
          <w:rFonts w:hint="eastAsia" w:ascii="仿宋" w:hAnsi="仿宋" w:cs="仿宋"/>
          <w:szCs w:val="21"/>
          <w:lang w:bidi="ar"/>
        </w:rPr>
        <w:t>促进中小企业、促进残疾人就业、支持监狱企业、支持乡村振兴、节能环保等相关政策。</w:t>
      </w:r>
    </w:p>
    <w:p>
      <w:pPr>
        <w:adjustRightInd w:val="0"/>
        <w:snapToGrid w:val="0"/>
        <w:spacing w:line="360" w:lineRule="auto"/>
        <w:rPr>
          <w:rFonts w:ascii="仿宋" w:hAnsi="仿宋" w:cs="仿宋"/>
          <w:b/>
          <w:bCs/>
          <w:szCs w:val="21"/>
        </w:rPr>
      </w:pPr>
      <w:r>
        <w:rPr>
          <w:rFonts w:hint="eastAsia" w:ascii="仿宋" w:hAnsi="仿宋" w:cs="仿宋"/>
          <w:b/>
          <w:bCs/>
          <w:szCs w:val="21"/>
        </w:rPr>
        <w:t>七、对本次招标提出询问，请按以下方式联系。</w:t>
      </w:r>
      <w:bookmarkEnd w:id="25"/>
      <w:bookmarkEnd w:id="26"/>
      <w:bookmarkEnd w:id="27"/>
      <w:bookmarkEnd w:id="28"/>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1.采购人信息</w:t>
      </w:r>
    </w:p>
    <w:p>
      <w:pPr>
        <w:widowControl/>
        <w:adjustRightInd w:val="0"/>
        <w:snapToGrid w:val="0"/>
        <w:spacing w:line="360" w:lineRule="exact"/>
        <w:ind w:firstLine="613" w:firstLineChars="292"/>
        <w:jc w:val="left"/>
        <w:rPr>
          <w:rFonts w:ascii="仿宋" w:hAnsi="仿宋" w:cs="仿宋"/>
          <w:kern w:val="0"/>
          <w:szCs w:val="21"/>
        </w:rPr>
      </w:pPr>
      <w:r>
        <w:rPr>
          <w:rFonts w:hint="eastAsia" w:ascii="仿宋" w:hAnsi="仿宋" w:cs="仿宋"/>
          <w:kern w:val="0"/>
          <w:szCs w:val="21"/>
        </w:rPr>
        <w:t>名    称：沈阳市消防救援支队</w:t>
      </w:r>
    </w:p>
    <w:p>
      <w:pPr>
        <w:widowControl/>
        <w:adjustRightInd w:val="0"/>
        <w:snapToGrid w:val="0"/>
        <w:spacing w:line="360" w:lineRule="exact"/>
        <w:ind w:firstLine="613" w:firstLineChars="292"/>
        <w:jc w:val="left"/>
        <w:rPr>
          <w:rFonts w:ascii="仿宋" w:hAnsi="仿宋" w:cs="仿宋"/>
          <w:kern w:val="0"/>
          <w:szCs w:val="21"/>
        </w:rPr>
      </w:pPr>
      <w:r>
        <w:rPr>
          <w:rFonts w:hint="eastAsia" w:ascii="仿宋" w:hAnsi="仿宋" w:cs="仿宋"/>
          <w:kern w:val="0"/>
          <w:szCs w:val="21"/>
        </w:rPr>
        <w:t>地    址：沈阳市小北关街202巷14号</w:t>
      </w:r>
    </w:p>
    <w:p>
      <w:pPr>
        <w:widowControl/>
        <w:adjustRightInd w:val="0"/>
        <w:snapToGrid w:val="0"/>
        <w:spacing w:line="360" w:lineRule="exact"/>
        <w:ind w:firstLine="613" w:firstLineChars="292"/>
        <w:jc w:val="left"/>
        <w:rPr>
          <w:rFonts w:ascii="仿宋" w:hAnsi="仿宋" w:cs="仿宋"/>
          <w:kern w:val="0"/>
          <w:szCs w:val="21"/>
        </w:rPr>
      </w:pPr>
      <w:r>
        <w:rPr>
          <w:rFonts w:hint="eastAsia" w:ascii="仿宋" w:hAnsi="仿宋" w:cs="仿宋"/>
          <w:kern w:val="0"/>
          <w:szCs w:val="21"/>
        </w:rPr>
        <w:t>联系方式：赵琦 024-88390325</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2.采购代理机构信息</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 xml:space="preserve">名    称：辽宁浩亿招投标有限公司 </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 xml:space="preserve">地    址：沈阳市皇姑区同江街11-1号3门 </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 xml:space="preserve">联系方式：024-81231520 </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邮箱地址：syhygs@163.com</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开 户 行：盛京银行沈阳市向工支行</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 xml:space="preserve">账户名称：辽宁浩亿招投标有限公司 </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 xml:space="preserve">账    号：0338260102000001621 </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3.项目联系方式</w:t>
      </w:r>
    </w:p>
    <w:p>
      <w:pPr>
        <w:widowControl/>
        <w:adjustRightInd w:val="0"/>
        <w:snapToGrid w:val="0"/>
        <w:spacing w:line="360" w:lineRule="exact"/>
        <w:ind w:firstLine="613" w:firstLineChars="292"/>
        <w:jc w:val="left"/>
        <w:rPr>
          <w:rFonts w:ascii="仿宋" w:hAnsi="仿宋" w:cs="仿宋"/>
          <w:szCs w:val="21"/>
        </w:rPr>
      </w:pPr>
      <w:r>
        <w:rPr>
          <w:rFonts w:hint="eastAsia" w:ascii="仿宋" w:hAnsi="仿宋" w:cs="仿宋"/>
          <w:szCs w:val="21"/>
        </w:rPr>
        <w:t xml:space="preserve">项目联系人：赵旭、张芳、曹雨、李姗姗   </w:t>
      </w:r>
    </w:p>
    <w:p>
      <w:pPr>
        <w:widowControl/>
        <w:adjustRightInd w:val="0"/>
        <w:snapToGrid w:val="0"/>
        <w:spacing w:line="360" w:lineRule="exact"/>
        <w:ind w:firstLine="613" w:firstLineChars="292"/>
        <w:jc w:val="left"/>
        <w:rPr>
          <w:rFonts w:ascii="仿宋" w:hAnsi="仿宋" w:cs="仿宋"/>
          <w:szCs w:val="21"/>
        </w:rPr>
        <w:sectPr>
          <w:footerReference r:id="rId4" w:type="first"/>
          <w:pgSz w:w="11906" w:h="16838"/>
          <w:pgMar w:top="1440" w:right="1797" w:bottom="1440" w:left="1797" w:header="851" w:footer="992" w:gutter="0"/>
          <w:cols w:space="720" w:num="1"/>
          <w:docGrid w:type="lines" w:linePitch="312" w:charSpace="0"/>
        </w:sectPr>
      </w:pPr>
      <w:r>
        <w:rPr>
          <w:rFonts w:hint="eastAsia" w:ascii="仿宋" w:hAnsi="仿宋" w:cs="仿宋"/>
          <w:szCs w:val="21"/>
        </w:rPr>
        <w:t>电　话：024-81231520</w:t>
      </w:r>
    </w:p>
    <w:p>
      <w:pPr>
        <w:jc w:val="left"/>
        <w:rPr>
          <w:rFonts w:ascii="仿宋" w:hAnsi="仿宋" w:cs="仿宋"/>
          <w:b/>
          <w:sz w:val="24"/>
        </w:rPr>
      </w:pPr>
      <w:r>
        <w:rPr>
          <w:rFonts w:hint="eastAsia" w:ascii="仿宋" w:hAnsi="仿宋" w:cs="仿宋"/>
          <w:b/>
          <w:sz w:val="32"/>
          <w:szCs w:val="32"/>
        </w:rPr>
        <w:t>附件1</w:t>
      </w:r>
    </w:p>
    <w:p>
      <w:pPr>
        <w:jc w:val="left"/>
        <w:rPr>
          <w:rFonts w:ascii="仿宋" w:hAnsi="仿宋" w:cs="仿宋"/>
          <w:b/>
          <w:sz w:val="24"/>
        </w:rPr>
      </w:pPr>
      <w:r>
        <w:rPr>
          <w:rFonts w:hint="eastAsia" w:ascii="仿宋" w:hAnsi="仿宋" w:cs="仿宋"/>
          <w:b/>
          <w:sz w:val="24"/>
        </w:rPr>
        <w:t xml:space="preserve">包组编号：001 </w:t>
      </w:r>
    </w:p>
    <w:tbl>
      <w:tblPr>
        <w:tblStyle w:val="23"/>
        <w:tblW w:w="51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697"/>
        <w:gridCol w:w="2174"/>
        <w:gridCol w:w="7836"/>
        <w:gridCol w:w="1146"/>
        <w:gridCol w:w="1437"/>
        <w:gridCol w:w="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86" w:type="pc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包号</w:t>
            </w:r>
          </w:p>
        </w:tc>
        <w:tc>
          <w:tcPr>
            <w:tcW w:w="240" w:type="pc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序号</w:t>
            </w:r>
          </w:p>
        </w:tc>
        <w:tc>
          <w:tcPr>
            <w:tcW w:w="749" w:type="pc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产品</w:t>
            </w:r>
          </w:p>
        </w:tc>
        <w:tc>
          <w:tcPr>
            <w:tcW w:w="2700" w:type="pc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货品主要技术参数</w:t>
            </w:r>
          </w:p>
        </w:tc>
        <w:tc>
          <w:tcPr>
            <w:tcW w:w="395" w:type="pc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数量</w:t>
            </w:r>
          </w:p>
        </w:tc>
        <w:tc>
          <w:tcPr>
            <w:tcW w:w="495" w:type="pc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单价最高限价（万元）</w:t>
            </w:r>
          </w:p>
        </w:tc>
        <w:tc>
          <w:tcPr>
            <w:tcW w:w="232" w:type="pc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6" w:type="pct"/>
            <w:vMerge w:val="restart"/>
            <w:vAlign w:val="center"/>
          </w:tcPr>
          <w:p>
            <w:pPr>
              <w:pStyle w:val="11"/>
              <w:spacing w:line="240" w:lineRule="auto"/>
              <w:ind w:firstLine="0" w:firstLineChars="0"/>
              <w:jc w:val="center"/>
              <w:rPr>
                <w:rFonts w:ascii="仿宋" w:hAnsi="仿宋" w:eastAsia="仿宋" w:cs="仿宋"/>
                <w:kern w:val="0"/>
                <w:sz w:val="21"/>
                <w:szCs w:val="21"/>
              </w:rPr>
            </w:pPr>
            <w:r>
              <w:rPr>
                <w:rFonts w:hint="eastAsia" w:ascii="仿宋" w:hAnsi="仿宋" w:eastAsia="仿宋" w:cs="仿宋"/>
                <w:kern w:val="0"/>
                <w:sz w:val="21"/>
                <w:szCs w:val="21"/>
              </w:rPr>
              <w:t>001</w:t>
            </w:r>
          </w:p>
        </w:tc>
        <w:tc>
          <w:tcPr>
            <w:tcW w:w="240"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1</w:t>
            </w:r>
          </w:p>
        </w:tc>
        <w:tc>
          <w:tcPr>
            <w:tcW w:w="2174"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冰面救援服</w:t>
            </w:r>
          </w:p>
        </w:tc>
        <w:tc>
          <w:tcPr>
            <w:tcW w:w="2700" w:type="pct"/>
            <w:vAlign w:val="center"/>
          </w:tcPr>
          <w:p>
            <w:pPr>
              <w:adjustRightInd w:val="0"/>
              <w:snapToGrid w:val="0"/>
              <w:ind w:right="105" w:rightChars="50"/>
              <w:jc w:val="left"/>
              <w:rPr>
                <w:rFonts w:ascii="仿宋" w:hAnsi="仿宋" w:cs="仿宋"/>
              </w:rPr>
            </w:pPr>
            <w:r>
              <w:rPr>
                <w:rFonts w:ascii="仿宋" w:hAnsi="仿宋" w:cs="仿宋"/>
              </w:rPr>
              <w:t>★1、整体设计为完全密封连体服装，头罩、手套（手套为五指）、腰部和靴子与服装为一整体。内有保暖内衬，内衬具有良好的浮力和热反射性能，内置胸部安全带，可以直接和绳索相连。</w:t>
            </w:r>
          </w:p>
          <w:p>
            <w:pPr>
              <w:adjustRightInd w:val="0"/>
              <w:snapToGrid w:val="0"/>
              <w:ind w:right="105" w:rightChars="50"/>
              <w:jc w:val="left"/>
              <w:rPr>
                <w:rFonts w:ascii="仿宋" w:hAnsi="仿宋" w:cs="仿宋"/>
              </w:rPr>
            </w:pPr>
            <w:r>
              <w:rPr>
                <w:rFonts w:ascii="仿宋" w:hAnsi="仿宋" w:cs="仿宋"/>
              </w:rPr>
              <w:t>★2、外部材质为或优于聚氨酯涂层的尼龙材料，具有防水耐磨防刮特性。</w:t>
            </w:r>
          </w:p>
          <w:p>
            <w:pPr>
              <w:adjustRightInd w:val="0"/>
              <w:snapToGrid w:val="0"/>
              <w:ind w:right="105" w:rightChars="50"/>
              <w:jc w:val="left"/>
              <w:rPr>
                <w:rFonts w:ascii="仿宋" w:hAnsi="仿宋" w:cs="仿宋"/>
              </w:rPr>
            </w:pPr>
            <w:r>
              <w:rPr>
                <w:rFonts w:ascii="仿宋" w:hAnsi="仿宋" w:cs="仿宋"/>
              </w:rPr>
              <w:t>★3、鞋底为防滑材质，可以应对各种路面，在冰雪中行走方便，要具备良好的隔热性能，防止寒冷从鞋底传导，保护脚部免受低温伤害。</w:t>
            </w:r>
          </w:p>
          <w:p>
            <w:pPr>
              <w:adjustRightInd w:val="0"/>
              <w:snapToGrid w:val="0"/>
              <w:ind w:right="105" w:rightChars="50"/>
              <w:jc w:val="left"/>
              <w:rPr>
                <w:rFonts w:ascii="仿宋" w:hAnsi="仿宋" w:cs="仿宋"/>
                <w:kern w:val="0"/>
                <w:szCs w:val="21"/>
              </w:rPr>
            </w:pPr>
            <w:r>
              <w:rPr>
                <w:rFonts w:ascii="仿宋" w:hAnsi="仿宋" w:cs="仿宋"/>
              </w:rPr>
              <w:t>★4、根据采购单位要求，安装符合《消防装备物资物联网标识管理》规定的二维码和RFID标签，（车辆或器材）在交付前须完成部局系统赋码工作，确保一物一码。</w:t>
            </w:r>
          </w:p>
        </w:tc>
        <w:tc>
          <w:tcPr>
            <w:tcW w:w="395"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80（套）</w:t>
            </w:r>
          </w:p>
        </w:tc>
        <w:tc>
          <w:tcPr>
            <w:tcW w:w="1437" w:type="dxa"/>
            <w:vAlign w:val="center"/>
          </w:tcPr>
          <w:p>
            <w:pPr>
              <w:widowControl/>
              <w:jc w:val="center"/>
              <w:textAlignment w:val="center"/>
              <w:rPr>
                <w:rFonts w:ascii="仿宋" w:hAnsi="仿宋" w:cs="仿宋"/>
                <w:kern w:val="0"/>
                <w:szCs w:val="21"/>
              </w:rPr>
            </w:pPr>
            <w:r>
              <w:rPr>
                <w:rFonts w:ascii="仿宋" w:hAnsi="仿宋" w:cs="仿宋"/>
                <w:kern w:val="0"/>
                <w:szCs w:val="21"/>
              </w:rPr>
              <w:t>1.</w:t>
            </w:r>
            <w:r>
              <w:rPr>
                <w:rFonts w:hint="eastAsia" w:ascii="仿宋" w:hAnsi="仿宋" w:cs="仿宋"/>
                <w:kern w:val="0"/>
                <w:szCs w:val="21"/>
              </w:rPr>
              <w:t>1</w:t>
            </w:r>
            <w:r>
              <w:rPr>
                <w:rFonts w:ascii="仿宋" w:hAnsi="仿宋" w:cs="仿宋"/>
                <w:kern w:val="0"/>
                <w:szCs w:val="21"/>
              </w:rPr>
              <w:t>0</w:t>
            </w:r>
          </w:p>
        </w:tc>
        <w:tc>
          <w:tcPr>
            <w:tcW w:w="232" w:type="pct"/>
            <w:vAlign w:val="center"/>
          </w:tcPr>
          <w:p>
            <w:pPr>
              <w:pStyle w:val="15"/>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6" w:type="pct"/>
            <w:vMerge w:val="continue"/>
            <w:vAlign w:val="center"/>
          </w:tcPr>
          <w:p>
            <w:pPr>
              <w:pStyle w:val="11"/>
              <w:spacing w:line="240" w:lineRule="auto"/>
              <w:ind w:firstLine="0" w:firstLineChars="0"/>
              <w:jc w:val="center"/>
              <w:rPr>
                <w:rFonts w:ascii="仿宋" w:hAnsi="仿宋" w:eastAsia="仿宋" w:cs="仿宋"/>
                <w:kern w:val="0"/>
                <w:sz w:val="21"/>
                <w:szCs w:val="21"/>
              </w:rPr>
            </w:pPr>
          </w:p>
        </w:tc>
        <w:tc>
          <w:tcPr>
            <w:tcW w:w="240"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2</w:t>
            </w:r>
          </w:p>
        </w:tc>
        <w:tc>
          <w:tcPr>
            <w:tcW w:w="2174"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潜水全面罩</w:t>
            </w:r>
          </w:p>
        </w:tc>
        <w:tc>
          <w:tcPr>
            <w:tcW w:w="2700" w:type="pct"/>
            <w:vAlign w:val="center"/>
          </w:tcPr>
          <w:p>
            <w:pPr>
              <w:adjustRightInd w:val="0"/>
              <w:snapToGrid w:val="0"/>
              <w:ind w:right="105" w:rightChars="50"/>
              <w:jc w:val="left"/>
              <w:rPr>
                <w:rFonts w:ascii="仿宋" w:hAnsi="仿宋" w:cs="仿宋"/>
                <w:kern w:val="0"/>
                <w:szCs w:val="21"/>
              </w:rPr>
            </w:pPr>
            <w:r>
              <w:rPr>
                <w:rFonts w:ascii="仿宋" w:hAnsi="仿宋" w:cs="仿宋"/>
              </w:rPr>
              <w:t>★1、根据采购单位要求，安装符合《消防装备物资物联网标识管理》规定的二维码和RFID标签，（车辆或器材）在交付前须完成部局系统赋码工作，确保一物一码。</w:t>
            </w:r>
          </w:p>
        </w:tc>
        <w:tc>
          <w:tcPr>
            <w:tcW w:w="395"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 xml:space="preserve">30（个） </w:t>
            </w:r>
          </w:p>
        </w:tc>
        <w:tc>
          <w:tcPr>
            <w:tcW w:w="1437" w:type="dxa"/>
            <w:vAlign w:val="center"/>
          </w:tcPr>
          <w:p>
            <w:pPr>
              <w:widowControl/>
              <w:jc w:val="center"/>
              <w:textAlignment w:val="center"/>
              <w:rPr>
                <w:rFonts w:ascii="仿宋" w:hAnsi="仿宋" w:cs="仿宋"/>
                <w:kern w:val="0"/>
                <w:szCs w:val="21"/>
              </w:rPr>
            </w:pPr>
            <w:r>
              <w:rPr>
                <w:rFonts w:ascii="仿宋" w:hAnsi="仿宋" w:cs="仿宋"/>
                <w:kern w:val="0"/>
                <w:szCs w:val="21"/>
              </w:rPr>
              <w:t>1.539</w:t>
            </w:r>
          </w:p>
        </w:tc>
        <w:tc>
          <w:tcPr>
            <w:tcW w:w="232" w:type="pct"/>
            <w:vAlign w:val="center"/>
          </w:tcPr>
          <w:p>
            <w:pPr>
              <w:pStyle w:val="15"/>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86" w:type="pct"/>
            <w:vMerge w:val="continue"/>
            <w:vAlign w:val="center"/>
          </w:tcPr>
          <w:p>
            <w:pPr>
              <w:pStyle w:val="11"/>
              <w:spacing w:line="240" w:lineRule="auto"/>
              <w:ind w:firstLine="0" w:firstLineChars="0"/>
              <w:jc w:val="center"/>
              <w:rPr>
                <w:rFonts w:ascii="仿宋" w:hAnsi="仿宋" w:eastAsia="仿宋" w:cs="仿宋"/>
                <w:kern w:val="0"/>
                <w:sz w:val="21"/>
                <w:szCs w:val="21"/>
              </w:rPr>
            </w:pPr>
          </w:p>
        </w:tc>
        <w:tc>
          <w:tcPr>
            <w:tcW w:w="240"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3</w:t>
            </w:r>
          </w:p>
        </w:tc>
        <w:tc>
          <w:tcPr>
            <w:tcW w:w="2174"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冰域呼吸器组件</w:t>
            </w:r>
          </w:p>
        </w:tc>
        <w:tc>
          <w:tcPr>
            <w:tcW w:w="2700" w:type="pct"/>
            <w:vAlign w:val="center"/>
          </w:tcPr>
          <w:p>
            <w:pPr>
              <w:adjustRightInd w:val="0"/>
              <w:snapToGrid w:val="0"/>
              <w:ind w:right="105" w:rightChars="50"/>
              <w:jc w:val="left"/>
              <w:rPr>
                <w:rFonts w:ascii="仿宋" w:hAnsi="仿宋" w:cs="仿宋"/>
              </w:rPr>
            </w:pPr>
            <w:r>
              <w:rPr>
                <w:rFonts w:ascii="仿宋" w:hAnsi="仿宋" w:cs="仿宋"/>
              </w:rPr>
              <w:t>★1、用于高海拔潜水、冰潜、技术潜水</w:t>
            </w:r>
          </w:p>
          <w:p>
            <w:pPr>
              <w:adjustRightInd w:val="0"/>
              <w:snapToGrid w:val="0"/>
              <w:ind w:right="105" w:rightChars="50"/>
              <w:jc w:val="left"/>
              <w:rPr>
                <w:rFonts w:ascii="仿宋" w:hAnsi="仿宋" w:cs="仿宋"/>
              </w:rPr>
            </w:pPr>
            <w:r>
              <w:rPr>
                <w:rFonts w:ascii="仿宋" w:hAnsi="仿宋" w:cs="仿宋"/>
              </w:rPr>
              <w:t>★2、 潜水调节器：一级头的金属机械组件与冷水完全隔离，特别干舱设计，适用≤10度冷水环境。</w:t>
            </w:r>
          </w:p>
          <w:p>
            <w:pPr>
              <w:adjustRightInd w:val="0"/>
              <w:snapToGrid w:val="0"/>
              <w:ind w:right="105" w:rightChars="50"/>
              <w:jc w:val="left"/>
              <w:rPr>
                <w:rFonts w:ascii="仿宋" w:hAnsi="仿宋" w:cs="仿宋"/>
              </w:rPr>
            </w:pPr>
            <w:r>
              <w:rPr>
                <w:rFonts w:ascii="仿宋" w:hAnsi="仿宋" w:cs="仿宋"/>
              </w:rPr>
              <w:t>★3、本体外层包裹强抗磨损材质，强度高，耐久性高</w:t>
            </w:r>
          </w:p>
          <w:p>
            <w:pPr>
              <w:adjustRightInd w:val="0"/>
              <w:snapToGrid w:val="0"/>
              <w:ind w:right="105" w:rightChars="50"/>
              <w:jc w:val="left"/>
              <w:rPr>
                <w:rFonts w:ascii="仿宋" w:hAnsi="仿宋" w:cs="仿宋"/>
                <w:kern w:val="0"/>
                <w:szCs w:val="21"/>
              </w:rPr>
            </w:pPr>
            <w:r>
              <w:rPr>
                <w:rFonts w:ascii="仿宋" w:hAnsi="仿宋" w:cs="仿宋"/>
              </w:rPr>
              <w:t>★4、根据采购单位要求，安装符合《消防装备物资物联网标识管理》规定的二维码和RFID标签，（车辆或器材）在交付前须完成部局系统赋码工作，确保一物一码。</w:t>
            </w:r>
          </w:p>
        </w:tc>
        <w:tc>
          <w:tcPr>
            <w:tcW w:w="395"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 xml:space="preserve">30（套） </w:t>
            </w:r>
          </w:p>
        </w:tc>
        <w:tc>
          <w:tcPr>
            <w:tcW w:w="1437" w:type="dxa"/>
            <w:vAlign w:val="center"/>
          </w:tcPr>
          <w:p>
            <w:pPr>
              <w:widowControl/>
              <w:jc w:val="center"/>
              <w:textAlignment w:val="center"/>
              <w:rPr>
                <w:rFonts w:ascii="仿宋" w:hAnsi="仿宋" w:cs="仿宋"/>
                <w:kern w:val="0"/>
                <w:szCs w:val="21"/>
              </w:rPr>
            </w:pPr>
            <w:r>
              <w:rPr>
                <w:rFonts w:ascii="仿宋" w:hAnsi="仿宋" w:cs="仿宋"/>
                <w:kern w:val="0"/>
                <w:szCs w:val="21"/>
              </w:rPr>
              <w:t>1.50</w:t>
            </w:r>
          </w:p>
        </w:tc>
        <w:tc>
          <w:tcPr>
            <w:tcW w:w="232" w:type="pct"/>
            <w:vAlign w:val="center"/>
          </w:tcPr>
          <w:p>
            <w:pPr>
              <w:pStyle w:val="15"/>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86" w:type="pct"/>
            <w:vMerge w:val="continue"/>
            <w:vAlign w:val="center"/>
          </w:tcPr>
          <w:p>
            <w:pPr>
              <w:pStyle w:val="11"/>
              <w:spacing w:line="240" w:lineRule="auto"/>
              <w:ind w:firstLine="0" w:firstLineChars="0"/>
              <w:jc w:val="center"/>
              <w:rPr>
                <w:rFonts w:ascii="仿宋" w:hAnsi="仿宋" w:eastAsia="仿宋" w:cs="仿宋"/>
                <w:kern w:val="0"/>
                <w:sz w:val="21"/>
                <w:szCs w:val="21"/>
              </w:rPr>
            </w:pPr>
          </w:p>
        </w:tc>
        <w:tc>
          <w:tcPr>
            <w:tcW w:w="240"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4</w:t>
            </w:r>
          </w:p>
        </w:tc>
        <w:tc>
          <w:tcPr>
            <w:tcW w:w="2174"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冰面救援滑板</w:t>
            </w:r>
          </w:p>
        </w:tc>
        <w:tc>
          <w:tcPr>
            <w:tcW w:w="2700" w:type="pct"/>
            <w:vAlign w:val="center"/>
          </w:tcPr>
          <w:p>
            <w:pPr>
              <w:adjustRightInd w:val="0"/>
              <w:snapToGrid w:val="0"/>
              <w:ind w:right="105" w:rightChars="50"/>
              <w:jc w:val="left"/>
              <w:rPr>
                <w:rFonts w:ascii="仿宋" w:hAnsi="仿宋" w:cs="仿宋"/>
              </w:rPr>
            </w:pPr>
            <w:r>
              <w:rPr>
                <w:rFonts w:ascii="仿宋" w:hAnsi="仿宋" w:cs="仿宋"/>
              </w:rPr>
              <w:t>★1、应一体成型，而非多层压制。</w:t>
            </w:r>
          </w:p>
          <w:p>
            <w:pPr>
              <w:adjustRightInd w:val="0"/>
              <w:snapToGrid w:val="0"/>
              <w:ind w:right="105" w:rightChars="50"/>
              <w:jc w:val="left"/>
              <w:rPr>
                <w:rFonts w:ascii="仿宋" w:hAnsi="仿宋" w:cs="仿宋"/>
              </w:rPr>
            </w:pPr>
            <w:r>
              <w:rPr>
                <w:rFonts w:ascii="仿宋" w:hAnsi="仿宋" w:cs="仿宋"/>
              </w:rPr>
              <w:t>★2、材质应完全不吸水，表面做疏水处理，底部安装防护装甲，防撞耐磨抗穿刺</w:t>
            </w:r>
          </w:p>
          <w:p>
            <w:pPr>
              <w:adjustRightInd w:val="0"/>
              <w:snapToGrid w:val="0"/>
              <w:ind w:right="105" w:rightChars="50"/>
              <w:jc w:val="left"/>
              <w:rPr>
                <w:rFonts w:ascii="仿宋" w:hAnsi="仿宋" w:cs="仿宋"/>
              </w:rPr>
            </w:pPr>
            <w:r>
              <w:rPr>
                <w:rFonts w:ascii="仿宋" w:hAnsi="仿宋" w:cs="仿宋"/>
              </w:rPr>
              <w:t>★3、采用或优于EVA（常见的塑料材质）泡沫材料，底部是光滑面、正面有防滑面。</w:t>
            </w:r>
          </w:p>
          <w:p>
            <w:pPr>
              <w:adjustRightInd w:val="0"/>
              <w:snapToGrid w:val="0"/>
              <w:ind w:right="105" w:rightChars="50"/>
              <w:jc w:val="left"/>
              <w:rPr>
                <w:rFonts w:ascii="仿宋" w:hAnsi="仿宋" w:cs="仿宋"/>
                <w:kern w:val="0"/>
                <w:szCs w:val="21"/>
              </w:rPr>
            </w:pPr>
            <w:r>
              <w:rPr>
                <w:rFonts w:ascii="仿宋" w:hAnsi="仿宋" w:cs="仿宋"/>
              </w:rPr>
              <w:t>★4、根据采购单位要求，安装符合《消防装备物资物联网标识管理》规定的二维码和RFID标签，（车辆或器材）在交付前须完成部局系统赋码工作，确保一物一码。</w:t>
            </w:r>
          </w:p>
        </w:tc>
        <w:tc>
          <w:tcPr>
            <w:tcW w:w="395" w:type="pct"/>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 xml:space="preserve">50（个） </w:t>
            </w:r>
          </w:p>
        </w:tc>
        <w:tc>
          <w:tcPr>
            <w:tcW w:w="1437" w:type="dxa"/>
            <w:vAlign w:val="center"/>
          </w:tcPr>
          <w:p>
            <w:pPr>
              <w:widowControl/>
              <w:jc w:val="center"/>
              <w:textAlignment w:val="center"/>
              <w:rPr>
                <w:rFonts w:ascii="仿宋" w:hAnsi="仿宋" w:cs="仿宋"/>
                <w:kern w:val="0"/>
                <w:szCs w:val="21"/>
              </w:rPr>
            </w:pPr>
            <w:r>
              <w:rPr>
                <w:rFonts w:ascii="仿宋" w:hAnsi="仿宋" w:cs="仿宋"/>
                <w:kern w:val="0"/>
                <w:szCs w:val="21"/>
              </w:rPr>
              <w:t>0.</w:t>
            </w:r>
            <w:r>
              <w:rPr>
                <w:rFonts w:hint="eastAsia" w:ascii="仿宋" w:hAnsi="仿宋" w:cs="仿宋"/>
                <w:kern w:val="0"/>
                <w:szCs w:val="21"/>
              </w:rPr>
              <w:t>75</w:t>
            </w:r>
          </w:p>
        </w:tc>
        <w:tc>
          <w:tcPr>
            <w:tcW w:w="232" w:type="pct"/>
            <w:vAlign w:val="center"/>
          </w:tcPr>
          <w:p>
            <w:pPr>
              <w:pStyle w:val="15"/>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86" w:type="pct"/>
            <w:vMerge w:val="continue"/>
            <w:vAlign w:val="center"/>
          </w:tcPr>
          <w:p>
            <w:pPr>
              <w:pStyle w:val="11"/>
              <w:spacing w:line="240" w:lineRule="auto"/>
              <w:ind w:firstLine="0" w:firstLineChars="0"/>
              <w:jc w:val="center"/>
              <w:rPr>
                <w:rFonts w:ascii="仿宋" w:hAnsi="仿宋" w:eastAsia="仿宋" w:cs="仿宋"/>
                <w:kern w:val="0"/>
                <w:sz w:val="21"/>
                <w:szCs w:val="21"/>
              </w:rPr>
            </w:pPr>
          </w:p>
        </w:tc>
        <w:tc>
          <w:tcPr>
            <w:tcW w:w="240" w:type="pct"/>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5</w:t>
            </w:r>
          </w:p>
        </w:tc>
        <w:tc>
          <w:tcPr>
            <w:tcW w:w="2174"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冰面行动辅助套装</w:t>
            </w:r>
          </w:p>
        </w:tc>
        <w:tc>
          <w:tcPr>
            <w:tcW w:w="2700" w:type="pct"/>
            <w:vAlign w:val="center"/>
          </w:tcPr>
          <w:p>
            <w:pPr>
              <w:adjustRightInd w:val="0"/>
              <w:snapToGrid w:val="0"/>
              <w:ind w:right="105" w:rightChars="50"/>
              <w:jc w:val="left"/>
              <w:rPr>
                <w:rFonts w:ascii="仿宋" w:hAnsi="仿宋" w:cs="仿宋"/>
              </w:rPr>
            </w:pPr>
            <w:r>
              <w:rPr>
                <w:rFonts w:ascii="仿宋" w:hAnsi="仿宋" w:cs="仿宋"/>
              </w:rPr>
              <w:t>1、冰面行动辅助套装包含：冰爪1副、爬行辅助器（冰锥）1对、冰镐1把、冰锚1副。</w:t>
            </w:r>
          </w:p>
          <w:p>
            <w:pPr>
              <w:adjustRightInd w:val="0"/>
              <w:snapToGrid w:val="0"/>
              <w:ind w:right="105" w:rightChars="50"/>
              <w:jc w:val="left"/>
              <w:rPr>
                <w:rFonts w:ascii="仿宋" w:hAnsi="仿宋" w:cs="仿宋"/>
                <w:kern w:val="0"/>
                <w:szCs w:val="21"/>
              </w:rPr>
            </w:pPr>
            <w:r>
              <w:rPr>
                <w:rFonts w:ascii="仿宋" w:hAnsi="仿宋" w:cs="仿宋"/>
              </w:rPr>
              <w:t>★2、根据采购单位要求，安装符合《消防装备物资物联网标识管理》规定的二维码和RFID标签，器材在交付前须完成部局系统赋码工作，确保一物一码。</w:t>
            </w:r>
          </w:p>
        </w:tc>
        <w:tc>
          <w:tcPr>
            <w:tcW w:w="395" w:type="pct"/>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150（套）</w:t>
            </w:r>
          </w:p>
        </w:tc>
        <w:tc>
          <w:tcPr>
            <w:tcW w:w="1437" w:type="dxa"/>
            <w:vAlign w:val="center"/>
          </w:tcPr>
          <w:p>
            <w:pPr>
              <w:widowControl/>
              <w:jc w:val="center"/>
              <w:textAlignment w:val="center"/>
              <w:rPr>
                <w:rFonts w:ascii="仿宋" w:hAnsi="仿宋" w:cs="仿宋"/>
                <w:kern w:val="0"/>
                <w:szCs w:val="21"/>
              </w:rPr>
            </w:pPr>
            <w:r>
              <w:rPr>
                <w:rFonts w:ascii="仿宋" w:hAnsi="仿宋" w:cs="仿宋"/>
                <w:kern w:val="0"/>
                <w:szCs w:val="21"/>
              </w:rPr>
              <w:t>0.535</w:t>
            </w:r>
          </w:p>
        </w:tc>
        <w:tc>
          <w:tcPr>
            <w:tcW w:w="232" w:type="pct"/>
            <w:vAlign w:val="center"/>
          </w:tcPr>
          <w:p>
            <w:pPr>
              <w:pStyle w:val="15"/>
              <w:rPr>
                <w:rFonts w:ascii="仿宋" w:hAnsi="仿宋" w:cs="仿宋"/>
                <w:kern w:val="0"/>
                <w:szCs w:val="21"/>
              </w:rPr>
            </w:pPr>
          </w:p>
        </w:tc>
      </w:tr>
    </w:tbl>
    <w:p>
      <w:pPr>
        <w:jc w:val="left"/>
        <w:rPr>
          <w:rFonts w:ascii="仿宋" w:hAnsi="仿宋" w:cs="仿宋"/>
          <w:b/>
          <w:sz w:val="24"/>
        </w:rPr>
      </w:pPr>
    </w:p>
    <w:p>
      <w:pPr>
        <w:pStyle w:val="39"/>
        <w:ind w:firstLine="0" w:firstLineChars="0"/>
        <w:rPr>
          <w:rFonts w:ascii="仿宋" w:hAnsi="仿宋" w:eastAsia="仿宋" w:cs="仿宋"/>
        </w:rPr>
        <w:sectPr>
          <w:pgSz w:w="16838" w:h="11906" w:orient="landscape"/>
          <w:pgMar w:top="1797" w:right="1440" w:bottom="1797" w:left="1440" w:header="851" w:footer="992" w:gutter="0"/>
          <w:cols w:space="720" w:num="1"/>
          <w:docGrid w:type="lines" w:linePitch="312" w:charSpace="0"/>
        </w:sectPr>
      </w:pPr>
    </w:p>
    <w:p>
      <w:pPr>
        <w:spacing w:before="312" w:beforeLines="100" w:after="312" w:afterLines="100" w:line="360" w:lineRule="auto"/>
        <w:ind w:right="-21" w:rightChars="-10"/>
        <w:jc w:val="left"/>
        <w:rPr>
          <w:rFonts w:ascii="仿宋" w:hAnsi="仿宋" w:cs="仿宋"/>
          <w:b/>
          <w:sz w:val="32"/>
          <w:szCs w:val="32"/>
        </w:rPr>
      </w:pPr>
      <w:r>
        <w:rPr>
          <w:rFonts w:hint="eastAsia" w:ascii="仿宋" w:hAnsi="仿宋" w:cs="仿宋"/>
          <w:b/>
          <w:sz w:val="32"/>
          <w:szCs w:val="32"/>
        </w:rPr>
        <w:t>附件2-1</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法定代表人（或非法人组织负责人）身份证明书</w:t>
      </w:r>
    </w:p>
    <w:p>
      <w:pPr>
        <w:spacing w:line="360" w:lineRule="auto"/>
        <w:ind w:firstLine="840" w:firstLineChars="400"/>
        <w:rPr>
          <w:rFonts w:ascii="仿宋" w:hAnsi="仿宋" w:cs="仿宋"/>
          <w:szCs w:val="21"/>
        </w:rPr>
      </w:pPr>
      <w:r>
        <w:rPr>
          <w:rFonts w:hint="eastAsia" w:ascii="仿宋" w:hAnsi="仿宋" w:cs="仿宋"/>
          <w:szCs w:val="21"/>
        </w:rPr>
        <w:t>姓名：</w:t>
      </w:r>
      <w:r>
        <w:rPr>
          <w:rFonts w:hint="eastAsia" w:ascii="仿宋" w:hAnsi="仿宋" w:cs="仿宋"/>
          <w:szCs w:val="21"/>
          <w:u w:val="single"/>
        </w:rPr>
        <w:t xml:space="preserve">        </w:t>
      </w:r>
      <w:r>
        <w:rPr>
          <w:rFonts w:hint="eastAsia" w:ascii="仿宋" w:hAnsi="仿宋" w:cs="仿宋"/>
          <w:szCs w:val="21"/>
        </w:rPr>
        <w:t>，性别：</w:t>
      </w:r>
      <w:r>
        <w:rPr>
          <w:rFonts w:hint="eastAsia" w:ascii="仿宋" w:hAnsi="仿宋" w:cs="仿宋"/>
          <w:szCs w:val="21"/>
          <w:u w:val="single"/>
        </w:rPr>
        <w:t xml:space="preserve">        </w:t>
      </w:r>
      <w:r>
        <w:rPr>
          <w:rFonts w:hint="eastAsia" w:ascii="仿宋" w:hAnsi="仿宋" w:cs="仿宋"/>
          <w:szCs w:val="21"/>
        </w:rPr>
        <w:t>，出生日期：</w:t>
      </w:r>
      <w:r>
        <w:rPr>
          <w:rFonts w:hint="eastAsia" w:ascii="仿宋" w:hAnsi="仿宋" w:cs="仿宋"/>
          <w:szCs w:val="21"/>
          <w:u w:val="single"/>
        </w:rPr>
        <w:t xml:space="preserve">         </w:t>
      </w:r>
      <w:r>
        <w:rPr>
          <w:rFonts w:hint="eastAsia" w:ascii="仿宋" w:hAnsi="仿宋" w:cs="仿宋"/>
          <w:szCs w:val="21"/>
        </w:rPr>
        <w:t>，现任职务：</w:t>
      </w:r>
      <w:r>
        <w:rPr>
          <w:rFonts w:hint="eastAsia" w:ascii="仿宋" w:hAnsi="仿宋" w:cs="仿宋"/>
          <w:szCs w:val="21"/>
          <w:u w:val="single"/>
        </w:rPr>
        <w:t xml:space="preserve">       </w:t>
      </w:r>
      <w:r>
        <w:rPr>
          <w:rFonts w:hint="eastAsia" w:ascii="仿宋" w:hAnsi="仿宋" w:cs="仿宋"/>
          <w:szCs w:val="21"/>
        </w:rPr>
        <w:t>，系</w:t>
      </w:r>
      <w:r>
        <w:rPr>
          <w:rFonts w:hint="eastAsia" w:ascii="仿宋" w:hAnsi="仿宋" w:cs="仿宋"/>
          <w:szCs w:val="21"/>
          <w:u w:val="single"/>
        </w:rPr>
        <w:t xml:space="preserve">            </w:t>
      </w:r>
      <w:r>
        <w:rPr>
          <w:rFonts w:hint="eastAsia" w:ascii="仿宋" w:hAnsi="仿宋" w:cs="仿宋"/>
          <w:szCs w:val="21"/>
        </w:rPr>
        <w:t>（供应商名称）的法定代表人（或非法人组织负责人）。</w:t>
      </w:r>
    </w:p>
    <w:p>
      <w:pPr>
        <w:rPr>
          <w:rFonts w:ascii="仿宋" w:hAnsi="仿宋" w:cs="仿宋"/>
          <w:szCs w:val="21"/>
        </w:rPr>
      </w:pPr>
    </w:p>
    <w:p>
      <w:pPr>
        <w:rPr>
          <w:rFonts w:ascii="仿宋" w:hAnsi="仿宋" w:cs="仿宋"/>
          <w:szCs w:val="21"/>
        </w:rPr>
      </w:pPr>
      <w:r>
        <w:rPr>
          <w:rFonts w:hint="eastAsia" w:ascii="仿宋" w:hAnsi="仿宋" w:cs="仿宋"/>
          <w:szCs w:val="21"/>
        </w:rPr>
        <w:t>特此证明。</w:t>
      </w:r>
    </w:p>
    <w:p>
      <w:pPr>
        <w:rPr>
          <w:rFonts w:ascii="仿宋" w:hAnsi="仿宋" w:cs="仿宋"/>
          <w:szCs w:val="21"/>
        </w:rPr>
      </w:pPr>
    </w:p>
    <w:p>
      <w:pPr>
        <w:rPr>
          <w:rFonts w:ascii="仿宋" w:hAnsi="仿宋" w:cs="仿宋"/>
          <w:szCs w:val="21"/>
        </w:rPr>
      </w:pPr>
    </w:p>
    <w:p>
      <w:pPr>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（※法定代表人（或非法人组织负责人）身份证正、反面复印件※）</w:t>
            </w:r>
          </w:p>
        </w:tc>
      </w:tr>
    </w:tbl>
    <w:p>
      <w:pPr>
        <w:rPr>
          <w:rFonts w:ascii="仿宋" w:hAnsi="仿宋" w:cs="仿宋"/>
          <w:szCs w:val="21"/>
        </w:rPr>
      </w:pPr>
    </w:p>
    <w:p>
      <w:pPr>
        <w:spacing w:line="480" w:lineRule="auto"/>
        <w:rPr>
          <w:rFonts w:ascii="仿宋" w:hAnsi="仿宋" w:cs="仿宋"/>
          <w:u w:val="single"/>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rPr>
          <w:rFonts w:ascii="仿宋" w:hAnsi="仿宋" w:cs="仿宋"/>
        </w:rPr>
      </w:pPr>
    </w:p>
    <w:p>
      <w:pPr>
        <w:rPr>
          <w:rFonts w:ascii="仿宋" w:hAnsi="仿宋" w:cs="仿宋"/>
          <w:szCs w:val="21"/>
        </w:rPr>
      </w:pPr>
    </w:p>
    <w:p>
      <w:pPr>
        <w:spacing w:before="312" w:beforeLines="100" w:after="312" w:afterLines="100" w:line="360" w:lineRule="auto"/>
        <w:ind w:right="-21" w:rightChars="-10"/>
        <w:jc w:val="left"/>
        <w:rPr>
          <w:rFonts w:ascii="仿宋" w:hAnsi="仿宋" w:cs="仿宋"/>
          <w:b/>
          <w:sz w:val="32"/>
          <w:szCs w:val="32"/>
        </w:rPr>
      </w:pPr>
    </w:p>
    <w:p>
      <w:pPr>
        <w:spacing w:before="312" w:beforeLines="100" w:after="312" w:afterLines="100" w:line="360" w:lineRule="auto"/>
        <w:ind w:right="-21" w:rightChars="-10"/>
        <w:jc w:val="left"/>
        <w:rPr>
          <w:rFonts w:ascii="仿宋" w:hAnsi="仿宋" w:cs="仿宋"/>
          <w:b/>
          <w:sz w:val="32"/>
          <w:szCs w:val="32"/>
        </w:rPr>
      </w:pPr>
      <w:r>
        <w:rPr>
          <w:rFonts w:hint="eastAsia" w:ascii="仿宋" w:hAnsi="仿宋" w:cs="仿宋"/>
          <w:b/>
          <w:sz w:val="32"/>
          <w:szCs w:val="32"/>
        </w:rPr>
        <w:br w:type="page"/>
      </w:r>
      <w:r>
        <w:rPr>
          <w:rFonts w:hint="eastAsia" w:ascii="仿宋" w:hAnsi="仿宋" w:cs="仿宋"/>
          <w:b/>
          <w:sz w:val="32"/>
          <w:szCs w:val="32"/>
        </w:rPr>
        <w:t>附件2-2</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法定代表人（或非法人组织负责人）授权委托书</w:t>
      </w:r>
    </w:p>
    <w:p>
      <w:pPr>
        <w:spacing w:line="360" w:lineRule="auto"/>
        <w:ind w:firstLine="420" w:firstLineChars="200"/>
        <w:rPr>
          <w:rFonts w:ascii="仿宋" w:hAnsi="仿宋" w:cs="仿宋"/>
          <w:szCs w:val="21"/>
          <w:u w:val="single"/>
        </w:rPr>
      </w:pPr>
      <w:r>
        <w:rPr>
          <w:rFonts w:hint="eastAsia" w:ascii="仿宋" w:hAnsi="仿宋" w:cs="仿宋"/>
          <w:szCs w:val="21"/>
        </w:rPr>
        <w:t>单位名称：</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法定代表人（或非法人组织负责人）姓名：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tabs>
          <w:tab w:val="left" w:pos="5205"/>
        </w:tabs>
        <w:spacing w:line="360" w:lineRule="auto"/>
        <w:ind w:firstLine="420" w:firstLineChars="200"/>
        <w:rPr>
          <w:rFonts w:ascii="仿宋" w:hAnsi="仿宋" w:cs="仿宋"/>
          <w:szCs w:val="21"/>
          <w:u w:val="single"/>
        </w:rPr>
      </w:pPr>
      <w:r>
        <w:rPr>
          <w:rFonts w:hint="eastAsia" w:ascii="仿宋" w:hAnsi="仿宋" w:cs="仿宋"/>
          <w:szCs w:val="21"/>
        </w:rPr>
        <w:t>住所地：</w:t>
      </w:r>
      <w:r>
        <w:rPr>
          <w:rFonts w:hint="eastAsia" w:ascii="仿宋" w:hAnsi="仿宋" w:cs="仿宋"/>
          <w:szCs w:val="21"/>
          <w:u w:val="single"/>
        </w:rPr>
        <w:t xml:space="preserve">                    </w:t>
      </w:r>
      <w:r>
        <w:rPr>
          <w:rFonts w:hint="eastAsia" w:ascii="仿宋" w:hAnsi="仿宋" w:cs="仿宋"/>
          <w:szCs w:val="21"/>
          <w:u w:val="single"/>
        </w:rPr>
        <w:tab/>
      </w:r>
    </w:p>
    <w:p>
      <w:pPr>
        <w:spacing w:line="360" w:lineRule="auto"/>
        <w:ind w:firstLine="420" w:firstLineChars="200"/>
        <w:rPr>
          <w:rFonts w:ascii="仿宋" w:hAnsi="仿宋" w:cs="仿宋"/>
          <w:szCs w:val="21"/>
          <w:u w:val="single"/>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工作单位：</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住址：</w:t>
      </w:r>
      <w:r>
        <w:rPr>
          <w:rFonts w:hint="eastAsia" w:ascii="仿宋" w:hAnsi="仿宋" w:cs="仿宋"/>
          <w:szCs w:val="21"/>
          <w:u w:val="single"/>
        </w:rPr>
        <w:t xml:space="preserve">                      </w:t>
      </w:r>
      <w:r>
        <w:rPr>
          <w:rFonts w:hint="eastAsia" w:ascii="仿宋" w:hAnsi="仿宋" w:cs="仿宋"/>
          <w:szCs w:val="21"/>
        </w:rPr>
        <w:t xml:space="preserve">                   电话：</w:t>
      </w:r>
      <w:r>
        <w:rPr>
          <w:rFonts w:hint="eastAsia" w:ascii="仿宋" w:hAnsi="仿宋" w:cs="仿宋"/>
          <w:szCs w:val="21"/>
          <w:u w:val="single"/>
        </w:rPr>
        <w:t xml:space="preserve">               </w:t>
      </w:r>
    </w:p>
    <w:p>
      <w:pPr>
        <w:spacing w:line="360" w:lineRule="auto"/>
        <w:ind w:firstLine="420" w:firstLineChars="200"/>
        <w:rPr>
          <w:rFonts w:ascii="仿宋" w:hAnsi="仿宋" w:cs="仿宋"/>
          <w:szCs w:val="21"/>
        </w:rPr>
      </w:pPr>
      <w:r>
        <w:rPr>
          <w:rFonts w:hint="eastAsia" w:ascii="仿宋" w:hAnsi="仿宋" w:cs="仿宋"/>
          <w:szCs w:val="21"/>
        </w:rPr>
        <w:t>现委托</w:t>
      </w:r>
      <w:r>
        <w:rPr>
          <w:rFonts w:hint="eastAsia" w:ascii="仿宋" w:hAnsi="仿宋" w:cs="仿宋"/>
          <w:szCs w:val="21"/>
          <w:u w:val="single"/>
        </w:rPr>
        <w:t xml:space="preserve">           </w:t>
      </w:r>
      <w:r>
        <w:rPr>
          <w:rFonts w:hint="eastAsia" w:ascii="仿宋" w:hAnsi="仿宋" w:cs="仿宋"/>
          <w:szCs w:val="21"/>
        </w:rPr>
        <w:t>就</w:t>
      </w:r>
      <w:r>
        <w:rPr>
          <w:rFonts w:hint="eastAsia" w:ascii="仿宋" w:hAnsi="仿宋" w:cs="仿宋"/>
          <w:szCs w:val="21"/>
          <w:u w:val="single"/>
        </w:rPr>
        <w:t>（项目编号、项目名称、包号）</w:t>
      </w:r>
      <w:r>
        <w:rPr>
          <w:rFonts w:hint="eastAsia" w:ascii="仿宋" w:hAnsi="仿宋" w:cs="仿宋"/>
          <w:szCs w:val="21"/>
        </w:rPr>
        <w:t>投标中，以我单位名义处理一切与之有关的事务。</w:t>
      </w:r>
    </w:p>
    <w:p>
      <w:pPr>
        <w:spacing w:line="360" w:lineRule="auto"/>
        <w:ind w:firstLine="420" w:firstLineChars="200"/>
        <w:rPr>
          <w:rFonts w:ascii="仿宋" w:hAnsi="仿宋" w:cs="仿宋"/>
          <w:szCs w:val="21"/>
        </w:rPr>
      </w:pPr>
      <w:r>
        <w:rPr>
          <w:rFonts w:hint="eastAsia" w:ascii="仿宋" w:hAnsi="仿宋" w:cs="仿宋"/>
          <w:szCs w:val="21"/>
        </w:rPr>
        <w:t>本授权书于</w:t>
      </w:r>
      <w:r>
        <w:rPr>
          <w:rFonts w:hint="eastAsia" w:ascii="仿宋" w:hAnsi="仿宋" w:cs="仿宋"/>
          <w:szCs w:val="21"/>
          <w:u w:val="single"/>
        </w:rPr>
        <w:t xml:space="preserve">   </w:t>
      </w:r>
      <w:r>
        <w:rPr>
          <w:rFonts w:hint="eastAsia" w:ascii="仿宋" w:hAnsi="仿宋" w:cs="仿宋"/>
          <w:szCs w:val="21"/>
        </w:rPr>
        <w:t>年</w:t>
      </w:r>
      <w:r>
        <w:rPr>
          <w:rFonts w:hint="eastAsia" w:ascii="仿宋" w:hAnsi="仿宋" w:cs="仿宋"/>
          <w:szCs w:val="21"/>
          <w:u w:val="single"/>
        </w:rPr>
        <w:t xml:space="preserve">   </w:t>
      </w:r>
      <w:r>
        <w:rPr>
          <w:rFonts w:hint="eastAsia" w:ascii="仿宋" w:hAnsi="仿宋" w:cs="仿宋"/>
          <w:szCs w:val="21"/>
        </w:rPr>
        <w:t>月</w:t>
      </w:r>
      <w:r>
        <w:rPr>
          <w:rFonts w:hint="eastAsia" w:ascii="仿宋" w:hAnsi="仿宋" w:cs="仿宋"/>
          <w:szCs w:val="21"/>
          <w:u w:val="single"/>
        </w:rPr>
        <w:t xml:space="preserve">   </w:t>
      </w:r>
      <w:r>
        <w:rPr>
          <w:rFonts w:hint="eastAsia" w:ascii="仿宋" w:hAnsi="仿宋" w:cs="仿宋"/>
          <w:szCs w:val="21"/>
        </w:rPr>
        <w:t>日签字或盖章生效，无转委托，特此声明。</w:t>
      </w:r>
    </w:p>
    <w:p>
      <w:pPr>
        <w:spacing w:line="360" w:lineRule="auto"/>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人身份证正、反面复印件※）</w:t>
            </w:r>
          </w:p>
        </w:tc>
      </w:tr>
    </w:tbl>
    <w:p>
      <w:pPr>
        <w:spacing w:line="360" w:lineRule="auto"/>
        <w:rPr>
          <w:rFonts w:ascii="仿宋" w:hAnsi="仿宋" w:cs="仿宋"/>
          <w:szCs w:val="21"/>
        </w:rPr>
      </w:pPr>
    </w:p>
    <w:p>
      <w:pPr>
        <w:spacing w:line="360" w:lineRule="auto"/>
        <w:rPr>
          <w:rFonts w:ascii="仿宋" w:hAnsi="仿宋" w:cs="仿宋"/>
          <w:szCs w:val="21"/>
        </w:rPr>
      </w:pPr>
      <w:r>
        <w:rPr>
          <w:rFonts w:hint="eastAsia" w:ascii="仿宋" w:hAnsi="仿宋" w:cs="仿宋"/>
          <w:szCs w:val="21"/>
        </w:rPr>
        <w:t>委托人（加盖单位公章）：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法定代表人（或非法人组织负责人）（签字或盖章）：</w:t>
      </w:r>
      <w:r>
        <w:rPr>
          <w:rFonts w:hint="eastAsia" w:ascii="仿宋" w:hAnsi="仿宋" w:cs="仿宋"/>
          <w:szCs w:val="21"/>
          <w:u w:val="single"/>
        </w:rPr>
        <w:t xml:space="preserve">                   </w:t>
      </w:r>
      <w:r>
        <w:rPr>
          <w:rFonts w:hint="eastAsia" w:ascii="仿宋" w:hAnsi="仿宋" w:cs="仿宋"/>
          <w:szCs w:val="21"/>
        </w:rPr>
        <w:t xml:space="preserve"> </w:t>
      </w:r>
    </w:p>
    <w:p>
      <w:pPr>
        <w:spacing w:line="360" w:lineRule="auto"/>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人（签字或盖章）：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详细通讯地址：</w:t>
      </w:r>
      <w:r>
        <w:rPr>
          <w:rFonts w:hint="eastAsia" w:ascii="仿宋" w:hAnsi="仿宋" w:cs="仿宋"/>
          <w:szCs w:val="21"/>
          <w:u w:val="single"/>
        </w:rPr>
        <w:t xml:space="preserve">                      </w:t>
      </w:r>
      <w:r>
        <w:rPr>
          <w:rFonts w:hint="eastAsia" w:ascii="仿宋" w:hAnsi="仿宋" w:cs="仿宋"/>
          <w:szCs w:val="21"/>
        </w:rPr>
        <w:t xml:space="preserve">      邮政编码 ：</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传        真：</w:t>
      </w:r>
      <w:r>
        <w:rPr>
          <w:rFonts w:hint="eastAsia" w:ascii="仿宋" w:hAnsi="仿宋" w:cs="仿宋"/>
          <w:szCs w:val="21"/>
          <w:u w:val="single"/>
        </w:rPr>
        <w:t xml:space="preserve">                      </w:t>
      </w:r>
      <w:r>
        <w:rPr>
          <w:rFonts w:hint="eastAsia" w:ascii="仿宋" w:hAnsi="仿宋" w:cs="仿宋"/>
          <w:szCs w:val="21"/>
        </w:rPr>
        <w:t xml:space="preserve">      电     话：</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jc w:val="center"/>
        <w:rPr>
          <w:rFonts w:ascii="仿宋" w:hAnsi="仿宋" w:cs="仿宋"/>
          <w:b/>
          <w:sz w:val="44"/>
          <w:szCs w:val="44"/>
        </w:rPr>
      </w:pPr>
      <w:r>
        <w:rPr>
          <w:rFonts w:hint="eastAsia" w:ascii="仿宋" w:hAnsi="仿宋" w:cs="仿宋"/>
          <w:szCs w:val="21"/>
          <w:u w:val="single"/>
        </w:rPr>
        <w:br w:type="page"/>
      </w:r>
      <w:bookmarkStart w:id="29" w:name="_Toc9614"/>
      <w:bookmarkStart w:id="30" w:name="_Toc26518_WPSOffice_Level1"/>
      <w:r>
        <w:rPr>
          <w:rFonts w:hint="eastAsia" w:ascii="仿宋" w:hAnsi="仿宋" w:cs="仿宋"/>
          <w:b/>
          <w:sz w:val="44"/>
          <w:szCs w:val="44"/>
        </w:rPr>
        <w:t>第一章 供应商须知</w:t>
      </w:r>
      <w:bookmarkEnd w:id="29"/>
      <w:bookmarkEnd w:id="30"/>
    </w:p>
    <w:p>
      <w:pPr>
        <w:pStyle w:val="3"/>
        <w:adjustRightInd w:val="0"/>
        <w:snapToGrid w:val="0"/>
        <w:spacing w:before="0" w:after="0" w:line="360" w:lineRule="auto"/>
        <w:rPr>
          <w:rFonts w:ascii="仿宋" w:hAnsi="仿宋" w:cs="仿宋"/>
          <w:sz w:val="32"/>
          <w:szCs w:val="36"/>
        </w:rPr>
      </w:pPr>
      <w:bookmarkStart w:id="31" w:name="_Toc18613_WPSOffice_Level2"/>
      <w:r>
        <w:rPr>
          <w:rFonts w:hint="eastAsia" w:ascii="仿宋" w:hAnsi="仿宋" w:cs="仿宋"/>
          <w:sz w:val="32"/>
          <w:szCs w:val="36"/>
        </w:rPr>
        <w:t>一 供应商须知表</w:t>
      </w:r>
      <w:bookmarkEnd w:id="31"/>
    </w:p>
    <w:tbl>
      <w:tblPr>
        <w:tblStyle w:val="23"/>
        <w:tblW w:w="8863" w:type="dxa"/>
        <w:tblInd w:w="0" w:type="dxa"/>
        <w:tblLayout w:type="fixed"/>
        <w:tblCellMar>
          <w:top w:w="0" w:type="dxa"/>
          <w:left w:w="108" w:type="dxa"/>
          <w:bottom w:w="0" w:type="dxa"/>
          <w:right w:w="108" w:type="dxa"/>
        </w:tblCellMar>
      </w:tblPr>
      <w:tblGrid>
        <w:gridCol w:w="873"/>
        <w:gridCol w:w="1962"/>
        <w:gridCol w:w="6028"/>
      </w:tblGrid>
      <w:tr>
        <w:tblPrEx>
          <w:tblCellMar>
            <w:top w:w="0" w:type="dxa"/>
            <w:left w:w="108" w:type="dxa"/>
            <w:bottom w:w="0" w:type="dxa"/>
            <w:right w:w="108" w:type="dxa"/>
          </w:tblCellMar>
        </w:tblPrEx>
        <w:trPr>
          <w:trHeight w:val="375" w:hRule="atLeast"/>
          <w:tblHeader/>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bookmarkStart w:id="32" w:name="sys_招标项目基本内容及要求：Block"/>
            <w:bookmarkEnd w:id="32"/>
            <w:bookmarkStart w:id="33" w:name="sys_招标项目基本内容及要求其他：Block"/>
            <w:bookmarkEnd w:id="33"/>
            <w:bookmarkStart w:id="34" w:name="招标项目基本内容及要求其他：Block"/>
            <w:bookmarkEnd w:id="34"/>
            <w:bookmarkStart w:id="35" w:name="招标项目基本内容及要求：Block"/>
            <w:bookmarkEnd w:id="35"/>
            <w:r>
              <w:rPr>
                <w:rFonts w:hint="eastAsia" w:ascii="仿宋" w:hAnsi="仿宋" w:cs="仿宋"/>
                <w:kern w:val="0"/>
                <w:szCs w:val="21"/>
              </w:rPr>
              <w:t>条款号</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kern w:val="0"/>
                <w:szCs w:val="21"/>
              </w:rPr>
            </w:pPr>
            <w:r>
              <w:rPr>
                <w:rFonts w:hint="eastAsia" w:ascii="仿宋" w:hAnsi="仿宋" w:cs="仿宋"/>
                <w:kern w:val="0"/>
                <w:szCs w:val="21"/>
              </w:rPr>
              <w:t>项   目</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内     容</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1.1</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kern w:val="0"/>
                <w:szCs w:val="21"/>
              </w:rPr>
            </w:pPr>
            <w:r>
              <w:rPr>
                <w:rFonts w:hint="eastAsia" w:ascii="仿宋" w:hAnsi="仿宋" w:cs="仿宋"/>
                <w:kern w:val="0"/>
                <w:szCs w:val="21"/>
              </w:rPr>
              <w:t>采购人</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cs="仿宋"/>
                <w:kern w:val="0"/>
                <w:szCs w:val="21"/>
                <w:u w:val="single"/>
              </w:rPr>
            </w:pPr>
            <w:r>
              <w:rPr>
                <w:rFonts w:hint="eastAsia" w:ascii="仿宋" w:hAnsi="仿宋" w:cs="仿宋"/>
                <w:kern w:val="0"/>
                <w:szCs w:val="21"/>
              </w:rPr>
              <w:t>名  称：</w:t>
            </w:r>
            <w:r>
              <w:rPr>
                <w:rFonts w:hint="eastAsia" w:ascii="仿宋" w:hAnsi="仿宋" w:cs="仿宋"/>
                <w:kern w:val="0"/>
                <w:szCs w:val="21"/>
                <w:u w:val="single"/>
              </w:rPr>
              <w:t>沈阳市消防救援支队</w:t>
            </w:r>
          </w:p>
          <w:p>
            <w:pPr>
              <w:widowControl/>
              <w:jc w:val="left"/>
              <w:rPr>
                <w:rFonts w:ascii="仿宋" w:hAnsi="仿宋" w:cs="仿宋"/>
                <w:kern w:val="0"/>
                <w:szCs w:val="21"/>
              </w:rPr>
            </w:pPr>
            <w:r>
              <w:rPr>
                <w:rFonts w:hint="eastAsia" w:ascii="仿宋" w:hAnsi="仿宋" w:cs="仿宋"/>
                <w:kern w:val="0"/>
                <w:szCs w:val="21"/>
              </w:rPr>
              <w:t>地  址：</w:t>
            </w:r>
            <w:r>
              <w:rPr>
                <w:rFonts w:hint="eastAsia" w:ascii="仿宋" w:hAnsi="仿宋" w:cs="仿宋"/>
                <w:kern w:val="0"/>
                <w:szCs w:val="21"/>
                <w:u w:val="single"/>
              </w:rPr>
              <w:t>沈阳市小北关街202巷14号</w:t>
            </w:r>
            <w:r>
              <w:rPr>
                <w:rFonts w:hint="eastAsia" w:ascii="仿宋" w:hAnsi="仿宋" w:cs="仿宋"/>
                <w:kern w:val="0"/>
                <w:szCs w:val="21"/>
              </w:rPr>
              <w:t xml:space="preserve">  </w:t>
            </w:r>
          </w:p>
          <w:p>
            <w:pPr>
              <w:widowControl/>
              <w:jc w:val="left"/>
              <w:rPr>
                <w:rFonts w:ascii="仿宋" w:hAnsi="仿宋" w:cs="仿宋"/>
                <w:kern w:val="0"/>
                <w:szCs w:val="21"/>
                <w:u w:val="single"/>
              </w:rPr>
            </w:pPr>
            <w:r>
              <w:rPr>
                <w:rFonts w:hint="eastAsia" w:ascii="仿宋" w:hAnsi="仿宋" w:cs="仿宋"/>
                <w:kern w:val="0"/>
                <w:szCs w:val="21"/>
              </w:rPr>
              <w:t>联系人：</w:t>
            </w:r>
            <w:r>
              <w:rPr>
                <w:rFonts w:hint="eastAsia" w:ascii="仿宋" w:hAnsi="仿宋" w:cs="仿宋"/>
                <w:szCs w:val="21"/>
                <w:u w:val="single"/>
              </w:rPr>
              <w:t>赵琦</w:t>
            </w:r>
          </w:p>
          <w:p>
            <w:pPr>
              <w:widowControl/>
              <w:jc w:val="left"/>
              <w:rPr>
                <w:rFonts w:ascii="仿宋" w:hAnsi="仿宋" w:cs="仿宋"/>
                <w:kern w:val="0"/>
                <w:szCs w:val="21"/>
              </w:rPr>
            </w:pPr>
            <w:r>
              <w:rPr>
                <w:rFonts w:hint="eastAsia" w:ascii="仿宋" w:hAnsi="仿宋" w:cs="仿宋"/>
                <w:kern w:val="0"/>
                <w:szCs w:val="21"/>
              </w:rPr>
              <w:t>电  话：</w:t>
            </w:r>
            <w:r>
              <w:rPr>
                <w:rFonts w:hint="eastAsia" w:ascii="仿宋" w:hAnsi="仿宋" w:cs="仿宋"/>
                <w:kern w:val="0"/>
                <w:szCs w:val="21"/>
                <w:u w:val="single"/>
              </w:rPr>
              <w:t>024-88390325</w:t>
            </w:r>
          </w:p>
        </w:tc>
      </w:tr>
      <w:tr>
        <w:tblPrEx>
          <w:tblCellMar>
            <w:top w:w="0" w:type="dxa"/>
            <w:left w:w="108" w:type="dxa"/>
            <w:bottom w:w="0" w:type="dxa"/>
            <w:right w:w="108" w:type="dxa"/>
          </w:tblCellMar>
        </w:tblPrEx>
        <w:trPr>
          <w:trHeight w:val="94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1.2</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kern w:val="0"/>
                <w:szCs w:val="21"/>
              </w:rPr>
            </w:pPr>
            <w:r>
              <w:rPr>
                <w:rFonts w:hint="eastAsia" w:ascii="仿宋" w:hAnsi="仿宋" w:cs="仿宋"/>
                <w:kern w:val="0"/>
                <w:szCs w:val="21"/>
              </w:rPr>
              <w:t>采购代理机构</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kern w:val="0"/>
                <w:szCs w:val="21"/>
              </w:rPr>
            </w:pPr>
            <w:r>
              <w:rPr>
                <w:rFonts w:hint="eastAsia" w:ascii="仿宋" w:hAnsi="仿宋" w:cs="仿宋"/>
                <w:kern w:val="0"/>
                <w:szCs w:val="21"/>
              </w:rPr>
              <w:t>名  称：</w:t>
            </w:r>
            <w:r>
              <w:rPr>
                <w:rFonts w:hint="eastAsia" w:ascii="仿宋" w:hAnsi="仿宋" w:cs="仿宋"/>
                <w:kern w:val="0"/>
                <w:szCs w:val="21"/>
                <w:u w:val="single"/>
              </w:rPr>
              <w:t>辽宁浩亿招投标有限公司</w:t>
            </w:r>
          </w:p>
          <w:p>
            <w:pPr>
              <w:rPr>
                <w:rFonts w:ascii="仿宋" w:hAnsi="仿宋" w:cs="仿宋"/>
                <w:kern w:val="0"/>
                <w:szCs w:val="21"/>
              </w:rPr>
            </w:pPr>
            <w:r>
              <w:rPr>
                <w:rFonts w:hint="eastAsia" w:ascii="仿宋" w:hAnsi="仿宋" w:cs="仿宋"/>
                <w:kern w:val="0"/>
                <w:szCs w:val="21"/>
              </w:rPr>
              <w:t>地  址：</w:t>
            </w:r>
            <w:r>
              <w:rPr>
                <w:rFonts w:hint="eastAsia" w:ascii="仿宋" w:hAnsi="仿宋" w:cs="仿宋"/>
                <w:kern w:val="0"/>
                <w:szCs w:val="21"/>
                <w:u w:val="single"/>
              </w:rPr>
              <w:t>沈阳市皇姑区同江街11-1号3门</w:t>
            </w:r>
          </w:p>
          <w:p>
            <w:pPr>
              <w:rPr>
                <w:rFonts w:ascii="仿宋" w:hAnsi="仿宋" w:cs="仿宋"/>
                <w:kern w:val="0"/>
                <w:szCs w:val="21"/>
              </w:rPr>
            </w:pPr>
            <w:r>
              <w:rPr>
                <w:rFonts w:hint="eastAsia" w:ascii="仿宋" w:hAnsi="仿宋" w:cs="仿宋"/>
                <w:kern w:val="0"/>
                <w:szCs w:val="21"/>
              </w:rPr>
              <w:t>联系人：</w:t>
            </w:r>
            <w:r>
              <w:rPr>
                <w:rFonts w:hint="eastAsia" w:ascii="仿宋" w:hAnsi="仿宋" w:cs="仿宋"/>
                <w:szCs w:val="21"/>
                <w:u w:val="single"/>
              </w:rPr>
              <w:t>赵旭、张芳、曹雨、李姗姗</w:t>
            </w:r>
          </w:p>
          <w:p>
            <w:pPr>
              <w:widowControl/>
              <w:jc w:val="left"/>
              <w:rPr>
                <w:rFonts w:ascii="仿宋" w:hAnsi="仿宋" w:cs="仿宋"/>
                <w:kern w:val="0"/>
                <w:szCs w:val="21"/>
              </w:rPr>
            </w:pPr>
            <w:r>
              <w:rPr>
                <w:rFonts w:hint="eastAsia" w:ascii="仿宋" w:hAnsi="仿宋" w:cs="仿宋"/>
                <w:kern w:val="0"/>
                <w:szCs w:val="21"/>
              </w:rPr>
              <w:t>电  话：</w:t>
            </w:r>
            <w:r>
              <w:rPr>
                <w:rFonts w:hint="eastAsia" w:ascii="仿宋" w:hAnsi="仿宋" w:cs="仿宋"/>
                <w:kern w:val="0"/>
                <w:szCs w:val="21"/>
                <w:u w:val="single"/>
              </w:rPr>
              <w:t>024-81231520</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1.3.4</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kern w:val="0"/>
                <w:szCs w:val="21"/>
              </w:rPr>
            </w:pPr>
            <w:r>
              <w:rPr>
                <w:rFonts w:hint="eastAsia" w:ascii="仿宋" w:hAnsi="仿宋" w:cs="仿宋"/>
                <w:kern w:val="0"/>
                <w:szCs w:val="21"/>
              </w:rPr>
              <w:t>合格供应商还要满足的其它资格条件</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cs="仿宋"/>
                <w:kern w:val="0"/>
                <w:szCs w:val="21"/>
              </w:rPr>
            </w:pPr>
            <w:r>
              <w:rPr>
                <w:rFonts w:hint="eastAsia" w:ascii="仿宋" w:hAnsi="仿宋" w:cs="仿宋"/>
                <w:kern w:val="0"/>
                <w:szCs w:val="21"/>
              </w:rPr>
              <w:t>详见采购公告</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1.3.5</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是否允许采购进口产品</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是</w:t>
            </w:r>
          </w:p>
          <w:p>
            <w:pPr>
              <w:rPr>
                <w:rFonts w:ascii="仿宋" w:hAnsi="仿宋" w:cs="仿宋"/>
                <w:bCs/>
                <w:kern w:val="0"/>
                <w:szCs w:val="21"/>
              </w:rPr>
            </w:pPr>
            <w:r>
              <w:rPr>
                <w:rFonts w:hint="eastAsia" w:ascii="仿宋" w:hAnsi="仿宋" w:cs="仿宋"/>
                <w:kern w:val="0"/>
                <w:szCs w:val="21"/>
              </w:rPr>
              <w:sym w:font="Wingdings 2" w:char="0052"/>
            </w:r>
            <w:r>
              <w:rPr>
                <w:rFonts w:hint="eastAsia" w:ascii="仿宋" w:hAnsi="仿宋" w:cs="仿宋"/>
                <w:kern w:val="0"/>
                <w:szCs w:val="21"/>
              </w:rPr>
              <w:t>否</w:t>
            </w:r>
          </w:p>
        </w:tc>
      </w:tr>
      <w:tr>
        <w:tblPrEx>
          <w:tblCellMar>
            <w:top w:w="0" w:type="dxa"/>
            <w:left w:w="108" w:type="dxa"/>
            <w:bottom w:w="0" w:type="dxa"/>
            <w:right w:w="108" w:type="dxa"/>
          </w:tblCellMar>
        </w:tblPrEx>
        <w:trPr>
          <w:trHeight w:val="1252"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1.3.6</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left"/>
              <w:rPr>
                <w:rFonts w:ascii="仿宋" w:hAnsi="仿宋" w:cs="仿宋"/>
                <w:kern w:val="0"/>
                <w:szCs w:val="21"/>
              </w:rPr>
            </w:pPr>
            <w:r>
              <w:rPr>
                <w:rFonts w:hint="eastAsia" w:ascii="仿宋" w:hAnsi="仿宋" w:cs="仿宋"/>
                <w:kern w:val="0"/>
                <w:szCs w:val="21"/>
              </w:rPr>
              <w:t>是否为专门面向中小企业采购</w:t>
            </w:r>
          </w:p>
        </w:tc>
        <w:tc>
          <w:tcPr>
            <w:tcW w:w="6028" w:type="dxa"/>
            <w:tcBorders>
              <w:top w:val="single" w:color="auto" w:sz="4" w:space="0"/>
              <w:left w:val="single" w:color="auto" w:sz="4" w:space="0"/>
              <w:bottom w:val="single" w:color="auto" w:sz="4" w:space="0"/>
              <w:right w:val="single" w:color="auto" w:sz="4" w:space="0"/>
            </w:tcBorders>
            <w:vAlign w:val="center"/>
          </w:tcPr>
          <w:p>
            <w:pPr>
              <w:tabs>
                <w:tab w:val="left" w:pos="1425"/>
              </w:tabs>
              <w:jc w:val="left"/>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是</w:t>
            </w:r>
          </w:p>
          <w:p>
            <w:pPr>
              <w:tabs>
                <w:tab w:val="left" w:pos="1425"/>
              </w:tabs>
              <w:jc w:val="left"/>
              <w:rPr>
                <w:rFonts w:ascii="仿宋" w:hAnsi="仿宋" w:cs="仿宋"/>
                <w:kern w:val="0"/>
                <w:szCs w:val="21"/>
              </w:rPr>
            </w:pPr>
            <w:r>
              <w:rPr>
                <w:rFonts w:hint="eastAsia" w:ascii="仿宋" w:hAnsi="仿宋" w:cs="仿宋"/>
                <w:kern w:val="0"/>
                <w:szCs w:val="21"/>
              </w:rPr>
              <w:t>采购标的对应的中小企业划分标准所属行业：工业</w:t>
            </w:r>
          </w:p>
          <w:tbl>
            <w:tblPr>
              <w:tblStyle w:val="24"/>
              <w:tblW w:w="4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990"/>
              <w:gridCol w:w="2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4" w:type="dxa"/>
                  <w:vAlign w:val="center"/>
                </w:tcPr>
                <w:p>
                  <w:pPr>
                    <w:pStyle w:val="3"/>
                    <w:spacing w:before="0" w:after="0" w:line="240" w:lineRule="auto"/>
                    <w:outlineLvl w:val="1"/>
                    <w:rPr>
                      <w:rFonts w:ascii="仿宋" w:hAnsi="仿宋" w:cs="仿宋"/>
                      <w:b w:val="0"/>
                      <w:bCs/>
                      <w:sz w:val="21"/>
                      <w:szCs w:val="21"/>
                    </w:rPr>
                  </w:pPr>
                  <w:r>
                    <w:rPr>
                      <w:rFonts w:hint="eastAsia" w:ascii="仿宋" w:hAnsi="仿宋" w:cs="仿宋"/>
                      <w:b w:val="0"/>
                      <w:bCs/>
                      <w:sz w:val="21"/>
                      <w:szCs w:val="21"/>
                    </w:rPr>
                    <w:t>包号</w:t>
                  </w:r>
                </w:p>
              </w:tc>
              <w:tc>
                <w:tcPr>
                  <w:tcW w:w="990" w:type="dxa"/>
                  <w:vAlign w:val="center"/>
                </w:tcPr>
                <w:p>
                  <w:pPr>
                    <w:pStyle w:val="3"/>
                    <w:spacing w:before="0" w:after="0" w:line="240" w:lineRule="auto"/>
                    <w:outlineLvl w:val="1"/>
                    <w:rPr>
                      <w:rFonts w:ascii="仿宋" w:hAnsi="仿宋" w:cs="仿宋"/>
                      <w:b w:val="0"/>
                      <w:bCs/>
                      <w:sz w:val="21"/>
                      <w:szCs w:val="21"/>
                    </w:rPr>
                  </w:pPr>
                  <w:r>
                    <w:rPr>
                      <w:rFonts w:hint="eastAsia" w:ascii="仿宋" w:hAnsi="仿宋" w:cs="仿宋"/>
                      <w:b w:val="0"/>
                      <w:bCs/>
                      <w:sz w:val="21"/>
                      <w:szCs w:val="21"/>
                    </w:rPr>
                    <w:t>序号</w:t>
                  </w:r>
                </w:p>
              </w:tc>
              <w:tc>
                <w:tcPr>
                  <w:tcW w:w="2850" w:type="dxa"/>
                  <w:vAlign w:val="center"/>
                </w:tcPr>
                <w:p>
                  <w:pPr>
                    <w:pStyle w:val="3"/>
                    <w:spacing w:before="0" w:after="0" w:line="240" w:lineRule="auto"/>
                    <w:outlineLvl w:val="1"/>
                    <w:rPr>
                      <w:rFonts w:ascii="仿宋" w:hAnsi="仿宋" w:cs="仿宋"/>
                      <w:b w:val="0"/>
                      <w:bCs/>
                      <w:sz w:val="21"/>
                      <w:szCs w:val="21"/>
                    </w:rPr>
                  </w:pPr>
                  <w:r>
                    <w:rPr>
                      <w:rFonts w:hint="eastAsia" w:ascii="仿宋" w:hAnsi="仿宋" w:cs="仿宋"/>
                      <w:b w:val="0"/>
                      <w:bCs/>
                      <w:sz w:val="21"/>
                      <w:szCs w:val="21"/>
                    </w:rPr>
                    <w:t>标的名称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4" w:type="dxa"/>
                  <w:vMerge w:val="restart"/>
                  <w:vAlign w:val="center"/>
                </w:tcPr>
                <w:p>
                  <w:pPr>
                    <w:pStyle w:val="3"/>
                    <w:spacing w:before="0" w:after="0" w:line="240" w:lineRule="auto"/>
                    <w:outlineLvl w:val="1"/>
                    <w:rPr>
                      <w:rFonts w:ascii="仿宋" w:hAnsi="仿宋" w:cs="仿宋"/>
                      <w:b w:val="0"/>
                      <w:bCs/>
                      <w:sz w:val="21"/>
                      <w:szCs w:val="21"/>
                    </w:rPr>
                  </w:pPr>
                  <w:r>
                    <w:rPr>
                      <w:rFonts w:hint="eastAsia" w:ascii="仿宋" w:hAnsi="仿宋" w:cs="仿宋"/>
                      <w:b w:val="0"/>
                      <w:bCs/>
                      <w:sz w:val="21"/>
                      <w:szCs w:val="21"/>
                    </w:rPr>
                    <w:t>001</w:t>
                  </w:r>
                </w:p>
              </w:tc>
              <w:tc>
                <w:tcPr>
                  <w:tcW w:w="990"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1</w:t>
                  </w:r>
                </w:p>
              </w:tc>
              <w:tc>
                <w:tcPr>
                  <w:tcW w:w="285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冰面救援服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4" w:type="dxa"/>
                  <w:vMerge w:val="continue"/>
                  <w:vAlign w:val="center"/>
                </w:tcPr>
                <w:p>
                  <w:pPr>
                    <w:pStyle w:val="3"/>
                    <w:spacing w:before="0" w:after="0" w:line="240" w:lineRule="auto"/>
                    <w:outlineLvl w:val="1"/>
                    <w:rPr>
                      <w:rFonts w:ascii="仿宋" w:hAnsi="仿宋" w:cs="仿宋"/>
                      <w:b w:val="0"/>
                      <w:bCs/>
                      <w:sz w:val="21"/>
                      <w:szCs w:val="21"/>
                    </w:rPr>
                  </w:pPr>
                </w:p>
              </w:tc>
              <w:tc>
                <w:tcPr>
                  <w:tcW w:w="990"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2</w:t>
                  </w:r>
                </w:p>
              </w:tc>
              <w:tc>
                <w:tcPr>
                  <w:tcW w:w="285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潜水全面罩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4" w:type="dxa"/>
                  <w:vMerge w:val="continue"/>
                  <w:vAlign w:val="center"/>
                </w:tcPr>
                <w:p>
                  <w:pPr>
                    <w:pStyle w:val="3"/>
                    <w:spacing w:before="0" w:after="0" w:line="240" w:lineRule="auto"/>
                    <w:outlineLvl w:val="1"/>
                    <w:rPr>
                      <w:rFonts w:ascii="仿宋" w:hAnsi="仿宋" w:cs="仿宋"/>
                      <w:b w:val="0"/>
                      <w:bCs/>
                      <w:sz w:val="21"/>
                      <w:szCs w:val="21"/>
                    </w:rPr>
                  </w:pPr>
                </w:p>
              </w:tc>
              <w:tc>
                <w:tcPr>
                  <w:tcW w:w="990"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3</w:t>
                  </w:r>
                </w:p>
              </w:tc>
              <w:tc>
                <w:tcPr>
                  <w:tcW w:w="285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冰域呼吸器组件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4" w:type="dxa"/>
                  <w:vMerge w:val="continue"/>
                  <w:vAlign w:val="center"/>
                </w:tcPr>
                <w:p>
                  <w:pPr>
                    <w:pStyle w:val="3"/>
                    <w:spacing w:before="0" w:after="0" w:line="240" w:lineRule="auto"/>
                    <w:outlineLvl w:val="1"/>
                    <w:rPr>
                      <w:rFonts w:ascii="仿宋" w:hAnsi="仿宋" w:cs="仿宋"/>
                      <w:b w:val="0"/>
                      <w:bCs/>
                      <w:sz w:val="21"/>
                      <w:szCs w:val="21"/>
                    </w:rPr>
                  </w:pPr>
                </w:p>
              </w:tc>
              <w:tc>
                <w:tcPr>
                  <w:tcW w:w="990"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4</w:t>
                  </w:r>
                </w:p>
              </w:tc>
              <w:tc>
                <w:tcPr>
                  <w:tcW w:w="285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冰面救援滑板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4" w:type="dxa"/>
                  <w:vMerge w:val="continue"/>
                  <w:vAlign w:val="center"/>
                </w:tcPr>
                <w:p>
                  <w:pPr>
                    <w:pStyle w:val="3"/>
                    <w:spacing w:before="0" w:after="0" w:line="240" w:lineRule="auto"/>
                    <w:outlineLvl w:val="1"/>
                    <w:rPr>
                      <w:rFonts w:ascii="仿宋" w:hAnsi="仿宋" w:cs="仿宋"/>
                      <w:b w:val="0"/>
                      <w:bCs/>
                      <w:sz w:val="21"/>
                      <w:szCs w:val="21"/>
                    </w:rPr>
                  </w:pPr>
                </w:p>
              </w:tc>
              <w:tc>
                <w:tcPr>
                  <w:tcW w:w="990"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5</w:t>
                  </w:r>
                </w:p>
              </w:tc>
              <w:tc>
                <w:tcPr>
                  <w:tcW w:w="285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冰面行动辅助套装</w:t>
                  </w:r>
                </w:p>
              </w:tc>
            </w:tr>
          </w:tbl>
          <w:p>
            <w:pPr>
              <w:tabs>
                <w:tab w:val="left" w:pos="1425"/>
              </w:tabs>
              <w:jc w:val="left"/>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否</w:t>
            </w:r>
          </w:p>
        </w:tc>
      </w:tr>
      <w:tr>
        <w:tblPrEx>
          <w:tblCellMar>
            <w:top w:w="0" w:type="dxa"/>
            <w:left w:w="108" w:type="dxa"/>
            <w:bottom w:w="0" w:type="dxa"/>
            <w:right w:w="108" w:type="dxa"/>
          </w:tblCellMar>
        </w:tblPrEx>
        <w:trPr>
          <w:trHeight w:val="90"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1.3.7</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是否有政府强制采购的节能产品</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有，具体产品为</w:t>
            </w:r>
            <w:r>
              <w:rPr>
                <w:rFonts w:hint="eastAsia" w:ascii="仿宋" w:hAnsi="仿宋" w:cs="仿宋"/>
                <w:bCs/>
                <w:kern w:val="0"/>
                <w:szCs w:val="21"/>
                <w:u w:val="single"/>
              </w:rPr>
              <w:t xml:space="preserve">        </w:t>
            </w:r>
          </w:p>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没有</w:t>
            </w:r>
          </w:p>
        </w:tc>
      </w:tr>
      <w:tr>
        <w:tblPrEx>
          <w:tblCellMar>
            <w:top w:w="0" w:type="dxa"/>
            <w:left w:w="108" w:type="dxa"/>
            <w:bottom w:w="0" w:type="dxa"/>
            <w:right w:w="108" w:type="dxa"/>
          </w:tblCellMar>
        </w:tblPrEx>
        <w:trPr>
          <w:trHeight w:val="310"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1.4</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是否允许联合体投标</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是</w:t>
            </w:r>
          </w:p>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否</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1.4.8</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联合体投标的其他资格要求</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bCs/>
                <w:kern w:val="0"/>
                <w:szCs w:val="21"/>
              </w:rPr>
            </w:pPr>
            <w:r>
              <w:rPr>
                <w:rFonts w:hint="eastAsia" w:ascii="仿宋" w:hAnsi="仿宋" w:cs="仿宋"/>
                <w:bCs/>
                <w:kern w:val="0"/>
                <w:szCs w:val="21"/>
              </w:rPr>
              <w:t>无</w:t>
            </w:r>
          </w:p>
        </w:tc>
      </w:tr>
      <w:tr>
        <w:tblPrEx>
          <w:tblCellMar>
            <w:top w:w="0" w:type="dxa"/>
            <w:left w:w="108" w:type="dxa"/>
            <w:bottom w:w="0" w:type="dxa"/>
            <w:right w:w="108" w:type="dxa"/>
          </w:tblCellMar>
        </w:tblPrEx>
        <w:trPr>
          <w:trHeight w:val="3061" w:hRule="atLeast"/>
        </w:trPr>
        <w:tc>
          <w:tcPr>
            <w:tcW w:w="87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kern w:val="0"/>
                <w:szCs w:val="21"/>
              </w:rPr>
            </w:pPr>
            <w:r>
              <w:rPr>
                <w:rFonts w:hint="eastAsia" w:ascii="仿宋" w:hAnsi="仿宋" w:cs="仿宋"/>
                <w:kern w:val="0"/>
                <w:szCs w:val="21"/>
              </w:rPr>
              <w:t>2.2</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项目预算金额、最高限价</w:t>
            </w:r>
          </w:p>
        </w:tc>
        <w:tc>
          <w:tcPr>
            <w:tcW w:w="6028" w:type="dxa"/>
            <w:tcBorders>
              <w:top w:val="single" w:color="auto" w:sz="4" w:space="0"/>
              <w:left w:val="single" w:color="auto" w:sz="4" w:space="0"/>
              <w:bottom w:val="single" w:color="auto" w:sz="4" w:space="0"/>
              <w:right w:val="single" w:color="auto" w:sz="4" w:space="0"/>
            </w:tcBorders>
            <w:vAlign w:val="center"/>
          </w:tcPr>
          <w:p>
            <w:pPr>
              <w:tabs>
                <w:tab w:val="left" w:pos="1425"/>
              </w:tabs>
              <w:rPr>
                <w:rFonts w:ascii="仿宋" w:hAnsi="仿宋" w:cs="仿宋"/>
                <w:kern w:val="0"/>
                <w:szCs w:val="21"/>
              </w:rPr>
            </w:pPr>
            <w:r>
              <w:rPr>
                <w:rFonts w:hint="eastAsia" w:ascii="仿宋" w:hAnsi="仿宋" w:cs="仿宋"/>
                <w:szCs w:val="21"/>
              </w:rPr>
              <w:t>001包</w:t>
            </w:r>
            <w:r>
              <w:rPr>
                <w:rFonts w:hint="eastAsia" w:ascii="仿宋" w:hAnsi="仿宋" w:cs="仿宋"/>
                <w:kern w:val="0"/>
                <w:szCs w:val="21"/>
              </w:rPr>
              <w:t>预算总金额：人民币</w:t>
            </w:r>
            <w:r>
              <w:rPr>
                <w:rFonts w:hint="eastAsia" w:ascii="仿宋" w:hAnsi="仿宋" w:cs="仿宋"/>
                <w:szCs w:val="21"/>
              </w:rPr>
              <w:t>296.92</w:t>
            </w:r>
            <w:r>
              <w:rPr>
                <w:rFonts w:hint="eastAsia" w:ascii="仿宋" w:hAnsi="仿宋" w:cs="仿宋"/>
                <w:kern w:val="0"/>
                <w:szCs w:val="21"/>
              </w:rPr>
              <w:t>万元</w:t>
            </w:r>
          </w:p>
          <w:p>
            <w:pPr>
              <w:rPr>
                <w:rFonts w:ascii="仿宋" w:hAnsi="仿宋" w:cs="仿宋"/>
                <w:szCs w:val="21"/>
              </w:rPr>
            </w:pPr>
            <w:r>
              <w:rPr>
                <w:rFonts w:hint="eastAsia" w:ascii="仿宋" w:hAnsi="仿宋" w:cs="仿宋"/>
                <w:szCs w:val="21"/>
              </w:rPr>
              <w:t>001包最高限价：人民币296.92万元</w:t>
            </w:r>
          </w:p>
          <w:tbl>
            <w:tblPr>
              <w:tblStyle w:val="24"/>
              <w:tblW w:w="49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2220"/>
              <w:gridCol w:w="1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vAlign w:val="center"/>
                </w:tcPr>
                <w:p>
                  <w:pPr>
                    <w:pStyle w:val="3"/>
                    <w:spacing w:before="0" w:after="0" w:line="240" w:lineRule="auto"/>
                    <w:outlineLvl w:val="1"/>
                    <w:rPr>
                      <w:b w:val="0"/>
                      <w:sz w:val="21"/>
                      <w:szCs w:val="21"/>
                    </w:rPr>
                  </w:pPr>
                  <w:r>
                    <w:rPr>
                      <w:rFonts w:hint="eastAsia"/>
                      <w:b w:val="0"/>
                      <w:sz w:val="21"/>
                      <w:szCs w:val="21"/>
                    </w:rPr>
                    <w:t>序号</w:t>
                  </w:r>
                </w:p>
              </w:tc>
              <w:tc>
                <w:tcPr>
                  <w:tcW w:w="2220" w:type="dxa"/>
                  <w:vAlign w:val="center"/>
                </w:tcPr>
                <w:p>
                  <w:pPr>
                    <w:pStyle w:val="3"/>
                    <w:spacing w:before="0" w:after="0" w:line="240" w:lineRule="auto"/>
                    <w:outlineLvl w:val="1"/>
                    <w:rPr>
                      <w:b w:val="0"/>
                      <w:sz w:val="21"/>
                      <w:szCs w:val="21"/>
                    </w:rPr>
                  </w:pPr>
                  <w:r>
                    <w:rPr>
                      <w:rFonts w:hint="eastAsia"/>
                      <w:b w:val="0"/>
                      <w:sz w:val="21"/>
                      <w:szCs w:val="21"/>
                    </w:rPr>
                    <w:t>产品名称</w:t>
                  </w:r>
                </w:p>
              </w:tc>
              <w:tc>
                <w:tcPr>
                  <w:tcW w:w="1920" w:type="dxa"/>
                  <w:vAlign w:val="center"/>
                </w:tcPr>
                <w:p>
                  <w:pPr>
                    <w:pStyle w:val="3"/>
                    <w:spacing w:before="0" w:after="0" w:line="240" w:lineRule="auto"/>
                    <w:outlineLvl w:val="1"/>
                    <w:rPr>
                      <w:b w:val="0"/>
                      <w:sz w:val="21"/>
                      <w:szCs w:val="21"/>
                    </w:rPr>
                  </w:pPr>
                  <w:r>
                    <w:rPr>
                      <w:rFonts w:hint="eastAsia"/>
                      <w:b w:val="0"/>
                      <w:sz w:val="21"/>
                      <w:szCs w:val="21"/>
                    </w:rPr>
                    <w:t>单价最高限价</w:t>
                  </w:r>
                </w:p>
                <w:p>
                  <w:pPr>
                    <w:pStyle w:val="3"/>
                    <w:spacing w:before="0" w:after="0" w:line="240" w:lineRule="auto"/>
                    <w:outlineLvl w:val="1"/>
                    <w:rPr>
                      <w:b w:val="0"/>
                      <w:sz w:val="21"/>
                      <w:szCs w:val="21"/>
                    </w:rPr>
                  </w:pPr>
                  <w:r>
                    <w:rPr>
                      <w:rFonts w:hint="eastAsia"/>
                      <w:b w:val="0"/>
                      <w:sz w:val="21"/>
                      <w:szCs w:val="21"/>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1</w:t>
                  </w:r>
                </w:p>
              </w:tc>
              <w:tc>
                <w:tcPr>
                  <w:tcW w:w="222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冰面救援服</w:t>
                  </w:r>
                </w:p>
              </w:tc>
              <w:tc>
                <w:tcPr>
                  <w:tcW w:w="1920" w:type="dxa"/>
                  <w:vAlign w:val="center"/>
                </w:tcPr>
                <w:p>
                  <w:pPr>
                    <w:widowControl/>
                    <w:jc w:val="center"/>
                    <w:textAlignment w:val="center"/>
                    <w:rPr>
                      <w:rFonts w:ascii="仿宋" w:hAnsi="仿宋" w:cs="仿宋"/>
                      <w:kern w:val="0"/>
                      <w:szCs w:val="21"/>
                      <w:lang w:bidi="ar"/>
                    </w:rPr>
                  </w:pPr>
                  <w:r>
                    <w:rPr>
                      <w:rFonts w:ascii="仿宋" w:hAnsi="仿宋" w:cs="仿宋"/>
                      <w:kern w:val="0"/>
                      <w:szCs w:val="21"/>
                      <w:lang w:bidi="ar"/>
                    </w:rPr>
                    <w:t>1.</w:t>
                  </w:r>
                  <w:r>
                    <w:rPr>
                      <w:rFonts w:hint="eastAsia" w:ascii="仿宋" w:hAnsi="仿宋" w:cs="仿宋"/>
                      <w:kern w:val="0"/>
                      <w:szCs w:val="21"/>
                      <w:lang w:bidi="ar"/>
                    </w:rPr>
                    <w:t>1</w:t>
                  </w:r>
                  <w:r>
                    <w:rPr>
                      <w:rFonts w:ascii="仿宋" w:hAnsi="仿宋" w:cs="仿宋"/>
                      <w:kern w:val="0"/>
                      <w:szCs w:val="21"/>
                      <w:lang w:bidi="a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2</w:t>
                  </w:r>
                </w:p>
              </w:tc>
              <w:tc>
                <w:tcPr>
                  <w:tcW w:w="222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潜水全面罩</w:t>
                  </w:r>
                </w:p>
              </w:tc>
              <w:tc>
                <w:tcPr>
                  <w:tcW w:w="1920" w:type="dxa"/>
                  <w:vAlign w:val="center"/>
                </w:tcPr>
                <w:p>
                  <w:pPr>
                    <w:widowControl/>
                    <w:jc w:val="center"/>
                    <w:textAlignment w:val="center"/>
                    <w:rPr>
                      <w:rFonts w:ascii="仿宋" w:hAnsi="仿宋" w:cs="仿宋"/>
                      <w:kern w:val="0"/>
                      <w:szCs w:val="21"/>
                      <w:lang w:bidi="ar"/>
                    </w:rPr>
                  </w:pPr>
                  <w:r>
                    <w:rPr>
                      <w:rFonts w:ascii="仿宋" w:hAnsi="仿宋" w:cs="仿宋"/>
                      <w:kern w:val="0"/>
                      <w:szCs w:val="21"/>
                      <w:lang w:bidi="ar"/>
                    </w:rPr>
                    <w:t>1.53</w:t>
                  </w:r>
                  <w:r>
                    <w:rPr>
                      <w:rFonts w:hint="eastAsia" w:ascii="仿宋" w:hAnsi="仿宋" w:cs="仿宋"/>
                      <w:kern w:val="0"/>
                      <w:szCs w:val="21"/>
                      <w:lang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3</w:t>
                  </w:r>
                </w:p>
              </w:tc>
              <w:tc>
                <w:tcPr>
                  <w:tcW w:w="222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冰域呼吸器组件</w:t>
                  </w:r>
                </w:p>
              </w:tc>
              <w:tc>
                <w:tcPr>
                  <w:tcW w:w="1920" w:type="dxa"/>
                  <w:vAlign w:val="center"/>
                </w:tcPr>
                <w:p>
                  <w:pPr>
                    <w:widowControl/>
                    <w:jc w:val="center"/>
                    <w:textAlignment w:val="center"/>
                    <w:rPr>
                      <w:rFonts w:ascii="仿宋" w:hAnsi="仿宋" w:cs="仿宋"/>
                      <w:kern w:val="0"/>
                      <w:szCs w:val="21"/>
                      <w:lang w:bidi="ar"/>
                    </w:rPr>
                  </w:pPr>
                  <w:r>
                    <w:rPr>
                      <w:rFonts w:ascii="仿宋" w:hAnsi="仿宋" w:cs="仿宋"/>
                      <w:kern w:val="0"/>
                      <w:szCs w:val="21"/>
                      <w:lang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4</w:t>
                  </w:r>
                </w:p>
              </w:tc>
              <w:tc>
                <w:tcPr>
                  <w:tcW w:w="222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冰面救援滑板</w:t>
                  </w:r>
                </w:p>
              </w:tc>
              <w:tc>
                <w:tcPr>
                  <w:tcW w:w="1920" w:type="dxa"/>
                  <w:vAlign w:val="center"/>
                </w:tcPr>
                <w:p>
                  <w:pPr>
                    <w:widowControl/>
                    <w:jc w:val="center"/>
                    <w:textAlignment w:val="center"/>
                    <w:rPr>
                      <w:rFonts w:ascii="仿宋" w:hAnsi="仿宋" w:cs="仿宋"/>
                      <w:kern w:val="0"/>
                      <w:szCs w:val="21"/>
                      <w:lang w:bidi="ar"/>
                    </w:rPr>
                  </w:pPr>
                  <w:r>
                    <w:rPr>
                      <w:rFonts w:ascii="仿宋" w:hAnsi="仿宋" w:cs="仿宋"/>
                      <w:kern w:val="0"/>
                      <w:szCs w:val="21"/>
                      <w:lang w:bidi="ar"/>
                    </w:rPr>
                    <w:t>0.</w:t>
                  </w:r>
                  <w:r>
                    <w:rPr>
                      <w:rFonts w:hint="eastAsia" w:ascii="仿宋" w:hAnsi="仿宋" w:cs="仿宋"/>
                      <w:kern w:val="0"/>
                      <w:szCs w:val="21"/>
                      <w:lang w:bidi="ar"/>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vAlign w:val="center"/>
                </w:tcPr>
                <w:p>
                  <w:pPr>
                    <w:widowControl/>
                    <w:jc w:val="center"/>
                    <w:textAlignment w:val="center"/>
                    <w:rPr>
                      <w:rFonts w:ascii="仿宋" w:hAnsi="仿宋" w:cs="仿宋"/>
                      <w:kern w:val="0"/>
                      <w:szCs w:val="21"/>
                    </w:rPr>
                  </w:pPr>
                  <w:r>
                    <w:rPr>
                      <w:rFonts w:hint="eastAsia" w:ascii="仿宋" w:hAnsi="仿宋" w:cs="仿宋"/>
                      <w:kern w:val="0"/>
                      <w:szCs w:val="21"/>
                      <w:lang w:bidi="ar"/>
                    </w:rPr>
                    <w:t>5</w:t>
                  </w:r>
                </w:p>
              </w:tc>
              <w:tc>
                <w:tcPr>
                  <w:tcW w:w="2220" w:type="dxa"/>
                  <w:vAlign w:val="center"/>
                </w:tcPr>
                <w:p>
                  <w:pPr>
                    <w:widowControl/>
                    <w:jc w:val="center"/>
                    <w:textAlignment w:val="center"/>
                    <w:rPr>
                      <w:rFonts w:ascii="仿宋" w:hAnsi="仿宋" w:cs="仿宋"/>
                      <w:kern w:val="0"/>
                      <w:szCs w:val="21"/>
                      <w:lang w:bidi="ar"/>
                    </w:rPr>
                  </w:pPr>
                  <w:r>
                    <w:rPr>
                      <w:rFonts w:hint="eastAsia" w:ascii="仿宋" w:hAnsi="仿宋" w:cs="仿宋"/>
                      <w:kern w:val="0"/>
                      <w:szCs w:val="21"/>
                      <w:lang w:bidi="ar"/>
                    </w:rPr>
                    <w:t>冰面行动辅助套装</w:t>
                  </w:r>
                </w:p>
              </w:tc>
              <w:tc>
                <w:tcPr>
                  <w:tcW w:w="1920" w:type="dxa"/>
                  <w:vAlign w:val="center"/>
                </w:tcPr>
                <w:p>
                  <w:pPr>
                    <w:widowControl/>
                    <w:jc w:val="center"/>
                    <w:textAlignment w:val="center"/>
                    <w:rPr>
                      <w:rFonts w:ascii="仿宋" w:hAnsi="仿宋" w:cs="仿宋"/>
                      <w:kern w:val="0"/>
                      <w:szCs w:val="21"/>
                      <w:lang w:bidi="ar"/>
                    </w:rPr>
                  </w:pPr>
                  <w:r>
                    <w:rPr>
                      <w:rFonts w:ascii="仿宋" w:hAnsi="仿宋" w:cs="仿宋"/>
                      <w:kern w:val="0"/>
                      <w:szCs w:val="21"/>
                      <w:lang w:bidi="ar"/>
                    </w:rPr>
                    <w:t>0.535</w:t>
                  </w:r>
                </w:p>
              </w:tc>
            </w:tr>
          </w:tbl>
          <w:p>
            <w:pPr>
              <w:rPr>
                <w:rFonts w:ascii="仿宋" w:hAnsi="仿宋" w:cs="仿宋"/>
                <w:szCs w:val="21"/>
              </w:rPr>
            </w:pP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4</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计量单位</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bCs/>
                <w:kern w:val="0"/>
                <w:szCs w:val="21"/>
              </w:rPr>
            </w:pPr>
            <w:r>
              <w:rPr>
                <w:rFonts w:hint="eastAsia" w:ascii="仿宋" w:hAnsi="仿宋" w:cs="仿宋"/>
                <w:bCs/>
                <w:kern w:val="0"/>
                <w:szCs w:val="21"/>
              </w:rPr>
              <w:sym w:font="Wingdings 2" w:char="0052"/>
            </w:r>
            <w:r>
              <w:rPr>
                <w:rFonts w:hint="eastAsia" w:ascii="仿宋" w:hAnsi="仿宋" w:cs="仿宋"/>
                <w:bCs/>
                <w:kern w:val="0"/>
                <w:szCs w:val="21"/>
              </w:rPr>
              <w:t>中华人民共和国法定计量单位</w:t>
            </w:r>
          </w:p>
          <w:p>
            <w:pPr>
              <w:rPr>
                <w:rFonts w:ascii="仿宋" w:hAnsi="仿宋" w:cs="仿宋"/>
                <w:bCs/>
                <w:kern w:val="0"/>
                <w:szCs w:val="21"/>
              </w:rPr>
            </w:pPr>
            <w:r>
              <w:rPr>
                <w:rFonts w:hint="eastAsia" w:ascii="仿宋" w:hAnsi="仿宋" w:cs="仿宋"/>
                <w:bCs/>
                <w:kern w:val="0"/>
                <w:szCs w:val="21"/>
              </w:rPr>
              <w:sym w:font="Wingdings 2" w:char="00A3"/>
            </w:r>
            <w:r>
              <w:rPr>
                <w:rFonts w:hint="eastAsia" w:ascii="仿宋" w:hAnsi="仿宋" w:cs="仿宋"/>
                <w:bCs/>
                <w:kern w:val="0"/>
                <w:szCs w:val="21"/>
              </w:rPr>
              <w:t>其他：</w:t>
            </w:r>
            <w:r>
              <w:rPr>
                <w:rFonts w:hint="eastAsia" w:ascii="仿宋" w:hAnsi="仿宋" w:cs="仿宋"/>
                <w:bCs/>
                <w:kern w:val="0"/>
                <w:szCs w:val="21"/>
                <w:u w:val="single"/>
              </w:rPr>
              <w:t xml:space="preserve">             </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6.1</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现场考察、开标前答疑会</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不组织</w:t>
            </w:r>
          </w:p>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组织，时  间：</w:t>
            </w:r>
            <w:r>
              <w:rPr>
                <w:rFonts w:hint="eastAsia" w:ascii="仿宋" w:hAnsi="仿宋" w:cs="仿宋"/>
                <w:bCs/>
                <w:kern w:val="0"/>
                <w:szCs w:val="21"/>
                <w:u w:val="single"/>
              </w:rPr>
              <w:t xml:space="preserve">         </w:t>
            </w:r>
          </w:p>
          <w:p>
            <w:pPr>
              <w:widowControl/>
              <w:ind w:left="-105" w:leftChars="-50" w:firstLine="949" w:firstLineChars="452"/>
              <w:rPr>
                <w:rFonts w:ascii="仿宋" w:hAnsi="仿宋" w:cs="仿宋"/>
                <w:kern w:val="0"/>
                <w:szCs w:val="21"/>
              </w:rPr>
            </w:pPr>
            <w:r>
              <w:rPr>
                <w:rFonts w:hint="eastAsia" w:ascii="仿宋" w:hAnsi="仿宋" w:cs="仿宋"/>
                <w:kern w:val="0"/>
                <w:szCs w:val="21"/>
              </w:rPr>
              <w:t>地  点：</w:t>
            </w:r>
            <w:r>
              <w:rPr>
                <w:rFonts w:hint="eastAsia" w:ascii="仿宋" w:hAnsi="仿宋" w:cs="仿宋"/>
                <w:bCs/>
                <w:kern w:val="0"/>
                <w:szCs w:val="21"/>
                <w:u w:val="single"/>
              </w:rPr>
              <w:t xml:space="preserve">         </w:t>
            </w:r>
          </w:p>
          <w:p>
            <w:pPr>
              <w:ind w:left="-105" w:leftChars="-50" w:firstLine="949" w:firstLineChars="452"/>
              <w:rPr>
                <w:rFonts w:ascii="仿宋" w:hAnsi="仿宋" w:cs="仿宋"/>
                <w:kern w:val="0"/>
                <w:szCs w:val="21"/>
              </w:rPr>
            </w:pPr>
            <w:r>
              <w:rPr>
                <w:rFonts w:hint="eastAsia" w:ascii="仿宋" w:hAnsi="仿宋" w:cs="仿宋"/>
                <w:kern w:val="0"/>
                <w:szCs w:val="21"/>
              </w:rPr>
              <w:t>联系人：</w:t>
            </w:r>
            <w:r>
              <w:rPr>
                <w:rFonts w:hint="eastAsia" w:ascii="仿宋" w:hAnsi="仿宋" w:cs="仿宋"/>
                <w:bCs/>
                <w:kern w:val="0"/>
                <w:szCs w:val="21"/>
                <w:u w:val="single"/>
              </w:rPr>
              <w:t xml:space="preserve">         </w:t>
            </w:r>
          </w:p>
          <w:p>
            <w:pPr>
              <w:ind w:left="-105" w:leftChars="-50" w:firstLine="949" w:firstLineChars="452"/>
              <w:rPr>
                <w:rFonts w:ascii="仿宋" w:hAnsi="仿宋" w:cs="仿宋"/>
                <w:kern w:val="0"/>
                <w:szCs w:val="21"/>
              </w:rPr>
            </w:pPr>
            <w:r>
              <w:rPr>
                <w:rFonts w:hint="eastAsia" w:ascii="仿宋" w:hAnsi="仿宋" w:cs="仿宋"/>
                <w:kern w:val="0"/>
                <w:szCs w:val="21"/>
              </w:rPr>
              <w:t>电  话：</w:t>
            </w:r>
            <w:r>
              <w:rPr>
                <w:rFonts w:hint="eastAsia" w:ascii="仿宋" w:hAnsi="仿宋" w:cs="仿宋"/>
                <w:bCs/>
                <w:kern w:val="0"/>
                <w:szCs w:val="21"/>
                <w:u w:val="single"/>
              </w:rPr>
              <w:t xml:space="preserve">         </w:t>
            </w:r>
          </w:p>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组织，招标文件提供期限截止后以书面形式通知。</w:t>
            </w:r>
          </w:p>
        </w:tc>
      </w:tr>
      <w:tr>
        <w:tblPrEx>
          <w:tblCellMar>
            <w:top w:w="0" w:type="dxa"/>
            <w:left w:w="108" w:type="dxa"/>
            <w:bottom w:w="0" w:type="dxa"/>
            <w:right w:w="108" w:type="dxa"/>
          </w:tblCellMar>
        </w:tblPrEx>
        <w:trPr>
          <w:trHeight w:val="564"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核心产品</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cs="仿宋"/>
                <w:kern w:val="0"/>
                <w:szCs w:val="21"/>
              </w:rPr>
            </w:pPr>
            <w:r>
              <w:rPr>
                <w:rFonts w:hint="eastAsia" w:ascii="仿宋" w:hAnsi="仿宋" w:cs="仿宋"/>
                <w:szCs w:val="21"/>
                <w:u w:val="single"/>
              </w:rPr>
              <w:t>001包：冰面救援服</w:t>
            </w:r>
            <w:r>
              <w:rPr>
                <w:rFonts w:hint="eastAsia" w:ascii="仿宋" w:hAnsi="仿宋" w:cs="仿宋"/>
                <w:szCs w:val="21"/>
              </w:rPr>
              <w:t>（非单一产品采购时，只能设一个核心产品）；</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11.3</w:t>
            </w:r>
          </w:p>
        </w:tc>
        <w:tc>
          <w:tcPr>
            <w:tcW w:w="1962" w:type="dxa"/>
            <w:tcBorders>
              <w:top w:val="single" w:color="auto" w:sz="4" w:space="0"/>
              <w:left w:val="single" w:color="auto" w:sz="4" w:space="0"/>
              <w:bottom w:val="single" w:color="auto" w:sz="4" w:space="0"/>
              <w:right w:val="single" w:color="auto" w:sz="4" w:space="0"/>
            </w:tcBorders>
            <w:vAlign w:val="center"/>
          </w:tcPr>
          <w:p>
            <w:pPr>
              <w:tabs>
                <w:tab w:val="left" w:pos="1425"/>
              </w:tabs>
              <w:jc w:val="center"/>
              <w:rPr>
                <w:rFonts w:ascii="仿宋" w:hAnsi="仿宋" w:cs="仿宋"/>
                <w:bCs/>
                <w:kern w:val="0"/>
                <w:szCs w:val="21"/>
              </w:rPr>
            </w:pPr>
            <w:r>
              <w:rPr>
                <w:rFonts w:hint="eastAsia" w:ascii="仿宋" w:hAnsi="仿宋" w:cs="仿宋"/>
                <w:bCs/>
                <w:kern w:val="0"/>
                <w:szCs w:val="21"/>
              </w:rPr>
              <w:t>样品或演示</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不</w:t>
            </w:r>
            <w:r>
              <w:rPr>
                <w:rFonts w:hint="eastAsia" w:ascii="仿宋" w:hAnsi="仿宋" w:cs="仿宋"/>
                <w:bCs/>
                <w:kern w:val="0"/>
                <w:szCs w:val="21"/>
              </w:rPr>
              <w:t>需要提供样品</w:t>
            </w:r>
          </w:p>
          <w:p>
            <w:pPr>
              <w:rPr>
                <w:rFonts w:ascii="仿宋" w:hAnsi="仿宋" w:cs="仿宋"/>
                <w:bCs/>
                <w:kern w:val="0"/>
                <w:szCs w:val="21"/>
              </w:rPr>
            </w:pPr>
            <w:r>
              <w:rPr>
                <w:rFonts w:hint="eastAsia" w:ascii="仿宋" w:hAnsi="仿宋" w:cs="仿宋"/>
                <w:kern w:val="0"/>
                <w:szCs w:val="21"/>
              </w:rPr>
              <w:sym w:font="Wingdings 2" w:char="0052"/>
            </w:r>
            <w:r>
              <w:rPr>
                <w:rFonts w:hint="eastAsia" w:ascii="仿宋" w:hAnsi="仿宋" w:cs="仿宋"/>
                <w:bCs/>
                <w:kern w:val="0"/>
                <w:szCs w:val="21"/>
              </w:rPr>
              <w:t>需要提供样品</w:t>
            </w:r>
          </w:p>
          <w:p>
            <w:pPr>
              <w:ind w:firstLine="210" w:firstLineChars="100"/>
              <w:rPr>
                <w:rFonts w:ascii="仿宋" w:hAnsi="仿宋" w:cs="仿宋"/>
                <w:bCs/>
                <w:kern w:val="0"/>
                <w:szCs w:val="21"/>
              </w:rPr>
            </w:pPr>
            <w:r>
              <w:rPr>
                <w:rFonts w:hint="eastAsia" w:ascii="仿宋" w:hAnsi="仿宋" w:cs="仿宋"/>
                <w:kern w:val="0"/>
                <w:szCs w:val="21"/>
              </w:rPr>
              <w:t>1、递交</w:t>
            </w:r>
            <w:r>
              <w:rPr>
                <w:rFonts w:hint="eastAsia" w:ascii="仿宋" w:hAnsi="仿宋" w:cs="仿宋"/>
                <w:bCs/>
                <w:kern w:val="0"/>
                <w:szCs w:val="21"/>
              </w:rPr>
              <w:t>样品的截止时间：提交投标文件截止时间</w:t>
            </w:r>
          </w:p>
          <w:p>
            <w:pPr>
              <w:ind w:firstLine="525" w:firstLineChars="250"/>
              <w:rPr>
                <w:rFonts w:ascii="仿宋" w:hAnsi="仿宋" w:cs="仿宋"/>
                <w:kern w:val="0"/>
                <w:szCs w:val="21"/>
                <w:u w:val="single"/>
              </w:rPr>
            </w:pPr>
            <w:r>
              <w:rPr>
                <w:rFonts w:hint="eastAsia" w:ascii="仿宋" w:hAnsi="仿宋" w:cs="仿宋"/>
                <w:kern w:val="0"/>
                <w:szCs w:val="21"/>
              </w:rPr>
              <w:t>递交样品地点：</w:t>
            </w:r>
            <w:r>
              <w:rPr>
                <w:rFonts w:hint="eastAsia" w:ascii="仿宋" w:hAnsi="仿宋" w:cs="仿宋"/>
                <w:szCs w:val="21"/>
                <w:u w:val="single"/>
              </w:rPr>
              <w:t>辽宁浩亿招投标有限公司</w:t>
            </w:r>
          </w:p>
          <w:p>
            <w:pPr>
              <w:ind w:firstLine="525" w:firstLineChars="250"/>
              <w:rPr>
                <w:rFonts w:ascii="仿宋" w:hAnsi="仿宋" w:cs="仿宋"/>
                <w:kern w:val="0"/>
                <w:szCs w:val="21"/>
                <w:u w:val="single"/>
              </w:rPr>
            </w:pPr>
            <w:r>
              <w:rPr>
                <w:rFonts w:hint="eastAsia" w:ascii="仿宋" w:hAnsi="仿宋" w:cs="仿宋"/>
                <w:kern w:val="0"/>
                <w:szCs w:val="21"/>
              </w:rPr>
              <w:t>递交样品联系人：</w:t>
            </w:r>
            <w:r>
              <w:rPr>
                <w:rFonts w:hint="eastAsia" w:ascii="仿宋" w:hAnsi="仿宋" w:cs="仿宋"/>
                <w:kern w:val="0"/>
                <w:szCs w:val="21"/>
                <w:u w:val="single"/>
              </w:rPr>
              <w:t>赵旭、张芳、李姗姗</w:t>
            </w:r>
          </w:p>
          <w:p>
            <w:pPr>
              <w:ind w:firstLine="525" w:firstLineChars="250"/>
              <w:rPr>
                <w:rFonts w:ascii="仿宋" w:hAnsi="仿宋" w:cs="仿宋"/>
                <w:kern w:val="0"/>
                <w:szCs w:val="21"/>
                <w:u w:val="single"/>
              </w:rPr>
            </w:pPr>
            <w:r>
              <w:rPr>
                <w:rFonts w:hint="eastAsia" w:ascii="仿宋" w:hAnsi="仿宋" w:cs="仿宋"/>
                <w:kern w:val="0"/>
                <w:szCs w:val="21"/>
              </w:rPr>
              <w:t>递交样品联系电话：</w:t>
            </w:r>
            <w:r>
              <w:rPr>
                <w:rFonts w:hint="eastAsia" w:ascii="仿宋" w:hAnsi="仿宋" w:cs="仿宋"/>
                <w:kern w:val="0"/>
                <w:szCs w:val="21"/>
                <w:u w:val="single"/>
              </w:rPr>
              <w:t>024-81231520</w:t>
            </w:r>
          </w:p>
          <w:p>
            <w:pPr>
              <w:ind w:firstLine="210" w:firstLineChars="100"/>
              <w:rPr>
                <w:rFonts w:ascii="仿宋" w:hAnsi="仿宋" w:cs="仿宋"/>
                <w:bCs/>
                <w:kern w:val="0"/>
                <w:szCs w:val="21"/>
              </w:rPr>
            </w:pPr>
            <w:r>
              <w:rPr>
                <w:rFonts w:hint="eastAsia" w:ascii="仿宋" w:hAnsi="仿宋" w:cs="仿宋"/>
                <w:bCs/>
                <w:kern w:val="0"/>
                <w:szCs w:val="21"/>
              </w:rPr>
              <w:t>2、样品制作的标准和要求：</w:t>
            </w:r>
          </w:p>
          <w:p>
            <w:pPr>
              <w:rPr>
                <w:rFonts w:ascii="仿宋" w:hAnsi="仿宋" w:cs="仿宋"/>
                <w:kern w:val="0"/>
                <w:szCs w:val="21"/>
              </w:rPr>
            </w:pPr>
            <w:r>
              <w:rPr>
                <w:rFonts w:hint="eastAsia" w:ascii="仿宋" w:hAnsi="仿宋" w:cs="仿宋"/>
                <w:kern w:val="0"/>
                <w:szCs w:val="21"/>
              </w:rPr>
              <w:t>具体样品明细如下：</w:t>
            </w:r>
          </w:p>
          <w:tbl>
            <w:tblPr>
              <w:tblStyle w:val="23"/>
              <w:tblpPr w:leftFromText="180" w:rightFromText="180" w:vertAnchor="text" w:horzAnchor="margin" w:tblpXSpec="center" w:tblpY="58"/>
              <w:tblOverlap w:val="never"/>
              <w:tblW w:w="49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2527"/>
              <w:gridCol w:w="830"/>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071" w:type="dxa"/>
                  <w:vAlign w:val="center"/>
                </w:tcPr>
                <w:p>
                  <w:pPr>
                    <w:ind w:firstLine="210" w:firstLineChars="100"/>
                    <w:rPr>
                      <w:rFonts w:ascii="仿宋" w:hAnsi="仿宋" w:cs="仿宋"/>
                      <w:kern w:val="0"/>
                      <w:szCs w:val="21"/>
                    </w:rPr>
                  </w:pPr>
                  <w:r>
                    <w:rPr>
                      <w:rFonts w:hint="eastAsia" w:ascii="仿宋" w:hAnsi="仿宋" w:cs="仿宋"/>
                      <w:kern w:val="0"/>
                      <w:szCs w:val="21"/>
                    </w:rPr>
                    <w:t>包号</w:t>
                  </w:r>
                </w:p>
              </w:tc>
              <w:tc>
                <w:tcPr>
                  <w:tcW w:w="2527" w:type="dxa"/>
                  <w:vAlign w:val="center"/>
                </w:tcPr>
                <w:p>
                  <w:pPr>
                    <w:jc w:val="center"/>
                    <w:rPr>
                      <w:rFonts w:ascii="仿宋" w:hAnsi="仿宋" w:cs="仿宋"/>
                      <w:kern w:val="0"/>
                      <w:szCs w:val="21"/>
                    </w:rPr>
                  </w:pPr>
                  <w:r>
                    <w:rPr>
                      <w:rFonts w:hint="eastAsia" w:ascii="仿宋" w:hAnsi="仿宋" w:cs="仿宋"/>
                      <w:kern w:val="0"/>
                      <w:szCs w:val="21"/>
                    </w:rPr>
                    <w:t>产品名称</w:t>
                  </w:r>
                </w:p>
              </w:tc>
              <w:tc>
                <w:tcPr>
                  <w:tcW w:w="830" w:type="dxa"/>
                  <w:vAlign w:val="center"/>
                </w:tcPr>
                <w:p>
                  <w:pPr>
                    <w:jc w:val="center"/>
                    <w:rPr>
                      <w:rFonts w:ascii="仿宋" w:hAnsi="仿宋" w:cs="仿宋"/>
                      <w:kern w:val="0"/>
                      <w:szCs w:val="21"/>
                    </w:rPr>
                  </w:pPr>
                  <w:r>
                    <w:rPr>
                      <w:rFonts w:hint="eastAsia" w:ascii="仿宋" w:hAnsi="仿宋" w:cs="仿宋"/>
                      <w:kern w:val="0"/>
                      <w:szCs w:val="21"/>
                    </w:rPr>
                    <w:t>数量</w:t>
                  </w:r>
                </w:p>
              </w:tc>
              <w:tc>
                <w:tcPr>
                  <w:tcW w:w="1320" w:type="dxa"/>
                  <w:vAlign w:val="center"/>
                </w:tcPr>
                <w:p>
                  <w:pPr>
                    <w:jc w:val="center"/>
                    <w:rPr>
                      <w:rFonts w:ascii="仿宋" w:hAnsi="仿宋" w:cs="仿宋"/>
                      <w:kern w:val="0"/>
                      <w:szCs w:val="21"/>
                    </w:rPr>
                  </w:pPr>
                  <w:r>
                    <w:rPr>
                      <w:rFonts w:hint="eastAsia" w:ascii="仿宋" w:hAnsi="仿宋" w:cs="仿宋"/>
                      <w:kern w:val="0"/>
                      <w:szCs w:val="21"/>
                    </w:rPr>
                    <w:t>提交方式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71" w:type="dxa"/>
                  <w:vMerge w:val="restart"/>
                  <w:vAlign w:val="center"/>
                </w:tcPr>
                <w:p>
                  <w:pPr>
                    <w:ind w:firstLine="210" w:firstLineChars="100"/>
                    <w:rPr>
                      <w:rFonts w:ascii="仿宋" w:hAnsi="仿宋" w:cs="仿宋"/>
                      <w:kern w:val="0"/>
                      <w:szCs w:val="21"/>
                    </w:rPr>
                  </w:pPr>
                  <w:r>
                    <w:rPr>
                      <w:rFonts w:hint="eastAsia" w:ascii="仿宋" w:hAnsi="仿宋" w:cs="仿宋"/>
                      <w:kern w:val="0"/>
                      <w:szCs w:val="21"/>
                    </w:rPr>
                    <w:t>001</w:t>
                  </w:r>
                </w:p>
              </w:tc>
              <w:tc>
                <w:tcPr>
                  <w:tcW w:w="2527" w:type="dxa"/>
                  <w:vAlign w:val="center"/>
                </w:tcPr>
                <w:p>
                  <w:pPr>
                    <w:jc w:val="center"/>
                    <w:rPr>
                      <w:rFonts w:ascii="仿宋" w:hAnsi="仿宋" w:cs="仿宋"/>
                      <w:kern w:val="0"/>
                      <w:szCs w:val="21"/>
                    </w:rPr>
                  </w:pPr>
                  <w:r>
                    <w:rPr>
                      <w:rFonts w:hint="eastAsia" w:ascii="仿宋" w:hAnsi="仿宋" w:cs="仿宋"/>
                      <w:kern w:val="0"/>
                      <w:szCs w:val="21"/>
                    </w:rPr>
                    <w:t>潜水全面罩</w:t>
                  </w:r>
                </w:p>
              </w:tc>
              <w:tc>
                <w:tcPr>
                  <w:tcW w:w="830" w:type="dxa"/>
                  <w:vAlign w:val="center"/>
                </w:tcPr>
                <w:p>
                  <w:pPr>
                    <w:jc w:val="center"/>
                    <w:rPr>
                      <w:rFonts w:ascii="仿宋" w:hAnsi="仿宋" w:cs="仿宋"/>
                      <w:kern w:val="0"/>
                      <w:szCs w:val="21"/>
                    </w:rPr>
                  </w:pPr>
                  <w:r>
                    <w:rPr>
                      <w:rFonts w:hint="eastAsia" w:ascii="仿宋" w:hAnsi="仿宋" w:cs="仿宋"/>
                      <w:kern w:val="0"/>
                      <w:szCs w:val="21"/>
                    </w:rPr>
                    <w:t>1套</w:t>
                  </w:r>
                </w:p>
              </w:tc>
              <w:tc>
                <w:tcPr>
                  <w:tcW w:w="1320" w:type="dxa"/>
                  <w:vAlign w:val="center"/>
                </w:tcPr>
                <w:p>
                  <w:pPr>
                    <w:jc w:val="center"/>
                    <w:rPr>
                      <w:rFonts w:ascii="仿宋" w:hAnsi="仿宋" w:cs="仿宋"/>
                      <w:kern w:val="0"/>
                      <w:szCs w:val="21"/>
                    </w:rPr>
                  </w:pPr>
                  <w:r>
                    <w:rPr>
                      <w:rFonts w:hint="eastAsia" w:ascii="仿宋" w:hAnsi="仿宋" w:cs="仿宋"/>
                      <w:kern w:val="0"/>
                      <w:szCs w:val="21"/>
                    </w:rPr>
                    <w:t>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71" w:type="dxa"/>
                  <w:vMerge w:val="continue"/>
                  <w:vAlign w:val="center"/>
                </w:tcPr>
                <w:p>
                  <w:pPr>
                    <w:ind w:firstLine="210" w:firstLineChars="100"/>
                    <w:rPr>
                      <w:rFonts w:ascii="仿宋" w:hAnsi="仿宋" w:cs="仿宋"/>
                      <w:kern w:val="0"/>
                      <w:szCs w:val="21"/>
                    </w:rPr>
                  </w:pPr>
                </w:p>
              </w:tc>
              <w:tc>
                <w:tcPr>
                  <w:tcW w:w="2527" w:type="dxa"/>
                  <w:vAlign w:val="center"/>
                </w:tcPr>
                <w:p>
                  <w:pPr>
                    <w:jc w:val="center"/>
                    <w:rPr>
                      <w:rFonts w:ascii="仿宋" w:hAnsi="仿宋" w:cs="仿宋"/>
                      <w:kern w:val="0"/>
                      <w:szCs w:val="21"/>
                    </w:rPr>
                  </w:pPr>
                  <w:r>
                    <w:rPr>
                      <w:rFonts w:hint="eastAsia" w:ascii="仿宋" w:hAnsi="仿宋" w:cs="仿宋"/>
                      <w:kern w:val="0"/>
                      <w:szCs w:val="21"/>
                    </w:rPr>
                    <w:t>冰域呼吸器组件</w:t>
                  </w:r>
                </w:p>
              </w:tc>
              <w:tc>
                <w:tcPr>
                  <w:tcW w:w="830" w:type="dxa"/>
                  <w:vAlign w:val="center"/>
                </w:tcPr>
                <w:p>
                  <w:pPr>
                    <w:jc w:val="center"/>
                    <w:rPr>
                      <w:rFonts w:ascii="仿宋" w:hAnsi="仿宋" w:cs="仿宋"/>
                      <w:kern w:val="0"/>
                      <w:szCs w:val="21"/>
                    </w:rPr>
                  </w:pPr>
                  <w:r>
                    <w:rPr>
                      <w:rFonts w:hint="eastAsia" w:ascii="仿宋" w:hAnsi="仿宋" w:cs="仿宋"/>
                      <w:kern w:val="0"/>
                      <w:szCs w:val="21"/>
                    </w:rPr>
                    <w:t>1套</w:t>
                  </w:r>
                </w:p>
              </w:tc>
              <w:tc>
                <w:tcPr>
                  <w:tcW w:w="1320" w:type="dxa"/>
                  <w:vAlign w:val="center"/>
                </w:tcPr>
                <w:p>
                  <w:pPr>
                    <w:jc w:val="center"/>
                    <w:rPr>
                      <w:rFonts w:ascii="仿宋" w:hAnsi="仿宋" w:cs="仿宋"/>
                      <w:kern w:val="0"/>
                      <w:szCs w:val="21"/>
                    </w:rPr>
                  </w:pPr>
                  <w:r>
                    <w:rPr>
                      <w:rFonts w:hint="eastAsia" w:ascii="仿宋" w:hAnsi="仿宋" w:cs="仿宋"/>
                      <w:kern w:val="0"/>
                      <w:szCs w:val="21"/>
                    </w:rPr>
                    <w:t>样品</w:t>
                  </w:r>
                </w:p>
              </w:tc>
            </w:tr>
          </w:tbl>
          <w:p>
            <w:pPr>
              <w:rPr>
                <w:rFonts w:ascii="仿宋" w:hAnsi="仿宋" w:cs="仿宋"/>
                <w:kern w:val="0"/>
                <w:szCs w:val="21"/>
              </w:rPr>
            </w:pPr>
          </w:p>
          <w:p>
            <w:pPr>
              <w:ind w:left="210"/>
              <w:rPr>
                <w:rFonts w:ascii="仿宋" w:hAnsi="仿宋" w:cs="仿宋"/>
                <w:kern w:val="0"/>
                <w:szCs w:val="21"/>
              </w:rPr>
            </w:pPr>
            <w:r>
              <w:rPr>
                <w:rFonts w:hint="eastAsia" w:ascii="仿宋" w:hAnsi="仿宋" w:cs="仿宋"/>
                <w:kern w:val="0"/>
                <w:szCs w:val="21"/>
              </w:rPr>
              <w:t>样品须按包组分别递交，递交样品时须同时递交样品清单，包括但不限于公司名称，联系人，联系电话，样品序号，样品名称，数量等。在样品上须清晰的粘贴产品序号标签。</w:t>
            </w:r>
          </w:p>
          <w:p>
            <w:pPr>
              <w:ind w:left="210"/>
              <w:rPr>
                <w:rFonts w:ascii="仿宋" w:hAnsi="仿宋" w:cs="仿宋"/>
                <w:kern w:val="0"/>
                <w:szCs w:val="21"/>
              </w:rPr>
            </w:pPr>
            <w:r>
              <w:rPr>
                <w:rFonts w:hint="eastAsia" w:ascii="仿宋" w:hAnsi="仿宋" w:cs="仿宋"/>
                <w:kern w:val="0"/>
                <w:szCs w:val="21"/>
              </w:rPr>
              <w:t>3、样品的封存及退回：中标供应商的样品将由采购人进行保管、封存，并作为履约验收的参考。未中标供应商提供的样品，应当由采购代理机构进行保管，中标结果公告之日起七个工作日后，由采购代理机构发出通知，通知发出后七个工作日内，由未中标供应商自行领回,否则视为自动放弃领回，采购代理机构有权自行处理。</w:t>
            </w:r>
          </w:p>
          <w:p>
            <w:pPr>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不</w:t>
            </w:r>
            <w:r>
              <w:rPr>
                <w:rFonts w:hint="eastAsia" w:ascii="仿宋" w:hAnsi="仿宋" w:cs="仿宋"/>
                <w:bCs/>
                <w:kern w:val="0"/>
                <w:szCs w:val="21"/>
              </w:rPr>
              <w:t>需要提供演示</w:t>
            </w:r>
          </w:p>
          <w:p>
            <w:pPr>
              <w:rPr>
                <w:rFonts w:ascii="仿宋" w:hAnsi="仿宋" w:cs="仿宋"/>
                <w:bCs/>
                <w:kern w:val="0"/>
                <w:szCs w:val="21"/>
              </w:rPr>
            </w:pPr>
            <w:r>
              <w:rPr>
                <w:rFonts w:hint="eastAsia" w:ascii="仿宋" w:hAnsi="仿宋" w:cs="仿宋"/>
                <w:kern w:val="0"/>
                <w:szCs w:val="21"/>
              </w:rPr>
              <w:sym w:font="Wingdings 2" w:char="0052"/>
            </w:r>
            <w:r>
              <w:rPr>
                <w:rFonts w:hint="eastAsia" w:ascii="仿宋" w:hAnsi="仿宋" w:cs="仿宋"/>
                <w:kern w:val="0"/>
                <w:szCs w:val="21"/>
              </w:rPr>
              <w:t>需要</w:t>
            </w:r>
            <w:r>
              <w:rPr>
                <w:rFonts w:hint="eastAsia" w:ascii="仿宋" w:hAnsi="仿宋" w:cs="仿宋"/>
                <w:bCs/>
                <w:kern w:val="0"/>
                <w:szCs w:val="21"/>
              </w:rPr>
              <w:t>提供演示</w:t>
            </w:r>
          </w:p>
          <w:p>
            <w:pPr>
              <w:rPr>
                <w:rFonts w:ascii="仿宋" w:hAnsi="仿宋" w:cs="仿宋"/>
                <w:kern w:val="0"/>
                <w:szCs w:val="21"/>
              </w:rPr>
            </w:pPr>
            <w:r>
              <w:rPr>
                <w:rFonts w:hint="eastAsia" w:ascii="仿宋" w:hAnsi="仿宋" w:cs="仿宋"/>
                <w:kern w:val="0"/>
                <w:szCs w:val="21"/>
              </w:rPr>
              <w:t>1、演示时间：评审过程中</w:t>
            </w:r>
          </w:p>
          <w:p>
            <w:pPr>
              <w:rPr>
                <w:rFonts w:ascii="仿宋" w:hAnsi="仿宋" w:cs="仿宋"/>
                <w:kern w:val="0"/>
                <w:szCs w:val="21"/>
              </w:rPr>
            </w:pPr>
            <w:r>
              <w:rPr>
                <w:rFonts w:hint="eastAsia" w:ascii="仿宋" w:hAnsi="仿宋" w:cs="仿宋"/>
                <w:kern w:val="0"/>
                <w:szCs w:val="21"/>
              </w:rPr>
              <w:t xml:space="preserve">   演示地点：同评审地点</w:t>
            </w:r>
          </w:p>
          <w:p>
            <w:pPr>
              <w:ind w:firstLine="210" w:firstLineChars="100"/>
              <w:rPr>
                <w:rFonts w:ascii="仿宋" w:hAnsi="仿宋" w:cs="仿宋"/>
                <w:kern w:val="0"/>
                <w:szCs w:val="21"/>
              </w:rPr>
            </w:pPr>
            <w:r>
              <w:rPr>
                <w:rFonts w:hint="eastAsia" w:ascii="仿宋" w:hAnsi="仿宋" w:cs="仿宋"/>
                <w:kern w:val="0"/>
                <w:szCs w:val="21"/>
              </w:rPr>
              <w:t xml:space="preserve"> 演示顺序：按抽签顺序</w:t>
            </w:r>
          </w:p>
          <w:p>
            <w:pPr>
              <w:rPr>
                <w:rFonts w:ascii="仿宋" w:hAnsi="仿宋" w:cs="仿宋"/>
              </w:rPr>
            </w:pPr>
            <w:r>
              <w:rPr>
                <w:rFonts w:hint="eastAsia" w:ascii="仿宋" w:hAnsi="仿宋" w:cs="仿宋"/>
                <w:kern w:val="0"/>
                <w:szCs w:val="21"/>
              </w:rPr>
              <w:t>2、演示要求：供应商评审现场对提供的样品进行展示</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12.1</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kern w:val="0"/>
                <w:szCs w:val="21"/>
              </w:rPr>
            </w:pPr>
            <w:r>
              <w:rPr>
                <w:rFonts w:hint="eastAsia" w:ascii="仿宋" w:hAnsi="仿宋" w:cs="仿宋"/>
                <w:kern w:val="0"/>
                <w:szCs w:val="21"/>
              </w:rPr>
              <w:t>投标报价货币要求</w:t>
            </w:r>
          </w:p>
        </w:tc>
        <w:tc>
          <w:tcPr>
            <w:tcW w:w="6028"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所有响应文件中均按</w:t>
            </w:r>
            <w:r>
              <w:rPr>
                <w:rFonts w:hint="eastAsia" w:ascii="仿宋" w:hAnsi="仿宋" w:cs="仿宋"/>
                <w:kern w:val="0"/>
                <w:szCs w:val="21"/>
                <w:u w:val="single"/>
              </w:rPr>
              <w:t>人民币</w:t>
            </w:r>
            <w:r>
              <w:rPr>
                <w:rFonts w:hint="eastAsia" w:ascii="仿宋" w:hAnsi="仿宋" w:cs="仿宋"/>
                <w:kern w:val="0"/>
                <w:szCs w:val="21"/>
              </w:rPr>
              <w:t>货币进行报价。</w:t>
            </w:r>
          </w:p>
          <w:p>
            <w:pPr>
              <w:rPr>
                <w:rFonts w:ascii="仿宋" w:hAnsi="仿宋" w:cs="仿宋"/>
                <w:kern w:val="0"/>
                <w:szCs w:val="21"/>
                <w:u w:val="single"/>
              </w:rPr>
            </w:pPr>
            <w:r>
              <w:rPr>
                <w:rFonts w:hint="eastAsia" w:ascii="仿宋" w:hAnsi="仿宋" w:cs="仿宋"/>
                <w:kern w:val="0"/>
                <w:szCs w:val="21"/>
              </w:rPr>
              <w:sym w:font="Wingdings 2" w:char="00A3"/>
            </w:r>
            <w:r>
              <w:rPr>
                <w:rFonts w:hint="eastAsia" w:ascii="仿宋" w:hAnsi="仿宋" w:cs="仿宋"/>
                <w:kern w:val="0"/>
                <w:szCs w:val="21"/>
              </w:rPr>
              <w:t>其它：</w:t>
            </w:r>
            <w:r>
              <w:rPr>
                <w:rFonts w:hint="eastAsia" w:ascii="仿宋" w:hAnsi="仿宋" w:cs="仿宋"/>
                <w:kern w:val="0"/>
                <w:szCs w:val="21"/>
                <w:u w:val="single"/>
              </w:rPr>
              <w:t xml:space="preserve">               </w:t>
            </w:r>
          </w:p>
        </w:tc>
      </w:tr>
      <w:tr>
        <w:tblPrEx>
          <w:tblCellMar>
            <w:top w:w="0" w:type="dxa"/>
            <w:left w:w="108" w:type="dxa"/>
            <w:bottom w:w="0" w:type="dxa"/>
            <w:right w:w="108" w:type="dxa"/>
          </w:tblCellMar>
        </w:tblPrEx>
        <w:trPr>
          <w:trHeight w:val="722" w:hRule="atLeast"/>
        </w:trPr>
        <w:tc>
          <w:tcPr>
            <w:tcW w:w="873" w:type="dxa"/>
            <w:tcBorders>
              <w:top w:val="single" w:color="auto" w:sz="4" w:space="0"/>
              <w:left w:val="single" w:color="auto" w:sz="8" w:space="0"/>
              <w:bottom w:val="single" w:color="auto" w:sz="8"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13.1</w:t>
            </w:r>
          </w:p>
        </w:tc>
        <w:tc>
          <w:tcPr>
            <w:tcW w:w="1962" w:type="dxa"/>
            <w:tcBorders>
              <w:top w:val="single" w:color="auto" w:sz="4" w:space="0"/>
              <w:left w:val="single" w:color="auto" w:sz="4" w:space="0"/>
              <w:bottom w:val="single" w:color="auto" w:sz="8" w:space="0"/>
              <w:right w:val="single" w:color="auto" w:sz="8" w:space="0"/>
            </w:tcBorders>
            <w:vAlign w:val="center"/>
          </w:tcPr>
          <w:p>
            <w:pPr>
              <w:jc w:val="center"/>
              <w:rPr>
                <w:rFonts w:ascii="仿宋" w:hAnsi="仿宋" w:cs="仿宋"/>
                <w:kern w:val="0"/>
                <w:szCs w:val="21"/>
              </w:rPr>
            </w:pPr>
            <w:r>
              <w:rPr>
                <w:rFonts w:hint="eastAsia" w:ascii="仿宋" w:hAnsi="仿宋" w:cs="仿宋"/>
                <w:kern w:val="0"/>
                <w:szCs w:val="21"/>
              </w:rPr>
              <w:t>投标保证金</w:t>
            </w:r>
          </w:p>
          <w:p>
            <w:pPr>
              <w:jc w:val="center"/>
              <w:rPr>
                <w:rFonts w:ascii="仿宋" w:hAnsi="仿宋" w:cs="仿宋"/>
                <w:kern w:val="0"/>
                <w:szCs w:val="21"/>
              </w:rPr>
            </w:pPr>
          </w:p>
        </w:tc>
        <w:tc>
          <w:tcPr>
            <w:tcW w:w="6028" w:type="dxa"/>
            <w:tcBorders>
              <w:top w:val="single" w:color="auto" w:sz="4" w:space="0"/>
              <w:left w:val="nil"/>
              <w:bottom w:val="single" w:color="auto" w:sz="8" w:space="0"/>
              <w:right w:val="single" w:color="auto" w:sz="8" w:space="0"/>
            </w:tcBorders>
            <w:vAlign w:val="center"/>
          </w:tcPr>
          <w:p>
            <w:pPr>
              <w:pStyle w:val="9"/>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本项目不收取投标保证金</w:t>
            </w:r>
          </w:p>
          <w:p>
            <w:pPr>
              <w:pStyle w:val="9"/>
              <w:rPr>
                <w:rFonts w:ascii="仿宋" w:hAnsi="仿宋" w:cs="仿宋"/>
                <w:szCs w:val="21"/>
              </w:rPr>
            </w:pPr>
            <w:r>
              <w:rPr>
                <w:rFonts w:hint="eastAsia" w:ascii="仿宋" w:hAnsi="仿宋" w:cs="仿宋"/>
                <w:kern w:val="0"/>
                <w:szCs w:val="21"/>
              </w:rPr>
              <w:sym w:font="Wingdings 2" w:char="00A3"/>
            </w:r>
            <w:r>
              <w:rPr>
                <w:rFonts w:hint="eastAsia" w:ascii="仿宋" w:hAnsi="仿宋" w:cs="仿宋"/>
                <w:kern w:val="0"/>
                <w:szCs w:val="21"/>
              </w:rPr>
              <w:t>本项目收取投标保证金</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8" w:space="0"/>
              <w:bottom w:val="single" w:color="auto" w:sz="8"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15.1</w:t>
            </w:r>
          </w:p>
        </w:tc>
        <w:tc>
          <w:tcPr>
            <w:tcW w:w="1962" w:type="dxa"/>
            <w:tcBorders>
              <w:top w:val="single" w:color="auto" w:sz="4" w:space="0"/>
              <w:left w:val="single" w:color="auto" w:sz="4" w:space="0"/>
              <w:bottom w:val="single" w:color="auto" w:sz="8" w:space="0"/>
              <w:right w:val="single" w:color="auto" w:sz="8" w:space="0"/>
            </w:tcBorders>
            <w:vAlign w:val="center"/>
          </w:tcPr>
          <w:p>
            <w:pPr>
              <w:jc w:val="center"/>
              <w:rPr>
                <w:rFonts w:ascii="仿宋" w:hAnsi="仿宋" w:cs="仿宋"/>
                <w:szCs w:val="21"/>
              </w:rPr>
            </w:pPr>
            <w:r>
              <w:rPr>
                <w:rFonts w:hint="eastAsia" w:ascii="仿宋" w:hAnsi="仿宋" w:cs="仿宋"/>
                <w:szCs w:val="21"/>
              </w:rPr>
              <w:t>投标有效期</w:t>
            </w:r>
          </w:p>
        </w:tc>
        <w:tc>
          <w:tcPr>
            <w:tcW w:w="6028" w:type="dxa"/>
            <w:tcBorders>
              <w:top w:val="single" w:color="auto" w:sz="4" w:space="0"/>
              <w:left w:val="nil"/>
              <w:bottom w:val="single" w:color="auto" w:sz="8" w:space="0"/>
              <w:right w:val="single" w:color="auto" w:sz="8" w:space="0"/>
            </w:tcBorders>
            <w:vAlign w:val="center"/>
          </w:tcPr>
          <w:p>
            <w:pPr>
              <w:pStyle w:val="9"/>
              <w:rPr>
                <w:rFonts w:ascii="仿宋" w:hAnsi="仿宋" w:cs="仿宋"/>
                <w:kern w:val="0"/>
                <w:szCs w:val="21"/>
              </w:rPr>
            </w:pPr>
            <w:r>
              <w:rPr>
                <w:rFonts w:hint="eastAsia" w:ascii="仿宋" w:hAnsi="仿宋" w:cs="仿宋"/>
                <w:kern w:val="0"/>
                <w:szCs w:val="21"/>
                <w:u w:val="single"/>
              </w:rPr>
              <w:t xml:space="preserve">  90  </w:t>
            </w:r>
            <w:r>
              <w:rPr>
                <w:rFonts w:hint="eastAsia" w:ascii="仿宋" w:hAnsi="仿宋" w:cs="仿宋"/>
                <w:kern w:val="0"/>
                <w:szCs w:val="21"/>
              </w:rPr>
              <w:t>日历日</w:t>
            </w:r>
          </w:p>
        </w:tc>
      </w:tr>
      <w:tr>
        <w:tblPrEx>
          <w:tblCellMar>
            <w:top w:w="0" w:type="dxa"/>
            <w:left w:w="108" w:type="dxa"/>
            <w:bottom w:w="0" w:type="dxa"/>
            <w:right w:w="108" w:type="dxa"/>
          </w:tblCellMar>
        </w:tblPrEx>
        <w:trPr>
          <w:trHeight w:val="484" w:hRule="atLeast"/>
        </w:trPr>
        <w:tc>
          <w:tcPr>
            <w:tcW w:w="873" w:type="dxa"/>
            <w:tcBorders>
              <w:top w:val="nil"/>
              <w:left w:val="single" w:color="auto" w:sz="8"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16.1</w:t>
            </w:r>
          </w:p>
        </w:tc>
        <w:tc>
          <w:tcPr>
            <w:tcW w:w="1962" w:type="dxa"/>
            <w:tcBorders>
              <w:top w:val="nil"/>
              <w:left w:val="single" w:color="auto" w:sz="4" w:space="0"/>
              <w:bottom w:val="single" w:color="auto" w:sz="4" w:space="0"/>
              <w:right w:val="single" w:color="auto" w:sz="8" w:space="0"/>
            </w:tcBorders>
            <w:vAlign w:val="center"/>
          </w:tcPr>
          <w:p>
            <w:pPr>
              <w:widowControl/>
              <w:jc w:val="center"/>
              <w:rPr>
                <w:rFonts w:ascii="仿宋" w:hAnsi="仿宋" w:cs="仿宋"/>
                <w:kern w:val="0"/>
                <w:szCs w:val="21"/>
              </w:rPr>
            </w:pPr>
            <w:r>
              <w:rPr>
                <w:rFonts w:hint="eastAsia" w:ascii="仿宋" w:hAnsi="仿宋" w:cs="仿宋"/>
                <w:szCs w:val="21"/>
              </w:rPr>
              <w:t>投标文件及电子文档份数</w:t>
            </w:r>
          </w:p>
        </w:tc>
        <w:tc>
          <w:tcPr>
            <w:tcW w:w="6028" w:type="dxa"/>
            <w:tcBorders>
              <w:top w:val="nil"/>
              <w:left w:val="nil"/>
              <w:bottom w:val="single" w:color="auto" w:sz="4" w:space="0"/>
              <w:right w:val="single" w:color="auto" w:sz="8" w:space="0"/>
            </w:tcBorders>
            <w:vAlign w:val="center"/>
          </w:tcPr>
          <w:p>
            <w:pPr>
              <w:widowControl/>
              <w:rPr>
                <w:rFonts w:ascii="仿宋" w:hAnsi="仿宋" w:cs="仿宋"/>
                <w:kern w:val="0"/>
                <w:szCs w:val="21"/>
              </w:rPr>
            </w:pPr>
            <w:r>
              <w:rPr>
                <w:rFonts w:hint="eastAsia" w:ascii="仿宋" w:hAnsi="仿宋" w:cs="仿宋"/>
                <w:kern w:val="0"/>
                <w:szCs w:val="21"/>
              </w:rPr>
              <w:t>正本</w:t>
            </w:r>
            <w:r>
              <w:rPr>
                <w:rFonts w:hint="eastAsia" w:ascii="仿宋" w:hAnsi="仿宋" w:cs="仿宋"/>
                <w:kern w:val="0"/>
                <w:szCs w:val="21"/>
                <w:u w:val="single"/>
              </w:rPr>
              <w:t>1</w:t>
            </w:r>
            <w:r>
              <w:rPr>
                <w:rFonts w:hint="eastAsia" w:ascii="仿宋" w:hAnsi="仿宋" w:cs="仿宋"/>
                <w:kern w:val="0"/>
                <w:szCs w:val="21"/>
              </w:rPr>
              <w:t>份,副本</w:t>
            </w:r>
            <w:r>
              <w:rPr>
                <w:rFonts w:hint="eastAsia" w:ascii="仿宋" w:hAnsi="仿宋" w:cs="仿宋"/>
                <w:kern w:val="0"/>
                <w:szCs w:val="21"/>
                <w:u w:val="single"/>
              </w:rPr>
              <w:t>4</w:t>
            </w:r>
            <w:r>
              <w:rPr>
                <w:rFonts w:hint="eastAsia" w:ascii="仿宋" w:hAnsi="仿宋" w:cs="仿宋"/>
                <w:kern w:val="0"/>
                <w:szCs w:val="21"/>
              </w:rPr>
              <w:t>份；</w:t>
            </w:r>
          </w:p>
          <w:p>
            <w:pPr>
              <w:widowControl/>
              <w:rPr>
                <w:rFonts w:ascii="仿宋" w:hAnsi="仿宋" w:cs="仿宋"/>
                <w:kern w:val="0"/>
                <w:szCs w:val="21"/>
              </w:rPr>
            </w:pPr>
            <w:r>
              <w:rPr>
                <w:rFonts w:hint="eastAsia" w:ascii="仿宋" w:hAnsi="仿宋" w:cs="仿宋"/>
                <w:kern w:val="0"/>
                <w:szCs w:val="21"/>
              </w:rPr>
              <w:t>请供应商按所投包组分别制作、递交文件。</w:t>
            </w:r>
          </w:p>
          <w:p>
            <w:pPr>
              <w:widowControl/>
              <w:rPr>
                <w:rFonts w:ascii="仿宋" w:hAnsi="仿宋" w:cs="仿宋"/>
              </w:rPr>
            </w:pPr>
            <w:r>
              <w:rPr>
                <w:rFonts w:hint="eastAsia" w:ascii="仿宋" w:hAnsi="仿宋" w:cs="仿宋"/>
                <w:kern w:val="0"/>
                <w:szCs w:val="21"/>
              </w:rPr>
              <w:t>电子文档2份</w:t>
            </w:r>
            <w:r>
              <w:rPr>
                <w:rFonts w:hint="eastAsia" w:ascii="仿宋" w:hAnsi="仿宋" w:cs="仿宋"/>
                <w:b/>
                <w:bCs/>
                <w:kern w:val="0"/>
                <w:szCs w:val="21"/>
              </w:rPr>
              <w:t>(注：U盘形式，电子文档为PDF版本（盖章、签字）和wold版本各一份）</w:t>
            </w:r>
          </w:p>
        </w:tc>
      </w:tr>
      <w:tr>
        <w:tblPrEx>
          <w:tblCellMar>
            <w:top w:w="0" w:type="dxa"/>
            <w:left w:w="108" w:type="dxa"/>
            <w:bottom w:w="0" w:type="dxa"/>
            <w:right w:w="108" w:type="dxa"/>
          </w:tblCellMar>
        </w:tblPrEx>
        <w:trPr>
          <w:trHeight w:val="477" w:hRule="atLeast"/>
        </w:trPr>
        <w:tc>
          <w:tcPr>
            <w:tcW w:w="873" w:type="dxa"/>
            <w:tcBorders>
              <w:top w:val="nil"/>
              <w:left w:val="single" w:color="auto" w:sz="8"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18.1</w:t>
            </w:r>
          </w:p>
        </w:tc>
        <w:tc>
          <w:tcPr>
            <w:tcW w:w="1962" w:type="dxa"/>
            <w:tcBorders>
              <w:top w:val="nil"/>
              <w:left w:val="single" w:color="auto" w:sz="4" w:space="0"/>
              <w:bottom w:val="single" w:color="auto" w:sz="4" w:space="0"/>
              <w:right w:val="single" w:color="auto" w:sz="8" w:space="0"/>
            </w:tcBorders>
            <w:vAlign w:val="center"/>
          </w:tcPr>
          <w:p>
            <w:pPr>
              <w:widowControl/>
              <w:jc w:val="center"/>
              <w:rPr>
                <w:rFonts w:ascii="仿宋" w:hAnsi="仿宋" w:cs="仿宋"/>
                <w:szCs w:val="21"/>
              </w:rPr>
            </w:pPr>
            <w:r>
              <w:rPr>
                <w:rFonts w:hint="eastAsia" w:ascii="仿宋" w:hAnsi="仿宋" w:cs="仿宋"/>
                <w:szCs w:val="21"/>
              </w:rPr>
              <w:t>递交投标文件截止时间、地点</w:t>
            </w:r>
          </w:p>
        </w:tc>
        <w:tc>
          <w:tcPr>
            <w:tcW w:w="6028" w:type="dxa"/>
            <w:tcBorders>
              <w:top w:val="nil"/>
              <w:left w:val="nil"/>
              <w:bottom w:val="single" w:color="auto" w:sz="4" w:space="0"/>
              <w:right w:val="single" w:color="auto" w:sz="8" w:space="0"/>
            </w:tcBorders>
            <w:vAlign w:val="center"/>
          </w:tcPr>
          <w:p>
            <w:pPr>
              <w:widowControl/>
              <w:rPr>
                <w:rFonts w:ascii="仿宋" w:hAnsi="仿宋" w:cs="仿宋"/>
                <w:kern w:val="0"/>
                <w:szCs w:val="21"/>
                <w:u w:val="single"/>
              </w:rPr>
            </w:pPr>
            <w:r>
              <w:rPr>
                <w:rFonts w:hint="eastAsia" w:ascii="仿宋" w:hAnsi="仿宋" w:cs="仿宋"/>
                <w:kern w:val="0"/>
                <w:szCs w:val="21"/>
              </w:rPr>
              <w:t>详见招标公告，以招标公告规定时间、地点为准。</w:t>
            </w:r>
          </w:p>
        </w:tc>
      </w:tr>
      <w:tr>
        <w:tblPrEx>
          <w:tblCellMar>
            <w:top w:w="0" w:type="dxa"/>
            <w:left w:w="108" w:type="dxa"/>
            <w:bottom w:w="0" w:type="dxa"/>
            <w:right w:w="108" w:type="dxa"/>
          </w:tblCellMar>
        </w:tblPrEx>
        <w:trPr>
          <w:trHeight w:val="485" w:hRule="atLeast"/>
        </w:trPr>
        <w:tc>
          <w:tcPr>
            <w:tcW w:w="873" w:type="dxa"/>
            <w:tcBorders>
              <w:top w:val="nil"/>
              <w:left w:val="single" w:color="auto" w:sz="8"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20.1</w:t>
            </w:r>
          </w:p>
        </w:tc>
        <w:tc>
          <w:tcPr>
            <w:tcW w:w="1962" w:type="dxa"/>
            <w:tcBorders>
              <w:top w:val="nil"/>
              <w:left w:val="single" w:color="auto" w:sz="4" w:space="0"/>
              <w:bottom w:val="single" w:color="auto" w:sz="4" w:space="0"/>
              <w:right w:val="single" w:color="auto" w:sz="8" w:space="0"/>
            </w:tcBorders>
            <w:vAlign w:val="center"/>
          </w:tcPr>
          <w:p>
            <w:pPr>
              <w:jc w:val="center"/>
              <w:rPr>
                <w:rFonts w:ascii="仿宋" w:hAnsi="仿宋" w:cs="仿宋"/>
                <w:kern w:val="0"/>
                <w:szCs w:val="21"/>
              </w:rPr>
            </w:pPr>
            <w:r>
              <w:rPr>
                <w:rFonts w:hint="eastAsia" w:ascii="仿宋" w:hAnsi="仿宋" w:cs="仿宋"/>
                <w:kern w:val="0"/>
                <w:szCs w:val="21"/>
              </w:rPr>
              <w:t>开标时间、地点</w:t>
            </w:r>
          </w:p>
        </w:tc>
        <w:tc>
          <w:tcPr>
            <w:tcW w:w="6028" w:type="dxa"/>
            <w:tcBorders>
              <w:top w:val="nil"/>
              <w:left w:val="nil"/>
              <w:bottom w:val="single" w:color="auto" w:sz="4" w:space="0"/>
              <w:right w:val="single" w:color="auto" w:sz="8" w:space="0"/>
            </w:tcBorders>
            <w:vAlign w:val="center"/>
          </w:tcPr>
          <w:p>
            <w:pPr>
              <w:widowControl/>
              <w:rPr>
                <w:rFonts w:ascii="仿宋" w:hAnsi="仿宋" w:cs="仿宋"/>
              </w:rPr>
            </w:pPr>
            <w:r>
              <w:rPr>
                <w:rFonts w:hint="eastAsia" w:ascii="仿宋" w:hAnsi="仿宋" w:cs="仿宋"/>
                <w:szCs w:val="21"/>
              </w:rPr>
              <w:t>详见招标公告，以招标公告规定时间、地点为准。</w:t>
            </w:r>
          </w:p>
        </w:tc>
      </w:tr>
      <w:tr>
        <w:tblPrEx>
          <w:tblCellMar>
            <w:top w:w="0" w:type="dxa"/>
            <w:left w:w="108" w:type="dxa"/>
            <w:bottom w:w="0" w:type="dxa"/>
            <w:right w:w="108" w:type="dxa"/>
          </w:tblCellMar>
        </w:tblPrEx>
        <w:trPr>
          <w:trHeight w:val="464" w:hRule="atLeast"/>
        </w:trPr>
        <w:tc>
          <w:tcPr>
            <w:tcW w:w="873" w:type="dxa"/>
            <w:tcBorders>
              <w:top w:val="nil"/>
              <w:left w:val="single" w:color="auto" w:sz="8"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21</w:t>
            </w:r>
          </w:p>
        </w:tc>
        <w:tc>
          <w:tcPr>
            <w:tcW w:w="1962" w:type="dxa"/>
            <w:tcBorders>
              <w:top w:val="nil"/>
              <w:left w:val="single" w:color="auto" w:sz="4" w:space="0"/>
              <w:bottom w:val="single" w:color="auto" w:sz="4" w:space="0"/>
              <w:right w:val="single" w:color="auto" w:sz="8" w:space="0"/>
            </w:tcBorders>
            <w:vAlign w:val="center"/>
          </w:tcPr>
          <w:p>
            <w:pPr>
              <w:jc w:val="center"/>
              <w:rPr>
                <w:rFonts w:ascii="仿宋" w:hAnsi="仿宋" w:cs="仿宋"/>
                <w:kern w:val="0"/>
                <w:szCs w:val="21"/>
              </w:rPr>
            </w:pPr>
            <w:r>
              <w:rPr>
                <w:rFonts w:hint="eastAsia" w:ascii="仿宋" w:hAnsi="仿宋" w:cs="仿宋"/>
                <w:kern w:val="0"/>
                <w:szCs w:val="21"/>
              </w:rPr>
              <w:t>评标委员会组成</w:t>
            </w:r>
          </w:p>
        </w:tc>
        <w:tc>
          <w:tcPr>
            <w:tcW w:w="6028" w:type="dxa"/>
            <w:tcBorders>
              <w:top w:val="nil"/>
              <w:left w:val="nil"/>
              <w:bottom w:val="single" w:color="auto" w:sz="4" w:space="0"/>
              <w:right w:val="single" w:color="auto" w:sz="8" w:space="0"/>
            </w:tcBorders>
            <w:vAlign w:val="center"/>
          </w:tcPr>
          <w:p>
            <w:pPr>
              <w:widowControl/>
              <w:rPr>
                <w:rFonts w:ascii="仿宋" w:hAnsi="仿宋" w:cs="仿宋"/>
                <w:kern w:val="0"/>
                <w:szCs w:val="21"/>
              </w:rPr>
            </w:pPr>
            <w:r>
              <w:rPr>
                <w:rFonts w:hint="eastAsia" w:ascii="仿宋" w:hAnsi="仿宋" w:cs="仿宋"/>
                <w:szCs w:val="21"/>
              </w:rPr>
              <w:t>评标委员会由采购人代表</w:t>
            </w:r>
            <w:r>
              <w:rPr>
                <w:rFonts w:hint="eastAsia" w:ascii="仿宋" w:hAnsi="仿宋" w:cs="仿宋"/>
                <w:szCs w:val="21"/>
                <w:u w:val="single"/>
              </w:rPr>
              <w:t>2</w:t>
            </w:r>
            <w:r>
              <w:rPr>
                <w:rFonts w:hint="eastAsia" w:ascii="仿宋" w:hAnsi="仿宋" w:cs="仿宋"/>
                <w:szCs w:val="21"/>
              </w:rPr>
              <w:t>人，评审专家</w:t>
            </w:r>
            <w:r>
              <w:rPr>
                <w:rFonts w:hint="eastAsia" w:ascii="仿宋" w:hAnsi="仿宋" w:cs="仿宋"/>
                <w:szCs w:val="21"/>
                <w:u w:val="single"/>
              </w:rPr>
              <w:t>5</w:t>
            </w:r>
            <w:r>
              <w:rPr>
                <w:rFonts w:hint="eastAsia" w:ascii="仿宋" w:hAnsi="仿宋" w:cs="仿宋"/>
                <w:szCs w:val="21"/>
              </w:rPr>
              <w:t>人组成，共</w:t>
            </w:r>
            <w:r>
              <w:rPr>
                <w:rFonts w:hint="eastAsia" w:ascii="仿宋" w:hAnsi="仿宋" w:cs="仿宋"/>
                <w:szCs w:val="21"/>
                <w:u w:val="single"/>
              </w:rPr>
              <w:t>7</w:t>
            </w:r>
            <w:r>
              <w:rPr>
                <w:rFonts w:hint="eastAsia" w:ascii="仿宋" w:hAnsi="仿宋" w:cs="仿宋"/>
                <w:szCs w:val="21"/>
              </w:rPr>
              <w:t xml:space="preserve">人。 </w:t>
            </w:r>
          </w:p>
        </w:tc>
      </w:tr>
      <w:tr>
        <w:tblPrEx>
          <w:tblCellMar>
            <w:top w:w="0" w:type="dxa"/>
            <w:left w:w="108" w:type="dxa"/>
            <w:bottom w:w="0" w:type="dxa"/>
            <w:right w:w="108" w:type="dxa"/>
          </w:tblCellMar>
        </w:tblPrEx>
        <w:trPr>
          <w:trHeight w:val="464" w:hRule="atLeast"/>
        </w:trPr>
        <w:tc>
          <w:tcPr>
            <w:tcW w:w="873" w:type="dxa"/>
            <w:tcBorders>
              <w:top w:val="nil"/>
              <w:left w:val="single" w:color="auto" w:sz="8"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25.1</w:t>
            </w:r>
          </w:p>
        </w:tc>
        <w:tc>
          <w:tcPr>
            <w:tcW w:w="1962" w:type="dxa"/>
            <w:tcBorders>
              <w:top w:val="nil"/>
              <w:left w:val="single" w:color="auto" w:sz="4" w:space="0"/>
              <w:bottom w:val="single" w:color="auto" w:sz="4" w:space="0"/>
              <w:right w:val="single" w:color="auto" w:sz="8" w:space="0"/>
            </w:tcBorders>
            <w:vAlign w:val="center"/>
          </w:tcPr>
          <w:p>
            <w:pPr>
              <w:jc w:val="center"/>
              <w:rPr>
                <w:rFonts w:ascii="仿宋" w:hAnsi="仿宋" w:cs="仿宋"/>
                <w:kern w:val="0"/>
                <w:szCs w:val="21"/>
              </w:rPr>
            </w:pPr>
            <w:r>
              <w:rPr>
                <w:rFonts w:hint="eastAsia" w:ascii="仿宋" w:hAnsi="仿宋" w:cs="仿宋"/>
                <w:kern w:val="0"/>
                <w:szCs w:val="21"/>
              </w:rPr>
              <w:t>样品的评审方法以及评审标准</w:t>
            </w:r>
          </w:p>
          <w:p>
            <w:pPr>
              <w:jc w:val="center"/>
              <w:rPr>
                <w:rFonts w:ascii="仿宋" w:hAnsi="仿宋" w:cs="仿宋"/>
                <w:kern w:val="0"/>
                <w:szCs w:val="21"/>
              </w:rPr>
            </w:pPr>
            <w:r>
              <w:rPr>
                <w:rFonts w:hint="eastAsia" w:ascii="仿宋" w:hAnsi="仿宋" w:cs="仿宋"/>
                <w:kern w:val="0"/>
                <w:szCs w:val="21"/>
              </w:rPr>
              <w:t>演示的评审方法及评审标准</w:t>
            </w:r>
          </w:p>
        </w:tc>
        <w:tc>
          <w:tcPr>
            <w:tcW w:w="6028" w:type="dxa"/>
            <w:tcBorders>
              <w:top w:val="nil"/>
              <w:left w:val="nil"/>
              <w:bottom w:val="single" w:color="auto" w:sz="4" w:space="0"/>
              <w:right w:val="single" w:color="auto" w:sz="8" w:space="0"/>
            </w:tcBorders>
            <w:vAlign w:val="center"/>
          </w:tcPr>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bCs/>
                <w:kern w:val="0"/>
                <w:szCs w:val="21"/>
              </w:rPr>
              <w:t>样品：本项目需提供样品</w:t>
            </w:r>
          </w:p>
          <w:p>
            <w:pPr>
              <w:rPr>
                <w:rFonts w:ascii="仿宋" w:hAnsi="仿宋" w:cs="仿宋"/>
                <w:kern w:val="0"/>
                <w:szCs w:val="21"/>
              </w:rPr>
            </w:pPr>
            <w:r>
              <w:rPr>
                <w:rFonts w:hint="eastAsia" w:ascii="仿宋" w:hAnsi="仿宋" w:cs="仿宋"/>
                <w:kern w:val="0"/>
                <w:szCs w:val="21"/>
              </w:rPr>
              <w:t>1、样品评审方法：</w:t>
            </w:r>
            <w:r>
              <w:rPr>
                <w:rFonts w:hint="eastAsia" w:ascii="仿宋" w:hAnsi="仿宋" w:cs="仿宋"/>
                <w:szCs w:val="21"/>
                <w:u w:val="single"/>
              </w:rPr>
              <w:t>综合评分法</w:t>
            </w:r>
          </w:p>
          <w:p>
            <w:pPr>
              <w:rPr>
                <w:rFonts w:ascii="仿宋" w:hAnsi="仿宋" w:cs="仿宋"/>
                <w:kern w:val="0"/>
                <w:szCs w:val="21"/>
                <w:u w:val="single"/>
              </w:rPr>
            </w:pPr>
            <w:r>
              <w:rPr>
                <w:rFonts w:hint="eastAsia" w:ascii="仿宋" w:hAnsi="仿宋" w:cs="仿宋"/>
                <w:kern w:val="0"/>
                <w:szCs w:val="21"/>
              </w:rPr>
              <w:t>2、样品评审标准：</w:t>
            </w:r>
            <w:r>
              <w:rPr>
                <w:rFonts w:hint="eastAsia" w:ascii="仿宋" w:hAnsi="仿宋" w:cs="仿宋"/>
                <w:kern w:val="0"/>
                <w:szCs w:val="21"/>
                <w:u w:val="single"/>
              </w:rPr>
              <w:t>具体见评分标准和评分细则</w:t>
            </w:r>
          </w:p>
          <w:p>
            <w:pPr>
              <w:rPr>
                <w:rFonts w:ascii="仿宋" w:hAnsi="仿宋" w:cs="仿宋"/>
                <w:kern w:val="0"/>
                <w:szCs w:val="21"/>
                <w:u w:val="single"/>
              </w:rPr>
            </w:pPr>
          </w:p>
          <w:p>
            <w:pPr>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演示：供应商对所提供样品进行展示</w:t>
            </w:r>
          </w:p>
          <w:p>
            <w:pPr>
              <w:rPr>
                <w:rFonts w:ascii="仿宋" w:hAnsi="仿宋" w:cs="仿宋"/>
                <w:kern w:val="0"/>
                <w:szCs w:val="21"/>
              </w:rPr>
            </w:pPr>
            <w:r>
              <w:rPr>
                <w:rFonts w:hint="eastAsia" w:ascii="仿宋" w:hAnsi="仿宋" w:cs="仿宋"/>
                <w:kern w:val="0"/>
                <w:szCs w:val="21"/>
              </w:rPr>
              <w:t>1、演示评审方法：</w:t>
            </w:r>
            <w:r>
              <w:rPr>
                <w:rFonts w:hint="eastAsia" w:ascii="仿宋" w:hAnsi="仿宋" w:cs="仿宋"/>
                <w:kern w:val="0"/>
                <w:szCs w:val="21"/>
                <w:u w:val="single"/>
              </w:rPr>
              <w:t>综合评分法</w:t>
            </w:r>
          </w:p>
          <w:p>
            <w:pPr>
              <w:rPr>
                <w:rFonts w:ascii="仿宋" w:hAnsi="仿宋" w:cs="仿宋"/>
                <w:szCs w:val="21"/>
              </w:rPr>
            </w:pPr>
            <w:r>
              <w:rPr>
                <w:rFonts w:hint="eastAsia" w:ascii="仿宋" w:hAnsi="仿宋" w:cs="仿宋"/>
                <w:kern w:val="0"/>
                <w:szCs w:val="21"/>
              </w:rPr>
              <w:t>2、演示评审标准：</w:t>
            </w:r>
            <w:r>
              <w:rPr>
                <w:rFonts w:hint="eastAsia" w:ascii="仿宋" w:hAnsi="仿宋" w:cs="仿宋"/>
                <w:kern w:val="0"/>
                <w:szCs w:val="21"/>
                <w:u w:val="single"/>
              </w:rPr>
              <w:t>具体见评分标准和评分细则</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27.2</w:t>
            </w:r>
          </w:p>
        </w:tc>
        <w:tc>
          <w:tcPr>
            <w:tcW w:w="19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szCs w:val="21"/>
              </w:rPr>
            </w:pPr>
            <w:r>
              <w:rPr>
                <w:rFonts w:hint="eastAsia" w:ascii="仿宋" w:hAnsi="仿宋" w:cs="仿宋"/>
                <w:szCs w:val="21"/>
              </w:rPr>
              <w:t>评标办法</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cs="仿宋"/>
                <w:szCs w:val="21"/>
              </w:rPr>
            </w:pPr>
            <w:r>
              <w:rPr>
                <w:rFonts w:hint="eastAsia" w:ascii="仿宋" w:hAnsi="仿宋" w:cs="仿宋"/>
              </w:rPr>
              <w:sym w:font="Wingdings 2" w:char="0052"/>
            </w:r>
            <w:r>
              <w:rPr>
                <w:rFonts w:hint="eastAsia" w:ascii="仿宋" w:hAnsi="仿宋" w:cs="仿宋"/>
                <w:szCs w:val="21"/>
              </w:rPr>
              <w:t>综合评分法</w:t>
            </w:r>
          </w:p>
          <w:p>
            <w:pPr>
              <w:widowControl/>
              <w:rPr>
                <w:rFonts w:ascii="仿宋" w:hAnsi="仿宋" w:cs="仿宋"/>
              </w:rPr>
            </w:pPr>
            <w:r>
              <w:rPr>
                <w:rFonts w:hint="eastAsia" w:ascii="仿宋" w:hAnsi="仿宋" w:cs="仿宋"/>
                <w:szCs w:val="21"/>
              </w:rPr>
              <w:sym w:font="Wingdings 2" w:char="00A3"/>
            </w:r>
            <w:r>
              <w:rPr>
                <w:rFonts w:hint="eastAsia" w:ascii="仿宋" w:hAnsi="仿宋" w:cs="仿宋"/>
                <w:szCs w:val="21"/>
              </w:rPr>
              <w:t>最低评标价法</w:t>
            </w:r>
          </w:p>
        </w:tc>
      </w:tr>
      <w:tr>
        <w:tblPrEx>
          <w:tblCellMar>
            <w:top w:w="0" w:type="dxa"/>
            <w:left w:w="108" w:type="dxa"/>
            <w:bottom w:w="0" w:type="dxa"/>
            <w:right w:w="108" w:type="dxa"/>
          </w:tblCellMar>
        </w:tblPrEx>
        <w:trPr>
          <w:trHeight w:val="477"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29.2</w:t>
            </w:r>
          </w:p>
        </w:tc>
        <w:tc>
          <w:tcPr>
            <w:tcW w:w="19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推荐中标候选人的数量</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cs="仿宋"/>
                <w:kern w:val="0"/>
                <w:szCs w:val="21"/>
              </w:rPr>
            </w:pPr>
            <w:r>
              <w:rPr>
                <w:rFonts w:hint="eastAsia" w:ascii="仿宋" w:hAnsi="仿宋" w:cs="仿宋"/>
                <w:kern w:val="0"/>
                <w:szCs w:val="21"/>
                <w:u w:val="single"/>
              </w:rPr>
              <w:t>3个</w:t>
            </w:r>
          </w:p>
        </w:tc>
      </w:tr>
      <w:tr>
        <w:tblPrEx>
          <w:tblCellMar>
            <w:top w:w="0" w:type="dxa"/>
            <w:left w:w="108" w:type="dxa"/>
            <w:bottom w:w="0" w:type="dxa"/>
            <w:right w:w="108" w:type="dxa"/>
          </w:tblCellMar>
        </w:tblPrEx>
        <w:trPr>
          <w:trHeight w:val="712"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31</w:t>
            </w:r>
          </w:p>
        </w:tc>
        <w:tc>
          <w:tcPr>
            <w:tcW w:w="196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确定中标人的方式</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cs="仿宋"/>
                <w:kern w:val="0"/>
                <w:szCs w:val="21"/>
              </w:rPr>
            </w:pPr>
            <w:r>
              <w:rPr>
                <w:rFonts w:hint="eastAsia" w:ascii="仿宋" w:hAnsi="仿宋" w:cs="仿宋"/>
                <w:kern w:val="0"/>
                <w:szCs w:val="21"/>
              </w:rPr>
              <w:t>中标人数量：</w:t>
            </w:r>
            <w:r>
              <w:rPr>
                <w:rFonts w:hint="eastAsia" w:ascii="仿宋" w:hAnsi="仿宋" w:cs="仿宋"/>
                <w:kern w:val="0"/>
                <w:szCs w:val="21"/>
                <w:u w:val="single"/>
              </w:rPr>
              <w:t>1个</w:t>
            </w:r>
          </w:p>
          <w:p>
            <w:pPr>
              <w:widowControl/>
              <w:rPr>
                <w:rFonts w:ascii="仿宋" w:hAnsi="仿宋" w:cs="仿宋"/>
                <w:kern w:val="0"/>
                <w:szCs w:val="21"/>
                <w:u w:val="single"/>
              </w:rPr>
            </w:pPr>
            <w:r>
              <w:rPr>
                <w:rFonts w:hint="eastAsia" w:ascii="仿宋" w:hAnsi="仿宋" w:cs="仿宋"/>
                <w:kern w:val="0"/>
                <w:szCs w:val="21"/>
              </w:rPr>
              <w:sym w:font="Wingdings 2" w:char="0052"/>
            </w:r>
            <w:r>
              <w:rPr>
                <w:rFonts w:hint="eastAsia" w:ascii="仿宋" w:hAnsi="仿宋" w:cs="仿宋"/>
                <w:kern w:val="0"/>
                <w:szCs w:val="21"/>
              </w:rPr>
              <w:t>采购人委托评标委员会直接确定中标人</w:t>
            </w:r>
          </w:p>
          <w:p>
            <w:pPr>
              <w:widowControl/>
              <w:rPr>
                <w:rFonts w:ascii="仿宋" w:hAnsi="仿宋" w:cs="仿宋"/>
                <w:kern w:val="0"/>
                <w:szCs w:val="21"/>
                <w:u w:val="single"/>
              </w:rPr>
            </w:pPr>
            <w:r>
              <w:rPr>
                <w:rFonts w:hint="eastAsia" w:ascii="仿宋" w:hAnsi="仿宋" w:cs="仿宋"/>
                <w:kern w:val="0"/>
                <w:szCs w:val="21"/>
              </w:rPr>
              <w:sym w:font="Wingdings 2" w:char="00A3"/>
            </w:r>
            <w:r>
              <w:rPr>
                <w:rFonts w:hint="eastAsia" w:ascii="仿宋" w:hAnsi="仿宋" w:cs="仿宋"/>
                <w:kern w:val="0"/>
                <w:szCs w:val="21"/>
              </w:rPr>
              <w:t>采购人确定中标人</w:t>
            </w:r>
          </w:p>
        </w:tc>
      </w:tr>
      <w:tr>
        <w:tblPrEx>
          <w:tblCellMar>
            <w:top w:w="0" w:type="dxa"/>
            <w:left w:w="108" w:type="dxa"/>
            <w:bottom w:w="0" w:type="dxa"/>
            <w:right w:w="108" w:type="dxa"/>
          </w:tblCellMar>
        </w:tblPrEx>
        <w:trPr>
          <w:trHeight w:val="440" w:hRule="atLeast"/>
        </w:trPr>
        <w:tc>
          <w:tcPr>
            <w:tcW w:w="8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35.1</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kern w:val="0"/>
                <w:szCs w:val="21"/>
              </w:rPr>
            </w:pPr>
            <w:r>
              <w:rPr>
                <w:rFonts w:hint="eastAsia" w:ascii="仿宋" w:hAnsi="仿宋" w:cs="仿宋"/>
                <w:kern w:val="0"/>
                <w:szCs w:val="21"/>
              </w:rPr>
              <w:t>履约保证金</w:t>
            </w:r>
          </w:p>
        </w:tc>
        <w:tc>
          <w:tcPr>
            <w:tcW w:w="6028"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本项目不收取履约保证金</w:t>
            </w:r>
          </w:p>
          <w:p>
            <w:pPr>
              <w:widowControl/>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本项目收取履约保证金</w:t>
            </w:r>
          </w:p>
          <w:p>
            <w:pPr>
              <w:ind w:firstLine="210" w:firstLineChars="100"/>
              <w:jc w:val="left"/>
              <w:rPr>
                <w:rFonts w:ascii="仿宋" w:hAnsi="仿宋" w:cs="仿宋"/>
                <w:szCs w:val="21"/>
              </w:rPr>
            </w:pPr>
            <w:r>
              <w:rPr>
                <w:rFonts w:hint="eastAsia" w:ascii="仿宋" w:hAnsi="仿宋" w:cs="仿宋"/>
                <w:szCs w:val="21"/>
              </w:rPr>
              <w:t>履约保证金金额：</w:t>
            </w:r>
            <w:r>
              <w:rPr>
                <w:rFonts w:hint="eastAsia" w:ascii="仿宋" w:hAnsi="仿宋" w:cs="仿宋"/>
                <w:kern w:val="0"/>
                <w:szCs w:val="21"/>
                <w:u w:val="single"/>
              </w:rPr>
              <w:t xml:space="preserve">                 </w:t>
            </w:r>
          </w:p>
          <w:p>
            <w:pPr>
              <w:ind w:firstLine="210" w:firstLineChars="100"/>
              <w:jc w:val="left"/>
              <w:rPr>
                <w:rFonts w:ascii="仿宋" w:hAnsi="仿宋" w:cs="仿宋"/>
                <w:szCs w:val="21"/>
              </w:rPr>
            </w:pPr>
            <w:r>
              <w:rPr>
                <w:rFonts w:hint="eastAsia" w:ascii="仿宋" w:hAnsi="仿宋" w:cs="仿宋"/>
                <w:szCs w:val="21"/>
              </w:rPr>
              <w:t>履约保证金递交时间：</w:t>
            </w:r>
            <w:r>
              <w:rPr>
                <w:rFonts w:hint="eastAsia" w:ascii="仿宋" w:hAnsi="仿宋" w:cs="仿宋"/>
                <w:kern w:val="0"/>
                <w:szCs w:val="21"/>
                <w:u w:val="single"/>
              </w:rPr>
              <w:t xml:space="preserve">             </w:t>
            </w:r>
          </w:p>
          <w:p>
            <w:pPr>
              <w:ind w:firstLine="210" w:firstLineChars="100"/>
              <w:jc w:val="left"/>
              <w:rPr>
                <w:rFonts w:ascii="仿宋" w:hAnsi="仿宋" w:cs="仿宋"/>
                <w:szCs w:val="21"/>
              </w:rPr>
            </w:pPr>
            <w:r>
              <w:rPr>
                <w:rFonts w:hint="eastAsia" w:ascii="仿宋" w:hAnsi="仿宋" w:cs="仿宋"/>
                <w:szCs w:val="21"/>
              </w:rPr>
              <w:t>履约保证金递交方式：□保函   □支票  □电汇</w:t>
            </w:r>
          </w:p>
          <w:p>
            <w:pPr>
              <w:ind w:firstLine="420" w:firstLineChars="200"/>
              <w:jc w:val="left"/>
              <w:rPr>
                <w:rFonts w:ascii="仿宋" w:hAnsi="仿宋" w:cs="仿宋"/>
                <w:szCs w:val="21"/>
              </w:rPr>
            </w:pPr>
            <w:r>
              <w:rPr>
                <w:rFonts w:hint="eastAsia" w:ascii="仿宋" w:hAnsi="仿宋" w:cs="仿宋"/>
                <w:szCs w:val="21"/>
              </w:rPr>
              <w:t>账户信息：</w:t>
            </w:r>
          </w:p>
          <w:p>
            <w:pPr>
              <w:rPr>
                <w:rFonts w:ascii="仿宋" w:hAnsi="仿宋" w:cs="仿宋"/>
                <w:szCs w:val="21"/>
              </w:rPr>
            </w:pPr>
            <w:r>
              <w:rPr>
                <w:rFonts w:hint="eastAsia" w:ascii="仿宋" w:hAnsi="仿宋" w:cs="仿宋"/>
                <w:szCs w:val="21"/>
              </w:rPr>
              <w:t xml:space="preserve">    开 户 名：</w:t>
            </w:r>
            <w:r>
              <w:rPr>
                <w:rFonts w:hint="eastAsia" w:ascii="仿宋" w:hAnsi="仿宋" w:cs="仿宋"/>
                <w:kern w:val="0"/>
                <w:szCs w:val="21"/>
                <w:u w:val="single"/>
              </w:rPr>
              <w:t xml:space="preserve">                 </w:t>
            </w:r>
            <w:r>
              <w:rPr>
                <w:rFonts w:hint="eastAsia" w:ascii="仿宋" w:hAnsi="仿宋" w:cs="仿宋"/>
                <w:szCs w:val="21"/>
              </w:rPr>
              <w:t xml:space="preserve"> </w:t>
            </w:r>
          </w:p>
          <w:p>
            <w:pPr>
              <w:rPr>
                <w:rFonts w:ascii="仿宋" w:hAnsi="仿宋" w:cs="仿宋"/>
                <w:szCs w:val="21"/>
              </w:rPr>
            </w:pPr>
            <w:r>
              <w:rPr>
                <w:rFonts w:hint="eastAsia" w:ascii="仿宋" w:hAnsi="仿宋" w:cs="仿宋"/>
                <w:szCs w:val="21"/>
              </w:rPr>
              <w:t xml:space="preserve">    开 户 行：</w:t>
            </w:r>
            <w:r>
              <w:rPr>
                <w:rFonts w:hint="eastAsia" w:ascii="仿宋" w:hAnsi="仿宋" w:cs="仿宋"/>
                <w:kern w:val="0"/>
                <w:szCs w:val="21"/>
                <w:u w:val="single"/>
              </w:rPr>
              <w:t xml:space="preserve">                 </w:t>
            </w:r>
            <w:r>
              <w:rPr>
                <w:rFonts w:hint="eastAsia" w:ascii="仿宋" w:hAnsi="仿宋" w:cs="仿宋"/>
                <w:szCs w:val="21"/>
              </w:rPr>
              <w:t xml:space="preserve"> </w:t>
            </w:r>
          </w:p>
          <w:p>
            <w:pPr>
              <w:rPr>
                <w:rFonts w:ascii="仿宋" w:hAnsi="仿宋" w:cs="仿宋"/>
                <w:szCs w:val="21"/>
              </w:rPr>
            </w:pPr>
            <w:r>
              <w:rPr>
                <w:rFonts w:hint="eastAsia" w:ascii="仿宋" w:hAnsi="仿宋" w:cs="仿宋"/>
                <w:szCs w:val="21"/>
              </w:rPr>
              <w:t xml:space="preserve">    账    号：</w:t>
            </w:r>
            <w:r>
              <w:rPr>
                <w:rFonts w:hint="eastAsia" w:ascii="仿宋" w:hAnsi="仿宋" w:cs="仿宋"/>
                <w:kern w:val="0"/>
                <w:szCs w:val="21"/>
                <w:u w:val="single"/>
              </w:rPr>
              <w:t xml:space="preserve">                 </w:t>
            </w:r>
            <w:r>
              <w:rPr>
                <w:rFonts w:hint="eastAsia" w:ascii="仿宋" w:hAnsi="仿宋" w:cs="仿宋"/>
                <w:szCs w:val="21"/>
              </w:rPr>
              <w:t xml:space="preserve"> </w:t>
            </w:r>
          </w:p>
          <w:p>
            <w:pPr>
              <w:ind w:firstLine="210" w:firstLineChars="100"/>
              <w:jc w:val="left"/>
              <w:rPr>
                <w:rFonts w:ascii="仿宋" w:hAnsi="仿宋" w:cs="仿宋"/>
                <w:kern w:val="0"/>
                <w:szCs w:val="21"/>
              </w:rPr>
            </w:pPr>
            <w:r>
              <w:rPr>
                <w:rFonts w:hint="eastAsia" w:ascii="仿宋" w:hAnsi="仿宋" w:cs="仿宋"/>
                <w:szCs w:val="21"/>
              </w:rPr>
              <w:t>履约保证金退还时间及规定：</w:t>
            </w:r>
            <w:r>
              <w:rPr>
                <w:rFonts w:hint="eastAsia" w:ascii="仿宋" w:hAnsi="仿宋" w:cs="仿宋"/>
                <w:kern w:val="0"/>
                <w:szCs w:val="21"/>
                <w:u w:val="single"/>
              </w:rPr>
              <w:t xml:space="preserve">   </w:t>
            </w:r>
          </w:p>
        </w:tc>
      </w:tr>
      <w:tr>
        <w:tblPrEx>
          <w:tblCellMar>
            <w:top w:w="0" w:type="dxa"/>
            <w:left w:w="108" w:type="dxa"/>
            <w:bottom w:w="0" w:type="dxa"/>
            <w:right w:w="108" w:type="dxa"/>
          </w:tblCellMar>
        </w:tblPrEx>
        <w:trPr>
          <w:trHeight w:val="556" w:hRule="atLeast"/>
        </w:trPr>
        <w:tc>
          <w:tcPr>
            <w:tcW w:w="873" w:type="dxa"/>
            <w:tcBorders>
              <w:top w:val="nil"/>
              <w:left w:val="single" w:color="auto" w:sz="8" w:space="0"/>
              <w:bottom w:val="single" w:color="auto" w:sz="8"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36</w:t>
            </w:r>
          </w:p>
        </w:tc>
        <w:tc>
          <w:tcPr>
            <w:tcW w:w="1962" w:type="dxa"/>
            <w:tcBorders>
              <w:top w:val="nil"/>
              <w:left w:val="single" w:color="auto" w:sz="4" w:space="0"/>
              <w:bottom w:val="single" w:color="auto" w:sz="8" w:space="0"/>
              <w:right w:val="single" w:color="auto" w:sz="8" w:space="0"/>
            </w:tcBorders>
            <w:vAlign w:val="center"/>
          </w:tcPr>
          <w:p>
            <w:pPr>
              <w:jc w:val="center"/>
              <w:rPr>
                <w:rFonts w:ascii="仿宋" w:hAnsi="仿宋" w:cs="仿宋"/>
                <w:kern w:val="0"/>
                <w:szCs w:val="21"/>
              </w:rPr>
            </w:pPr>
            <w:r>
              <w:rPr>
                <w:rFonts w:hint="eastAsia" w:ascii="仿宋" w:hAnsi="仿宋" w:cs="仿宋"/>
                <w:kern w:val="0"/>
                <w:szCs w:val="21"/>
              </w:rPr>
              <w:t>采购代理服务费</w:t>
            </w:r>
          </w:p>
        </w:tc>
        <w:tc>
          <w:tcPr>
            <w:tcW w:w="6028" w:type="dxa"/>
            <w:tcBorders>
              <w:top w:val="nil"/>
              <w:left w:val="nil"/>
              <w:bottom w:val="single" w:color="auto" w:sz="8" w:space="0"/>
              <w:right w:val="single" w:color="auto" w:sz="8" w:space="0"/>
            </w:tcBorders>
            <w:vAlign w:val="center"/>
          </w:tcPr>
          <w:p>
            <w:pPr>
              <w:widowControl/>
              <w:rPr>
                <w:rFonts w:ascii="仿宋" w:hAnsi="仿宋" w:cs="仿宋"/>
                <w:kern w:val="0"/>
                <w:szCs w:val="21"/>
              </w:rPr>
            </w:pPr>
            <w:r>
              <w:rPr>
                <w:rFonts w:hint="eastAsia" w:ascii="仿宋" w:hAnsi="仿宋" w:cs="仿宋"/>
                <w:kern w:val="0"/>
                <w:szCs w:val="21"/>
              </w:rPr>
              <w:sym w:font="Wingdings 2" w:char="00A3"/>
            </w:r>
            <w:r>
              <w:rPr>
                <w:rFonts w:hint="eastAsia" w:ascii="仿宋" w:hAnsi="仿宋" w:cs="仿宋"/>
                <w:kern w:val="0"/>
                <w:szCs w:val="21"/>
              </w:rPr>
              <w:t>本项目不收取采购代理服务费</w:t>
            </w:r>
          </w:p>
          <w:p>
            <w:pPr>
              <w:widowControl/>
              <w:rPr>
                <w:rFonts w:ascii="仿宋" w:hAnsi="仿宋" w:cs="仿宋"/>
                <w:kern w:val="0"/>
                <w:szCs w:val="21"/>
              </w:rPr>
            </w:pPr>
            <w:r>
              <w:rPr>
                <w:rFonts w:hint="eastAsia" w:ascii="仿宋" w:hAnsi="仿宋" w:cs="仿宋"/>
                <w:kern w:val="0"/>
                <w:szCs w:val="21"/>
              </w:rPr>
              <w:sym w:font="Wingdings 2" w:char="0052"/>
            </w:r>
            <w:r>
              <w:rPr>
                <w:rFonts w:hint="eastAsia" w:ascii="仿宋" w:hAnsi="仿宋" w:cs="仿宋"/>
                <w:kern w:val="0"/>
                <w:szCs w:val="21"/>
              </w:rPr>
              <w:t>本项目收取采购代理服务费</w:t>
            </w:r>
          </w:p>
          <w:p>
            <w:pPr>
              <w:widowControl/>
              <w:ind w:firstLine="210" w:firstLineChars="100"/>
              <w:rPr>
                <w:rFonts w:ascii="仿宋" w:hAnsi="仿宋" w:cs="仿宋"/>
                <w:kern w:val="0"/>
                <w:szCs w:val="21"/>
              </w:rPr>
            </w:pPr>
            <w:r>
              <w:rPr>
                <w:rFonts w:hint="eastAsia" w:ascii="仿宋" w:hAnsi="仿宋" w:cs="仿宋"/>
                <w:kern w:val="0"/>
                <w:szCs w:val="21"/>
              </w:rPr>
              <w:t>本项目招标代理服务费由中标人向采购代理机构予以支付。</w:t>
            </w:r>
          </w:p>
          <w:p>
            <w:pPr>
              <w:widowControl/>
              <w:ind w:firstLine="210" w:firstLineChars="100"/>
              <w:rPr>
                <w:rFonts w:ascii="仿宋" w:hAnsi="仿宋" w:cs="仿宋"/>
                <w:kern w:val="0"/>
                <w:szCs w:val="21"/>
              </w:rPr>
            </w:pPr>
            <w:r>
              <w:rPr>
                <w:rFonts w:hint="eastAsia" w:ascii="仿宋" w:hAnsi="仿宋" w:cs="仿宋"/>
                <w:kern w:val="0"/>
                <w:szCs w:val="21"/>
              </w:rPr>
              <w:t>支付标准：以按照中标金额的%收取(按差额定率累进法计算)100万以下收取1.5%,100万-500万收取1.1%,500万-1000万收取0.8%,1000万-5000万收取0.5%,5000万-10000万收0.25%,10000-100000万以上收取0.05%,100000万以上收取0.01%。按以上标准下浮20%收取。招标代理服务费不足参仟元的按参仟元收取，收取方式为向中标/成交供应商收取。</w:t>
            </w:r>
          </w:p>
          <w:p>
            <w:pPr>
              <w:widowControl/>
              <w:ind w:firstLine="210" w:firstLineChars="100"/>
              <w:rPr>
                <w:rFonts w:ascii="仿宋" w:hAnsi="仿宋" w:cs="仿宋"/>
                <w:kern w:val="0"/>
                <w:szCs w:val="21"/>
              </w:rPr>
            </w:pPr>
            <w:r>
              <w:rPr>
                <w:rFonts w:hint="eastAsia" w:ascii="仿宋" w:hAnsi="仿宋" w:cs="仿宋"/>
                <w:kern w:val="0"/>
                <w:szCs w:val="21"/>
              </w:rPr>
              <w:t>支付形式：电汇或支票</w:t>
            </w:r>
          </w:p>
          <w:p>
            <w:pPr>
              <w:widowControl/>
              <w:ind w:firstLine="210" w:firstLineChars="100"/>
              <w:rPr>
                <w:rFonts w:ascii="仿宋" w:hAnsi="仿宋" w:cs="仿宋"/>
                <w:kern w:val="0"/>
                <w:szCs w:val="21"/>
              </w:rPr>
            </w:pPr>
            <w:r>
              <w:rPr>
                <w:rFonts w:hint="eastAsia" w:ascii="仿宋" w:hAnsi="仿宋" w:cs="仿宋"/>
                <w:kern w:val="0"/>
                <w:szCs w:val="21"/>
              </w:rPr>
              <w:t>支付时间：领取中标通知书之前由中标人将采购代理服务费支付至采购代理机构。</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4" w:space="0"/>
              <w:right w:val="single" w:color="auto" w:sz="4" w:space="0"/>
            </w:tcBorders>
            <w:vAlign w:val="center"/>
          </w:tcPr>
          <w:p>
            <w:pPr>
              <w:widowControl/>
              <w:jc w:val="center"/>
              <w:rPr>
                <w:rFonts w:ascii="仿宋" w:hAnsi="仿宋" w:cs="仿宋"/>
                <w:kern w:val="0"/>
                <w:szCs w:val="21"/>
              </w:rPr>
            </w:pPr>
            <w:r>
              <w:rPr>
                <w:rFonts w:hint="eastAsia" w:ascii="仿宋" w:hAnsi="仿宋" w:cs="仿宋"/>
                <w:kern w:val="0"/>
                <w:szCs w:val="21"/>
              </w:rPr>
              <w:t>39.3</w:t>
            </w:r>
          </w:p>
        </w:tc>
        <w:tc>
          <w:tcPr>
            <w:tcW w:w="1962" w:type="dxa"/>
            <w:tcBorders>
              <w:top w:val="single" w:color="auto" w:sz="4" w:space="0"/>
              <w:left w:val="single" w:color="auto" w:sz="4" w:space="0"/>
              <w:bottom w:val="single" w:color="auto" w:sz="4" w:space="0"/>
              <w:right w:val="single" w:color="auto" w:sz="8" w:space="0"/>
            </w:tcBorders>
            <w:vAlign w:val="center"/>
          </w:tcPr>
          <w:p>
            <w:pPr>
              <w:widowControl/>
              <w:jc w:val="center"/>
              <w:rPr>
                <w:rFonts w:ascii="仿宋" w:hAnsi="仿宋" w:cs="仿宋"/>
                <w:kern w:val="0"/>
                <w:szCs w:val="21"/>
              </w:rPr>
            </w:pPr>
            <w:r>
              <w:rPr>
                <w:rFonts w:hint="eastAsia" w:ascii="仿宋" w:hAnsi="仿宋" w:cs="仿宋"/>
                <w:kern w:val="0"/>
                <w:szCs w:val="21"/>
              </w:rPr>
              <w:t>质疑</w:t>
            </w:r>
          </w:p>
        </w:tc>
        <w:tc>
          <w:tcPr>
            <w:tcW w:w="6028" w:type="dxa"/>
            <w:tcBorders>
              <w:top w:val="single" w:color="auto" w:sz="4" w:space="0"/>
              <w:left w:val="nil"/>
              <w:bottom w:val="single" w:color="auto" w:sz="4" w:space="0"/>
              <w:right w:val="single" w:color="auto" w:sz="8" w:space="0"/>
            </w:tcBorders>
            <w:vAlign w:val="center"/>
          </w:tcPr>
          <w:p>
            <w:pPr>
              <w:widowControl/>
              <w:rPr>
                <w:rFonts w:ascii="仿宋" w:hAnsi="仿宋" w:cs="仿宋"/>
                <w:szCs w:val="21"/>
              </w:rPr>
            </w:pPr>
            <w:r>
              <w:rPr>
                <w:rFonts w:hint="eastAsia" w:ascii="仿宋" w:hAnsi="仿宋" w:cs="仿宋"/>
                <w:szCs w:val="21"/>
              </w:rPr>
              <w:t>一、供应商认为自己的权益受到损害的，可以在知道或者应知其权益受到损害之日起七个工作日内，向采购代理机构提出质疑。</w:t>
            </w:r>
          </w:p>
          <w:p>
            <w:pPr>
              <w:widowControl/>
              <w:rPr>
                <w:rFonts w:ascii="仿宋" w:hAnsi="仿宋" w:cs="仿宋"/>
                <w:szCs w:val="21"/>
              </w:rPr>
            </w:pPr>
            <w:r>
              <w:rPr>
                <w:rFonts w:hint="eastAsia" w:ascii="仿宋" w:hAnsi="仿宋" w:cs="仿宋"/>
                <w:szCs w:val="21"/>
              </w:rPr>
              <w:t>1、接收质疑函的方式：接收加盖单位公章的书面质疑函</w:t>
            </w:r>
          </w:p>
          <w:p>
            <w:pPr>
              <w:widowControl/>
              <w:ind w:firstLine="210" w:firstLineChars="100"/>
              <w:rPr>
                <w:rFonts w:ascii="仿宋" w:hAnsi="仿宋" w:cs="仿宋"/>
                <w:kern w:val="0"/>
                <w:szCs w:val="21"/>
                <w:u w:val="single"/>
              </w:rPr>
            </w:pPr>
            <w:r>
              <w:rPr>
                <w:rFonts w:hint="eastAsia" w:ascii="仿宋" w:hAnsi="仿宋" w:cs="仿宋"/>
                <w:szCs w:val="21"/>
              </w:rPr>
              <w:t>联系单位：</w:t>
            </w:r>
            <w:r>
              <w:rPr>
                <w:rFonts w:hint="eastAsia" w:ascii="仿宋" w:hAnsi="仿宋" w:cs="仿宋"/>
                <w:szCs w:val="21"/>
                <w:u w:val="single"/>
              </w:rPr>
              <w:t>辽宁浩亿招投标有限公司</w:t>
            </w:r>
          </w:p>
          <w:p>
            <w:pPr>
              <w:widowControl/>
              <w:ind w:firstLine="210" w:firstLineChars="100"/>
              <w:rPr>
                <w:rFonts w:ascii="仿宋" w:hAnsi="仿宋" w:cs="仿宋"/>
                <w:szCs w:val="21"/>
              </w:rPr>
            </w:pPr>
            <w:r>
              <w:rPr>
                <w:rFonts w:hint="eastAsia" w:ascii="仿宋" w:hAnsi="仿宋" w:cs="仿宋"/>
                <w:szCs w:val="21"/>
              </w:rPr>
              <w:t>联 系 人：</w:t>
            </w:r>
            <w:r>
              <w:rPr>
                <w:rFonts w:hint="eastAsia" w:ascii="仿宋" w:hAnsi="仿宋" w:cs="仿宋"/>
                <w:kern w:val="0"/>
                <w:szCs w:val="21"/>
                <w:u w:val="single"/>
              </w:rPr>
              <w:t>赵旭、张芳、曹雨</w:t>
            </w:r>
          </w:p>
          <w:p>
            <w:pPr>
              <w:widowControl/>
              <w:ind w:firstLine="210" w:firstLineChars="100"/>
              <w:rPr>
                <w:rFonts w:ascii="仿宋" w:hAnsi="仿宋" w:cs="仿宋"/>
                <w:szCs w:val="21"/>
              </w:rPr>
            </w:pPr>
            <w:r>
              <w:rPr>
                <w:rFonts w:hint="eastAsia" w:ascii="仿宋" w:hAnsi="仿宋" w:cs="仿宋"/>
                <w:szCs w:val="21"/>
              </w:rPr>
              <w:t>联系电话：</w:t>
            </w:r>
            <w:r>
              <w:rPr>
                <w:rFonts w:hint="eastAsia" w:ascii="仿宋" w:hAnsi="仿宋" w:cs="仿宋"/>
                <w:szCs w:val="21"/>
                <w:u w:val="single"/>
              </w:rPr>
              <w:t>024-81231520</w:t>
            </w:r>
          </w:p>
          <w:p>
            <w:pPr>
              <w:widowControl/>
              <w:ind w:firstLine="210" w:firstLineChars="100"/>
              <w:rPr>
                <w:rFonts w:ascii="仿宋" w:hAnsi="仿宋" w:cs="仿宋"/>
                <w:szCs w:val="21"/>
              </w:rPr>
            </w:pPr>
            <w:r>
              <w:rPr>
                <w:rFonts w:hint="eastAsia" w:ascii="仿宋" w:hAnsi="仿宋" w:cs="仿宋"/>
                <w:szCs w:val="21"/>
              </w:rPr>
              <w:t>通讯地址：</w:t>
            </w:r>
            <w:r>
              <w:rPr>
                <w:rFonts w:hint="eastAsia" w:ascii="仿宋" w:hAnsi="仿宋" w:cs="仿宋"/>
                <w:szCs w:val="21"/>
                <w:u w:val="single"/>
              </w:rPr>
              <w:t>沈阳市皇姑区同江街11-1号3门</w:t>
            </w:r>
          </w:p>
          <w:p>
            <w:pPr>
              <w:widowControl/>
              <w:rPr>
                <w:rFonts w:ascii="仿宋" w:hAnsi="仿宋" w:cs="仿宋"/>
                <w:szCs w:val="21"/>
              </w:rPr>
            </w:pPr>
            <w:r>
              <w:rPr>
                <w:rFonts w:hint="eastAsia" w:ascii="仿宋" w:hAnsi="仿宋" w:cs="仿宋"/>
                <w:szCs w:val="21"/>
              </w:rPr>
              <w:t>2、质疑函的内容、格式：应符合《政府采购质疑和投诉办法》相关规定和财政部门制定的《政府采购质疑函范本》格式。</w:t>
            </w:r>
          </w:p>
          <w:p>
            <w:pPr>
              <w:pStyle w:val="9"/>
              <w:rPr>
                <w:rFonts w:ascii="仿宋" w:hAnsi="仿宋" w:cs="仿宋"/>
                <w:kern w:val="0"/>
                <w:szCs w:val="21"/>
              </w:rPr>
            </w:pPr>
            <w:r>
              <w:rPr>
                <w:rFonts w:hint="eastAsia" w:ascii="仿宋" w:hAnsi="仿宋" w:cs="仿宋"/>
                <w:szCs w:val="21"/>
              </w:rPr>
              <w:t>二、供应商应在法定质疑期内一次性针对同一采购程序环节提出质疑，否则针对再次提出质疑将不予接收。（采购程序环节分为：</w:t>
            </w:r>
            <w:r>
              <w:rPr>
                <w:rFonts w:hint="eastAsia" w:ascii="仿宋" w:hAnsi="仿宋" w:cs="仿宋"/>
                <w:kern w:val="0"/>
                <w:szCs w:val="21"/>
              </w:rPr>
              <w:t>招标</w:t>
            </w:r>
            <w:r>
              <w:rPr>
                <w:rFonts w:hint="eastAsia" w:ascii="仿宋" w:hAnsi="仿宋" w:cs="仿宋"/>
                <w:szCs w:val="21"/>
              </w:rPr>
              <w:t>公告、招标文件、招标过程、中标结果）</w:t>
            </w:r>
          </w:p>
        </w:tc>
      </w:tr>
      <w:tr>
        <w:tblPrEx>
          <w:tblCellMar>
            <w:top w:w="0" w:type="dxa"/>
            <w:left w:w="108" w:type="dxa"/>
            <w:bottom w:w="0" w:type="dxa"/>
            <w:right w:w="108" w:type="dxa"/>
          </w:tblCellMar>
        </w:tblPrEx>
        <w:trPr>
          <w:trHeight w:val="465" w:hRule="atLeast"/>
        </w:trPr>
        <w:tc>
          <w:tcPr>
            <w:tcW w:w="873" w:type="dxa"/>
            <w:tcBorders>
              <w:top w:val="single" w:color="auto" w:sz="4" w:space="0"/>
              <w:left w:val="single" w:color="auto" w:sz="8" w:space="0"/>
              <w:bottom w:val="single" w:color="auto" w:sz="8" w:space="0"/>
              <w:right w:val="single" w:color="auto" w:sz="4" w:space="0"/>
            </w:tcBorders>
            <w:vAlign w:val="center"/>
          </w:tcPr>
          <w:p>
            <w:pPr>
              <w:widowControl/>
              <w:jc w:val="center"/>
              <w:rPr>
                <w:rFonts w:ascii="仿宋" w:hAnsi="仿宋" w:cs="仿宋"/>
                <w:kern w:val="0"/>
                <w:szCs w:val="21"/>
              </w:rPr>
            </w:pPr>
          </w:p>
        </w:tc>
        <w:tc>
          <w:tcPr>
            <w:tcW w:w="1962" w:type="dxa"/>
            <w:tcBorders>
              <w:top w:val="single" w:color="auto" w:sz="4" w:space="0"/>
              <w:left w:val="single" w:color="auto" w:sz="4" w:space="0"/>
              <w:bottom w:val="single" w:color="auto" w:sz="8" w:space="0"/>
              <w:right w:val="single" w:color="auto" w:sz="8" w:space="0"/>
            </w:tcBorders>
            <w:vAlign w:val="center"/>
          </w:tcPr>
          <w:p>
            <w:pPr>
              <w:widowControl/>
              <w:jc w:val="center"/>
              <w:rPr>
                <w:rFonts w:ascii="仿宋" w:hAnsi="仿宋" w:cs="仿宋"/>
                <w:kern w:val="0"/>
                <w:szCs w:val="21"/>
              </w:rPr>
            </w:pPr>
            <w:r>
              <w:rPr>
                <w:rFonts w:hint="eastAsia" w:ascii="仿宋" w:hAnsi="仿宋" w:cs="仿宋"/>
                <w:kern w:val="0"/>
                <w:szCs w:val="21"/>
              </w:rPr>
              <w:t>其他</w:t>
            </w:r>
          </w:p>
        </w:tc>
        <w:tc>
          <w:tcPr>
            <w:tcW w:w="6028" w:type="dxa"/>
            <w:tcBorders>
              <w:top w:val="single" w:color="auto" w:sz="4" w:space="0"/>
              <w:left w:val="nil"/>
              <w:bottom w:val="single" w:color="auto" w:sz="8" w:space="0"/>
              <w:right w:val="single" w:color="auto" w:sz="8" w:space="0"/>
            </w:tcBorders>
            <w:vAlign w:val="center"/>
          </w:tcPr>
          <w:p>
            <w:pPr>
              <w:pStyle w:val="9"/>
              <w:rPr>
                <w:rFonts w:ascii="仿宋" w:hAnsi="仿宋" w:cs="仿宋"/>
                <w:szCs w:val="21"/>
              </w:rPr>
            </w:pPr>
            <w:r>
              <w:rPr>
                <w:rFonts w:hint="eastAsia" w:ascii="仿宋" w:hAnsi="仿宋" w:cs="仿宋"/>
                <w:szCs w:val="21"/>
              </w:rPr>
              <w:t>公告发布媒介：中国政府采购网（www.ccgp.gov.cn）。此项目有可能进行时间或内容上的变更(澄清、补充等)，将在此媒介以公告等形式发布。</w:t>
            </w:r>
          </w:p>
        </w:tc>
      </w:tr>
    </w:tbl>
    <w:p>
      <w:pPr>
        <w:rPr>
          <w:rFonts w:ascii="仿宋" w:hAnsi="仿宋" w:cs="仿宋"/>
        </w:rPr>
      </w:pPr>
      <w:r>
        <w:rPr>
          <w:rFonts w:hint="eastAsia" w:ascii="仿宋" w:hAnsi="仿宋" w:cs="仿宋"/>
        </w:rPr>
        <w:t>注：表格中“</w:t>
      </w:r>
      <w:r>
        <w:rPr>
          <w:rFonts w:hint="eastAsia" w:ascii="仿宋" w:hAnsi="仿宋" w:cs="仿宋"/>
        </w:rPr>
        <w:sym w:font="Wingdings 2" w:char="0052"/>
      </w:r>
      <w:r>
        <w:rPr>
          <w:rFonts w:hint="eastAsia" w:ascii="仿宋" w:hAnsi="仿宋" w:cs="仿宋"/>
        </w:rPr>
        <w:t>”项或“■”项为被选中项。</w:t>
      </w:r>
    </w:p>
    <w:p>
      <w:pPr>
        <w:pStyle w:val="3"/>
        <w:adjustRightInd w:val="0"/>
        <w:snapToGrid w:val="0"/>
        <w:spacing w:before="0" w:after="0" w:line="360" w:lineRule="auto"/>
        <w:rPr>
          <w:rFonts w:ascii="仿宋" w:hAnsi="仿宋" w:cs="仿宋"/>
          <w:sz w:val="32"/>
          <w:szCs w:val="36"/>
        </w:rPr>
      </w:pPr>
      <w:r>
        <w:rPr>
          <w:rFonts w:hint="eastAsia" w:ascii="仿宋" w:hAnsi="仿宋" w:cs="仿宋"/>
          <w:sz w:val="21"/>
          <w:szCs w:val="21"/>
        </w:rPr>
        <w:br w:type="page"/>
      </w:r>
      <w:bookmarkStart w:id="36" w:name="_Toc30384_WPSOffice_Level2"/>
      <w:bookmarkStart w:id="37" w:name="_Toc17725_WPSOffice_Level1"/>
      <w:bookmarkStart w:id="38" w:name="_Toc6403"/>
      <w:r>
        <w:rPr>
          <w:rFonts w:hint="eastAsia" w:ascii="仿宋" w:hAnsi="仿宋" w:cs="仿宋"/>
          <w:sz w:val="32"/>
          <w:szCs w:val="36"/>
        </w:rPr>
        <w:t>二 总则</w:t>
      </w:r>
      <w:bookmarkEnd w:id="36"/>
    </w:p>
    <w:p>
      <w:pPr>
        <w:adjustRightInd w:val="0"/>
        <w:snapToGrid w:val="0"/>
        <w:spacing w:line="360" w:lineRule="auto"/>
        <w:rPr>
          <w:rFonts w:ascii="仿宋" w:hAnsi="仿宋" w:cs="仿宋"/>
          <w:b/>
          <w:bCs/>
          <w:szCs w:val="21"/>
        </w:rPr>
      </w:pPr>
      <w:r>
        <w:rPr>
          <w:rFonts w:hint="eastAsia" w:ascii="仿宋" w:hAnsi="仿宋" w:cs="仿宋"/>
          <w:b/>
          <w:bCs/>
          <w:szCs w:val="21"/>
        </w:rPr>
        <w:t>1.采购人、采购代理机构及供应商</w:t>
      </w:r>
    </w:p>
    <w:p>
      <w:pPr>
        <w:adjustRightInd w:val="0"/>
        <w:snapToGrid w:val="0"/>
        <w:spacing w:line="360" w:lineRule="auto"/>
        <w:rPr>
          <w:rFonts w:ascii="仿宋" w:hAnsi="仿宋" w:cs="仿宋"/>
          <w:szCs w:val="21"/>
        </w:rPr>
      </w:pPr>
      <w:r>
        <w:rPr>
          <w:rFonts w:hint="eastAsia" w:ascii="仿宋" w:hAnsi="仿宋" w:cs="仿宋"/>
          <w:szCs w:val="21"/>
        </w:rPr>
        <w:t>1.1采购人：沈阳市消防救援支队</w:t>
      </w:r>
    </w:p>
    <w:p>
      <w:pPr>
        <w:adjustRightInd w:val="0"/>
        <w:snapToGrid w:val="0"/>
        <w:spacing w:line="360" w:lineRule="auto"/>
        <w:rPr>
          <w:rFonts w:ascii="仿宋" w:hAnsi="仿宋" w:cs="仿宋"/>
          <w:szCs w:val="21"/>
        </w:rPr>
      </w:pPr>
      <w:r>
        <w:rPr>
          <w:rFonts w:hint="eastAsia" w:ascii="仿宋" w:hAnsi="仿宋" w:cs="仿宋"/>
          <w:szCs w:val="21"/>
        </w:rPr>
        <w:t>1.2采购代理机构：是指集中采购机构或从事采购代理业务的社会中介机构，本项目的采购代理机构见供应商须知表1.2款。</w:t>
      </w:r>
    </w:p>
    <w:p>
      <w:pPr>
        <w:adjustRightInd w:val="0"/>
        <w:snapToGrid w:val="0"/>
        <w:spacing w:line="360" w:lineRule="auto"/>
        <w:rPr>
          <w:rFonts w:ascii="仿宋" w:hAnsi="仿宋" w:cs="仿宋"/>
          <w:szCs w:val="21"/>
        </w:rPr>
      </w:pPr>
      <w:r>
        <w:rPr>
          <w:rFonts w:hint="eastAsia" w:ascii="仿宋" w:hAnsi="仿宋" w:cs="仿宋"/>
          <w:szCs w:val="21"/>
        </w:rPr>
        <w:t>★1.3供应商：是指向采购人提供货物、工程或者服务的法人、非法人组织或者自然人。本项目的供应商及其投标货物须满足以下条件：</w:t>
      </w:r>
    </w:p>
    <w:p>
      <w:pPr>
        <w:adjustRightInd w:val="0"/>
        <w:snapToGrid w:val="0"/>
        <w:spacing w:line="360" w:lineRule="auto"/>
        <w:rPr>
          <w:rFonts w:ascii="仿宋" w:hAnsi="仿宋" w:cs="仿宋"/>
          <w:szCs w:val="21"/>
        </w:rPr>
      </w:pPr>
      <w:r>
        <w:rPr>
          <w:rFonts w:hint="eastAsia" w:ascii="仿宋" w:hAnsi="仿宋" w:cs="仿宋"/>
          <w:szCs w:val="21"/>
        </w:rPr>
        <w:t>1.3.1在中华人民共和国境内注册，能够独立承担民事责任，有生产或供应能力的本国供应商。</w:t>
      </w:r>
    </w:p>
    <w:p>
      <w:pPr>
        <w:adjustRightInd w:val="0"/>
        <w:snapToGrid w:val="0"/>
        <w:spacing w:line="360" w:lineRule="auto"/>
        <w:rPr>
          <w:rFonts w:ascii="仿宋" w:hAnsi="仿宋" w:cs="仿宋"/>
          <w:szCs w:val="21"/>
        </w:rPr>
      </w:pPr>
      <w:r>
        <w:rPr>
          <w:rFonts w:hint="eastAsia" w:ascii="仿宋" w:hAnsi="仿宋" w:cs="仿宋"/>
          <w:szCs w:val="21"/>
        </w:rPr>
        <w:t>1.3.2符合《中华人民共和国政府采购法》第二十二条关于供应商条件的规定，遵守本项目采购人本级和上级财政部门关于政府采购的有关规定。</w:t>
      </w:r>
    </w:p>
    <w:p>
      <w:pPr>
        <w:adjustRightInd w:val="0"/>
        <w:snapToGrid w:val="0"/>
        <w:spacing w:line="360" w:lineRule="auto"/>
        <w:rPr>
          <w:rFonts w:ascii="仿宋" w:hAnsi="仿宋" w:cs="仿宋"/>
          <w:szCs w:val="21"/>
        </w:rPr>
      </w:pPr>
      <w:r>
        <w:rPr>
          <w:rFonts w:hint="eastAsia" w:ascii="仿宋" w:hAnsi="仿宋" w:cs="仿宋"/>
          <w:szCs w:val="21"/>
        </w:rPr>
        <w:t>1.3.3以采购代理机构认可的方式获得了本项目的招标文件。</w:t>
      </w:r>
    </w:p>
    <w:p>
      <w:pPr>
        <w:adjustRightInd w:val="0"/>
        <w:snapToGrid w:val="0"/>
        <w:spacing w:line="360" w:lineRule="auto"/>
        <w:rPr>
          <w:rFonts w:ascii="仿宋" w:hAnsi="仿宋" w:cs="仿宋"/>
          <w:szCs w:val="21"/>
        </w:rPr>
      </w:pPr>
      <w:r>
        <w:rPr>
          <w:rFonts w:hint="eastAsia" w:ascii="仿宋" w:hAnsi="仿宋" w:cs="仿宋"/>
          <w:szCs w:val="21"/>
        </w:rPr>
        <w:t>1.3.4符合供应商须知表1.3.4款中规定的资格条件。</w:t>
      </w:r>
    </w:p>
    <w:p>
      <w:pPr>
        <w:adjustRightInd w:val="0"/>
        <w:snapToGrid w:val="0"/>
        <w:spacing w:line="360" w:lineRule="auto"/>
        <w:rPr>
          <w:rFonts w:ascii="仿宋" w:hAnsi="仿宋" w:cs="仿宋"/>
          <w:szCs w:val="21"/>
        </w:rPr>
      </w:pPr>
      <w:r>
        <w:rPr>
          <w:rFonts w:hint="eastAsia" w:ascii="仿宋" w:hAnsi="仿宋" w:cs="仿宋"/>
          <w:szCs w:val="21"/>
        </w:rPr>
        <w:t>1.3.5若供应商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投进口产品可履行合法报通关手续进入中国关境内，但不限制满足招标文件要求的国内产品参与投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若供应商须知表1.3.5款中未写明允许采购进口产品，如供应商所投产品为进口产品，其投标将被认定为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1.3.6若供应商须知表1.3.6款中写明专门面向中小企业采购的，如供应商不符合“关于印发《政府采购促进中小企业发展管理办法》的通知（财库〔2020〕46号）”第四条规定的中小企业的情形，其投标将被认定为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1.3.7若供应商须知表1.3.7款中写明采购的产品为财政部、发展改革委、生态环境部等部门发布的品目清单中属于实施政府强制采购品目清单范围的节能产品，如供应商所投产品不具备依据国家确定的认证机构出具的、处于有效期之内的节能产品认证证书，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★1.4如供应商须知表1.4款中允许联合体投标，对联合体规定如下：</w:t>
      </w:r>
    </w:p>
    <w:p>
      <w:pPr>
        <w:adjustRightInd w:val="0"/>
        <w:snapToGrid w:val="0"/>
        <w:spacing w:line="360" w:lineRule="auto"/>
        <w:rPr>
          <w:rFonts w:ascii="仿宋" w:hAnsi="仿宋" w:cs="仿宋"/>
          <w:szCs w:val="21"/>
        </w:rPr>
      </w:pPr>
      <w:r>
        <w:rPr>
          <w:rFonts w:hint="eastAsia" w:ascii="仿宋" w:hAnsi="仿宋" w:cs="仿宋"/>
          <w:szCs w:val="21"/>
        </w:rPr>
        <w:t>1.4.1两个以上供应商可以组成一个投标联合体，以一个供应商的身份投标。</w:t>
      </w:r>
    </w:p>
    <w:p>
      <w:pPr>
        <w:adjustRightInd w:val="0"/>
        <w:snapToGrid w:val="0"/>
        <w:spacing w:line="360" w:lineRule="auto"/>
        <w:rPr>
          <w:rFonts w:ascii="仿宋" w:hAnsi="仿宋" w:cs="仿宋"/>
          <w:szCs w:val="21"/>
        </w:rPr>
      </w:pPr>
      <w:r>
        <w:rPr>
          <w:rFonts w:hint="eastAsia" w:ascii="仿宋" w:hAnsi="仿宋" w:cs="仿宋"/>
          <w:szCs w:val="21"/>
        </w:rPr>
        <w:t>1.4.2联合体各方均应符合《中华人民共和国政府采购法》第二十二条规定的条件。</w:t>
      </w:r>
    </w:p>
    <w:p>
      <w:pPr>
        <w:adjustRightInd w:val="0"/>
        <w:snapToGrid w:val="0"/>
        <w:spacing w:line="360" w:lineRule="auto"/>
        <w:rPr>
          <w:rFonts w:ascii="仿宋" w:hAnsi="仿宋" w:cs="仿宋"/>
          <w:szCs w:val="21"/>
        </w:rPr>
      </w:pPr>
      <w:r>
        <w:rPr>
          <w:rFonts w:hint="eastAsia" w:ascii="仿宋" w:hAnsi="仿宋" w:cs="仿宋"/>
          <w:szCs w:val="21"/>
        </w:rPr>
        <w:t>1.4.3采购人根据采购项目对供应商的特殊要求，联合体中至少应当有一方符合相关规定。</w:t>
      </w:r>
    </w:p>
    <w:p>
      <w:pPr>
        <w:adjustRightInd w:val="0"/>
        <w:snapToGrid w:val="0"/>
        <w:spacing w:line="360" w:lineRule="auto"/>
        <w:rPr>
          <w:rFonts w:ascii="仿宋" w:hAnsi="仿宋" w:cs="仿宋"/>
          <w:szCs w:val="21"/>
        </w:rPr>
      </w:pPr>
      <w:r>
        <w:rPr>
          <w:rFonts w:hint="eastAsia" w:ascii="仿宋" w:hAnsi="仿宋" w:cs="仿宋"/>
          <w:szCs w:val="21"/>
        </w:rPr>
        <w:t>1.4.4联合体各方应签订共同投标协议，明确约定联合体各方承担的工作和相应的责任。</w:t>
      </w:r>
    </w:p>
    <w:p>
      <w:pPr>
        <w:adjustRightInd w:val="0"/>
        <w:snapToGrid w:val="0"/>
        <w:spacing w:line="360" w:lineRule="auto"/>
        <w:rPr>
          <w:rFonts w:ascii="仿宋" w:hAnsi="仿宋" w:cs="仿宋"/>
          <w:szCs w:val="21"/>
        </w:rPr>
      </w:pPr>
      <w:r>
        <w:rPr>
          <w:rFonts w:hint="eastAsia" w:ascii="仿宋" w:hAnsi="仿宋" w:cs="仿宋"/>
          <w:szCs w:val="21"/>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rPr>
          <w:rFonts w:ascii="仿宋" w:hAnsi="仿宋" w:cs="仿宋"/>
          <w:szCs w:val="21"/>
        </w:rPr>
      </w:pPr>
      <w:r>
        <w:rPr>
          <w:rFonts w:hint="eastAsia" w:ascii="仿宋" w:hAnsi="仿宋" w:cs="仿宋"/>
          <w:szCs w:val="21"/>
        </w:rPr>
        <w:t>1.4.6联合体中有同类资质的供应商按照联合体分工承担相同工作的，按照较低的资质等级确定联合体的资质等级。</w:t>
      </w:r>
    </w:p>
    <w:p>
      <w:pPr>
        <w:adjustRightInd w:val="0"/>
        <w:snapToGrid w:val="0"/>
        <w:spacing w:line="360" w:lineRule="auto"/>
        <w:rPr>
          <w:rFonts w:ascii="仿宋" w:hAnsi="仿宋" w:cs="仿宋"/>
          <w:szCs w:val="21"/>
        </w:rPr>
      </w:pPr>
      <w:r>
        <w:rPr>
          <w:rFonts w:hint="eastAsia" w:ascii="仿宋" w:hAnsi="仿宋" w:cs="仿宋"/>
          <w:szCs w:val="21"/>
        </w:rPr>
        <w:t>1.4.7以联合体形式参加政府采购活动的，联合体各方不得再单独参加或者与其他供应商另外组成联合体参加本项目投标，否则相关投标将被认定为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（1）两个以上的自然人、法人或者其他组织可以组成一个联合体，以一个供应商的身份共同参加政府采购活动。</w:t>
      </w:r>
    </w:p>
    <w:p>
      <w:pPr>
        <w:adjustRightInd w:val="0"/>
        <w:snapToGrid w:val="0"/>
        <w:spacing w:line="360" w:lineRule="auto"/>
        <w:rPr>
          <w:rFonts w:ascii="仿宋" w:hAnsi="仿宋" w:cs="仿宋"/>
          <w:szCs w:val="21"/>
        </w:rPr>
      </w:pPr>
      <w:r>
        <w:rPr>
          <w:rFonts w:hint="eastAsia" w:ascii="仿宋" w:hAnsi="仿宋" w:cs="仿宋"/>
          <w:szCs w:val="21"/>
        </w:rPr>
        <w:t>（2）联合体中标的，联合体各方应共同与采购人签订采购合同，就采购合同约定的事项对采购人承担连带责任。</w:t>
      </w:r>
    </w:p>
    <w:p>
      <w:pPr>
        <w:adjustRightInd w:val="0"/>
        <w:snapToGrid w:val="0"/>
        <w:spacing w:line="360" w:lineRule="auto"/>
        <w:rPr>
          <w:rFonts w:ascii="仿宋" w:hAnsi="仿宋" w:cs="仿宋"/>
          <w:szCs w:val="21"/>
        </w:rPr>
      </w:pPr>
      <w:r>
        <w:rPr>
          <w:rFonts w:hint="eastAsia" w:ascii="仿宋" w:hAnsi="仿宋" w:cs="仿宋"/>
          <w:szCs w:val="21"/>
        </w:rPr>
        <w:t>1.4.8对联合体投标的其他资格要求见供应商须知表1.4.8款。</w:t>
      </w:r>
    </w:p>
    <w:p>
      <w:pPr>
        <w:adjustRightInd w:val="0"/>
        <w:snapToGrid w:val="0"/>
        <w:spacing w:line="360" w:lineRule="auto"/>
        <w:rPr>
          <w:rFonts w:ascii="仿宋" w:hAnsi="仿宋" w:cs="仿宋"/>
          <w:szCs w:val="21"/>
        </w:rPr>
      </w:pPr>
      <w:r>
        <w:rPr>
          <w:rFonts w:hint="eastAsia" w:ascii="仿宋" w:hAnsi="仿宋" w:cs="仿宋"/>
          <w:szCs w:val="21"/>
        </w:rPr>
        <w:t>★1.5单位负责人为同一人或者存在直接控股、管理关系的不同供应商，其相关投标将被认定为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★1.6为本项目提供过整体设计、规范编制或者项目管理、监理、检测等服务的供应商，不得再参加本项目上述服务以外的其他采购活动，否则其投标将被认定为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★1.7供应商在投标过程中不得向采购人提供、给予任何有价值的物品，影响其正常决策行为。一经发现，其将被认定为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★1.8与本招标项目其他投标人代理同一个制造商同一品牌同一型号的设备投标，其将被认定为投标无效。</w:t>
      </w:r>
    </w:p>
    <w:p>
      <w:pPr>
        <w:adjustRightInd w:val="0"/>
        <w:snapToGrid w:val="0"/>
        <w:spacing w:line="360" w:lineRule="auto"/>
        <w:rPr>
          <w:rFonts w:ascii="仿宋" w:hAnsi="仿宋" w:cs="仿宋"/>
          <w:szCs w:val="21"/>
        </w:rPr>
      </w:pPr>
      <w:r>
        <w:rPr>
          <w:rFonts w:hint="eastAsia" w:ascii="仿宋" w:hAnsi="仿宋" w:cs="仿宋"/>
          <w:szCs w:val="21"/>
        </w:rPr>
        <w:t>★1.9为本招标项目的招标代理机构，其将被认定为投标无效。</w:t>
      </w:r>
    </w:p>
    <w:p>
      <w:pPr>
        <w:adjustRightInd w:val="0"/>
        <w:snapToGrid w:val="0"/>
        <w:spacing w:line="360" w:lineRule="auto"/>
        <w:rPr>
          <w:rFonts w:ascii="仿宋" w:hAnsi="仿宋" w:cs="仿宋"/>
          <w:szCs w:val="21"/>
        </w:rPr>
      </w:pPr>
      <w:r>
        <w:rPr>
          <w:rFonts w:hint="eastAsia" w:ascii="仿宋" w:hAnsi="仿宋" w:cs="仿宋"/>
          <w:szCs w:val="21"/>
        </w:rPr>
        <w:t>★1.10 与本招标项目的监理人或代建人或招标代理机构同为一个法定代表人，其将被认定为投标无效。</w:t>
      </w:r>
    </w:p>
    <w:p>
      <w:pPr>
        <w:adjustRightInd w:val="0"/>
        <w:snapToGrid w:val="0"/>
        <w:spacing w:line="360" w:lineRule="auto"/>
        <w:rPr>
          <w:rFonts w:ascii="仿宋" w:hAnsi="仿宋" w:cs="仿宋"/>
          <w:szCs w:val="21"/>
        </w:rPr>
      </w:pPr>
      <w:r>
        <w:rPr>
          <w:rFonts w:hint="eastAsia" w:ascii="仿宋" w:hAnsi="仿宋" w:cs="仿宋"/>
          <w:szCs w:val="21"/>
        </w:rPr>
        <w:t>★1.11 与本招标项目的监理人或代建人或招标代理机构存在控股或参股关系，其将被认定为投标无效。</w:t>
      </w:r>
    </w:p>
    <w:p>
      <w:pPr>
        <w:adjustRightInd w:val="0"/>
        <w:snapToGrid w:val="0"/>
        <w:spacing w:line="360" w:lineRule="auto"/>
        <w:rPr>
          <w:rFonts w:ascii="仿宋" w:hAnsi="仿宋" w:cs="仿宋"/>
          <w:szCs w:val="21"/>
        </w:rPr>
      </w:pPr>
      <w:r>
        <w:rPr>
          <w:rFonts w:hint="eastAsia" w:ascii="仿宋" w:hAnsi="仿宋" w:cs="仿宋"/>
          <w:szCs w:val="21"/>
        </w:rPr>
        <w:t>★1.12 被依法暂停或者取消投标资格，其将被认定为投标无效。</w:t>
      </w:r>
    </w:p>
    <w:p>
      <w:pPr>
        <w:adjustRightInd w:val="0"/>
        <w:snapToGrid w:val="0"/>
        <w:spacing w:line="360" w:lineRule="auto"/>
        <w:rPr>
          <w:rFonts w:ascii="仿宋" w:hAnsi="仿宋" w:cs="仿宋"/>
          <w:szCs w:val="21"/>
        </w:rPr>
      </w:pPr>
      <w:r>
        <w:rPr>
          <w:rFonts w:hint="eastAsia" w:ascii="仿宋" w:hAnsi="仿宋" w:cs="仿宋"/>
          <w:szCs w:val="21"/>
        </w:rPr>
        <w:t>★1.13 被责令停产停业、暂扣或者吊销许可证、暂扣或者吊销执照，其将被认定为投标无效。</w:t>
      </w:r>
    </w:p>
    <w:p>
      <w:pPr>
        <w:adjustRightInd w:val="0"/>
        <w:snapToGrid w:val="0"/>
        <w:spacing w:line="360" w:lineRule="auto"/>
        <w:rPr>
          <w:rFonts w:ascii="仿宋" w:hAnsi="仿宋" w:cs="仿宋"/>
          <w:szCs w:val="21"/>
        </w:rPr>
      </w:pPr>
      <w:r>
        <w:rPr>
          <w:rFonts w:hint="eastAsia" w:ascii="仿宋" w:hAnsi="仿宋" w:cs="仿宋"/>
          <w:szCs w:val="21"/>
        </w:rPr>
        <w:t>★1.14 进入清算程序，或被宣告破产，或其他丧失履约能力的情形，其将被认定为投标无效。</w:t>
      </w:r>
    </w:p>
    <w:p>
      <w:pPr>
        <w:adjustRightInd w:val="0"/>
        <w:snapToGrid w:val="0"/>
        <w:spacing w:line="360" w:lineRule="auto"/>
        <w:rPr>
          <w:rFonts w:ascii="仿宋" w:hAnsi="仿宋" w:cs="仿宋"/>
          <w:szCs w:val="21"/>
        </w:rPr>
      </w:pPr>
      <w:r>
        <w:rPr>
          <w:rFonts w:hint="eastAsia" w:ascii="仿宋" w:hAnsi="仿宋" w:cs="仿宋"/>
          <w:szCs w:val="21"/>
        </w:rPr>
        <w:t>★1.15 在最近三年内发生重大产品质量问题（以相关行业主管部门的行政处罚决定或司法机关出具的有关法律文书为准），其将被认定为投标无效。</w:t>
      </w:r>
    </w:p>
    <w:p>
      <w:pPr>
        <w:adjustRightInd w:val="0"/>
        <w:snapToGrid w:val="0"/>
        <w:spacing w:line="360" w:lineRule="auto"/>
        <w:rPr>
          <w:rFonts w:ascii="仿宋" w:hAnsi="仿宋" w:cs="仿宋"/>
          <w:szCs w:val="21"/>
        </w:rPr>
      </w:pPr>
      <w:r>
        <w:rPr>
          <w:rFonts w:hint="eastAsia" w:ascii="仿宋" w:hAnsi="仿宋" w:cs="仿宋"/>
          <w:szCs w:val="21"/>
        </w:rPr>
        <w:t>★1.16 被工商行政管理机关在全国企业信用信息公示系统中列入严重违法失信企业名单，其将被认定为投标无效。</w:t>
      </w:r>
    </w:p>
    <w:p>
      <w:pPr>
        <w:adjustRightInd w:val="0"/>
        <w:snapToGrid w:val="0"/>
        <w:spacing w:line="360" w:lineRule="auto"/>
        <w:rPr>
          <w:rFonts w:ascii="仿宋" w:hAnsi="仿宋" w:cs="仿宋"/>
          <w:szCs w:val="21"/>
        </w:rPr>
      </w:pPr>
      <w:r>
        <w:rPr>
          <w:rFonts w:hint="eastAsia" w:ascii="仿宋" w:hAnsi="仿宋" w:cs="仿宋"/>
          <w:szCs w:val="21"/>
        </w:rPr>
        <w:t>★1.17 被最高人民法院在“信用中国”网站（www.creditchina.gov.cn）或各级信用信息共享平台中列入失信被执行人名单，其将被认定为投标无效。</w:t>
      </w:r>
    </w:p>
    <w:p>
      <w:pPr>
        <w:adjustRightInd w:val="0"/>
        <w:snapToGrid w:val="0"/>
        <w:spacing w:line="360" w:lineRule="auto"/>
        <w:rPr>
          <w:rFonts w:ascii="仿宋" w:hAnsi="仿宋" w:cs="仿宋"/>
          <w:szCs w:val="21"/>
        </w:rPr>
      </w:pPr>
      <w:r>
        <w:rPr>
          <w:rFonts w:hint="eastAsia" w:ascii="仿宋" w:hAnsi="仿宋" w:cs="仿宋"/>
          <w:szCs w:val="21"/>
        </w:rPr>
        <w:t>★1.18 在近三年内投标人或其法定代表人、拟委任的项目负责人有行贿犯罪行为的（以检察机关职务犯罪预防部门出具的查询结果为准），其将被认定为投标无效。</w:t>
      </w:r>
    </w:p>
    <w:p>
      <w:pPr>
        <w:adjustRightInd w:val="0"/>
        <w:snapToGrid w:val="0"/>
        <w:spacing w:line="360" w:lineRule="auto"/>
        <w:rPr>
          <w:rFonts w:ascii="仿宋" w:hAnsi="仿宋" w:cs="仿宋"/>
          <w:b/>
          <w:bCs/>
          <w:szCs w:val="21"/>
        </w:rPr>
      </w:pPr>
      <w:r>
        <w:rPr>
          <w:rFonts w:hint="eastAsia" w:ascii="仿宋" w:hAnsi="仿宋" w:cs="仿宋"/>
          <w:szCs w:val="21"/>
        </w:rPr>
        <w:t>★1.19 法律法规或投标人须知前附表规定的其他被认定为投标无效的情形。</w:t>
      </w:r>
    </w:p>
    <w:p>
      <w:pPr>
        <w:adjustRightInd w:val="0"/>
        <w:snapToGrid w:val="0"/>
        <w:spacing w:line="360" w:lineRule="auto"/>
        <w:rPr>
          <w:rFonts w:ascii="仿宋" w:hAnsi="仿宋" w:cs="仿宋"/>
          <w:b/>
          <w:bCs/>
          <w:szCs w:val="21"/>
        </w:rPr>
      </w:pPr>
      <w:r>
        <w:rPr>
          <w:rFonts w:hint="eastAsia" w:ascii="仿宋" w:hAnsi="仿宋" w:cs="仿宋"/>
          <w:b/>
          <w:bCs/>
          <w:szCs w:val="21"/>
        </w:rPr>
        <w:t>2.资金来源</w:t>
      </w:r>
    </w:p>
    <w:p>
      <w:pPr>
        <w:adjustRightInd w:val="0"/>
        <w:snapToGrid w:val="0"/>
        <w:spacing w:line="360" w:lineRule="auto"/>
        <w:rPr>
          <w:rFonts w:ascii="仿宋" w:hAnsi="仿宋" w:cs="仿宋"/>
          <w:szCs w:val="21"/>
        </w:rPr>
      </w:pPr>
      <w:r>
        <w:rPr>
          <w:rFonts w:hint="eastAsia" w:ascii="仿宋" w:hAnsi="仿宋" w:cs="仿宋"/>
          <w:szCs w:val="21"/>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rPr>
          <w:rFonts w:ascii="仿宋" w:hAnsi="仿宋" w:cs="仿宋"/>
          <w:szCs w:val="21"/>
        </w:rPr>
      </w:pPr>
      <w:r>
        <w:rPr>
          <w:rFonts w:hint="eastAsia" w:ascii="仿宋" w:hAnsi="仿宋" w:cs="仿宋"/>
          <w:b/>
          <w:bCs/>
          <w:szCs w:val="21"/>
        </w:rPr>
        <w:t>★</w:t>
      </w:r>
      <w:r>
        <w:rPr>
          <w:rFonts w:hint="eastAsia" w:ascii="仿宋" w:hAnsi="仿宋" w:cs="仿宋"/>
          <w:szCs w:val="21"/>
        </w:rPr>
        <w:t>2.2项目预算金额和分项或分包最高限价见供应商须知表2.2款。</w:t>
      </w:r>
    </w:p>
    <w:p>
      <w:pPr>
        <w:adjustRightInd w:val="0"/>
        <w:snapToGrid w:val="0"/>
        <w:spacing w:line="360" w:lineRule="auto"/>
        <w:rPr>
          <w:rFonts w:ascii="仿宋" w:hAnsi="仿宋" w:cs="仿宋"/>
          <w:szCs w:val="21"/>
        </w:rPr>
      </w:pPr>
      <w:r>
        <w:rPr>
          <w:rFonts w:hint="eastAsia" w:ascii="仿宋" w:hAnsi="仿宋" w:cs="仿宋"/>
          <w:b/>
          <w:bCs/>
          <w:szCs w:val="21"/>
        </w:rPr>
        <w:t>★</w:t>
      </w:r>
      <w:r>
        <w:rPr>
          <w:rFonts w:hint="eastAsia" w:ascii="仿宋" w:hAnsi="仿宋" w:cs="仿宋"/>
          <w:szCs w:val="21"/>
        </w:rPr>
        <w:t>2.3供应商报价超过招标文件规定的预算金额或者分项、分包最高限价的，其投标将被认定为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b/>
          <w:bCs/>
          <w:szCs w:val="21"/>
        </w:rPr>
      </w:pPr>
      <w:bookmarkStart w:id="39" w:name="_Toc266951048"/>
      <w:r>
        <w:rPr>
          <w:rFonts w:hint="eastAsia" w:ascii="仿宋" w:hAnsi="仿宋" w:cs="仿宋"/>
          <w:b/>
          <w:bCs/>
          <w:szCs w:val="21"/>
        </w:rPr>
        <w:t>3.语言文字</w:t>
      </w:r>
      <w:bookmarkEnd w:id="39"/>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除专用术语外，与投标有关的语言均使用中文。必要时专用术语应附有中文注释。对不同文字文本投标文件的解释发生异议的，以中文文本为准。</w:t>
      </w:r>
    </w:p>
    <w:p>
      <w:pPr>
        <w:adjustRightInd w:val="0"/>
        <w:snapToGrid w:val="0"/>
        <w:spacing w:line="360" w:lineRule="auto"/>
        <w:rPr>
          <w:rFonts w:ascii="仿宋" w:hAnsi="仿宋" w:cs="仿宋"/>
          <w:b/>
          <w:bCs/>
          <w:szCs w:val="21"/>
        </w:rPr>
      </w:pPr>
      <w:bookmarkStart w:id="40" w:name="_1.8_计量单位"/>
      <w:bookmarkEnd w:id="40"/>
      <w:bookmarkStart w:id="41" w:name="_Toc266951049"/>
      <w:r>
        <w:rPr>
          <w:rFonts w:hint="eastAsia" w:ascii="仿宋" w:hAnsi="仿宋" w:cs="仿宋"/>
          <w:szCs w:val="21"/>
        </w:rPr>
        <w:t>★</w:t>
      </w:r>
      <w:r>
        <w:rPr>
          <w:rFonts w:hint="eastAsia" w:ascii="仿宋" w:hAnsi="仿宋" w:cs="仿宋"/>
          <w:b/>
          <w:bCs/>
          <w:szCs w:val="21"/>
        </w:rPr>
        <w:t>4.计量单位</w:t>
      </w:r>
      <w:bookmarkEnd w:id="41"/>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除供应商须知表4款中有特殊要求外，投标文件中所使用的计量单位，应采用中华人民共和国法定计量单位。</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5.投标费用</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不论投标的结果如何，供应商应承担所有与投标有关的费用。</w:t>
      </w:r>
    </w:p>
    <w:p>
      <w:pPr>
        <w:adjustRightInd w:val="0"/>
        <w:snapToGrid w:val="0"/>
        <w:spacing w:line="360" w:lineRule="auto"/>
        <w:rPr>
          <w:rFonts w:ascii="仿宋" w:hAnsi="仿宋" w:cs="仿宋"/>
          <w:b/>
          <w:bCs/>
          <w:szCs w:val="21"/>
        </w:rPr>
      </w:pPr>
      <w:r>
        <w:rPr>
          <w:rFonts w:hint="eastAsia" w:ascii="仿宋" w:hAnsi="仿宋" w:cs="仿宋"/>
          <w:b/>
          <w:bCs/>
          <w:szCs w:val="21"/>
        </w:rPr>
        <w:t>6.现场考察、开标前答疑会</w:t>
      </w:r>
    </w:p>
    <w:p>
      <w:pPr>
        <w:adjustRightInd w:val="0"/>
        <w:snapToGrid w:val="0"/>
        <w:spacing w:line="360" w:lineRule="auto"/>
        <w:rPr>
          <w:rFonts w:ascii="仿宋" w:hAnsi="仿宋" w:cs="仿宋"/>
          <w:szCs w:val="21"/>
        </w:rPr>
      </w:pPr>
      <w:r>
        <w:rPr>
          <w:rFonts w:hint="eastAsia" w:ascii="仿宋" w:hAnsi="仿宋" w:cs="仿宋"/>
          <w:szCs w:val="21"/>
        </w:rPr>
        <w:t>6.1</w:t>
      </w:r>
      <w:r>
        <w:fldChar w:fldCharType="begin"/>
      </w:r>
      <w:r>
        <w:instrText xml:space="preserve"> HYPERLINK \l "_踏勘现场" </w:instrText>
      </w:r>
      <w:r>
        <w:fldChar w:fldCharType="separate"/>
      </w:r>
      <w:r>
        <w:rPr>
          <w:rFonts w:hint="eastAsia" w:ascii="仿宋" w:hAnsi="仿宋" w:cs="仿宋"/>
          <w:szCs w:val="21"/>
        </w:rPr>
        <w:t>供应商须知表</w:t>
      </w:r>
      <w:r>
        <w:rPr>
          <w:rFonts w:hint="eastAsia" w:ascii="仿宋" w:hAnsi="仿宋" w:cs="仿宋"/>
          <w:szCs w:val="21"/>
        </w:rPr>
        <w:fldChar w:fldCharType="end"/>
      </w:r>
      <w:r>
        <w:rPr>
          <w:rFonts w:hint="eastAsia" w:ascii="仿宋" w:hAnsi="仿宋" w:cs="仿宋"/>
          <w:szCs w:val="21"/>
        </w:rPr>
        <w:t>6.1款规定组织现场考察或开标前答疑会的，采购人按规定的时间、地点组织供应商现场考察或开标前答疑会，或者在领取招标文件期限截止后以书面形式通知所有获取招标文件的潜在供应商。</w:t>
      </w:r>
    </w:p>
    <w:p>
      <w:pPr>
        <w:adjustRightInd w:val="0"/>
        <w:snapToGrid w:val="0"/>
        <w:spacing w:line="360" w:lineRule="auto"/>
        <w:rPr>
          <w:rFonts w:ascii="仿宋" w:hAnsi="仿宋" w:cs="仿宋"/>
          <w:b/>
          <w:bCs/>
          <w:szCs w:val="21"/>
        </w:rPr>
      </w:pPr>
      <w:bookmarkStart w:id="42" w:name="_1.10_投标预备会"/>
      <w:bookmarkEnd w:id="42"/>
      <w:r>
        <w:rPr>
          <w:rFonts w:hint="eastAsia" w:ascii="仿宋" w:hAnsi="仿宋" w:cs="仿宋"/>
          <w:szCs w:val="21"/>
        </w:rPr>
        <w:t>6.2</w:t>
      </w:r>
      <w:r>
        <w:rPr>
          <w:rFonts w:hint="eastAsia" w:ascii="仿宋" w:hAnsi="仿宋" w:cs="仿宋"/>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 w:hAnsi="仿宋" w:cs="仿宋"/>
          <w:kern w:val="0"/>
          <w:szCs w:val="21"/>
        </w:rPr>
        <w:t>投标报价</w:t>
      </w:r>
      <w:r>
        <w:rPr>
          <w:rFonts w:hint="eastAsia" w:ascii="仿宋" w:hAnsi="仿宋" w:cs="仿宋"/>
          <w:kern w:val="0"/>
          <w:szCs w:val="21"/>
        </w:rPr>
        <w:fldChar w:fldCharType="end"/>
      </w:r>
      <w:r>
        <w:rPr>
          <w:rFonts w:hint="eastAsia" w:ascii="仿宋" w:hAnsi="仿宋" w:cs="仿宋"/>
          <w:kern w:val="0"/>
          <w:szCs w:val="21"/>
        </w:rPr>
        <w:t>准确性、综合因素响应不全面等问题的，由供应商自行承担相应后果。</w:t>
      </w:r>
    </w:p>
    <w:p>
      <w:pPr>
        <w:adjustRightInd w:val="0"/>
        <w:snapToGrid w:val="0"/>
        <w:spacing w:line="360" w:lineRule="auto"/>
        <w:rPr>
          <w:rFonts w:ascii="仿宋" w:hAnsi="仿宋" w:cs="仿宋"/>
          <w:szCs w:val="21"/>
        </w:rPr>
      </w:pPr>
      <w:r>
        <w:rPr>
          <w:rFonts w:hint="eastAsia" w:ascii="仿宋" w:hAnsi="仿宋" w:cs="仿宋"/>
          <w:szCs w:val="21"/>
        </w:rPr>
        <w:t>6.3现场考察及参加标前答疑会所发生的费用及一切责任由供应商自行承担。</w:t>
      </w:r>
    </w:p>
    <w:p>
      <w:pPr>
        <w:adjustRightInd w:val="0"/>
        <w:snapToGrid w:val="0"/>
        <w:spacing w:line="360" w:lineRule="auto"/>
        <w:rPr>
          <w:rFonts w:ascii="仿宋" w:hAnsi="仿宋" w:cs="仿宋"/>
          <w:b/>
          <w:bCs/>
          <w:szCs w:val="21"/>
        </w:rPr>
      </w:pPr>
      <w:r>
        <w:rPr>
          <w:rFonts w:hint="eastAsia" w:ascii="仿宋" w:hAnsi="仿宋" w:cs="仿宋"/>
          <w:b/>
          <w:bCs/>
          <w:szCs w:val="21"/>
        </w:rPr>
        <w:t>7.适用法律</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本项目的采购人、采购代理机构、供应商、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ascii="仿宋" w:hAnsi="仿宋" w:cs="仿宋"/>
          <w:sz w:val="32"/>
          <w:szCs w:val="28"/>
        </w:rPr>
      </w:pPr>
      <w:bookmarkStart w:id="43" w:name="_Toc10106_WPSOffice_Level2"/>
      <w:r>
        <w:rPr>
          <w:rFonts w:hint="eastAsia" w:ascii="仿宋" w:hAnsi="仿宋" w:cs="仿宋"/>
          <w:sz w:val="32"/>
          <w:szCs w:val="28"/>
        </w:rPr>
        <w:t>三 招标文件</w:t>
      </w:r>
      <w:bookmarkEnd w:id="43"/>
    </w:p>
    <w:p>
      <w:pPr>
        <w:tabs>
          <w:tab w:val="left" w:pos="312"/>
        </w:tabs>
        <w:adjustRightInd w:val="0"/>
        <w:snapToGrid w:val="0"/>
        <w:spacing w:line="360" w:lineRule="auto"/>
        <w:rPr>
          <w:rFonts w:ascii="仿宋" w:hAnsi="仿宋" w:cs="仿宋"/>
          <w:b/>
          <w:bCs/>
          <w:szCs w:val="21"/>
        </w:rPr>
      </w:pPr>
      <w:r>
        <w:rPr>
          <w:rFonts w:hint="eastAsia" w:ascii="仿宋" w:hAnsi="仿宋" w:cs="仿宋"/>
          <w:b/>
          <w:bCs/>
          <w:szCs w:val="21"/>
        </w:rPr>
        <w:t>8.招标文件构成</w:t>
      </w:r>
    </w:p>
    <w:p>
      <w:pPr>
        <w:adjustRightInd w:val="0"/>
        <w:snapToGrid w:val="0"/>
        <w:spacing w:line="360" w:lineRule="auto"/>
        <w:rPr>
          <w:rFonts w:ascii="仿宋" w:hAnsi="仿宋" w:cs="仿宋"/>
        </w:rPr>
      </w:pPr>
      <w:r>
        <w:rPr>
          <w:rFonts w:hint="eastAsia" w:ascii="仿宋" w:hAnsi="仿宋" w:cs="仿宋"/>
          <w:szCs w:val="21"/>
        </w:rPr>
        <w:t>8.1招标</w:t>
      </w:r>
      <w:r>
        <w:rPr>
          <w:rFonts w:hint="eastAsia" w:ascii="仿宋" w:hAnsi="仿宋" w:cs="仿宋"/>
        </w:rPr>
        <w:t>文件内容如下:</w:t>
      </w:r>
    </w:p>
    <w:p>
      <w:pPr>
        <w:adjustRightInd w:val="0"/>
        <w:snapToGrid w:val="0"/>
        <w:spacing w:line="360" w:lineRule="auto"/>
        <w:ind w:firstLine="420" w:firstLineChars="200"/>
        <w:rPr>
          <w:rFonts w:ascii="仿宋" w:hAnsi="仿宋" w:cs="仿宋"/>
        </w:rPr>
      </w:pPr>
      <w:r>
        <w:rPr>
          <w:rFonts w:hint="eastAsia" w:ascii="仿宋" w:hAnsi="仿宋" w:cs="仿宋"/>
          <w:kern w:val="0"/>
          <w:szCs w:val="21"/>
        </w:rPr>
        <w:t>招标</w:t>
      </w:r>
      <w:r>
        <w:rPr>
          <w:rFonts w:hint="eastAsia" w:ascii="仿宋" w:hAnsi="仿宋" w:cs="仿宋"/>
        </w:rPr>
        <w:t>公告</w:t>
      </w:r>
    </w:p>
    <w:p>
      <w:pPr>
        <w:numPr>
          <w:ilvl w:val="0"/>
          <w:numId w:val="2"/>
        </w:numPr>
        <w:adjustRightInd w:val="0"/>
        <w:snapToGrid w:val="0"/>
        <w:spacing w:line="360" w:lineRule="auto"/>
        <w:ind w:firstLine="420" w:firstLineChars="200"/>
        <w:rPr>
          <w:rFonts w:ascii="仿宋" w:hAnsi="仿宋" w:cs="仿宋"/>
        </w:rPr>
      </w:pPr>
      <w:bookmarkStart w:id="44" w:name="_Toc25935_WPSOffice_Level2"/>
      <w:bookmarkStart w:id="45" w:name="_Toc188_WPSOffice_Level2"/>
      <w:bookmarkStart w:id="46" w:name="_Toc24604_WPSOffice_Level2"/>
      <w:bookmarkStart w:id="47" w:name="_Toc4961_WPSOffice_Level2"/>
      <w:r>
        <w:rPr>
          <w:rFonts w:hint="eastAsia" w:ascii="仿宋" w:hAnsi="仿宋" w:cs="仿宋"/>
        </w:rPr>
        <w:t>供应商须知</w:t>
      </w:r>
      <w:bookmarkEnd w:id="44"/>
      <w:bookmarkEnd w:id="45"/>
      <w:bookmarkEnd w:id="46"/>
      <w:bookmarkEnd w:id="47"/>
    </w:p>
    <w:p>
      <w:pPr>
        <w:adjustRightInd w:val="0"/>
        <w:snapToGrid w:val="0"/>
        <w:spacing w:line="360" w:lineRule="auto"/>
        <w:ind w:firstLine="420" w:firstLineChars="200"/>
        <w:rPr>
          <w:rFonts w:ascii="仿宋" w:hAnsi="仿宋" w:cs="仿宋"/>
        </w:rPr>
      </w:pPr>
      <w:bookmarkStart w:id="48" w:name="_Toc32235_WPSOffice_Level2"/>
      <w:bookmarkStart w:id="49" w:name="_Toc2443_WPSOffice_Level2"/>
      <w:bookmarkStart w:id="50" w:name="_Toc31424_WPSOffice_Level2"/>
      <w:bookmarkStart w:id="51" w:name="_Toc13276_WPSOffice_Level2"/>
      <w:r>
        <w:rPr>
          <w:rFonts w:hint="eastAsia" w:ascii="仿宋" w:hAnsi="仿宋" w:cs="仿宋"/>
        </w:rPr>
        <w:t>第二章 投标文件内容及格式</w:t>
      </w:r>
      <w:bookmarkEnd w:id="48"/>
      <w:bookmarkEnd w:id="49"/>
      <w:bookmarkEnd w:id="50"/>
      <w:bookmarkEnd w:id="51"/>
    </w:p>
    <w:p>
      <w:pPr>
        <w:adjustRightInd w:val="0"/>
        <w:snapToGrid w:val="0"/>
        <w:spacing w:line="360" w:lineRule="auto"/>
        <w:ind w:firstLine="420" w:firstLineChars="200"/>
        <w:rPr>
          <w:rFonts w:ascii="仿宋" w:hAnsi="仿宋" w:cs="仿宋"/>
        </w:rPr>
      </w:pPr>
      <w:bookmarkStart w:id="52" w:name="_Toc24836_WPSOffice_Level2"/>
      <w:bookmarkStart w:id="53" w:name="_Toc16269_WPSOffice_Level2"/>
      <w:bookmarkStart w:id="54" w:name="_Toc7005_WPSOffice_Level2"/>
      <w:bookmarkStart w:id="55" w:name="_Toc4416_WPSOffice_Level2"/>
      <w:r>
        <w:rPr>
          <w:rFonts w:hint="eastAsia" w:ascii="仿宋" w:hAnsi="仿宋" w:cs="仿宋"/>
        </w:rPr>
        <w:t>第三章 货物需求</w:t>
      </w:r>
      <w:bookmarkEnd w:id="52"/>
      <w:bookmarkEnd w:id="53"/>
      <w:bookmarkEnd w:id="54"/>
      <w:bookmarkEnd w:id="55"/>
    </w:p>
    <w:p>
      <w:pPr>
        <w:adjustRightInd w:val="0"/>
        <w:snapToGrid w:val="0"/>
        <w:spacing w:line="360" w:lineRule="auto"/>
        <w:ind w:firstLine="420" w:firstLineChars="200"/>
        <w:rPr>
          <w:rFonts w:ascii="仿宋" w:hAnsi="仿宋" w:cs="仿宋"/>
        </w:rPr>
      </w:pPr>
      <w:bookmarkStart w:id="56" w:name="_Toc16294_WPSOffice_Level2"/>
      <w:bookmarkStart w:id="57" w:name="_Toc23459_WPSOffice_Level2"/>
      <w:bookmarkStart w:id="58" w:name="_Toc25382_WPSOffice_Level2"/>
      <w:bookmarkStart w:id="59" w:name="_Toc16119_WPSOffice_Level2"/>
      <w:r>
        <w:rPr>
          <w:rFonts w:hint="eastAsia" w:ascii="仿宋" w:hAnsi="仿宋" w:cs="仿宋"/>
        </w:rPr>
        <w:t>第四章 评标方法</w:t>
      </w:r>
      <w:bookmarkEnd w:id="56"/>
      <w:bookmarkEnd w:id="57"/>
      <w:bookmarkEnd w:id="58"/>
      <w:bookmarkEnd w:id="59"/>
    </w:p>
    <w:p>
      <w:pPr>
        <w:adjustRightInd w:val="0"/>
        <w:snapToGrid w:val="0"/>
        <w:spacing w:line="360" w:lineRule="auto"/>
        <w:ind w:firstLine="420" w:firstLineChars="200"/>
        <w:rPr>
          <w:rFonts w:ascii="仿宋" w:hAnsi="仿宋" w:cs="仿宋"/>
        </w:rPr>
      </w:pPr>
      <w:bookmarkStart w:id="60" w:name="_Toc28106_WPSOffice_Level2"/>
      <w:bookmarkStart w:id="61" w:name="_Toc9629_WPSOffice_Level2"/>
      <w:bookmarkStart w:id="62" w:name="_Toc16368_WPSOffice_Level2"/>
      <w:bookmarkStart w:id="63" w:name="_Toc17794_WPSOffice_Level2"/>
      <w:r>
        <w:rPr>
          <w:rFonts w:hint="eastAsia" w:ascii="仿宋" w:hAnsi="仿宋" w:cs="仿宋"/>
        </w:rPr>
        <w:t>第五章 政府采购合同</w:t>
      </w:r>
      <w:bookmarkEnd w:id="60"/>
      <w:bookmarkEnd w:id="61"/>
      <w:bookmarkEnd w:id="62"/>
      <w:bookmarkEnd w:id="63"/>
      <w:r>
        <w:rPr>
          <w:rFonts w:hint="eastAsia" w:ascii="仿宋" w:hAnsi="仿宋" w:cs="仿宋"/>
        </w:rPr>
        <w:t>条款及格式</w:t>
      </w:r>
    </w:p>
    <w:p>
      <w:pPr>
        <w:adjustRightInd w:val="0"/>
        <w:snapToGrid w:val="0"/>
        <w:spacing w:line="360" w:lineRule="auto"/>
        <w:rPr>
          <w:rFonts w:ascii="仿宋" w:hAnsi="仿宋" w:cs="仿宋"/>
          <w:szCs w:val="21"/>
        </w:rPr>
      </w:pPr>
      <w:r>
        <w:rPr>
          <w:rFonts w:hint="eastAsia" w:ascii="仿宋" w:hAnsi="仿宋" w:cs="仿宋"/>
          <w:szCs w:val="21"/>
        </w:rPr>
        <w:t>★8.2供应商应认真阅读招标文件所有的事项、格式、条款等。如供应商没有按照招标文件要求提交资料，或者投标文件没有对招标文件做出实质性响应，可能导致其投标被认定为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b/>
          <w:bCs/>
          <w:szCs w:val="21"/>
        </w:rPr>
      </w:pPr>
      <w:r>
        <w:rPr>
          <w:rFonts w:hint="eastAsia" w:ascii="仿宋" w:hAnsi="仿宋" w:cs="仿宋"/>
          <w:b/>
          <w:bCs/>
          <w:szCs w:val="21"/>
        </w:rPr>
        <w:t>9.招标文件的澄清与修改</w:t>
      </w:r>
    </w:p>
    <w:p>
      <w:pPr>
        <w:adjustRightInd w:val="0"/>
        <w:snapToGrid w:val="0"/>
        <w:spacing w:line="360" w:lineRule="auto"/>
        <w:rPr>
          <w:rFonts w:ascii="仿宋" w:hAnsi="仿宋" w:cs="仿宋"/>
          <w:szCs w:val="21"/>
        </w:rPr>
      </w:pPr>
      <w:r>
        <w:rPr>
          <w:rFonts w:hint="eastAsia" w:ascii="仿宋" w:hAnsi="仿宋" w:cs="仿宋"/>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供应商；不足15日的，采购人或者采购代理机构应当顺延提交投标文件的截止时间。</w:t>
      </w:r>
    </w:p>
    <w:p>
      <w:pPr>
        <w:adjustRightInd w:val="0"/>
        <w:snapToGrid w:val="0"/>
        <w:spacing w:line="360" w:lineRule="auto"/>
        <w:rPr>
          <w:rFonts w:ascii="仿宋" w:hAnsi="仿宋" w:cs="仿宋"/>
          <w:szCs w:val="21"/>
        </w:rPr>
      </w:pPr>
      <w:r>
        <w:rPr>
          <w:rFonts w:hint="eastAsia" w:ascii="仿宋" w:hAnsi="仿宋" w:cs="仿宋"/>
          <w:szCs w:val="21"/>
        </w:rPr>
        <w:t>9.2澄清或者修改的内容为招标文件的组成部分，对所有招标文件的收受人具有约束力。供应商在收到上述通知后，应及时向采购代理机构回函确认。</w:t>
      </w:r>
    </w:p>
    <w:p>
      <w:pPr>
        <w:pStyle w:val="3"/>
        <w:rPr>
          <w:rFonts w:ascii="仿宋" w:hAnsi="仿宋" w:cs="仿宋"/>
          <w:sz w:val="32"/>
          <w:szCs w:val="32"/>
        </w:rPr>
      </w:pPr>
      <w:bookmarkStart w:id="64" w:name="_Toc7415_WPSOffice_Level2"/>
      <w:r>
        <w:rPr>
          <w:rFonts w:hint="eastAsia" w:ascii="仿宋" w:hAnsi="仿宋" w:cs="仿宋"/>
          <w:sz w:val="32"/>
          <w:szCs w:val="32"/>
        </w:rPr>
        <w:t>四 投标文件的编制</w:t>
      </w:r>
      <w:bookmarkEnd w:id="64"/>
    </w:p>
    <w:p>
      <w:pPr>
        <w:adjustRightInd w:val="0"/>
        <w:snapToGrid w:val="0"/>
        <w:spacing w:line="360" w:lineRule="auto"/>
        <w:rPr>
          <w:rFonts w:ascii="仿宋" w:hAnsi="仿宋" w:cs="仿宋"/>
          <w:b/>
          <w:bCs/>
          <w:szCs w:val="21"/>
        </w:rPr>
      </w:pPr>
      <w:r>
        <w:rPr>
          <w:rFonts w:hint="eastAsia" w:ascii="仿宋" w:hAnsi="仿宋" w:cs="仿宋"/>
          <w:b/>
          <w:bCs/>
          <w:szCs w:val="21"/>
        </w:rPr>
        <w:t>10.投标范围</w:t>
      </w:r>
    </w:p>
    <w:p>
      <w:pPr>
        <w:adjustRightInd w:val="0"/>
        <w:snapToGrid w:val="0"/>
        <w:spacing w:line="360" w:lineRule="auto"/>
        <w:rPr>
          <w:rFonts w:ascii="仿宋" w:hAnsi="仿宋" w:cs="仿宋"/>
          <w:szCs w:val="21"/>
        </w:rPr>
      </w:pPr>
      <w:r>
        <w:rPr>
          <w:rFonts w:hint="eastAsia" w:ascii="仿宋" w:hAnsi="仿宋" w:cs="仿宋"/>
          <w:szCs w:val="21"/>
        </w:rPr>
        <w:t>10.1项目有分包的，供应商可对招标文件其中某一个分包或几个分包进行投标。</w:t>
      </w:r>
    </w:p>
    <w:p>
      <w:pPr>
        <w:adjustRightInd w:val="0"/>
        <w:snapToGrid w:val="0"/>
        <w:spacing w:line="360" w:lineRule="auto"/>
        <w:rPr>
          <w:rFonts w:ascii="仿宋" w:hAnsi="仿宋" w:cs="仿宋"/>
          <w:szCs w:val="21"/>
        </w:rPr>
      </w:pPr>
      <w:r>
        <w:rPr>
          <w:rFonts w:hint="eastAsia" w:ascii="仿宋" w:hAnsi="仿宋" w:cs="仿宋"/>
          <w:szCs w:val="21"/>
        </w:rPr>
        <w:t>★10.2供应商应当对所投分包在招标文件中“货物需求”所列的所有货物内容进行投标，如仅响应分包中某一部分内容，其该包投标将被认定为</w:t>
      </w:r>
      <w:r>
        <w:rPr>
          <w:rFonts w:hint="eastAsia" w:ascii="仿宋" w:hAnsi="仿宋" w:cs="仿宋"/>
          <w:b/>
          <w:bCs/>
          <w:szCs w:val="21"/>
        </w:rPr>
        <w:t>投标无效</w:t>
      </w:r>
      <w:r>
        <w:rPr>
          <w:rFonts w:hint="eastAsia" w:ascii="仿宋" w:hAnsi="仿宋" w:cs="仿宋"/>
          <w:szCs w:val="21"/>
        </w:rPr>
        <w:t>。</w:t>
      </w:r>
    </w:p>
    <w:p>
      <w:pPr>
        <w:pStyle w:val="9"/>
        <w:adjustRightInd w:val="0"/>
        <w:snapToGrid w:val="0"/>
        <w:spacing w:line="360" w:lineRule="auto"/>
        <w:rPr>
          <w:rFonts w:ascii="仿宋" w:hAnsi="仿宋" w:cs="仿宋"/>
          <w:szCs w:val="21"/>
        </w:rPr>
      </w:pPr>
      <w:r>
        <w:rPr>
          <w:rFonts w:hint="eastAsia" w:ascii="仿宋" w:hAnsi="仿宋" w:cs="仿宋"/>
          <w:szCs w:val="21"/>
        </w:rPr>
        <w:t>★10.3如一个分包内包含多种产品的，采购人或采购代理机构将在供应商须知表10.3款中载明核心产品（非单一产品采购时，只能设一个核心产品），多家供应商提供的核心产品品牌相同的，按照第四章“评标办法”第4款“同一品牌产品”规定处理。</w:t>
      </w:r>
    </w:p>
    <w:p>
      <w:pPr>
        <w:adjustRightInd w:val="0"/>
        <w:snapToGrid w:val="0"/>
        <w:spacing w:line="360" w:lineRule="auto"/>
        <w:rPr>
          <w:rFonts w:ascii="仿宋" w:hAnsi="仿宋" w:cs="仿宋"/>
          <w:szCs w:val="21"/>
        </w:rPr>
      </w:pPr>
      <w:r>
        <w:rPr>
          <w:rFonts w:hint="eastAsia" w:ascii="仿宋" w:hAnsi="仿宋" w:cs="仿宋"/>
          <w:szCs w:val="21"/>
        </w:rPr>
        <w:t>10.4无论招标文件第三章货物需求中是否要求，供应商所投货物均应符合国家强制性标准。</w:t>
      </w:r>
    </w:p>
    <w:p>
      <w:pPr>
        <w:adjustRightInd w:val="0"/>
        <w:snapToGrid w:val="0"/>
        <w:spacing w:line="360" w:lineRule="auto"/>
        <w:rPr>
          <w:rFonts w:ascii="仿宋" w:hAnsi="仿宋" w:cs="仿宋"/>
          <w:b/>
          <w:bCs/>
          <w:szCs w:val="21"/>
        </w:rPr>
      </w:pPr>
      <w:r>
        <w:rPr>
          <w:rFonts w:hint="eastAsia" w:ascii="仿宋" w:hAnsi="仿宋" w:cs="仿宋"/>
          <w:b/>
          <w:bCs/>
          <w:szCs w:val="21"/>
        </w:rPr>
        <w:t>11.投标文件构成</w:t>
      </w:r>
    </w:p>
    <w:p>
      <w:pPr>
        <w:adjustRightInd w:val="0"/>
        <w:snapToGrid w:val="0"/>
        <w:spacing w:line="360" w:lineRule="auto"/>
        <w:rPr>
          <w:rFonts w:ascii="仿宋" w:hAnsi="仿宋" w:cs="仿宋"/>
          <w:szCs w:val="21"/>
        </w:rPr>
      </w:pPr>
      <w:r>
        <w:rPr>
          <w:rFonts w:hint="eastAsia" w:ascii="仿宋" w:hAnsi="仿宋" w:cs="仿宋"/>
          <w:szCs w:val="21"/>
        </w:rPr>
        <w:t>★11.1供应商应完整地按招标文件提供的投标文件格式及要求编写投标文件。投标文件应包括资格证明文件、符合性证明文件、其它材料三部分。具体见第二章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rPr>
          <w:rFonts w:ascii="仿宋" w:hAnsi="仿宋" w:cs="仿宋"/>
          <w:szCs w:val="21"/>
        </w:rPr>
      </w:pPr>
      <w:r>
        <w:rPr>
          <w:rFonts w:hint="eastAsia" w:ascii="仿宋" w:hAnsi="仿宋" w:cs="仿宋"/>
          <w:szCs w:val="21"/>
        </w:rPr>
        <w:t>★11.2供应商应按招标文件提供的格式编写投标文件。招标文件提供标准格式的按标准格式填列，未提供标准格式的可自行拟定。</w:t>
      </w:r>
    </w:p>
    <w:p>
      <w:pPr>
        <w:adjustRightInd w:val="0"/>
        <w:snapToGrid w:val="0"/>
        <w:spacing w:line="360" w:lineRule="auto"/>
        <w:rPr>
          <w:rFonts w:ascii="仿宋" w:hAnsi="仿宋" w:cs="仿宋"/>
          <w:szCs w:val="21"/>
        </w:rPr>
      </w:pPr>
      <w:r>
        <w:rPr>
          <w:rFonts w:hint="eastAsia" w:ascii="仿宋" w:hAnsi="仿宋" w:cs="仿宋"/>
          <w:szCs w:val="21"/>
        </w:rPr>
        <w:t>11.3 样品或演示要求详见供应商须知表11.3款。</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12.投标报价</w:t>
      </w:r>
    </w:p>
    <w:p>
      <w:pPr>
        <w:adjustRightInd w:val="0"/>
        <w:snapToGrid w:val="0"/>
        <w:spacing w:line="360" w:lineRule="auto"/>
        <w:rPr>
          <w:rFonts w:ascii="仿宋" w:hAnsi="仿宋" w:cs="仿宋"/>
          <w:szCs w:val="21"/>
        </w:rPr>
      </w:pPr>
      <w:r>
        <w:rPr>
          <w:rFonts w:hint="eastAsia" w:ascii="仿宋" w:hAnsi="仿宋" w:cs="仿宋"/>
          <w:szCs w:val="21"/>
        </w:rPr>
        <w:t>12.1所有投标均按供应商须知表12.1款中要求货币进行报价。供应商的投标报价应遵守《中华人民共和国价格法》。同时，根据《中华人民共和国政府采购法》第三条的规定，为保证公平竞争，如有货物主体部分的赠与行为，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rPr>
          <w:rFonts w:ascii="仿宋" w:hAnsi="仿宋" w:cs="仿宋"/>
          <w:szCs w:val="21"/>
        </w:rPr>
      </w:pPr>
      <w:r>
        <w:rPr>
          <w:rFonts w:hint="eastAsia" w:ascii="仿宋" w:hAnsi="仿宋" w:cs="仿宋"/>
          <w:szCs w:val="21"/>
        </w:rPr>
        <w:t>12.3供应商应按招标文件要求在相关表格中标明投标货物及伴随服务的单价和总价，并由法定代表人（非法人组织的负责人）或其委托代理人签署。</w:t>
      </w:r>
    </w:p>
    <w:p>
      <w:pPr>
        <w:adjustRightInd w:val="0"/>
        <w:snapToGrid w:val="0"/>
        <w:spacing w:line="360" w:lineRule="auto"/>
        <w:rPr>
          <w:rFonts w:ascii="仿宋" w:hAnsi="仿宋" w:cs="仿宋"/>
          <w:b/>
          <w:bCs/>
          <w:szCs w:val="21"/>
        </w:rPr>
      </w:pPr>
      <w:r>
        <w:rPr>
          <w:rFonts w:hint="eastAsia" w:ascii="仿宋" w:hAnsi="仿宋" w:cs="仿宋"/>
          <w:szCs w:val="21"/>
        </w:rPr>
        <w:t>12.4供应商所报的各分项投标单价在合同履行过程中是固定不变的，不得以任何理由予以变更。任何包含价格调整要求的投标，其投标将被认定为</w:t>
      </w:r>
      <w:r>
        <w:rPr>
          <w:rFonts w:hint="eastAsia" w:ascii="仿宋" w:hAnsi="仿宋" w:cs="仿宋"/>
          <w:b/>
          <w:bCs/>
          <w:szCs w:val="21"/>
        </w:rPr>
        <w:t>投标无效。</w:t>
      </w:r>
    </w:p>
    <w:p>
      <w:pPr>
        <w:adjustRightInd w:val="0"/>
        <w:snapToGrid w:val="0"/>
        <w:spacing w:line="360" w:lineRule="auto"/>
        <w:rPr>
          <w:rFonts w:ascii="仿宋" w:hAnsi="仿宋" w:cs="仿宋"/>
          <w:szCs w:val="21"/>
        </w:rPr>
      </w:pPr>
      <w:r>
        <w:rPr>
          <w:rFonts w:hint="eastAsia" w:ascii="仿宋" w:hAnsi="仿宋" w:cs="仿宋"/>
          <w:szCs w:val="21"/>
        </w:rPr>
        <w:t>12.5每种货物只能有一个投标报价。采购人不接受具有附加条件的报价。</w:t>
      </w:r>
    </w:p>
    <w:p>
      <w:pPr>
        <w:adjustRightInd w:val="0"/>
        <w:snapToGrid w:val="0"/>
        <w:spacing w:line="360" w:lineRule="auto"/>
        <w:rPr>
          <w:rFonts w:ascii="仿宋" w:hAnsi="仿宋" w:cs="仿宋"/>
          <w:szCs w:val="21"/>
        </w:rPr>
      </w:pPr>
      <w:bookmarkStart w:id="65" w:name="_Toc31973_WPSOffice_Level2"/>
      <w:bookmarkStart w:id="66" w:name="_Toc22507_WPSOffice_Level2"/>
      <w:r>
        <w:rPr>
          <w:rFonts w:hint="eastAsia" w:ascii="仿宋" w:hAnsi="仿宋" w:cs="仿宋"/>
          <w:szCs w:val="21"/>
        </w:rPr>
        <w:t>12.6除非招标文件另有规定，报价原则上精确到小数点后两位。</w:t>
      </w:r>
      <w:bookmarkEnd w:id="65"/>
      <w:bookmarkEnd w:id="66"/>
    </w:p>
    <w:p>
      <w:pPr>
        <w:adjustRightInd w:val="0"/>
        <w:snapToGrid w:val="0"/>
        <w:spacing w:line="360" w:lineRule="auto"/>
        <w:rPr>
          <w:rFonts w:ascii="仿宋" w:hAnsi="仿宋" w:cs="仿宋"/>
          <w:b/>
          <w:bCs/>
          <w:szCs w:val="21"/>
        </w:rPr>
      </w:pPr>
      <w:r>
        <w:rPr>
          <w:rFonts w:hint="eastAsia" w:ascii="仿宋" w:hAnsi="仿宋" w:cs="仿宋"/>
          <w:b/>
          <w:bCs/>
          <w:szCs w:val="21"/>
        </w:rPr>
        <w:t>★13.投标保证金（本项目不适用）</w:t>
      </w:r>
    </w:p>
    <w:p>
      <w:pPr>
        <w:adjustRightInd w:val="0"/>
        <w:snapToGrid w:val="0"/>
        <w:spacing w:line="360" w:lineRule="auto"/>
        <w:rPr>
          <w:rFonts w:ascii="仿宋" w:hAnsi="仿宋" w:cs="仿宋"/>
          <w:szCs w:val="21"/>
        </w:rPr>
      </w:pPr>
      <w:r>
        <w:rPr>
          <w:rFonts w:hint="eastAsia" w:ascii="仿宋" w:hAnsi="仿宋" w:cs="仿宋"/>
          <w:szCs w:val="21"/>
        </w:rPr>
        <w:t>13.1供应商应提交供应商须知表13.1款中规定的投标保证金，并作为其投标的一部分。</w:t>
      </w:r>
    </w:p>
    <w:p>
      <w:pPr>
        <w:adjustRightInd w:val="0"/>
        <w:snapToGrid w:val="0"/>
        <w:spacing w:line="360" w:lineRule="auto"/>
        <w:jc w:val="left"/>
        <w:rPr>
          <w:rFonts w:ascii="仿宋" w:hAnsi="仿宋" w:cs="仿宋"/>
          <w:szCs w:val="21"/>
        </w:rPr>
      </w:pPr>
      <w:r>
        <w:rPr>
          <w:rFonts w:hint="eastAsia" w:ascii="仿宋" w:hAnsi="仿宋" w:cs="仿宋"/>
          <w:szCs w:val="21"/>
        </w:rPr>
        <w:t>13.2投标保证金缴纳人、招标文件领取人、投标登记人和供应商必须为同一组织机构或联合体内不同成员单位，否则将视同未按招标文件规定交纳投标保证金。</w:t>
      </w:r>
    </w:p>
    <w:p>
      <w:pPr>
        <w:adjustRightInd w:val="0"/>
        <w:snapToGrid w:val="0"/>
        <w:spacing w:line="360" w:lineRule="auto"/>
        <w:jc w:val="left"/>
        <w:rPr>
          <w:rFonts w:ascii="仿宋" w:hAnsi="仿宋" w:cs="仿宋"/>
          <w:szCs w:val="21"/>
        </w:rPr>
      </w:pPr>
      <w:r>
        <w:rPr>
          <w:rFonts w:hint="eastAsia" w:ascii="仿宋" w:hAnsi="仿宋" w:cs="仿宋"/>
          <w:szCs w:val="21"/>
        </w:rPr>
        <w:t>13.3供应商存在下列情形的，投标保证金不予退还：</w:t>
      </w:r>
    </w:p>
    <w:p>
      <w:pPr>
        <w:adjustRightInd w:val="0"/>
        <w:snapToGrid w:val="0"/>
        <w:spacing w:line="360" w:lineRule="auto"/>
        <w:jc w:val="left"/>
        <w:rPr>
          <w:rFonts w:ascii="仿宋" w:hAnsi="仿宋" w:cs="仿宋"/>
          <w:szCs w:val="21"/>
        </w:rPr>
      </w:pPr>
      <w:r>
        <w:rPr>
          <w:rFonts w:hint="eastAsia" w:ascii="仿宋" w:hAnsi="仿宋" w:cs="仿宋"/>
          <w:szCs w:val="21"/>
        </w:rPr>
        <w:t>（1）在投标有效期内，供应商撤销投标的；</w:t>
      </w:r>
    </w:p>
    <w:p>
      <w:pPr>
        <w:adjustRightInd w:val="0"/>
        <w:snapToGrid w:val="0"/>
        <w:spacing w:line="360" w:lineRule="auto"/>
        <w:jc w:val="left"/>
        <w:rPr>
          <w:rFonts w:ascii="仿宋" w:hAnsi="仿宋" w:cs="仿宋"/>
          <w:szCs w:val="21"/>
        </w:rPr>
      </w:pPr>
      <w:r>
        <w:rPr>
          <w:rFonts w:hint="eastAsia" w:ascii="仿宋" w:hAnsi="仿宋" w:cs="仿宋"/>
          <w:szCs w:val="21"/>
        </w:rPr>
        <w:t>（2）中标后不按本须知第34款的规定与采购人签订合同的；</w:t>
      </w:r>
    </w:p>
    <w:p>
      <w:pPr>
        <w:adjustRightInd w:val="0"/>
        <w:snapToGrid w:val="0"/>
        <w:spacing w:line="360" w:lineRule="auto"/>
        <w:rPr>
          <w:rFonts w:ascii="仿宋" w:hAnsi="仿宋" w:cs="仿宋"/>
          <w:szCs w:val="21"/>
        </w:rPr>
      </w:pPr>
      <w:r>
        <w:rPr>
          <w:rFonts w:hint="eastAsia" w:ascii="仿宋" w:hAnsi="仿宋" w:cs="仿宋"/>
          <w:szCs w:val="21"/>
        </w:rPr>
        <w:t>（3）中标后不按本须知第35款的规定提交履约保证金的；</w:t>
      </w:r>
    </w:p>
    <w:p>
      <w:pPr>
        <w:adjustRightInd w:val="0"/>
        <w:snapToGrid w:val="0"/>
        <w:spacing w:line="360" w:lineRule="auto"/>
        <w:rPr>
          <w:rFonts w:ascii="仿宋" w:hAnsi="仿宋" w:cs="仿宋"/>
          <w:szCs w:val="21"/>
        </w:rPr>
      </w:pPr>
      <w:r>
        <w:rPr>
          <w:rFonts w:hint="eastAsia" w:ascii="仿宋" w:hAnsi="仿宋" w:cs="仿宋"/>
          <w:szCs w:val="21"/>
        </w:rPr>
        <w:t>（4）中标后不按本须知第36款的规定缴纳采购代理服务费的；</w:t>
      </w:r>
    </w:p>
    <w:p>
      <w:pPr>
        <w:adjustRightInd w:val="0"/>
        <w:snapToGrid w:val="0"/>
        <w:spacing w:line="360" w:lineRule="auto"/>
        <w:rPr>
          <w:rFonts w:ascii="仿宋" w:hAnsi="仿宋" w:cs="仿宋"/>
          <w:szCs w:val="21"/>
        </w:rPr>
      </w:pPr>
      <w:r>
        <w:rPr>
          <w:rFonts w:hint="eastAsia" w:ascii="仿宋" w:hAnsi="仿宋" w:cs="仿宋"/>
          <w:szCs w:val="21"/>
        </w:rPr>
        <w:t>（5）存在其他违法违规行为的。</w:t>
      </w:r>
    </w:p>
    <w:p>
      <w:pPr>
        <w:adjustRightInd w:val="0"/>
        <w:snapToGrid w:val="0"/>
        <w:spacing w:line="360" w:lineRule="auto"/>
        <w:rPr>
          <w:rFonts w:ascii="仿宋" w:hAnsi="仿宋" w:cs="仿宋"/>
          <w:szCs w:val="21"/>
        </w:rPr>
      </w:pPr>
      <w:r>
        <w:rPr>
          <w:rFonts w:hint="eastAsia" w:ascii="仿宋" w:hAnsi="仿宋" w:cs="仿宋"/>
          <w:szCs w:val="21"/>
        </w:rPr>
        <w:t>13.4联合体投标的，可以由联合体中的一方或者共同提交投标保证金。以一方名义提交投标保证金的，对联合体各方均具有约束力。</w:t>
      </w:r>
    </w:p>
    <w:p>
      <w:pPr>
        <w:adjustRightInd w:val="0"/>
        <w:snapToGrid w:val="0"/>
        <w:spacing w:line="360" w:lineRule="auto"/>
        <w:rPr>
          <w:rFonts w:ascii="仿宋" w:hAnsi="仿宋" w:cs="仿宋"/>
          <w:szCs w:val="21"/>
        </w:rPr>
      </w:pPr>
      <w:r>
        <w:rPr>
          <w:rFonts w:hint="eastAsia" w:ascii="仿宋" w:hAnsi="仿宋" w:cs="仿宋"/>
          <w:szCs w:val="21"/>
        </w:rPr>
        <w:t>13.5投标保证金的退还</w:t>
      </w:r>
    </w:p>
    <w:p>
      <w:pPr>
        <w:adjustRightInd w:val="0"/>
        <w:snapToGrid w:val="0"/>
        <w:spacing w:line="360" w:lineRule="auto"/>
        <w:rPr>
          <w:rFonts w:ascii="仿宋" w:hAnsi="仿宋" w:cs="仿宋"/>
          <w:szCs w:val="21"/>
        </w:rPr>
      </w:pPr>
      <w:r>
        <w:rPr>
          <w:rFonts w:hint="eastAsia" w:ascii="仿宋" w:hAnsi="仿宋" w:cs="仿宋"/>
          <w:szCs w:val="21"/>
        </w:rPr>
        <w:t>13.5.1中标人应在与采购人签订合同之日起5个工作日内，及时联系保证金收受机构办理投标保证金退还手续。</w:t>
      </w:r>
    </w:p>
    <w:p>
      <w:pPr>
        <w:adjustRightInd w:val="0"/>
        <w:snapToGrid w:val="0"/>
        <w:spacing w:line="360" w:lineRule="auto"/>
        <w:rPr>
          <w:rFonts w:ascii="仿宋" w:hAnsi="仿宋" w:cs="仿宋"/>
          <w:szCs w:val="21"/>
        </w:rPr>
      </w:pPr>
      <w:r>
        <w:rPr>
          <w:rFonts w:hint="eastAsia" w:ascii="仿宋" w:hAnsi="仿宋" w:cs="仿宋"/>
          <w:szCs w:val="21"/>
        </w:rPr>
        <w:t>13.5.2未中标供应商的投标保证金将在中标通知书发出之日暨中标结果公告公布之日起5个工作日内退还。供应商应及时联系保证金收受机构办理退还投标保证金手续。</w:t>
      </w:r>
    </w:p>
    <w:p>
      <w:pPr>
        <w:adjustRightInd w:val="0"/>
        <w:snapToGrid w:val="0"/>
        <w:spacing w:line="360" w:lineRule="auto"/>
        <w:rPr>
          <w:rFonts w:ascii="仿宋" w:hAnsi="仿宋" w:cs="仿宋"/>
          <w:szCs w:val="21"/>
        </w:rPr>
      </w:pPr>
      <w:r>
        <w:rPr>
          <w:rFonts w:hint="eastAsia" w:ascii="仿宋" w:hAnsi="仿宋" w:cs="仿宋"/>
          <w:szCs w:val="21"/>
        </w:rPr>
        <w:t>13.5.3供应商在投标截止时间前撤回已提交的投标文件的，供应商应自采购人或者采购代理机构收到供应商书面撤回通知之日起５个工作日内，及时联系保证金收受机构办理投标保证金退还手续。</w:t>
      </w:r>
    </w:p>
    <w:p>
      <w:pPr>
        <w:adjustRightInd w:val="0"/>
        <w:snapToGrid w:val="0"/>
        <w:spacing w:line="360" w:lineRule="auto"/>
        <w:rPr>
          <w:rFonts w:ascii="仿宋" w:hAnsi="仿宋" w:cs="仿宋"/>
          <w:szCs w:val="21"/>
        </w:rPr>
      </w:pPr>
      <w:r>
        <w:rPr>
          <w:rFonts w:hint="eastAsia" w:ascii="仿宋" w:hAnsi="仿宋" w:cs="仿宋"/>
          <w:szCs w:val="21"/>
        </w:rPr>
        <w:t>13.5.4 政府采购投标担保函不予退回。</w:t>
      </w:r>
    </w:p>
    <w:p>
      <w:pPr>
        <w:adjustRightInd w:val="0"/>
        <w:snapToGrid w:val="0"/>
        <w:spacing w:line="360" w:lineRule="auto"/>
        <w:rPr>
          <w:rFonts w:ascii="仿宋" w:hAnsi="仿宋" w:cs="仿宋"/>
          <w:szCs w:val="21"/>
        </w:rPr>
      </w:pPr>
      <w:r>
        <w:rPr>
          <w:rFonts w:hint="eastAsia" w:ascii="仿宋" w:hAnsi="仿宋" w:cs="仿宋"/>
          <w:szCs w:val="21"/>
        </w:rPr>
        <w:t>13.6 因供应商自身原因导致无法及时退还的，采购人或采购代理机构将不承担相应责任。</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14.证明投标标的的合格性和符合招标文件规定的技术文件</w:t>
      </w:r>
    </w:p>
    <w:p>
      <w:pPr>
        <w:adjustRightInd w:val="0"/>
        <w:snapToGrid w:val="0"/>
        <w:spacing w:line="360" w:lineRule="auto"/>
        <w:rPr>
          <w:rFonts w:ascii="仿宋" w:hAnsi="仿宋" w:cs="仿宋"/>
          <w:szCs w:val="21"/>
        </w:rPr>
      </w:pPr>
      <w:r>
        <w:rPr>
          <w:rFonts w:hint="eastAsia" w:ascii="仿宋" w:hAnsi="仿宋" w:cs="仿宋"/>
          <w:szCs w:val="21"/>
        </w:rPr>
        <w:t>14.1供应商应提交证明文件，证明其投标内容符合招标文件规定。该证明文件是投标文件的一部分。</w:t>
      </w:r>
    </w:p>
    <w:p>
      <w:pPr>
        <w:adjustRightInd w:val="0"/>
        <w:snapToGrid w:val="0"/>
        <w:spacing w:line="360" w:lineRule="auto"/>
        <w:rPr>
          <w:rFonts w:ascii="仿宋" w:hAnsi="仿宋" w:cs="仿宋"/>
          <w:szCs w:val="21"/>
        </w:rPr>
      </w:pPr>
      <w:r>
        <w:rPr>
          <w:rFonts w:hint="eastAsia" w:ascii="仿宋" w:hAnsi="仿宋" w:cs="仿宋"/>
          <w:szCs w:val="21"/>
        </w:rPr>
        <w:t>14.2上款所述的证明文件，可以是文字资料、图纸和数据，它包括：</w:t>
      </w:r>
    </w:p>
    <w:p>
      <w:pPr>
        <w:adjustRightInd w:val="0"/>
        <w:snapToGrid w:val="0"/>
        <w:spacing w:line="360" w:lineRule="auto"/>
        <w:rPr>
          <w:rFonts w:ascii="仿宋" w:hAnsi="仿宋" w:cs="仿宋"/>
          <w:szCs w:val="21"/>
        </w:rPr>
      </w:pPr>
      <w:r>
        <w:rPr>
          <w:rFonts w:hint="eastAsia" w:ascii="仿宋" w:hAnsi="仿宋" w:cs="仿宋"/>
          <w:szCs w:val="21"/>
        </w:rPr>
        <w:t>（1）货物主要技术指标和性能的详细说明；</w:t>
      </w:r>
    </w:p>
    <w:p>
      <w:pPr>
        <w:adjustRightInd w:val="0"/>
        <w:snapToGrid w:val="0"/>
        <w:spacing w:line="360" w:lineRule="auto"/>
        <w:rPr>
          <w:rFonts w:ascii="仿宋" w:hAnsi="仿宋" w:cs="仿宋"/>
          <w:szCs w:val="21"/>
        </w:rPr>
      </w:pPr>
      <w:r>
        <w:rPr>
          <w:rFonts w:hint="eastAsia" w:ascii="仿宋" w:hAnsi="仿宋" w:cs="仿宋"/>
          <w:szCs w:val="21"/>
        </w:rPr>
        <w:t>（2）货物从采购人开始使用至招标文件规定的保质期内正常、连续地使用所必须的备件和专用工具清单，包括备件和专用工具的货源及现行价格;</w:t>
      </w:r>
    </w:p>
    <w:p>
      <w:pPr>
        <w:adjustRightInd w:val="0"/>
        <w:snapToGrid w:val="0"/>
        <w:spacing w:line="360" w:lineRule="auto"/>
        <w:rPr>
          <w:rFonts w:ascii="仿宋" w:hAnsi="仿宋" w:cs="仿宋"/>
          <w:szCs w:val="21"/>
        </w:rPr>
      </w:pPr>
      <w:r>
        <w:rPr>
          <w:rFonts w:hint="eastAsia" w:ascii="仿宋" w:hAnsi="仿宋" w:cs="仿宋"/>
          <w:szCs w:val="21"/>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15.投标有效期</w:t>
      </w:r>
    </w:p>
    <w:p>
      <w:pPr>
        <w:adjustRightInd w:val="0"/>
        <w:snapToGrid w:val="0"/>
        <w:spacing w:line="360" w:lineRule="auto"/>
        <w:rPr>
          <w:rFonts w:ascii="仿宋" w:hAnsi="仿宋" w:cs="仿宋"/>
          <w:szCs w:val="21"/>
        </w:rPr>
      </w:pPr>
      <w:r>
        <w:rPr>
          <w:rFonts w:hint="eastAsia" w:ascii="仿宋" w:hAnsi="仿宋" w:cs="仿宋"/>
          <w:szCs w:val="21"/>
        </w:rPr>
        <w:t>15.1投标应在供应商须知表15.1款中规定的投标有效期内保持有效。投标有效期不满足要求的投标，其投标将被认定为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15.2在特殊情况下，采购人或采购代理机构可根据实际情况，在原投标有效期截止之前，要求供应商延长投标文件的有效期。接受该要求的供应商将不会被要求和允许修正其投标，且本须知中有关投标保证金的要求须在延长的有效期内继续有效。供应商可以拒绝延长投标有效期的要求，其投标保证金将及时退还。上述要求和答复都应以书面形式提交。</w:t>
      </w:r>
    </w:p>
    <w:p>
      <w:pPr>
        <w:adjustRightInd w:val="0"/>
        <w:snapToGrid w:val="0"/>
        <w:spacing w:line="360" w:lineRule="auto"/>
        <w:rPr>
          <w:rFonts w:ascii="仿宋" w:hAnsi="仿宋" w:cs="仿宋"/>
          <w:b/>
          <w:bCs/>
          <w:szCs w:val="21"/>
        </w:rPr>
      </w:pPr>
      <w:r>
        <w:rPr>
          <w:rFonts w:hint="eastAsia" w:ascii="仿宋" w:hAnsi="仿宋" w:cs="仿宋"/>
          <w:b/>
          <w:bCs/>
          <w:szCs w:val="21"/>
        </w:rPr>
        <w:t>16.投标文件的签署及规定</w:t>
      </w:r>
    </w:p>
    <w:p>
      <w:pPr>
        <w:adjustRightInd w:val="0"/>
        <w:snapToGrid w:val="0"/>
        <w:spacing w:line="360" w:lineRule="auto"/>
        <w:rPr>
          <w:rFonts w:ascii="仿宋" w:hAnsi="仿宋" w:cs="仿宋"/>
          <w:szCs w:val="21"/>
        </w:rPr>
      </w:pPr>
      <w:bookmarkStart w:id="67" w:name="_Toc27725_WPSOffice_Level2"/>
      <w:r>
        <w:rPr>
          <w:rFonts w:hint="eastAsia" w:ascii="仿宋" w:hAnsi="仿宋" w:cs="仿宋"/>
          <w:szCs w:val="21"/>
        </w:rPr>
        <w:t>16.1供应商应按供应商须知表16.1款中的规定，准备和递交投标文件正本、副本和电子文档。</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16.2每份投标文件封皮须清楚地标明“正本”或“副本”。若正本和副本不符，以正本为准。</w:t>
      </w:r>
    </w:p>
    <w:p>
      <w:pPr>
        <w:adjustRightInd w:val="0"/>
        <w:snapToGrid w:val="0"/>
        <w:spacing w:line="360" w:lineRule="auto"/>
        <w:rPr>
          <w:rFonts w:ascii="仿宋" w:hAnsi="仿宋" w:cs="仿宋"/>
          <w:szCs w:val="21"/>
        </w:rPr>
      </w:pPr>
      <w:r>
        <w:rPr>
          <w:rFonts w:hint="eastAsia" w:ascii="仿宋" w:hAnsi="仿宋" w:cs="仿宋"/>
          <w:szCs w:val="21"/>
        </w:rPr>
        <w:t>★16.3投标文件的正本需打印或用不褪色墨水书写，并由供应商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供应商的法定代表人（非法人组织负责人）或其委托代理人在每一修改处签字。投标文件的副本可采用正本的复印件。</w:t>
      </w:r>
    </w:p>
    <w:p>
      <w:pPr>
        <w:adjustRightInd w:val="0"/>
        <w:snapToGrid w:val="0"/>
        <w:spacing w:line="360" w:lineRule="auto"/>
        <w:rPr>
          <w:rFonts w:ascii="仿宋" w:hAnsi="仿宋" w:cs="仿宋"/>
          <w:szCs w:val="21"/>
        </w:rPr>
      </w:pPr>
      <w:r>
        <w:rPr>
          <w:rFonts w:hint="eastAsia" w:ascii="仿宋" w:hAnsi="仿宋" w:cs="仿宋"/>
          <w:szCs w:val="21"/>
        </w:rPr>
        <w:t>★16.4如果供应商未按上述要求签署，</w:t>
      </w:r>
      <w:r>
        <w:rPr>
          <w:rFonts w:hint="eastAsia" w:ascii="仿宋" w:hAnsi="仿宋" w:cs="仿宋"/>
          <w:b/>
          <w:bCs/>
          <w:szCs w:val="21"/>
        </w:rPr>
        <w:t>其投标文件无效。</w:t>
      </w:r>
    </w:p>
    <w:p>
      <w:pPr>
        <w:pStyle w:val="3"/>
        <w:rPr>
          <w:rFonts w:ascii="仿宋" w:hAnsi="仿宋" w:cs="仿宋"/>
          <w:sz w:val="32"/>
          <w:szCs w:val="28"/>
        </w:rPr>
      </w:pPr>
      <w:r>
        <w:rPr>
          <w:rFonts w:hint="eastAsia" w:ascii="仿宋" w:hAnsi="仿宋" w:cs="仿宋"/>
          <w:sz w:val="32"/>
          <w:szCs w:val="28"/>
        </w:rPr>
        <w:t>五 投标文件的递交</w:t>
      </w:r>
      <w:bookmarkEnd w:id="67"/>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17.投标文件的密封和标记</w:t>
      </w:r>
    </w:p>
    <w:p>
      <w:pPr>
        <w:adjustRightInd w:val="0"/>
        <w:snapToGrid w:val="0"/>
        <w:spacing w:line="360" w:lineRule="auto"/>
        <w:rPr>
          <w:rFonts w:ascii="仿宋" w:hAnsi="仿宋" w:cs="仿宋"/>
          <w:szCs w:val="21"/>
        </w:rPr>
      </w:pPr>
      <w:r>
        <w:rPr>
          <w:rFonts w:hint="eastAsia" w:ascii="仿宋" w:hAnsi="仿宋" w:cs="仿宋"/>
          <w:szCs w:val="21"/>
        </w:rPr>
        <w:t>17.1供应商应将投标文件密封，将正本和所有的副本、电子文档密封，并在封套的封口处加盖投标人单位章或由投标人的法定代表人（单位负责人）或其授权的代理人签字。</w:t>
      </w:r>
    </w:p>
    <w:p>
      <w:pPr>
        <w:adjustRightInd w:val="0"/>
        <w:snapToGrid w:val="0"/>
        <w:spacing w:line="360" w:lineRule="auto"/>
        <w:rPr>
          <w:rFonts w:ascii="仿宋" w:hAnsi="仿宋" w:cs="仿宋"/>
          <w:szCs w:val="21"/>
        </w:rPr>
      </w:pPr>
      <w:r>
        <w:rPr>
          <w:rFonts w:hint="eastAsia" w:ascii="仿宋" w:hAnsi="仿宋" w:cs="仿宋"/>
          <w:szCs w:val="21"/>
        </w:rPr>
        <w:t>17.2所有包装封皮上均应：</w:t>
      </w:r>
    </w:p>
    <w:p>
      <w:pPr>
        <w:adjustRightInd w:val="0"/>
        <w:snapToGrid w:val="0"/>
        <w:spacing w:line="360" w:lineRule="auto"/>
        <w:rPr>
          <w:rFonts w:ascii="仿宋" w:hAnsi="仿宋" w:cs="仿宋"/>
          <w:szCs w:val="21"/>
        </w:rPr>
      </w:pPr>
      <w:r>
        <w:rPr>
          <w:rFonts w:hint="eastAsia" w:ascii="仿宋" w:hAnsi="仿宋" w:cs="仿宋"/>
          <w:szCs w:val="21"/>
        </w:rPr>
        <w:t>（1）注明项目名称、项目编号、包号、供应商名称。</w:t>
      </w:r>
    </w:p>
    <w:p>
      <w:pPr>
        <w:adjustRightInd w:val="0"/>
        <w:snapToGrid w:val="0"/>
        <w:spacing w:line="360" w:lineRule="auto"/>
        <w:rPr>
          <w:rFonts w:ascii="仿宋" w:hAnsi="仿宋" w:cs="仿宋"/>
          <w:szCs w:val="21"/>
        </w:rPr>
      </w:pPr>
      <w:r>
        <w:rPr>
          <w:rFonts w:hint="eastAsia" w:ascii="仿宋" w:hAnsi="仿宋" w:cs="仿宋"/>
          <w:szCs w:val="21"/>
        </w:rPr>
        <w:t>（2）加盖供应商单位公章。</w:t>
      </w:r>
    </w:p>
    <w:p>
      <w:pPr>
        <w:adjustRightInd w:val="0"/>
        <w:snapToGrid w:val="0"/>
        <w:spacing w:line="360" w:lineRule="auto"/>
        <w:rPr>
          <w:rFonts w:ascii="仿宋" w:hAnsi="仿宋" w:cs="仿宋"/>
          <w:szCs w:val="21"/>
        </w:rPr>
      </w:pPr>
      <w:r>
        <w:rPr>
          <w:rFonts w:hint="eastAsia" w:ascii="仿宋" w:hAnsi="仿宋" w:cs="仿宋"/>
          <w:szCs w:val="21"/>
        </w:rPr>
        <w:t>17.3如果供应商未按上述要求密封，其投标文件将被</w:t>
      </w:r>
      <w:r>
        <w:rPr>
          <w:rFonts w:hint="eastAsia" w:ascii="仿宋" w:hAnsi="仿宋" w:cs="仿宋"/>
          <w:b/>
          <w:bCs/>
          <w:szCs w:val="21"/>
        </w:rPr>
        <w:t>拒绝接收</w:t>
      </w:r>
      <w:r>
        <w:rPr>
          <w:rFonts w:hint="eastAsia" w:ascii="仿宋" w:hAnsi="仿宋" w:cs="仿宋"/>
          <w:szCs w:val="21"/>
        </w:rPr>
        <w:t>。</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18.投标截止</w:t>
      </w:r>
    </w:p>
    <w:p>
      <w:pPr>
        <w:adjustRightInd w:val="0"/>
        <w:snapToGrid w:val="0"/>
        <w:spacing w:line="360" w:lineRule="auto"/>
        <w:rPr>
          <w:rFonts w:ascii="仿宋" w:hAnsi="仿宋" w:cs="仿宋"/>
          <w:szCs w:val="21"/>
        </w:rPr>
      </w:pPr>
      <w:r>
        <w:rPr>
          <w:rFonts w:hint="eastAsia" w:ascii="仿宋" w:hAnsi="仿宋" w:cs="仿宋"/>
          <w:szCs w:val="21"/>
        </w:rPr>
        <w:t>18.1供应商应在供应商须知表18.1中规定的递交投标文件截止时间前，将投标文件递交到供应商须知表18.1款中规定的地点。</w:t>
      </w:r>
    </w:p>
    <w:p>
      <w:pPr>
        <w:adjustRightInd w:val="0"/>
        <w:snapToGrid w:val="0"/>
        <w:spacing w:line="360" w:lineRule="auto"/>
        <w:rPr>
          <w:rFonts w:ascii="仿宋" w:hAnsi="仿宋" w:cs="仿宋"/>
          <w:szCs w:val="21"/>
        </w:rPr>
      </w:pPr>
      <w:r>
        <w:rPr>
          <w:rFonts w:hint="eastAsia" w:ascii="仿宋" w:hAnsi="仿宋" w:cs="仿宋"/>
          <w:szCs w:val="21"/>
        </w:rPr>
        <w:t>18.2采购人和采购代理机构有权按本须知的规定，延迟投标截止时间。在此情况下，采购人、采购代理机构和供应商受投标截止时间制约的所有权利和义务均应延长至新的截止时间。</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19.投标文件的接收、修改与撤回</w:t>
      </w:r>
    </w:p>
    <w:p>
      <w:pPr>
        <w:adjustRightInd w:val="0"/>
        <w:snapToGrid w:val="0"/>
        <w:spacing w:line="360" w:lineRule="auto"/>
        <w:rPr>
          <w:rFonts w:ascii="仿宋" w:hAnsi="仿宋" w:cs="仿宋"/>
          <w:szCs w:val="21"/>
        </w:rPr>
      </w:pPr>
      <w:r>
        <w:rPr>
          <w:rFonts w:hint="eastAsia" w:ascii="仿宋" w:hAnsi="仿宋" w:cs="仿宋"/>
          <w:szCs w:val="21"/>
        </w:rPr>
        <w:t>19.1在投标截止时间后送达的投标文件，采购人和采购代理机构将</w:t>
      </w:r>
      <w:r>
        <w:rPr>
          <w:rFonts w:hint="eastAsia" w:ascii="仿宋" w:hAnsi="仿宋" w:cs="仿宋"/>
          <w:b/>
          <w:bCs/>
          <w:szCs w:val="21"/>
        </w:rPr>
        <w:t>拒绝接收</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19.2采购人或者采购代理机构收到投标文件后，应当如实记载投标文件的送达时间和密封情况。</w:t>
      </w:r>
    </w:p>
    <w:p>
      <w:pPr>
        <w:adjustRightInd w:val="0"/>
        <w:snapToGrid w:val="0"/>
        <w:spacing w:line="360" w:lineRule="auto"/>
        <w:rPr>
          <w:rFonts w:ascii="仿宋" w:hAnsi="仿宋" w:cs="仿宋"/>
          <w:szCs w:val="21"/>
        </w:rPr>
      </w:pPr>
      <w:r>
        <w:rPr>
          <w:rFonts w:hint="eastAsia" w:ascii="仿宋" w:hAnsi="仿宋" w:cs="仿宋"/>
          <w:szCs w:val="21"/>
        </w:rPr>
        <w:t>19.3递交投标文件以后，如果供应商要进行修改或撤回投标，须提出书面申请并在投标截止时间前送达开标地点，供应商对投标文件的修改或撤回通知应按本须知规定编制、密封、标记。采购人和采购代理机构将予以接收，并视为投标文件的组成部分。否则，修改后的投标文件或撤回行为无效。</w:t>
      </w:r>
    </w:p>
    <w:p>
      <w:pPr>
        <w:adjustRightInd w:val="0"/>
        <w:snapToGrid w:val="0"/>
        <w:spacing w:line="360" w:lineRule="auto"/>
        <w:rPr>
          <w:rFonts w:ascii="仿宋" w:hAnsi="仿宋" w:cs="仿宋"/>
          <w:szCs w:val="21"/>
        </w:rPr>
      </w:pPr>
      <w:r>
        <w:rPr>
          <w:rFonts w:hint="eastAsia" w:ascii="仿宋" w:hAnsi="仿宋" w:cs="仿宋"/>
          <w:szCs w:val="21"/>
        </w:rPr>
        <w:t>19.4在投标截止时间之后，供应商不得对其投标文件做任何修改。</w:t>
      </w:r>
    </w:p>
    <w:p>
      <w:pPr>
        <w:adjustRightInd w:val="0"/>
        <w:snapToGrid w:val="0"/>
        <w:spacing w:line="360" w:lineRule="auto"/>
        <w:rPr>
          <w:rFonts w:ascii="仿宋" w:hAnsi="仿宋" w:cs="仿宋"/>
          <w:szCs w:val="21"/>
        </w:rPr>
      </w:pPr>
      <w:r>
        <w:rPr>
          <w:rFonts w:hint="eastAsia" w:ascii="仿宋" w:hAnsi="仿宋" w:cs="仿宋"/>
          <w:szCs w:val="21"/>
        </w:rPr>
        <w:t>19.5采购人和采购代理机构对所接收并当众宣读投标内容的投标文件概不退回。</w:t>
      </w:r>
    </w:p>
    <w:p>
      <w:pPr>
        <w:pStyle w:val="3"/>
        <w:rPr>
          <w:rFonts w:ascii="仿宋" w:hAnsi="仿宋" w:cs="仿宋"/>
          <w:sz w:val="32"/>
          <w:szCs w:val="28"/>
        </w:rPr>
      </w:pPr>
      <w:bookmarkStart w:id="68" w:name="_Toc988_WPSOffice_Level2"/>
      <w:r>
        <w:rPr>
          <w:rFonts w:hint="eastAsia" w:ascii="仿宋" w:hAnsi="仿宋" w:cs="仿宋"/>
          <w:sz w:val="32"/>
          <w:szCs w:val="28"/>
        </w:rPr>
        <w:t>六 开标及评标</w:t>
      </w:r>
      <w:bookmarkEnd w:id="68"/>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20.开标</w:t>
      </w:r>
    </w:p>
    <w:p>
      <w:pPr>
        <w:adjustRightInd w:val="0"/>
        <w:snapToGrid w:val="0"/>
        <w:spacing w:line="360" w:lineRule="auto"/>
        <w:rPr>
          <w:rFonts w:ascii="仿宋" w:hAnsi="仿宋" w:cs="仿宋"/>
          <w:szCs w:val="21"/>
        </w:rPr>
      </w:pPr>
      <w:r>
        <w:rPr>
          <w:rFonts w:hint="eastAsia" w:ascii="仿宋" w:hAnsi="仿宋" w:cs="仿宋"/>
          <w:szCs w:val="21"/>
        </w:rPr>
        <w:t>20.1采购人和采购代理机构将按供应商须知表20.1款中规定的开标时间和地点组织公开开标并邀请所有供应商代表参加。</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供应商不足3家的，不得开标。评标委员会成员不得参加开标活动。</w:t>
      </w:r>
    </w:p>
    <w:p>
      <w:pPr>
        <w:adjustRightInd w:val="0"/>
        <w:snapToGrid w:val="0"/>
        <w:spacing w:line="360" w:lineRule="auto"/>
        <w:rPr>
          <w:rFonts w:ascii="仿宋" w:hAnsi="仿宋" w:cs="仿宋"/>
          <w:szCs w:val="21"/>
        </w:rPr>
      </w:pPr>
      <w:r>
        <w:rPr>
          <w:rFonts w:hint="eastAsia" w:ascii="仿宋" w:hAnsi="仿宋" w:cs="仿宋"/>
          <w:szCs w:val="21"/>
        </w:rPr>
        <w:t>20.2开标时，由供应商或其推选的代表检查投标文件的密封情况，经记录后，由采购人或采购代理机构当众拆封投标文件，宣读供应商名称、投标价格及招标文件规定的内容。对于供应商在投标截止时间前递交的投标声明，在开标时当众宣读，评标时有效。</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未宣读投标价格、价格折扣等实质内容，评标时不予承认。</w:t>
      </w:r>
    </w:p>
    <w:p>
      <w:pPr>
        <w:adjustRightInd w:val="0"/>
        <w:snapToGrid w:val="0"/>
        <w:spacing w:line="360" w:lineRule="auto"/>
        <w:rPr>
          <w:rFonts w:ascii="仿宋" w:hAnsi="仿宋" w:cs="仿宋"/>
          <w:szCs w:val="21"/>
        </w:rPr>
      </w:pPr>
      <w:r>
        <w:rPr>
          <w:rFonts w:hint="eastAsia" w:ascii="仿宋" w:hAnsi="仿宋" w:cs="仿宋"/>
          <w:szCs w:val="21"/>
        </w:rPr>
        <w:t>20.3采购人或采购代理机构将对开标过程进行记录，由参加开标的各供应商代表和相关工作人员签字确认，并存档备查。供应商未参加开标或未签字确认的，视同认可开标结果。</w:t>
      </w:r>
    </w:p>
    <w:p>
      <w:pPr>
        <w:adjustRightInd w:val="0"/>
        <w:snapToGrid w:val="0"/>
        <w:spacing w:line="360" w:lineRule="auto"/>
        <w:rPr>
          <w:rFonts w:ascii="仿宋" w:hAnsi="仿宋" w:cs="仿宋"/>
          <w:szCs w:val="21"/>
        </w:rPr>
      </w:pPr>
      <w:r>
        <w:rPr>
          <w:rFonts w:hint="eastAsia" w:ascii="仿宋" w:hAnsi="仿宋" w:cs="仿宋"/>
          <w:szCs w:val="21"/>
        </w:rPr>
        <w:t>20.4供应商代表对开标过程和开标记录有疑义，以及认为采购人、采购代理机构相关工作人员有需要回避的情形的，应当场提出询问或者回避申请。</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21.组建评标委员会</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按照《中华人民共和国政府采购法》、《中华人民共和国政府采购法实施条例》有关规定依法组建评标委员会，负责本项目评标工作。本项目评标委员会组成详见供应商须知表21款。</w:t>
      </w:r>
    </w:p>
    <w:p>
      <w:pPr>
        <w:adjustRightInd w:val="0"/>
        <w:snapToGrid w:val="0"/>
        <w:spacing w:line="360" w:lineRule="auto"/>
        <w:rPr>
          <w:rFonts w:ascii="仿宋" w:hAnsi="仿宋" w:cs="仿宋"/>
          <w:szCs w:val="21"/>
        </w:rPr>
      </w:pPr>
      <w:r>
        <w:rPr>
          <w:rFonts w:hint="eastAsia" w:ascii="仿宋" w:hAnsi="仿宋" w:cs="仿宋"/>
          <w:szCs w:val="21"/>
        </w:rPr>
        <w:t>★</w:t>
      </w:r>
      <w:r>
        <w:rPr>
          <w:rFonts w:hint="eastAsia" w:ascii="仿宋" w:hAnsi="仿宋" w:cs="仿宋"/>
          <w:b/>
          <w:bCs/>
          <w:szCs w:val="21"/>
        </w:rPr>
        <w:t>22.资格审查</w:t>
      </w:r>
    </w:p>
    <w:p>
      <w:pPr>
        <w:adjustRightInd w:val="0"/>
        <w:snapToGrid w:val="0"/>
        <w:spacing w:line="360" w:lineRule="auto"/>
        <w:rPr>
          <w:rFonts w:ascii="仿宋" w:hAnsi="仿宋" w:cs="仿宋"/>
          <w:szCs w:val="21"/>
        </w:rPr>
      </w:pPr>
      <w:r>
        <w:rPr>
          <w:rFonts w:hint="eastAsia" w:ascii="仿宋" w:hAnsi="仿宋" w:cs="仿宋"/>
          <w:szCs w:val="21"/>
        </w:rPr>
        <w:t>22.1采购人和采购代理机构依据法律法规和招标文件中规定的内容，对供应商的资格进行审查，供应商应按照第二章《投标文件内容及格式》中的相应要求提交资格证明材料。未通过资格审查的供应商不能进入评标，其投标将被认定为</w:t>
      </w:r>
      <w:r>
        <w:rPr>
          <w:rFonts w:hint="eastAsia" w:ascii="仿宋" w:hAnsi="仿宋" w:cs="仿宋"/>
          <w:b/>
          <w:bCs/>
          <w:szCs w:val="21"/>
        </w:rPr>
        <w:t>投标无效</w:t>
      </w:r>
      <w:r>
        <w:rPr>
          <w:rFonts w:hint="eastAsia" w:ascii="仿宋" w:hAnsi="仿宋" w:cs="仿宋"/>
          <w:szCs w:val="21"/>
        </w:rPr>
        <w:t>；通过资格审查的供应商不足3家的，不得评标。</w:t>
      </w:r>
    </w:p>
    <w:p>
      <w:pPr>
        <w:adjustRightInd w:val="0"/>
        <w:snapToGrid w:val="0"/>
        <w:spacing w:line="360" w:lineRule="auto"/>
        <w:rPr>
          <w:rFonts w:ascii="仿宋" w:hAnsi="仿宋" w:cs="仿宋"/>
          <w:szCs w:val="21"/>
        </w:rPr>
      </w:pPr>
      <w:r>
        <w:rPr>
          <w:rFonts w:hint="eastAsia" w:ascii="仿宋" w:hAnsi="仿宋" w:cs="仿宋"/>
          <w:szCs w:val="21"/>
        </w:rPr>
        <w:t>22.2采购人或采购代理机构将在递交投标文件截止时间前一个工作日至资格审查结束前查询供应商的信用记录。供应商存在不良信用记录的，其投标将被认定为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22.2.1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以联合体形式参加投标的，联合体任何成员存在以上不良信用记录的，联合体投标将被认定为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22.2.2查询及记录方式：采购人或采购代理机构经办人将查询网页打印并存档备查。供应商不良信用记录以采购人或采购代理机构查询结果为准。</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在本招标文件规定的查询时间之后，网站信息发生的任何变更均不再作为评标依据。</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供应商自行提供的与网站信息不一致的其他证明材料亦不作为资格审查依据。</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23.符合性审查</w:t>
      </w:r>
    </w:p>
    <w:p>
      <w:pPr>
        <w:adjustRightInd w:val="0"/>
        <w:snapToGrid w:val="0"/>
        <w:spacing w:line="360" w:lineRule="auto"/>
        <w:rPr>
          <w:rFonts w:ascii="仿宋" w:hAnsi="仿宋" w:cs="仿宋"/>
          <w:szCs w:val="21"/>
        </w:rPr>
      </w:pPr>
      <w:r>
        <w:rPr>
          <w:rFonts w:hint="eastAsia" w:ascii="仿宋" w:hAnsi="仿宋" w:cs="仿宋"/>
          <w:szCs w:val="21"/>
        </w:rPr>
        <w:t xml:space="preserve">    符合性审查是指依据招标文件的规定，从投标文件的有效性和完整性对招标文件的响应程度进行审查，以确定是否对招标文件的实质性要求做出响应。供应商应按照第二章《投标文件内容及格式》中的相应要求，提交符合性证明材料。未通过符合性审查的供应商不能进入下一阶段评审，其投标将被认定为</w:t>
      </w:r>
      <w:r>
        <w:rPr>
          <w:rFonts w:hint="eastAsia" w:ascii="仿宋" w:hAnsi="仿宋" w:cs="仿宋"/>
          <w:b/>
          <w:bCs/>
          <w:szCs w:val="21"/>
        </w:rPr>
        <w:t>投标无效</w:t>
      </w:r>
      <w:r>
        <w:rPr>
          <w:rFonts w:hint="eastAsia" w:ascii="仿宋" w:hAnsi="仿宋" w:cs="仿宋"/>
          <w:szCs w:val="21"/>
        </w:rPr>
        <w:t>；通过符合性审查的供应商数量不足3家的，不得作进一步的比较和评价。</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24.投标文件的澄清</w:t>
      </w:r>
    </w:p>
    <w:p>
      <w:pPr>
        <w:adjustRightInd w:val="0"/>
        <w:snapToGrid w:val="0"/>
        <w:spacing w:line="360" w:lineRule="auto"/>
        <w:rPr>
          <w:rFonts w:ascii="仿宋" w:hAnsi="仿宋" w:cs="仿宋"/>
          <w:szCs w:val="21"/>
        </w:rPr>
      </w:pPr>
      <w:r>
        <w:rPr>
          <w:rFonts w:hint="eastAsia" w:ascii="仿宋" w:hAnsi="仿宋" w:cs="仿宋"/>
          <w:szCs w:val="21"/>
        </w:rPr>
        <w:t>24.1在评标期间，评标委员会将以书面方式要求供应商对其投标文件中含义不明确、对同类问题表述不一致或者有明显文字和计算错误的内容作必要的澄清、说明或补正。供应商的澄清、说明或补正应在评标委员会规定的时间内以书面方式进行，并不得超出投标文件范围或者改变投标文件的实质性内容。供应商拒不进行澄清、说明、补正的，或者不能在规定时间内作出书面澄清、说明、补正的，其投标将被作为无效投标处理。</w:t>
      </w:r>
    </w:p>
    <w:p>
      <w:pPr>
        <w:adjustRightInd w:val="0"/>
        <w:snapToGrid w:val="0"/>
        <w:spacing w:line="360" w:lineRule="auto"/>
        <w:rPr>
          <w:rFonts w:ascii="仿宋" w:hAnsi="仿宋" w:cs="仿宋"/>
          <w:szCs w:val="21"/>
        </w:rPr>
      </w:pPr>
      <w:r>
        <w:rPr>
          <w:rFonts w:hint="eastAsia" w:ascii="仿宋" w:hAnsi="仿宋" w:cs="仿宋"/>
          <w:szCs w:val="21"/>
        </w:rPr>
        <w:t>24.2供应商的澄清、说明或补正将作为投标文件的一部分。</w:t>
      </w:r>
    </w:p>
    <w:p>
      <w:pPr>
        <w:adjustRightInd w:val="0"/>
        <w:snapToGrid w:val="0"/>
        <w:spacing w:line="360" w:lineRule="auto"/>
        <w:rPr>
          <w:rFonts w:ascii="仿宋" w:hAnsi="仿宋" w:cs="仿宋"/>
          <w:szCs w:val="21"/>
        </w:rPr>
      </w:pPr>
      <w:r>
        <w:rPr>
          <w:rFonts w:hint="eastAsia" w:ascii="仿宋" w:hAnsi="仿宋" w:cs="仿宋"/>
          <w:szCs w:val="21"/>
        </w:rPr>
        <w:t>24.3投标文件报价出现前后不一致的，按照下列规定修正：</w:t>
      </w:r>
    </w:p>
    <w:p>
      <w:pPr>
        <w:adjustRightInd w:val="0"/>
        <w:snapToGrid w:val="0"/>
        <w:spacing w:line="360" w:lineRule="auto"/>
        <w:rPr>
          <w:rFonts w:ascii="仿宋" w:hAnsi="仿宋" w:cs="仿宋"/>
          <w:szCs w:val="21"/>
        </w:rPr>
      </w:pPr>
      <w:r>
        <w:rPr>
          <w:rFonts w:hint="eastAsia" w:ascii="仿宋" w:hAnsi="仿宋" w:cs="仿宋"/>
          <w:szCs w:val="21"/>
        </w:rPr>
        <w:t>（1）投标文件中开标一览表内容与投标文件中相应内容不一致的，以开标一览表为准；</w:t>
      </w:r>
    </w:p>
    <w:p>
      <w:pPr>
        <w:adjustRightInd w:val="0"/>
        <w:snapToGrid w:val="0"/>
        <w:spacing w:line="360" w:lineRule="auto"/>
        <w:rPr>
          <w:rFonts w:ascii="仿宋" w:hAnsi="仿宋" w:cs="仿宋"/>
          <w:szCs w:val="21"/>
        </w:rPr>
      </w:pPr>
      <w:r>
        <w:rPr>
          <w:rFonts w:hint="eastAsia" w:ascii="仿宋" w:hAnsi="仿宋" w:cs="仿宋"/>
          <w:szCs w:val="21"/>
        </w:rPr>
        <w:t>（2）大写金额和小写金额不一致的，以大写金额为准；</w:t>
      </w:r>
    </w:p>
    <w:p>
      <w:pPr>
        <w:adjustRightInd w:val="0"/>
        <w:snapToGrid w:val="0"/>
        <w:spacing w:line="360" w:lineRule="auto"/>
        <w:rPr>
          <w:rFonts w:ascii="仿宋" w:hAnsi="仿宋" w:cs="仿宋"/>
          <w:szCs w:val="21"/>
        </w:rPr>
      </w:pPr>
      <w:r>
        <w:rPr>
          <w:rFonts w:hint="eastAsia" w:ascii="仿宋" w:hAnsi="仿宋" w:cs="仿宋"/>
          <w:szCs w:val="21"/>
        </w:rPr>
        <w:t>（3）单价金额小数点或者百分比有明显错位的，以开标一览表的总价为准，并修改单价；</w:t>
      </w:r>
    </w:p>
    <w:p>
      <w:pPr>
        <w:adjustRightInd w:val="0"/>
        <w:snapToGrid w:val="0"/>
        <w:spacing w:line="360" w:lineRule="auto"/>
        <w:rPr>
          <w:rFonts w:ascii="仿宋" w:hAnsi="仿宋" w:cs="仿宋"/>
          <w:szCs w:val="21"/>
        </w:rPr>
      </w:pPr>
      <w:r>
        <w:rPr>
          <w:rFonts w:hint="eastAsia" w:ascii="仿宋" w:hAnsi="仿宋" w:cs="仿宋"/>
          <w:szCs w:val="21"/>
        </w:rPr>
        <w:t>（4）总价金额与按单价汇总金额不一致的，以单价金额计算结果为准。</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同时出现两种以上不一致的，按照前款规定的顺序修正。修正后的报价经供应商确认后产生约束力，供应商不确认的，其投标将被认定为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rPr>
      </w:pPr>
      <w:r>
        <w:rPr>
          <w:rFonts w:hint="eastAsia" w:ascii="仿宋" w:hAnsi="仿宋" w:cs="仿宋"/>
          <w:szCs w:val="21"/>
        </w:rPr>
        <w:t>24.4</w:t>
      </w:r>
      <w:r>
        <w:rPr>
          <w:rFonts w:hint="eastAsia" w:ascii="仿宋" w:hAnsi="仿宋" w:cs="仿宋"/>
          <w:b/>
          <w:bCs/>
          <w:szCs w:val="21"/>
        </w:rPr>
        <w:t>评标委员会认为</w:t>
      </w:r>
      <w:r>
        <w:rPr>
          <w:rFonts w:hint="eastAsia" w:ascii="仿宋" w:hAnsi="仿宋" w:cs="仿宋"/>
          <w:szCs w:val="21"/>
        </w:rPr>
        <w:t>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仿宋" w:hAnsi="仿宋" w:cs="仿宋"/>
          <w:b/>
          <w:bCs/>
          <w:szCs w:val="21"/>
        </w:rPr>
        <w:t>无效投标</w:t>
      </w:r>
      <w:r>
        <w:rPr>
          <w:rFonts w:hint="eastAsia" w:ascii="仿宋" w:hAnsi="仿宋" w:cs="仿宋"/>
          <w:szCs w:val="21"/>
        </w:rPr>
        <w:t>处理。提交证明材料的合理时间按第四章 评标方法规定执行。</w:t>
      </w:r>
    </w:p>
    <w:p>
      <w:pPr>
        <w:adjustRightInd w:val="0"/>
        <w:snapToGrid w:val="0"/>
        <w:spacing w:line="360" w:lineRule="auto"/>
        <w:rPr>
          <w:rFonts w:ascii="仿宋" w:hAnsi="仿宋" w:cs="仿宋"/>
          <w:b/>
          <w:bCs/>
          <w:szCs w:val="21"/>
        </w:rPr>
      </w:pPr>
      <w:r>
        <w:rPr>
          <w:rFonts w:hint="eastAsia" w:ascii="仿宋" w:hAnsi="仿宋" w:cs="仿宋"/>
          <w:b/>
          <w:bCs/>
          <w:szCs w:val="21"/>
        </w:rPr>
        <w:t>25样品及演示</w:t>
      </w:r>
    </w:p>
    <w:p>
      <w:pPr>
        <w:adjustRightInd w:val="0"/>
        <w:snapToGrid w:val="0"/>
        <w:spacing w:line="360" w:lineRule="auto"/>
        <w:rPr>
          <w:rFonts w:ascii="仿宋" w:hAnsi="仿宋" w:cs="仿宋"/>
          <w:szCs w:val="21"/>
        </w:rPr>
      </w:pPr>
      <w:r>
        <w:rPr>
          <w:rFonts w:hint="eastAsia" w:ascii="仿宋" w:hAnsi="仿宋" w:cs="仿宋"/>
          <w:szCs w:val="21"/>
        </w:rPr>
        <w:t>25.1供应商须知表11.3款中要求供应商提供样品的，按照供应商须知表25.1款中样品的评审方法以及评审标准进行评审。</w:t>
      </w:r>
    </w:p>
    <w:p>
      <w:pPr>
        <w:adjustRightInd w:val="0"/>
        <w:snapToGrid w:val="0"/>
        <w:spacing w:line="360" w:lineRule="auto"/>
        <w:rPr>
          <w:rFonts w:ascii="仿宋" w:hAnsi="仿宋" w:cs="仿宋"/>
          <w:szCs w:val="21"/>
        </w:rPr>
      </w:pPr>
      <w:r>
        <w:rPr>
          <w:rFonts w:hint="eastAsia" w:ascii="仿宋" w:hAnsi="仿宋" w:cs="仿宋"/>
          <w:szCs w:val="21"/>
        </w:rPr>
        <w:t>25.2采购活动结束后，对于未中标人提供的样品，应当及时退还或者经未中标人同意后自行处理；对于中标人提供的样品，应当按招标文件规定进行保管、封存，并作为履约验收的参考。具体内容见供应商须知表11.3条。</w:t>
      </w:r>
    </w:p>
    <w:p>
      <w:pPr>
        <w:adjustRightInd w:val="0"/>
        <w:snapToGrid w:val="0"/>
        <w:spacing w:line="360" w:lineRule="auto"/>
        <w:rPr>
          <w:rFonts w:ascii="仿宋" w:hAnsi="仿宋" w:cs="仿宋"/>
          <w:szCs w:val="21"/>
        </w:rPr>
      </w:pPr>
      <w:r>
        <w:rPr>
          <w:rFonts w:hint="eastAsia" w:ascii="仿宋" w:hAnsi="仿宋" w:cs="仿宋"/>
          <w:szCs w:val="21"/>
        </w:rPr>
        <w:t>25.3演示的评审方法以及评审标准具体内容见供应商须知表25.1款。</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26.投标无效</w:t>
      </w:r>
    </w:p>
    <w:p>
      <w:pPr>
        <w:adjustRightInd w:val="0"/>
        <w:snapToGrid w:val="0"/>
        <w:spacing w:line="360" w:lineRule="auto"/>
        <w:rPr>
          <w:rFonts w:ascii="仿宋" w:hAnsi="仿宋" w:cs="仿宋"/>
          <w:szCs w:val="21"/>
        </w:rPr>
      </w:pPr>
      <w:r>
        <w:rPr>
          <w:rFonts w:hint="eastAsia" w:ascii="仿宋" w:hAnsi="仿宋" w:cs="仿宋"/>
          <w:szCs w:val="21"/>
        </w:rPr>
        <w:t>26.1在比较与评价之前，根据本须知的规定，评标委员会将审查每份投标文件是否实质上响应了招标文件的要求。</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实质性要求是指招标文件中带有★号标识内容（包括本级及其下级编号中所有内容）等文字说明的要求。</w:t>
      </w:r>
    </w:p>
    <w:p>
      <w:pPr>
        <w:adjustRightInd w:val="0"/>
        <w:snapToGrid w:val="0"/>
        <w:spacing w:line="360" w:lineRule="auto"/>
        <w:ind w:firstLine="420" w:firstLineChars="200"/>
        <w:rPr>
          <w:rFonts w:ascii="仿宋" w:hAnsi="仿宋" w:cs="仿宋"/>
          <w:szCs w:val="21"/>
        </w:rPr>
      </w:pPr>
      <w:r>
        <w:rPr>
          <w:rFonts w:hint="eastAsia" w:ascii="仿宋" w:hAnsi="仿宋" w:cs="仿宋"/>
          <w:kern w:val="0"/>
          <w:szCs w:val="21"/>
        </w:rPr>
        <w:t>对招标文件的实质性要求进行响应是指与招标文件中带有★号标识内容的文字说明、条款、条件和规格等要求相符。</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如果投标文件没有对招标文件的实质性要求进行响应，将作为</w:t>
      </w:r>
      <w:r>
        <w:rPr>
          <w:rFonts w:hint="eastAsia" w:ascii="仿宋" w:hAnsi="仿宋" w:cs="仿宋"/>
          <w:b/>
          <w:bCs/>
          <w:szCs w:val="21"/>
        </w:rPr>
        <w:t>无效投标</w:t>
      </w:r>
      <w:r>
        <w:rPr>
          <w:rFonts w:hint="eastAsia" w:ascii="仿宋" w:hAnsi="仿宋" w:cs="仿宋"/>
          <w:szCs w:val="21"/>
        </w:rPr>
        <w:t>处理，供应商不得再对投标文件进行任何修正从而使其投标成为实质上响应的投标。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评标委员会决定投标的响应性只根据招标文件要求、投标文件内容及财政主管部门指定媒体发布的相关信息。</w:t>
      </w:r>
    </w:p>
    <w:p>
      <w:pPr>
        <w:adjustRightInd w:val="0"/>
        <w:snapToGrid w:val="0"/>
        <w:spacing w:line="360" w:lineRule="auto"/>
        <w:rPr>
          <w:rFonts w:ascii="仿宋" w:hAnsi="仿宋" w:cs="仿宋"/>
          <w:szCs w:val="21"/>
        </w:rPr>
      </w:pPr>
      <w:r>
        <w:rPr>
          <w:rFonts w:hint="eastAsia" w:ascii="仿宋" w:hAnsi="仿宋" w:cs="仿宋"/>
          <w:szCs w:val="21"/>
        </w:rPr>
        <w:t>26.2如发现下列情况之一的，其投标将被认定为</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（1）未按招标文件的规定提交投标保证金的；（本项目不适用）</w:t>
      </w:r>
    </w:p>
    <w:p>
      <w:pPr>
        <w:adjustRightInd w:val="0"/>
        <w:snapToGrid w:val="0"/>
        <w:spacing w:line="360" w:lineRule="auto"/>
        <w:rPr>
          <w:rFonts w:ascii="仿宋" w:hAnsi="仿宋" w:cs="仿宋"/>
          <w:szCs w:val="21"/>
        </w:rPr>
      </w:pPr>
      <w:r>
        <w:rPr>
          <w:rFonts w:hint="eastAsia" w:ascii="仿宋" w:hAnsi="仿宋" w:cs="仿宋"/>
          <w:szCs w:val="21"/>
        </w:rPr>
        <w:t>（2）未按照招标文件规定要求签署、盖章的；</w:t>
      </w:r>
    </w:p>
    <w:p>
      <w:pPr>
        <w:adjustRightInd w:val="0"/>
        <w:snapToGrid w:val="0"/>
        <w:spacing w:line="360" w:lineRule="auto"/>
        <w:rPr>
          <w:rFonts w:ascii="仿宋" w:hAnsi="仿宋" w:cs="仿宋"/>
          <w:szCs w:val="21"/>
        </w:rPr>
      </w:pPr>
      <w:r>
        <w:rPr>
          <w:rFonts w:hint="eastAsia" w:ascii="仿宋" w:hAnsi="仿宋" w:cs="仿宋"/>
          <w:szCs w:val="21"/>
        </w:rPr>
        <w:t>（3）供应商的报价超过了招标文件中规定的预算金额或者最高限价的；</w:t>
      </w:r>
    </w:p>
    <w:p>
      <w:pPr>
        <w:adjustRightInd w:val="0"/>
        <w:snapToGrid w:val="0"/>
        <w:spacing w:line="360" w:lineRule="auto"/>
        <w:rPr>
          <w:rFonts w:ascii="仿宋" w:hAnsi="仿宋" w:cs="仿宋"/>
          <w:szCs w:val="21"/>
        </w:rPr>
      </w:pPr>
      <w:r>
        <w:rPr>
          <w:rFonts w:hint="eastAsia" w:ascii="仿宋" w:hAnsi="仿宋" w:cs="仿宋"/>
          <w:szCs w:val="21"/>
        </w:rPr>
        <w:t>（4）不具备招标文件中规定的资格要求的；</w:t>
      </w:r>
    </w:p>
    <w:p>
      <w:pPr>
        <w:adjustRightInd w:val="0"/>
        <w:snapToGrid w:val="0"/>
        <w:spacing w:line="360" w:lineRule="auto"/>
        <w:rPr>
          <w:rFonts w:ascii="仿宋" w:hAnsi="仿宋" w:cs="仿宋"/>
          <w:szCs w:val="21"/>
        </w:rPr>
      </w:pPr>
      <w:r>
        <w:rPr>
          <w:rFonts w:hint="eastAsia" w:ascii="仿宋" w:hAnsi="仿宋" w:cs="仿宋"/>
          <w:szCs w:val="21"/>
        </w:rPr>
        <w:t>（5）不符合法律、法规和招标文件中规定的其他实质性要求的。</w:t>
      </w:r>
    </w:p>
    <w:p>
      <w:pPr>
        <w:adjustRightInd w:val="0"/>
        <w:snapToGrid w:val="0"/>
        <w:spacing w:line="360" w:lineRule="auto"/>
        <w:rPr>
          <w:rFonts w:ascii="仿宋" w:hAnsi="仿宋" w:cs="仿宋"/>
          <w:szCs w:val="21"/>
        </w:rPr>
      </w:pPr>
      <w:r>
        <w:rPr>
          <w:rFonts w:hint="eastAsia" w:ascii="仿宋" w:hAnsi="仿宋" w:cs="仿宋"/>
          <w:szCs w:val="21"/>
        </w:rPr>
        <w:t>（6）与其他供应商串通投标，或者与采购人串通投标；</w:t>
      </w:r>
    </w:p>
    <w:p>
      <w:pPr>
        <w:adjustRightInd w:val="0"/>
        <w:snapToGrid w:val="0"/>
        <w:spacing w:line="360" w:lineRule="auto"/>
        <w:rPr>
          <w:rFonts w:ascii="仿宋" w:hAnsi="仿宋" w:cs="仿宋"/>
          <w:szCs w:val="21"/>
        </w:rPr>
      </w:pPr>
      <w:r>
        <w:rPr>
          <w:rFonts w:hint="eastAsia" w:ascii="仿宋" w:hAnsi="仿宋" w:cs="仿宋"/>
          <w:szCs w:val="21"/>
        </w:rPr>
        <w:t>（7）评标委员会认为供应商的报价明显低于其他通过符合性审查供应商的报价，有可能影响履约的，且供应商未按照规定证明其报价合理性的；</w:t>
      </w:r>
    </w:p>
    <w:p>
      <w:pPr>
        <w:adjustRightInd w:val="0"/>
        <w:snapToGrid w:val="0"/>
        <w:spacing w:line="360" w:lineRule="auto"/>
        <w:rPr>
          <w:rFonts w:ascii="仿宋" w:hAnsi="仿宋" w:cs="仿宋"/>
          <w:szCs w:val="21"/>
        </w:rPr>
      </w:pPr>
      <w:r>
        <w:rPr>
          <w:rFonts w:hint="eastAsia" w:ascii="仿宋" w:hAnsi="仿宋" w:cs="仿宋"/>
          <w:szCs w:val="21"/>
        </w:rPr>
        <w:t>（8）投标文件含有采购人不能接受的附加条件的；</w:t>
      </w:r>
    </w:p>
    <w:p>
      <w:pPr>
        <w:adjustRightInd w:val="0"/>
        <w:snapToGrid w:val="0"/>
        <w:spacing w:line="360" w:lineRule="auto"/>
        <w:rPr>
          <w:rFonts w:ascii="仿宋" w:hAnsi="仿宋" w:cs="仿宋"/>
          <w:szCs w:val="21"/>
        </w:rPr>
      </w:pPr>
      <w:r>
        <w:rPr>
          <w:rFonts w:hint="eastAsia" w:ascii="仿宋" w:hAnsi="仿宋" w:cs="仿宋"/>
          <w:szCs w:val="21"/>
        </w:rPr>
        <w:t>（9）属于法律、法规和招标文件规定的其他投标无效情形；</w:t>
      </w:r>
    </w:p>
    <w:p>
      <w:pPr>
        <w:adjustRightInd w:val="0"/>
        <w:snapToGrid w:val="0"/>
        <w:spacing w:line="360" w:lineRule="auto"/>
        <w:rPr>
          <w:rFonts w:ascii="仿宋" w:hAnsi="仿宋" w:cs="仿宋"/>
          <w:b/>
          <w:bCs/>
          <w:szCs w:val="21"/>
        </w:rPr>
      </w:pPr>
      <w:r>
        <w:rPr>
          <w:rFonts w:hint="eastAsia" w:ascii="仿宋" w:hAnsi="仿宋" w:cs="仿宋"/>
          <w:b/>
          <w:bCs/>
          <w:szCs w:val="21"/>
        </w:rPr>
        <w:t>27.比较与评价</w:t>
      </w:r>
    </w:p>
    <w:p>
      <w:pPr>
        <w:adjustRightInd w:val="0"/>
        <w:snapToGrid w:val="0"/>
        <w:spacing w:line="360" w:lineRule="auto"/>
        <w:rPr>
          <w:rFonts w:ascii="仿宋" w:hAnsi="仿宋" w:cs="仿宋"/>
          <w:szCs w:val="21"/>
        </w:rPr>
      </w:pPr>
      <w:r>
        <w:rPr>
          <w:rFonts w:hint="eastAsia" w:ascii="仿宋" w:hAnsi="仿宋" w:cs="仿宋"/>
          <w:szCs w:val="21"/>
        </w:rPr>
        <w:t>27.1经符合性审查合格的投标文件，评标委员会将根据招标文件确定的评标方法和标准，对其技术部分和商务部分作进一步的比较和评价。</w:t>
      </w:r>
    </w:p>
    <w:p>
      <w:pPr>
        <w:adjustRightInd w:val="0"/>
        <w:snapToGrid w:val="0"/>
        <w:spacing w:line="360" w:lineRule="auto"/>
        <w:rPr>
          <w:rFonts w:ascii="仿宋" w:hAnsi="仿宋" w:cs="仿宋"/>
          <w:szCs w:val="21"/>
        </w:rPr>
      </w:pPr>
      <w:r>
        <w:rPr>
          <w:rFonts w:hint="eastAsia" w:ascii="仿宋" w:hAnsi="仿宋" w:cs="仿宋"/>
          <w:szCs w:val="21"/>
        </w:rPr>
        <w:t>27.2评标严格按照招标文件的要求和条件进行。根据实际情况，在供应商须知表27.2款中规定采用下列一种评标方法，详细评标标准见第四章 评标方法。</w:t>
      </w:r>
    </w:p>
    <w:p>
      <w:pPr>
        <w:adjustRightInd w:val="0"/>
        <w:snapToGrid w:val="0"/>
        <w:spacing w:line="360" w:lineRule="auto"/>
        <w:rPr>
          <w:rFonts w:ascii="仿宋" w:hAnsi="仿宋" w:cs="仿宋"/>
          <w:szCs w:val="21"/>
        </w:rPr>
      </w:pPr>
      <w:r>
        <w:rPr>
          <w:rFonts w:hint="eastAsia" w:ascii="仿宋" w:hAnsi="仿宋" w:cs="仿宋"/>
          <w:szCs w:val="21"/>
        </w:rPr>
        <w:t>（1）最低评标价法，是指投标文件满足招标文件全部实质性要求，且投标报价最低的供应商为中标候选人的评标方法。</w:t>
      </w:r>
    </w:p>
    <w:p>
      <w:pPr>
        <w:adjustRightInd w:val="0"/>
        <w:snapToGrid w:val="0"/>
        <w:spacing w:line="360" w:lineRule="auto"/>
        <w:rPr>
          <w:rFonts w:ascii="仿宋" w:hAnsi="仿宋" w:cs="仿宋"/>
          <w:szCs w:val="21"/>
        </w:rPr>
      </w:pPr>
      <w:r>
        <w:rPr>
          <w:rFonts w:hint="eastAsia" w:ascii="仿宋" w:hAnsi="仿宋" w:cs="仿宋"/>
          <w:szCs w:val="21"/>
        </w:rPr>
        <w:t>（2）综合评分法，是指投标文件满足招标文件全部实质性要求，且按照评审因素的量化指标评审得分最高的供应商为中标候选人的评标方法。</w:t>
      </w:r>
    </w:p>
    <w:p>
      <w:pPr>
        <w:adjustRightInd w:val="0"/>
        <w:snapToGrid w:val="0"/>
        <w:spacing w:line="360" w:lineRule="auto"/>
        <w:rPr>
          <w:rFonts w:ascii="仿宋" w:hAnsi="仿宋" w:cs="仿宋"/>
          <w:szCs w:val="21"/>
        </w:rPr>
      </w:pPr>
      <w:r>
        <w:rPr>
          <w:rFonts w:hint="eastAsia" w:ascii="仿宋" w:hAnsi="仿宋" w:cs="仿宋"/>
          <w:szCs w:val="21"/>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供应商， 其投标报价扣除10%-20%后参与评审。具体详见第四章 评标方法。</w:t>
      </w:r>
    </w:p>
    <w:p>
      <w:pPr>
        <w:adjustRightInd w:val="0"/>
        <w:snapToGrid w:val="0"/>
        <w:spacing w:line="360" w:lineRule="auto"/>
        <w:rPr>
          <w:rFonts w:ascii="仿宋" w:hAnsi="仿宋" w:cs="仿宋"/>
          <w:szCs w:val="21"/>
        </w:rPr>
      </w:pPr>
      <w:r>
        <w:rPr>
          <w:rFonts w:hint="eastAsia" w:ascii="仿宋" w:hAnsi="仿宋" w:cs="仿宋"/>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adjustRightInd w:val="0"/>
        <w:snapToGrid w:val="0"/>
        <w:spacing w:line="360" w:lineRule="auto"/>
        <w:rPr>
          <w:rFonts w:ascii="仿宋" w:hAnsi="仿宋" w:cs="仿宋"/>
        </w:rPr>
      </w:pPr>
      <w:r>
        <w:rPr>
          <w:rFonts w:hint="eastAsia" w:ascii="仿宋" w:hAnsi="仿宋" w:cs="仿宋"/>
          <w:szCs w:val="21"/>
        </w:rPr>
        <w:t>27.5根据财政部相关规定，对于列入《创新产品和服务目录》内的产品、服务实施政府优先采购。具体优先采购办法详见第四章 评标方法。</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28.废标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出现下列情形之一，将导致项目</w:t>
      </w:r>
      <w:r>
        <w:rPr>
          <w:rFonts w:hint="eastAsia" w:ascii="仿宋" w:hAnsi="仿宋" w:cs="仿宋"/>
          <w:b/>
          <w:bCs/>
          <w:szCs w:val="21"/>
        </w:rPr>
        <w:t>废标</w:t>
      </w:r>
      <w:r>
        <w:rPr>
          <w:rFonts w:hint="eastAsia" w:ascii="仿宋" w:hAnsi="仿宋" w:cs="仿宋"/>
          <w:szCs w:val="21"/>
        </w:rPr>
        <w:t>：</w:t>
      </w:r>
    </w:p>
    <w:p>
      <w:pPr>
        <w:adjustRightInd w:val="0"/>
        <w:snapToGrid w:val="0"/>
        <w:spacing w:line="360" w:lineRule="auto"/>
        <w:rPr>
          <w:rFonts w:ascii="仿宋" w:hAnsi="仿宋" w:cs="仿宋"/>
          <w:szCs w:val="21"/>
        </w:rPr>
      </w:pPr>
      <w:r>
        <w:rPr>
          <w:rFonts w:hint="eastAsia" w:ascii="仿宋" w:hAnsi="仿宋" w:cs="仿宋"/>
          <w:szCs w:val="21"/>
        </w:rPr>
        <w:t>（1）符合专业条件的供应商或者对招标文件做实质性响应的供应商不足3家；</w:t>
      </w:r>
    </w:p>
    <w:p>
      <w:pPr>
        <w:adjustRightInd w:val="0"/>
        <w:snapToGrid w:val="0"/>
        <w:spacing w:line="360" w:lineRule="auto"/>
        <w:rPr>
          <w:rFonts w:ascii="仿宋" w:hAnsi="仿宋" w:cs="仿宋"/>
          <w:szCs w:val="21"/>
        </w:rPr>
      </w:pPr>
      <w:r>
        <w:rPr>
          <w:rFonts w:hint="eastAsia" w:ascii="仿宋" w:hAnsi="仿宋" w:cs="仿宋"/>
          <w:szCs w:val="21"/>
        </w:rPr>
        <w:t>（2）出现影响采购公正的违法、违规行为的；</w:t>
      </w:r>
    </w:p>
    <w:p>
      <w:pPr>
        <w:adjustRightInd w:val="0"/>
        <w:snapToGrid w:val="0"/>
        <w:spacing w:line="360" w:lineRule="auto"/>
        <w:rPr>
          <w:rFonts w:ascii="仿宋" w:hAnsi="仿宋" w:cs="仿宋"/>
          <w:szCs w:val="21"/>
        </w:rPr>
      </w:pPr>
      <w:r>
        <w:rPr>
          <w:rFonts w:hint="eastAsia" w:ascii="仿宋" w:hAnsi="仿宋" w:cs="仿宋"/>
          <w:szCs w:val="21"/>
        </w:rPr>
        <w:t>（3）供应商的报价均超过了采购预算或最高限价，采购人不能支付的；</w:t>
      </w:r>
    </w:p>
    <w:p>
      <w:pPr>
        <w:adjustRightInd w:val="0"/>
        <w:snapToGrid w:val="0"/>
        <w:spacing w:line="360" w:lineRule="auto"/>
        <w:rPr>
          <w:rFonts w:ascii="仿宋" w:hAnsi="仿宋" w:cs="仿宋"/>
          <w:szCs w:val="21"/>
        </w:rPr>
      </w:pPr>
      <w:r>
        <w:rPr>
          <w:rFonts w:hint="eastAsia" w:ascii="仿宋" w:hAnsi="仿宋" w:cs="仿宋"/>
          <w:szCs w:val="21"/>
        </w:rPr>
        <w:t>（4）因重大变故，采购任务取消的。</w:t>
      </w:r>
    </w:p>
    <w:p>
      <w:pPr>
        <w:adjustRightInd w:val="0"/>
        <w:snapToGrid w:val="0"/>
        <w:spacing w:line="360" w:lineRule="auto"/>
        <w:rPr>
          <w:rFonts w:ascii="仿宋" w:hAnsi="仿宋" w:cs="仿宋"/>
          <w:b/>
          <w:bCs/>
          <w:szCs w:val="21"/>
        </w:rPr>
      </w:pPr>
      <w:r>
        <w:rPr>
          <w:rFonts w:hint="eastAsia" w:ascii="仿宋" w:hAnsi="仿宋" w:cs="仿宋"/>
          <w:b/>
          <w:bCs/>
          <w:szCs w:val="21"/>
        </w:rPr>
        <w:t>29.中标候选人的推荐原则及标准</w:t>
      </w:r>
    </w:p>
    <w:p>
      <w:pPr>
        <w:adjustRightInd w:val="0"/>
        <w:snapToGrid w:val="0"/>
        <w:spacing w:line="360" w:lineRule="auto"/>
        <w:rPr>
          <w:rFonts w:ascii="仿宋" w:hAnsi="仿宋" w:cs="仿宋"/>
          <w:szCs w:val="21"/>
        </w:rPr>
      </w:pPr>
      <w:r>
        <w:rPr>
          <w:rFonts w:hint="eastAsia" w:ascii="仿宋" w:hAnsi="仿宋" w:cs="仿宋"/>
          <w:szCs w:val="21"/>
        </w:rPr>
        <w:t>29.1除第32条规定外，评标委员会将根据评标标准，对实质上响应招标文件的供应商按下列方法进行排序，推荐中标候选人：</w:t>
      </w:r>
    </w:p>
    <w:p>
      <w:pPr>
        <w:adjustRightInd w:val="0"/>
        <w:snapToGrid w:val="0"/>
        <w:spacing w:line="360" w:lineRule="auto"/>
        <w:rPr>
          <w:rFonts w:ascii="仿宋" w:hAnsi="仿宋" w:cs="仿宋"/>
          <w:szCs w:val="21"/>
        </w:rPr>
      </w:pPr>
      <w:r>
        <w:rPr>
          <w:rFonts w:hint="eastAsia" w:ascii="仿宋" w:hAnsi="仿宋" w:cs="仿宋"/>
          <w:szCs w:val="21"/>
        </w:rPr>
        <w:t>（1）采用最低评标价法的，除了算数修正和落实政府采购政策需进行的价格扣除外，不对供应商的投标价格进行任何调整。评标结果按修正和扣除后的投标报价由低到高顺序排序。报价相同的，按第四章评标办法规定执行。</w:t>
      </w:r>
    </w:p>
    <w:p>
      <w:pPr>
        <w:adjustRightInd w:val="0"/>
        <w:snapToGrid w:val="0"/>
        <w:spacing w:line="360" w:lineRule="auto"/>
        <w:rPr>
          <w:rFonts w:ascii="仿宋" w:hAnsi="仿宋" w:cs="仿宋"/>
          <w:szCs w:val="21"/>
        </w:rPr>
      </w:pPr>
      <w:r>
        <w:rPr>
          <w:rFonts w:hint="eastAsia" w:ascii="仿宋" w:hAnsi="仿宋" w:cs="仿宋"/>
          <w:szCs w:val="21"/>
        </w:rPr>
        <w:t>（2）采用综合评分法的，评标结果按评审后得分由高到低顺序排序。得分相同的，按第四章评标办法规定执行。</w:t>
      </w:r>
    </w:p>
    <w:p>
      <w:pPr>
        <w:adjustRightInd w:val="0"/>
        <w:snapToGrid w:val="0"/>
        <w:spacing w:line="360" w:lineRule="auto"/>
        <w:rPr>
          <w:rFonts w:ascii="仿宋" w:hAnsi="仿宋" w:cs="仿宋"/>
          <w:szCs w:val="21"/>
        </w:rPr>
      </w:pPr>
      <w:r>
        <w:rPr>
          <w:rFonts w:hint="eastAsia" w:ascii="仿宋" w:hAnsi="仿宋" w:cs="仿宋"/>
          <w:szCs w:val="21"/>
        </w:rPr>
        <w:t>29.2评标委员会将根据评标标准，按供应商须知表29.2款中规定的数量推荐中标候选人。</w:t>
      </w:r>
    </w:p>
    <w:p>
      <w:pPr>
        <w:adjustRightInd w:val="0"/>
        <w:snapToGrid w:val="0"/>
        <w:spacing w:line="360" w:lineRule="auto"/>
        <w:rPr>
          <w:rFonts w:ascii="仿宋" w:hAnsi="仿宋" w:cs="仿宋"/>
          <w:szCs w:val="21"/>
        </w:rPr>
      </w:pPr>
      <w:r>
        <w:rPr>
          <w:rFonts w:hint="eastAsia" w:ascii="仿宋" w:hAnsi="仿宋" w:cs="仿宋"/>
          <w:szCs w:val="21"/>
        </w:rPr>
        <w:t>29.3因推荐中标候选人名单产生其他问题，由评标委员会集体研究处理。</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30.保密原则</w:t>
      </w:r>
    </w:p>
    <w:p>
      <w:pPr>
        <w:adjustRightInd w:val="0"/>
        <w:snapToGrid w:val="0"/>
        <w:spacing w:line="360" w:lineRule="auto"/>
        <w:rPr>
          <w:rFonts w:ascii="仿宋" w:hAnsi="仿宋" w:cs="仿宋"/>
          <w:szCs w:val="21"/>
        </w:rPr>
      </w:pPr>
      <w:r>
        <w:rPr>
          <w:rFonts w:hint="eastAsia" w:ascii="仿宋" w:hAnsi="仿宋" w:cs="仿宋"/>
          <w:szCs w:val="21"/>
        </w:rPr>
        <w:t>30.1评标将在严格保密的情况下进行。</w:t>
      </w:r>
    </w:p>
    <w:p>
      <w:pPr>
        <w:adjustRightInd w:val="0"/>
        <w:snapToGrid w:val="0"/>
        <w:spacing w:line="360" w:lineRule="auto"/>
        <w:rPr>
          <w:rFonts w:ascii="仿宋" w:hAnsi="仿宋" w:cs="仿宋"/>
          <w:szCs w:val="21"/>
        </w:rPr>
      </w:pPr>
      <w:r>
        <w:rPr>
          <w:rFonts w:hint="eastAsia" w:ascii="仿宋" w:hAnsi="仿宋" w:cs="仿宋"/>
          <w:szCs w:val="21"/>
        </w:rPr>
        <w:t>30.2有关人员应当遵守评标工作纪律，不得泄露评审文件、评标情况和评标过程中获悉的国家秘密、商业秘密。</w:t>
      </w:r>
    </w:p>
    <w:p>
      <w:pPr>
        <w:pStyle w:val="3"/>
        <w:rPr>
          <w:rFonts w:ascii="仿宋" w:hAnsi="仿宋" w:cs="仿宋"/>
          <w:sz w:val="32"/>
          <w:szCs w:val="28"/>
        </w:rPr>
      </w:pPr>
      <w:bookmarkStart w:id="69" w:name="_Toc4544_WPSOffice_Level2"/>
      <w:r>
        <w:rPr>
          <w:rFonts w:hint="eastAsia" w:ascii="仿宋" w:hAnsi="仿宋" w:cs="仿宋"/>
          <w:sz w:val="32"/>
          <w:szCs w:val="28"/>
        </w:rPr>
        <w:t>七 确定中标</w:t>
      </w:r>
      <w:bookmarkEnd w:id="69"/>
    </w:p>
    <w:p>
      <w:pPr>
        <w:adjustRightInd w:val="0"/>
        <w:snapToGrid w:val="0"/>
        <w:spacing w:line="360" w:lineRule="auto"/>
        <w:rPr>
          <w:rFonts w:ascii="仿宋" w:hAnsi="仿宋" w:cs="仿宋"/>
          <w:b/>
          <w:bCs/>
          <w:szCs w:val="21"/>
        </w:rPr>
      </w:pPr>
      <w:r>
        <w:rPr>
          <w:rFonts w:hint="eastAsia" w:ascii="仿宋" w:hAnsi="仿宋" w:cs="仿宋"/>
          <w:b/>
          <w:bCs/>
          <w:szCs w:val="21"/>
        </w:rPr>
        <w:t>31.确定中标人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由采购人或者采购人委托评标委员会按照供应商须知表31中规定的方式确定中标人。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rPr>
          <w:rFonts w:ascii="仿宋" w:hAnsi="仿宋" w:cs="仿宋"/>
          <w:b/>
          <w:bCs/>
          <w:szCs w:val="21"/>
        </w:rPr>
      </w:pPr>
      <w:r>
        <w:rPr>
          <w:rFonts w:hint="eastAsia" w:ascii="仿宋" w:hAnsi="仿宋" w:cs="仿宋"/>
          <w:b/>
          <w:bCs/>
          <w:szCs w:val="21"/>
        </w:rPr>
        <w:t>★32.采购任务取消</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因重大变故采购任务取消时，采购人有权拒绝任何供应商中标，且对受影响的供应商不承担任何责任。</w:t>
      </w:r>
    </w:p>
    <w:p>
      <w:pPr>
        <w:adjustRightInd w:val="0"/>
        <w:snapToGrid w:val="0"/>
        <w:spacing w:line="360" w:lineRule="auto"/>
        <w:rPr>
          <w:rFonts w:ascii="仿宋" w:hAnsi="仿宋" w:cs="仿宋"/>
          <w:b/>
          <w:bCs/>
          <w:szCs w:val="21"/>
        </w:rPr>
      </w:pPr>
      <w:r>
        <w:rPr>
          <w:rFonts w:hint="eastAsia" w:ascii="仿宋" w:hAnsi="仿宋" w:cs="仿宋"/>
          <w:b/>
          <w:bCs/>
          <w:szCs w:val="21"/>
        </w:rPr>
        <w:t>33.中标通知书</w:t>
      </w:r>
    </w:p>
    <w:p>
      <w:pPr>
        <w:adjustRightInd w:val="0"/>
        <w:snapToGrid w:val="0"/>
        <w:spacing w:line="360" w:lineRule="auto"/>
        <w:rPr>
          <w:rFonts w:ascii="仿宋" w:hAnsi="仿宋" w:cs="仿宋"/>
          <w:szCs w:val="21"/>
        </w:rPr>
      </w:pPr>
      <w:r>
        <w:rPr>
          <w:rFonts w:hint="eastAsia" w:ascii="仿宋" w:hAnsi="仿宋" w:cs="仿宋"/>
          <w:szCs w:val="21"/>
        </w:rPr>
        <w:t>33.1采购人或者采购代理机构应当自中标人确定之日起2个工作日内，在中国政府采购网上公告中标结果。同时向中标人发出中标通知书。</w:t>
      </w:r>
    </w:p>
    <w:p>
      <w:pPr>
        <w:adjustRightInd w:val="0"/>
        <w:snapToGrid w:val="0"/>
        <w:spacing w:line="360" w:lineRule="auto"/>
        <w:rPr>
          <w:rFonts w:ascii="仿宋" w:hAnsi="仿宋" w:cs="仿宋"/>
          <w:szCs w:val="21"/>
        </w:rPr>
      </w:pPr>
      <w:r>
        <w:rPr>
          <w:rFonts w:hint="eastAsia" w:ascii="仿宋" w:hAnsi="仿宋" w:cs="仿宋"/>
          <w:szCs w:val="21"/>
        </w:rPr>
        <w:t>33.2中标通知书是合同的组成部分。</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34.签订合同</w:t>
      </w:r>
    </w:p>
    <w:p>
      <w:pPr>
        <w:adjustRightInd w:val="0"/>
        <w:snapToGrid w:val="0"/>
        <w:spacing w:line="360" w:lineRule="auto"/>
        <w:rPr>
          <w:rFonts w:ascii="仿宋" w:hAnsi="仿宋" w:cs="仿宋"/>
          <w:szCs w:val="21"/>
        </w:rPr>
      </w:pPr>
      <w:r>
        <w:rPr>
          <w:rFonts w:hint="eastAsia" w:ascii="仿宋" w:hAnsi="仿宋" w:cs="仿宋"/>
          <w:szCs w:val="21"/>
        </w:rPr>
        <w:t>34.1中标人应当自发出中标通知书之日起 30 日内，与采购人签订书面合同。</w:t>
      </w:r>
    </w:p>
    <w:p>
      <w:pPr>
        <w:adjustRightInd w:val="0"/>
        <w:snapToGrid w:val="0"/>
        <w:spacing w:line="360" w:lineRule="auto"/>
        <w:rPr>
          <w:rFonts w:ascii="仿宋" w:hAnsi="仿宋" w:cs="仿宋"/>
          <w:szCs w:val="21"/>
        </w:rPr>
      </w:pPr>
      <w:r>
        <w:rPr>
          <w:rFonts w:hint="eastAsia" w:ascii="仿宋" w:hAnsi="仿宋" w:cs="仿宋"/>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rPr>
          <w:rFonts w:ascii="仿宋" w:hAnsi="仿宋" w:cs="仿宋"/>
          <w:szCs w:val="21"/>
        </w:rPr>
      </w:pPr>
      <w:r>
        <w:rPr>
          <w:rFonts w:hint="eastAsia" w:ascii="仿宋" w:hAnsi="仿宋" w:cs="仿宋"/>
          <w:szCs w:val="21"/>
        </w:rPr>
        <w:t>34.3 中标人拒绝与采购人签订合同的，采购人可以按照评标报告推荐的中标候选人名单排序，确定下一中标候选人为中标人，也可以重新开展政府采购活动。</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35.履约保证金</w:t>
      </w:r>
    </w:p>
    <w:p>
      <w:pPr>
        <w:adjustRightInd w:val="0"/>
        <w:snapToGrid w:val="0"/>
        <w:spacing w:line="360" w:lineRule="auto"/>
        <w:rPr>
          <w:rFonts w:ascii="仿宋" w:hAnsi="仿宋" w:cs="仿宋"/>
          <w:szCs w:val="21"/>
        </w:rPr>
      </w:pPr>
      <w:r>
        <w:rPr>
          <w:rFonts w:hint="eastAsia" w:ascii="仿宋" w:hAnsi="仿宋" w:cs="仿宋"/>
          <w:szCs w:val="21"/>
        </w:rPr>
        <w:t>35.1中标人应按照供应商须知表35.1款规定向采购人缴纳履约保证金。</w:t>
      </w:r>
    </w:p>
    <w:p>
      <w:pPr>
        <w:adjustRightInd w:val="0"/>
        <w:snapToGrid w:val="0"/>
        <w:spacing w:line="360" w:lineRule="auto"/>
        <w:rPr>
          <w:rFonts w:ascii="仿宋" w:hAnsi="仿宋" w:cs="仿宋"/>
          <w:szCs w:val="21"/>
        </w:rPr>
      </w:pPr>
      <w:r>
        <w:rPr>
          <w:rFonts w:hint="eastAsia" w:ascii="仿宋" w:hAnsi="仿宋" w:cs="仿宋"/>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rPr>
          <w:rFonts w:ascii="仿宋" w:hAnsi="仿宋" w:cs="仿宋"/>
          <w:b/>
          <w:bCs/>
          <w:szCs w:val="21"/>
        </w:rPr>
      </w:pPr>
      <w:r>
        <w:rPr>
          <w:rFonts w:hint="eastAsia" w:ascii="仿宋" w:hAnsi="仿宋" w:cs="仿宋"/>
          <w:szCs w:val="21"/>
        </w:rPr>
        <w:t>★</w:t>
      </w:r>
      <w:r>
        <w:rPr>
          <w:rFonts w:hint="eastAsia" w:ascii="仿宋" w:hAnsi="仿宋" w:cs="仿宋"/>
          <w:b/>
          <w:bCs/>
          <w:szCs w:val="21"/>
        </w:rPr>
        <w:t>36.采购代理服务费</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中标人须按照投标须知表36款规定，向采购代理机构支付采购代理服务费。</w:t>
      </w:r>
    </w:p>
    <w:p>
      <w:pPr>
        <w:adjustRightInd w:val="0"/>
        <w:snapToGrid w:val="0"/>
        <w:spacing w:line="360" w:lineRule="auto"/>
        <w:rPr>
          <w:rFonts w:ascii="仿宋" w:hAnsi="仿宋" w:cs="仿宋"/>
          <w:b/>
          <w:bCs/>
          <w:szCs w:val="21"/>
        </w:rPr>
      </w:pPr>
      <w:r>
        <w:rPr>
          <w:rFonts w:hint="eastAsia" w:ascii="仿宋" w:hAnsi="仿宋" w:cs="仿宋"/>
          <w:b/>
          <w:bCs/>
          <w:szCs w:val="21"/>
        </w:rPr>
        <w:t>37.廉洁自律规定</w:t>
      </w:r>
    </w:p>
    <w:p>
      <w:pPr>
        <w:adjustRightInd w:val="0"/>
        <w:snapToGrid w:val="0"/>
        <w:spacing w:line="360" w:lineRule="auto"/>
        <w:rPr>
          <w:rFonts w:ascii="仿宋" w:hAnsi="仿宋" w:cs="仿宋"/>
          <w:szCs w:val="21"/>
        </w:rPr>
      </w:pPr>
      <w:r>
        <w:rPr>
          <w:rFonts w:hint="eastAsia" w:ascii="仿宋" w:hAnsi="仿宋" w:cs="仿宋"/>
          <w:szCs w:val="21"/>
        </w:rPr>
        <w:t>37.1采购代理机构工作人员不得以不正当手段获取政府采购代理业务，不得与采购人、供应商恶意串通操纵政府采购活动。</w:t>
      </w:r>
    </w:p>
    <w:p>
      <w:pPr>
        <w:adjustRightInd w:val="0"/>
        <w:snapToGrid w:val="0"/>
        <w:spacing w:line="360" w:lineRule="auto"/>
        <w:rPr>
          <w:rFonts w:ascii="仿宋" w:hAnsi="仿宋" w:cs="仿宋"/>
          <w:szCs w:val="21"/>
        </w:rPr>
      </w:pPr>
      <w:r>
        <w:rPr>
          <w:rFonts w:hint="eastAsia" w:ascii="仿宋" w:hAnsi="仿宋" w:cs="仿宋"/>
          <w:szCs w:val="21"/>
        </w:rPr>
        <w:t>37.2采购代理机构工作人员不得接受采购人或者供应商组织的宴请、旅游、娱乐，不得收受礼品、现金、有价证券等，不得向采购人或者供应商报销应当由个人承担的费用。</w:t>
      </w:r>
    </w:p>
    <w:p>
      <w:pPr>
        <w:adjustRightInd w:val="0"/>
        <w:snapToGrid w:val="0"/>
        <w:spacing w:line="360" w:lineRule="auto"/>
        <w:rPr>
          <w:rFonts w:ascii="仿宋" w:hAnsi="仿宋" w:cs="仿宋"/>
          <w:b/>
          <w:bCs/>
          <w:szCs w:val="21"/>
        </w:rPr>
      </w:pPr>
      <w:r>
        <w:rPr>
          <w:rFonts w:hint="eastAsia" w:ascii="仿宋" w:hAnsi="仿宋" w:cs="仿宋"/>
          <w:b/>
          <w:bCs/>
          <w:szCs w:val="21"/>
        </w:rPr>
        <w:t>38.人员回避</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供应商认为采购人及其相关人员有法律法规所列与其他供应商有利害关系的，可以向采购人或采购代理机构书面提出回避申请，并说明理由。</w:t>
      </w:r>
    </w:p>
    <w:p>
      <w:pPr>
        <w:adjustRightInd w:val="0"/>
        <w:snapToGrid w:val="0"/>
        <w:spacing w:line="360" w:lineRule="auto"/>
        <w:rPr>
          <w:rFonts w:ascii="仿宋" w:hAnsi="仿宋" w:cs="仿宋"/>
          <w:b/>
          <w:bCs/>
          <w:szCs w:val="21"/>
        </w:rPr>
      </w:pPr>
      <w:r>
        <w:rPr>
          <w:rFonts w:hint="eastAsia" w:ascii="仿宋" w:hAnsi="仿宋" w:cs="仿宋"/>
          <w:b/>
          <w:bCs/>
          <w:szCs w:val="21"/>
        </w:rPr>
        <w:t>39.质疑与接收</w:t>
      </w:r>
    </w:p>
    <w:p>
      <w:pPr>
        <w:adjustRightInd w:val="0"/>
        <w:snapToGrid w:val="0"/>
        <w:spacing w:line="360" w:lineRule="auto"/>
        <w:rPr>
          <w:rFonts w:ascii="仿宋" w:hAnsi="仿宋" w:cs="仿宋"/>
          <w:szCs w:val="21"/>
        </w:rPr>
      </w:pPr>
      <w:r>
        <w:rPr>
          <w:rFonts w:hint="eastAsia" w:ascii="仿宋" w:hAnsi="仿宋" w:cs="仿宋"/>
          <w:szCs w:val="21"/>
        </w:rPr>
        <w:t>39.1供应商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adjustRightInd w:val="0"/>
        <w:snapToGrid w:val="0"/>
        <w:spacing w:line="360" w:lineRule="auto"/>
        <w:rPr>
          <w:rFonts w:ascii="仿宋" w:hAnsi="仿宋" w:cs="仿宋"/>
          <w:szCs w:val="21"/>
        </w:rPr>
      </w:pPr>
      <w:r>
        <w:rPr>
          <w:rFonts w:hint="eastAsia" w:ascii="仿宋" w:hAnsi="仿宋" w:cs="仿宋"/>
          <w:szCs w:val="21"/>
        </w:rPr>
        <w:t>39.2质疑供应商应按照财政部门制定的《政府采购质疑函范本》和《政府采购质疑和投诉办法》的要求，在法定质疑期内以纸质形式提出质疑，针对同一采购程序环节的质疑应一次性提出。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超出法定质疑期的、重复提出的、分次提出的或内容、形式不符合《政府采购质疑和投诉办法》的，质疑供应商将依法承担不利后果。</w:t>
      </w:r>
    </w:p>
    <w:p>
      <w:pPr>
        <w:adjustRightInd w:val="0"/>
        <w:snapToGrid w:val="0"/>
        <w:spacing w:line="360" w:lineRule="auto"/>
        <w:rPr>
          <w:rFonts w:ascii="仿宋" w:hAnsi="仿宋" w:cs="仿宋"/>
          <w:szCs w:val="21"/>
        </w:rPr>
      </w:pPr>
      <w:r>
        <w:rPr>
          <w:rFonts w:hint="eastAsia" w:ascii="仿宋" w:hAnsi="仿宋" w:cs="仿宋"/>
          <w:szCs w:val="21"/>
        </w:rPr>
        <w:t>39.3采购代理机构质疑函接收部门、联系电话和通讯地址, 见供应商须知表39.3款。</w:t>
      </w:r>
    </w:p>
    <w:p>
      <w:pPr>
        <w:adjustRightInd w:val="0"/>
        <w:snapToGrid w:val="0"/>
        <w:spacing w:line="360" w:lineRule="auto"/>
        <w:rPr>
          <w:rFonts w:ascii="仿宋" w:hAnsi="仿宋" w:cs="仿宋"/>
          <w:b/>
          <w:bCs/>
          <w:szCs w:val="21"/>
        </w:rPr>
      </w:pPr>
      <w:r>
        <w:rPr>
          <w:rFonts w:hint="eastAsia" w:ascii="仿宋" w:hAnsi="仿宋" w:cs="仿宋"/>
          <w:b/>
          <w:bCs/>
          <w:szCs w:val="21"/>
        </w:rPr>
        <w:t>40.履约验收</w:t>
      </w:r>
    </w:p>
    <w:p>
      <w:pPr>
        <w:spacing w:line="360" w:lineRule="auto"/>
        <w:rPr>
          <w:rFonts w:ascii="仿宋" w:hAnsi="仿宋" w:cs="仿宋"/>
          <w:szCs w:val="21"/>
        </w:rPr>
      </w:pPr>
      <w:r>
        <w:rPr>
          <w:rFonts w:hint="eastAsia" w:ascii="仿宋" w:hAnsi="仿宋" w:cs="仿宋"/>
          <w:szCs w:val="21"/>
        </w:rPr>
        <w:t>将严格按照政府采购相关法律法规以及行业管理规定和《</w:t>
      </w:r>
      <w:r>
        <w:rPr>
          <w:rFonts w:hint="eastAsia" w:ascii="仿宋" w:hAnsi="仿宋" w:cs="仿宋"/>
          <w:szCs w:val="21"/>
          <w:lang w:eastAsia="zh-CN"/>
        </w:rPr>
        <w:t>辽宁省消防救援总队自然灾害应急能力提升工程沈阳支队装备建设项目验收方案</w:t>
      </w:r>
      <w:r>
        <w:rPr>
          <w:rFonts w:hint="eastAsia" w:ascii="仿宋" w:hAnsi="仿宋" w:cs="仿宋"/>
          <w:szCs w:val="21"/>
        </w:rPr>
        <w:t xml:space="preserve">》的要求进行验收。 </w:t>
      </w:r>
    </w:p>
    <w:p>
      <w:pPr>
        <w:adjustRightInd w:val="0"/>
        <w:snapToGrid w:val="0"/>
        <w:spacing w:line="360" w:lineRule="auto"/>
        <w:ind w:firstLine="420" w:firstLineChars="200"/>
        <w:rPr>
          <w:rFonts w:ascii="仿宋" w:hAnsi="仿宋" w:cs="仿宋"/>
          <w:szCs w:val="21"/>
        </w:rPr>
      </w:pPr>
    </w:p>
    <w:p>
      <w:pPr>
        <w:pStyle w:val="22"/>
        <w:ind w:firstLine="480"/>
        <w:rPr>
          <w:rFonts w:ascii="仿宋" w:hAnsi="仿宋" w:eastAsia="仿宋" w:cs="仿宋"/>
        </w:rPr>
      </w:pPr>
    </w:p>
    <w:p>
      <w:pPr>
        <w:pStyle w:val="2"/>
        <w:rPr>
          <w:rFonts w:ascii="仿宋" w:hAnsi="仿宋" w:cs="仿宋"/>
        </w:rPr>
      </w:pPr>
      <w:r>
        <w:rPr>
          <w:rFonts w:hint="eastAsia" w:ascii="仿宋" w:hAnsi="仿宋" w:cs="仿宋"/>
        </w:rPr>
        <w:br w:type="page"/>
      </w:r>
      <w:r>
        <w:rPr>
          <w:rFonts w:hint="eastAsia" w:ascii="仿宋" w:hAnsi="仿宋" w:cs="仿宋"/>
        </w:rPr>
        <w:t>第二章 投标文件内容及格式</w:t>
      </w:r>
      <w:bookmarkEnd w:id="37"/>
      <w:bookmarkEnd w:id="38"/>
    </w:p>
    <w:p>
      <w:pPr>
        <w:spacing w:before="156" w:beforeLines="50"/>
        <w:rPr>
          <w:rFonts w:ascii="仿宋" w:hAnsi="仿宋" w:cs="仿宋"/>
          <w:b/>
          <w:sz w:val="24"/>
        </w:rPr>
      </w:pPr>
      <w:bookmarkStart w:id="70" w:name="sys_投标文件内容及格式：Block"/>
      <w:bookmarkEnd w:id="70"/>
      <w:bookmarkStart w:id="71" w:name="投标文件内容及格式：Block"/>
      <w:bookmarkEnd w:id="71"/>
      <w:bookmarkStart w:id="72" w:name="_Toc2481_WPSOffice_Level2"/>
      <w:bookmarkStart w:id="73" w:name="_Toc1538_WPSOffice_Level2"/>
      <w:r>
        <w:rPr>
          <w:rFonts w:hint="eastAsia" w:ascii="仿宋" w:hAnsi="仿宋" w:cs="仿宋"/>
          <w:b/>
          <w:sz w:val="24"/>
        </w:rPr>
        <w:t>一、投标文件、电子文档的外封面、封口、封皮及目录</w:t>
      </w:r>
      <w:bookmarkEnd w:id="72"/>
      <w:bookmarkEnd w:id="73"/>
    </w:p>
    <w:tbl>
      <w:tblPr>
        <w:tblStyle w:val="23"/>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序号</w:t>
            </w:r>
          </w:p>
        </w:tc>
        <w:tc>
          <w:tcPr>
            <w:tcW w:w="6976"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内容</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w:t>
            </w:r>
          </w:p>
        </w:tc>
        <w:tc>
          <w:tcPr>
            <w:tcW w:w="6976" w:type="dxa"/>
            <w:vAlign w:val="center"/>
          </w:tcPr>
          <w:p>
            <w:pPr>
              <w:widowControl/>
              <w:adjustRightInd w:val="0"/>
              <w:snapToGrid w:val="0"/>
              <w:jc w:val="left"/>
              <w:rPr>
                <w:rFonts w:ascii="仿宋" w:hAnsi="仿宋" w:cs="仿宋"/>
                <w:b/>
                <w:kern w:val="0"/>
                <w:szCs w:val="21"/>
              </w:rPr>
            </w:pPr>
            <w:r>
              <w:rPr>
                <w:rFonts w:hint="eastAsia" w:ascii="仿宋" w:hAnsi="仿宋" w:cs="仿宋"/>
                <w:kern w:val="0"/>
                <w:szCs w:val="21"/>
              </w:rPr>
              <w:t>投标文件、电子文档的外封面及封口</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2</w:t>
            </w:r>
          </w:p>
        </w:tc>
        <w:tc>
          <w:tcPr>
            <w:tcW w:w="6976" w:type="dxa"/>
            <w:vAlign w:val="center"/>
          </w:tcPr>
          <w:p>
            <w:pPr>
              <w:widowControl/>
              <w:adjustRightInd w:val="0"/>
              <w:snapToGrid w:val="0"/>
              <w:rPr>
                <w:rFonts w:ascii="仿宋" w:hAnsi="仿宋" w:cs="仿宋"/>
                <w:kern w:val="0"/>
                <w:szCs w:val="21"/>
              </w:rPr>
            </w:pPr>
            <w:r>
              <w:rPr>
                <w:rFonts w:hint="eastAsia" w:ascii="仿宋" w:hAnsi="仿宋" w:cs="仿宋"/>
                <w:kern w:val="0"/>
                <w:szCs w:val="21"/>
              </w:rPr>
              <w:t>投标文件的封皮</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3</w:t>
            </w:r>
          </w:p>
        </w:tc>
        <w:tc>
          <w:tcPr>
            <w:tcW w:w="6976" w:type="dxa"/>
            <w:vAlign w:val="center"/>
          </w:tcPr>
          <w:p>
            <w:pPr>
              <w:widowControl/>
              <w:adjustRightInd w:val="0"/>
              <w:snapToGrid w:val="0"/>
              <w:rPr>
                <w:rFonts w:ascii="仿宋" w:hAnsi="仿宋" w:cs="仿宋"/>
                <w:kern w:val="0"/>
                <w:szCs w:val="21"/>
              </w:rPr>
            </w:pPr>
            <w:r>
              <w:rPr>
                <w:rFonts w:hint="eastAsia" w:ascii="仿宋" w:hAnsi="仿宋" w:cs="仿宋"/>
                <w:kern w:val="0"/>
                <w:szCs w:val="21"/>
              </w:rPr>
              <w:t>投标文件的目录</w:t>
            </w:r>
          </w:p>
        </w:tc>
        <w:tc>
          <w:tcPr>
            <w:tcW w:w="742" w:type="dxa"/>
            <w:vAlign w:val="center"/>
          </w:tcPr>
          <w:p>
            <w:pPr>
              <w:widowControl/>
              <w:adjustRightInd w:val="0"/>
              <w:snapToGrid w:val="0"/>
              <w:jc w:val="center"/>
              <w:rPr>
                <w:rFonts w:ascii="仿宋" w:hAnsi="仿宋" w:cs="仿宋"/>
                <w:kern w:val="0"/>
                <w:szCs w:val="21"/>
              </w:rPr>
            </w:pPr>
            <w:r>
              <w:rPr>
                <w:rFonts w:hint="eastAsia" w:ascii="仿宋" w:hAnsi="仿宋" w:cs="仿宋"/>
                <w:kern w:val="0"/>
                <w:szCs w:val="21"/>
              </w:rPr>
              <w:t>3</w:t>
            </w:r>
          </w:p>
        </w:tc>
      </w:tr>
    </w:tbl>
    <w:p>
      <w:pPr>
        <w:snapToGrid w:val="0"/>
        <w:spacing w:before="156" w:beforeLines="50"/>
        <w:rPr>
          <w:rFonts w:ascii="仿宋" w:hAnsi="仿宋" w:cs="仿宋"/>
          <w:b/>
          <w:sz w:val="24"/>
        </w:rPr>
      </w:pPr>
      <w:bookmarkStart w:id="74" w:name="_Toc31052_WPSOffice_Level2"/>
      <w:bookmarkStart w:id="75" w:name="_Toc1266_WPSOffice_Level2"/>
      <w:r>
        <w:rPr>
          <w:rFonts w:hint="eastAsia" w:ascii="仿宋" w:hAnsi="仿宋" w:cs="仿宋"/>
          <w:b/>
          <w:sz w:val="24"/>
        </w:rPr>
        <w:t>二、资格证明材料</w:t>
      </w:r>
      <w:bookmarkEnd w:id="74"/>
      <w:bookmarkEnd w:id="75"/>
      <w:r>
        <w:rPr>
          <w:rFonts w:hint="eastAsia" w:ascii="仿宋" w:hAnsi="仿宋" w:cs="仿宋"/>
          <w:b/>
          <w:sz w:val="24"/>
        </w:rPr>
        <w:t>（有一项不符合要求，不能进入下一阶段评审）</w:t>
      </w:r>
    </w:p>
    <w:tbl>
      <w:tblPr>
        <w:tblStyle w:val="23"/>
        <w:tblW w:w="8418" w:type="dxa"/>
        <w:jc w:val="center"/>
        <w:tblLayout w:type="fixed"/>
        <w:tblCellMar>
          <w:top w:w="0" w:type="dxa"/>
          <w:left w:w="0" w:type="dxa"/>
          <w:bottom w:w="0" w:type="dxa"/>
          <w:right w:w="0" w:type="dxa"/>
        </w:tblCellMar>
      </w:tblPr>
      <w:tblGrid>
        <w:gridCol w:w="671"/>
        <w:gridCol w:w="6992"/>
        <w:gridCol w:w="755"/>
      </w:tblGrid>
      <w:tr>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bookmarkStart w:id="76" w:name="sys_资格性证明材料：Document"/>
            <w:bookmarkStart w:id="77" w:name="资格性证明材料：Document"/>
            <w:r>
              <w:rPr>
                <w:rFonts w:hint="eastAsia" w:ascii="仿宋" w:hAnsi="仿宋" w:cs="仿宋"/>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格式</w:t>
            </w:r>
          </w:p>
        </w:tc>
      </w:tr>
      <w:tr>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4</w:t>
            </w:r>
          </w:p>
        </w:tc>
      </w:tr>
      <w:tr>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5</w:t>
            </w:r>
          </w:p>
        </w:tc>
      </w:tr>
      <w:tr>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 w:hAnsi="仿宋" w:cs="仿宋"/>
                <w:szCs w:val="21"/>
              </w:rPr>
            </w:pPr>
            <w:r>
              <w:rPr>
                <w:rFonts w:hint="eastAsia" w:ascii="仿宋" w:hAnsi="仿宋" w:cs="仿宋"/>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6</w:t>
            </w:r>
          </w:p>
        </w:tc>
      </w:tr>
      <w:tr>
        <w:tblPrEx>
          <w:tblCellMar>
            <w:top w:w="0" w:type="dxa"/>
            <w:left w:w="0" w:type="dxa"/>
            <w:bottom w:w="0" w:type="dxa"/>
            <w:right w:w="0" w:type="dxa"/>
          </w:tblCellMar>
        </w:tblPrEx>
        <w:trPr>
          <w:trHeight w:val="90"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开标时间前六个月内任一个月的依法缴纳税收的缴款凭据复印件</w:t>
            </w:r>
          </w:p>
          <w:p>
            <w:pPr>
              <w:adjustRightInd w:val="0"/>
              <w:snapToGrid w:val="0"/>
              <w:jc w:val="left"/>
              <w:rPr>
                <w:rFonts w:ascii="仿宋" w:hAnsi="仿宋" w:cs="仿宋"/>
                <w:szCs w:val="21"/>
              </w:rPr>
            </w:pPr>
            <w:r>
              <w:rPr>
                <w:rFonts w:hint="eastAsia" w:ascii="仿宋" w:hAnsi="仿宋" w:cs="仿宋"/>
                <w:szCs w:val="21"/>
              </w:rPr>
              <w:t>（注：依法免税的供应商，应提供相关证明材料，包括相关法规要求原文及加盖单位公章的情况说明）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718"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r>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7</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8</w:t>
            </w:r>
          </w:p>
        </w:tc>
      </w:tr>
      <w:tr>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bookmarkStart w:id="78" w:name="_Toc25206_WPSOffice_Level2"/>
            <w:bookmarkStart w:id="79" w:name="_Toc22359_WPSOffice_Level2"/>
            <w:r>
              <w:rPr>
                <w:rFonts w:hint="eastAsia" w:ascii="仿宋" w:hAnsi="仿宋" w:cs="仿宋"/>
                <w:szCs w:val="21"/>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kern w:val="0"/>
                <w:szCs w:val="21"/>
              </w:rPr>
              <w:t>中小企业声明函或监狱企业证明文件或</w:t>
            </w:r>
            <w:r>
              <w:rPr>
                <w:rFonts w:hint="eastAsia" w:ascii="仿宋" w:hAnsi="仿宋" w:cs="仿宋"/>
                <w:szCs w:val="21"/>
              </w:rPr>
              <w:t>残疾人福利性单位声明函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15、16</w:t>
            </w:r>
          </w:p>
        </w:tc>
      </w:tr>
      <w:tr>
        <w:tblPrEx>
          <w:tblCellMar>
            <w:top w:w="0" w:type="dxa"/>
            <w:left w:w="0" w:type="dxa"/>
            <w:bottom w:w="0" w:type="dxa"/>
            <w:right w:w="0" w:type="dxa"/>
          </w:tblCellMar>
        </w:tblPrEx>
        <w:trPr>
          <w:trHeight w:val="64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r>
              <w:rPr>
                <w:rFonts w:hint="eastAsia" w:ascii="仿宋" w:hAnsi="仿宋" w:cs="仿宋"/>
                <w:szCs w:val="21"/>
              </w:rPr>
              <w:t>12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 w:hAnsi="仿宋" w:cs="仿宋"/>
                <w:szCs w:val="21"/>
              </w:rPr>
            </w:pPr>
            <w:r>
              <w:rPr>
                <w:rFonts w:hint="eastAsia" w:ascii="仿宋" w:hAnsi="仿宋" w:cs="仿宋"/>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 w:hAnsi="仿宋" w:cs="仿宋"/>
                <w:szCs w:val="21"/>
              </w:rPr>
            </w:pPr>
          </w:p>
        </w:tc>
      </w:tr>
    </w:tbl>
    <w:p>
      <w:pPr>
        <w:snapToGrid w:val="0"/>
        <w:spacing w:before="156" w:beforeLines="50"/>
        <w:rPr>
          <w:rFonts w:ascii="仿宋" w:hAnsi="仿宋" w:cs="仿宋"/>
          <w:b/>
          <w:sz w:val="24"/>
        </w:rPr>
      </w:pPr>
      <w:r>
        <w:rPr>
          <w:rFonts w:hint="eastAsia" w:ascii="仿宋" w:hAnsi="仿宋" w:cs="仿宋"/>
          <w:b/>
          <w:sz w:val="24"/>
        </w:rPr>
        <w:t>三、符合性证明材料</w:t>
      </w:r>
      <w:bookmarkEnd w:id="78"/>
      <w:bookmarkEnd w:id="79"/>
      <w:r>
        <w:rPr>
          <w:rFonts w:hint="eastAsia" w:ascii="仿宋" w:hAnsi="仿宋" w:cs="仿宋"/>
          <w:b/>
          <w:sz w:val="24"/>
        </w:rPr>
        <w:t>（有一项不符合要求，不能进入下一阶段评审）</w:t>
      </w:r>
    </w:p>
    <w:bookmarkEnd w:id="76"/>
    <w:bookmarkEnd w:id="77"/>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序号</w:t>
            </w:r>
          </w:p>
        </w:tc>
        <w:tc>
          <w:tcPr>
            <w:tcW w:w="698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符合性证明材料</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投标函</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2</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开标一览表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3</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分项报价表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4</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技术规格偏离表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5</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商务条款偏离表</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6</w:t>
            </w:r>
          </w:p>
        </w:tc>
        <w:tc>
          <w:tcPr>
            <w:tcW w:w="6986" w:type="dxa"/>
            <w:vAlign w:val="center"/>
          </w:tcPr>
          <w:p>
            <w:pPr>
              <w:adjustRightInd w:val="0"/>
              <w:snapToGrid w:val="0"/>
              <w:rPr>
                <w:rFonts w:ascii="仿宋" w:hAnsi="仿宋" w:cs="仿宋"/>
                <w:kern w:val="0"/>
                <w:szCs w:val="21"/>
              </w:rPr>
            </w:pPr>
            <w:r>
              <w:rPr>
                <w:rFonts w:hint="eastAsia" w:ascii="仿宋" w:hAnsi="仿宋" w:cs="仿宋"/>
                <w:kern w:val="0"/>
                <w:szCs w:val="21"/>
              </w:rPr>
              <w:t>供应商关联单位说明</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14</w:t>
            </w:r>
          </w:p>
        </w:tc>
      </w:tr>
    </w:tbl>
    <w:p>
      <w:pPr>
        <w:snapToGrid w:val="0"/>
        <w:spacing w:before="156" w:beforeLines="50"/>
        <w:rPr>
          <w:rFonts w:ascii="仿宋" w:hAnsi="仿宋" w:cs="仿宋"/>
          <w:b/>
          <w:sz w:val="24"/>
        </w:rPr>
      </w:pPr>
      <w:bookmarkStart w:id="80" w:name="_Toc27769_WPSOffice_Level2"/>
      <w:bookmarkStart w:id="81" w:name="_Toc24432_WPSOffice_Level2"/>
      <w:r>
        <w:rPr>
          <w:rFonts w:hint="eastAsia" w:ascii="仿宋" w:hAnsi="仿宋" w:cs="仿宋"/>
          <w:b/>
          <w:sz w:val="24"/>
        </w:rPr>
        <w:t>四、其他材料</w:t>
      </w:r>
      <w:bookmarkEnd w:id="80"/>
      <w:bookmarkEnd w:id="81"/>
      <w:r>
        <w:rPr>
          <w:rFonts w:hint="eastAsia" w:ascii="仿宋" w:hAnsi="仿宋" w:cs="仿宋"/>
          <w:b/>
          <w:sz w:val="24"/>
        </w:rPr>
        <w:t>（如有，请提供；如未提供，投标文件不作无效处理）</w:t>
      </w:r>
    </w:p>
    <w:tbl>
      <w:tblPr>
        <w:tblStyle w:val="23"/>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pPr>
              <w:adjustRightInd w:val="0"/>
              <w:snapToGrid w:val="0"/>
              <w:jc w:val="center"/>
              <w:rPr>
                <w:rFonts w:ascii="仿宋" w:hAnsi="仿宋" w:cs="仿宋"/>
                <w:kern w:val="0"/>
                <w:szCs w:val="21"/>
              </w:rPr>
            </w:pPr>
            <w:bookmarkStart w:id="82" w:name="_Toc24011_WPSOffice_Level2"/>
            <w:bookmarkStart w:id="83" w:name="_Toc23127_WPSOffice_Level2"/>
            <w:r>
              <w:rPr>
                <w:rFonts w:hint="eastAsia" w:ascii="仿宋" w:hAnsi="仿宋" w:cs="仿宋"/>
                <w:kern w:val="0"/>
                <w:szCs w:val="21"/>
              </w:rPr>
              <w:t>序号</w:t>
            </w:r>
          </w:p>
        </w:tc>
        <w:tc>
          <w:tcPr>
            <w:tcW w:w="6985"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其他材料</w:t>
            </w:r>
          </w:p>
        </w:tc>
        <w:tc>
          <w:tcPr>
            <w:tcW w:w="756"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68"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1</w:t>
            </w:r>
          </w:p>
        </w:tc>
        <w:tc>
          <w:tcPr>
            <w:tcW w:w="6985" w:type="dxa"/>
            <w:vAlign w:val="center"/>
          </w:tcPr>
          <w:p>
            <w:pPr>
              <w:adjustRightInd w:val="0"/>
              <w:snapToGrid w:val="0"/>
              <w:rPr>
                <w:rFonts w:ascii="仿宋" w:hAnsi="仿宋" w:cs="仿宋"/>
                <w:kern w:val="0"/>
                <w:szCs w:val="21"/>
              </w:rPr>
            </w:pPr>
            <w:r>
              <w:rPr>
                <w:rFonts w:hint="eastAsia" w:ascii="仿宋" w:hAnsi="仿宋" w:cs="仿宋"/>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pPr>
              <w:adjustRightInd w:val="0"/>
              <w:snapToGrid w:val="0"/>
              <w:jc w:val="center"/>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
                <w:kern w:val="0"/>
                <w:szCs w:val="21"/>
              </w:rPr>
            </w:pPr>
            <w:r>
              <w:rPr>
                <w:rFonts w:hint="eastAsia" w:ascii="仿宋" w:hAnsi="仿宋" w:cs="仿宋"/>
                <w:kern w:val="0"/>
                <w:szCs w:val="21"/>
              </w:rPr>
              <w:t>2</w:t>
            </w:r>
          </w:p>
        </w:tc>
        <w:tc>
          <w:tcPr>
            <w:tcW w:w="6985" w:type="dxa"/>
            <w:vAlign w:val="center"/>
          </w:tcPr>
          <w:p>
            <w:pPr>
              <w:adjustRightInd w:val="0"/>
              <w:snapToGrid w:val="0"/>
              <w:ind w:left="25" w:leftChars="12"/>
              <w:rPr>
                <w:rFonts w:ascii="仿宋" w:hAnsi="仿宋" w:cs="仿宋"/>
                <w:kern w:val="0"/>
                <w:szCs w:val="21"/>
              </w:rPr>
            </w:pPr>
            <w:r>
              <w:rPr>
                <w:rFonts w:hint="eastAsia" w:ascii="仿宋" w:hAnsi="仿宋" w:cs="仿宋"/>
                <w:szCs w:val="21"/>
              </w:rPr>
              <w:t>列入《辽宁省创新产品和服务目录》内的产品、服务的证明材料</w:t>
            </w:r>
          </w:p>
        </w:tc>
        <w:tc>
          <w:tcPr>
            <w:tcW w:w="756" w:type="dxa"/>
            <w:vAlign w:val="center"/>
          </w:tcPr>
          <w:p>
            <w:pPr>
              <w:adjustRightInd w:val="0"/>
              <w:snapToGrid w:val="0"/>
              <w:jc w:val="center"/>
              <w:rPr>
                <w:rFonts w:ascii="仿宋" w:hAnsi="仿宋" w:cs="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pPr>
              <w:adjustRightInd w:val="0"/>
              <w:snapToGrid w:val="0"/>
              <w:jc w:val="center"/>
              <w:rPr>
                <w:rFonts w:ascii="仿宋" w:hAnsi="仿宋" w:cs="仿宋"/>
                <w:kern w:val="0"/>
                <w:szCs w:val="21"/>
              </w:rPr>
            </w:pPr>
          </w:p>
        </w:tc>
        <w:tc>
          <w:tcPr>
            <w:tcW w:w="6985" w:type="dxa"/>
            <w:vAlign w:val="center"/>
          </w:tcPr>
          <w:p>
            <w:pPr>
              <w:adjustRightInd w:val="0"/>
              <w:snapToGrid w:val="0"/>
              <w:ind w:left="25" w:leftChars="12"/>
              <w:rPr>
                <w:rFonts w:ascii="仿宋" w:hAnsi="仿宋" w:cs="仿宋"/>
                <w:kern w:val="0"/>
                <w:szCs w:val="21"/>
              </w:rPr>
            </w:pPr>
            <w:r>
              <w:rPr>
                <w:rFonts w:hint="eastAsia" w:ascii="仿宋" w:hAnsi="仿宋" w:cs="仿宋"/>
                <w:kern w:val="0"/>
                <w:szCs w:val="21"/>
              </w:rPr>
              <w:t>......</w:t>
            </w:r>
          </w:p>
        </w:tc>
        <w:tc>
          <w:tcPr>
            <w:tcW w:w="756" w:type="dxa"/>
            <w:vAlign w:val="center"/>
          </w:tcPr>
          <w:p>
            <w:pPr>
              <w:adjustRightInd w:val="0"/>
              <w:snapToGrid w:val="0"/>
              <w:jc w:val="center"/>
              <w:rPr>
                <w:rFonts w:ascii="仿宋" w:hAnsi="仿宋" w:cs="仿宋"/>
                <w:kern w:val="0"/>
                <w:szCs w:val="21"/>
              </w:rPr>
            </w:pPr>
          </w:p>
        </w:tc>
      </w:tr>
    </w:tbl>
    <w:p>
      <w:pPr>
        <w:adjustRightInd w:val="0"/>
        <w:snapToGrid w:val="0"/>
        <w:spacing w:line="360" w:lineRule="auto"/>
        <w:ind w:firstLine="482" w:firstLineChars="200"/>
        <w:rPr>
          <w:rFonts w:ascii="仿宋" w:hAnsi="仿宋" w:cs="仿宋"/>
          <w:b/>
          <w:sz w:val="24"/>
        </w:rPr>
      </w:pPr>
      <w:r>
        <w:rPr>
          <w:rFonts w:hint="eastAsia" w:ascii="仿宋" w:hAnsi="仿宋" w:cs="仿宋"/>
          <w:b/>
          <w:sz w:val="24"/>
        </w:rPr>
        <w:t>重要提示：</w:t>
      </w:r>
      <w:bookmarkEnd w:id="82"/>
      <w:bookmarkEnd w:id="83"/>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1、供应商提供的证明材料，除需要供应商填报或有特殊说明外，均须按要求提供。</w:t>
      </w:r>
      <w:r>
        <w:rPr>
          <w:rFonts w:hint="eastAsia" w:ascii="仿宋" w:hAnsi="仿宋" w:cs="仿宋"/>
          <w:b/>
          <w:bCs/>
          <w:szCs w:val="21"/>
        </w:rPr>
        <w:t xml:space="preserve"> </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2、供应商在编制投标文件时，对于给定格式的文件内容，必须按照给定的标准格式进行填报；对于没有给定标准格式的文件内容，可以由供应商自行设计。</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3、投标文件应用中文书写。投标文件中所附或所引用的材料不是中文时，应附中文译本，并加盖单位公章（自然人投标的，无需加盖单位公章，需要签字）。</w:t>
      </w:r>
    </w:p>
    <w:p>
      <w:pPr>
        <w:adjustRightInd w:val="0"/>
        <w:snapToGrid w:val="0"/>
        <w:spacing w:line="360" w:lineRule="auto"/>
        <w:ind w:firstLine="420" w:firstLineChars="200"/>
        <w:rPr>
          <w:rFonts w:ascii="仿宋" w:hAnsi="仿宋" w:cs="仿宋"/>
        </w:rPr>
      </w:pPr>
      <w:r>
        <w:rPr>
          <w:rFonts w:hint="eastAsia" w:ascii="仿宋" w:hAnsi="仿宋" w:cs="仿宋"/>
          <w:szCs w:val="21"/>
        </w:rPr>
        <w:t>4、</w:t>
      </w:r>
      <w:r>
        <w:rPr>
          <w:rFonts w:hint="eastAsia" w:ascii="仿宋" w:hAnsi="仿宋" w:cs="仿宋"/>
          <w:b/>
          <w:bCs/>
          <w:szCs w:val="21"/>
        </w:rPr>
        <w:t>“资格证明材料”</w:t>
      </w:r>
      <w:r>
        <w:rPr>
          <w:rFonts w:hint="eastAsia" w:ascii="仿宋" w:hAnsi="仿宋" w:cs="仿宋"/>
        </w:rPr>
        <w:t>所列内容即为采购项目的资格审查条件，有一项不符合要求，不能进入下一阶段评审。</w:t>
      </w:r>
    </w:p>
    <w:p>
      <w:pPr>
        <w:adjustRightInd w:val="0"/>
        <w:snapToGrid w:val="0"/>
        <w:spacing w:line="360" w:lineRule="auto"/>
        <w:ind w:firstLine="420" w:firstLineChars="200"/>
        <w:rPr>
          <w:rFonts w:ascii="仿宋" w:hAnsi="仿宋" w:cs="仿宋"/>
        </w:rPr>
      </w:pPr>
      <w:r>
        <w:rPr>
          <w:rFonts w:hint="eastAsia" w:ascii="仿宋" w:hAnsi="仿宋" w:cs="仿宋"/>
        </w:rPr>
        <w:t>5、</w:t>
      </w:r>
      <w:r>
        <w:rPr>
          <w:rFonts w:hint="eastAsia" w:ascii="仿宋" w:hAnsi="仿宋" w:cs="仿宋"/>
          <w:b/>
          <w:bCs/>
          <w:szCs w:val="21"/>
        </w:rPr>
        <w:t>“符合性证明材料”</w:t>
      </w:r>
      <w:r>
        <w:rPr>
          <w:rFonts w:hint="eastAsia" w:ascii="仿宋" w:hAnsi="仿宋" w:cs="仿宋"/>
        </w:rPr>
        <w:t>所列内容即为采购项目的符合性审查条件，有一项不符合要求，不能进入下一阶段评审。</w:t>
      </w:r>
    </w:p>
    <w:p>
      <w:pPr>
        <w:adjustRightInd w:val="0"/>
        <w:snapToGrid w:val="0"/>
        <w:spacing w:line="360" w:lineRule="auto"/>
        <w:ind w:firstLine="420" w:firstLineChars="200"/>
        <w:rPr>
          <w:rFonts w:ascii="仿宋" w:hAnsi="仿宋" w:cs="仿宋"/>
          <w:szCs w:val="21"/>
        </w:rPr>
      </w:pPr>
      <w:r>
        <w:rPr>
          <w:rFonts w:hint="eastAsia" w:ascii="仿宋" w:hAnsi="仿宋" w:cs="仿宋"/>
        </w:rPr>
        <w:t>6、</w:t>
      </w:r>
      <w:r>
        <w:rPr>
          <w:rFonts w:hint="eastAsia" w:ascii="仿宋" w:hAnsi="仿宋" w:cs="仿宋"/>
          <w:szCs w:val="21"/>
        </w:rPr>
        <w:t>“其他材料”</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（1）</w:t>
      </w:r>
      <w:r>
        <w:rPr>
          <w:rFonts w:hint="eastAsia" w:ascii="仿宋" w:hAnsi="仿宋" w:cs="仿宋"/>
          <w:kern w:val="0"/>
          <w:szCs w:val="21"/>
        </w:rPr>
        <w:t>综合评分法：</w:t>
      </w:r>
      <w:r>
        <w:rPr>
          <w:rFonts w:hint="eastAsia" w:ascii="仿宋" w:hAnsi="仿宋" w:cs="仿宋"/>
          <w:szCs w:val="21"/>
        </w:rPr>
        <w:t>供应商可就</w:t>
      </w:r>
      <w:r>
        <w:rPr>
          <w:rFonts w:hint="eastAsia" w:ascii="仿宋" w:hAnsi="仿宋" w:cs="仿宋"/>
          <w:kern w:val="0"/>
          <w:szCs w:val="21"/>
        </w:rPr>
        <w:t>招标文件要求以及评分细则中各项要求提供相应材料。</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（2）</w:t>
      </w:r>
      <w:r>
        <w:rPr>
          <w:rFonts w:hint="eastAsia" w:ascii="仿宋" w:hAnsi="仿宋" w:cs="仿宋"/>
          <w:kern w:val="0"/>
          <w:szCs w:val="21"/>
        </w:rPr>
        <w:t>最低评标价法：</w:t>
      </w:r>
      <w:r>
        <w:rPr>
          <w:rFonts w:hint="eastAsia" w:ascii="仿宋" w:hAnsi="仿宋" w:cs="仿宋"/>
          <w:szCs w:val="21"/>
        </w:rPr>
        <w:t>供应商可就</w:t>
      </w:r>
      <w:r>
        <w:rPr>
          <w:rFonts w:hint="eastAsia" w:ascii="仿宋" w:hAnsi="仿宋" w:cs="仿宋"/>
          <w:kern w:val="0"/>
          <w:szCs w:val="21"/>
        </w:rPr>
        <w:t>招标文件要求提供相应材料。</w:t>
      </w:r>
    </w:p>
    <w:p>
      <w:pPr>
        <w:snapToGrid w:val="0"/>
        <w:spacing w:line="276" w:lineRule="auto"/>
        <w:ind w:firstLine="420" w:firstLineChars="200"/>
        <w:jc w:val="left"/>
        <w:rPr>
          <w:rFonts w:ascii="仿宋" w:hAnsi="仿宋" w:cs="仿宋"/>
          <w:szCs w:val="21"/>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w:t>
      </w:r>
    </w:p>
    <w:p>
      <w:pPr>
        <w:jc w:val="center"/>
        <w:rPr>
          <w:rFonts w:ascii="仿宋" w:hAnsi="仿宋" w:cs="仿宋"/>
          <w:b/>
          <w:bCs/>
          <w:sz w:val="32"/>
          <w:szCs w:val="32"/>
        </w:rPr>
      </w:pPr>
      <w:bookmarkStart w:id="84" w:name="_Toc26322_WPSOffice_Level2"/>
      <w:bookmarkStart w:id="85" w:name="_Toc21090_WPSOffice_Level2"/>
      <w:r>
        <w:rPr>
          <w:rFonts w:hint="eastAsia" w:ascii="仿宋" w:hAnsi="仿宋" w:cs="仿宋"/>
          <w:b/>
          <w:bCs/>
          <w:sz w:val="32"/>
          <w:szCs w:val="32"/>
        </w:rPr>
        <w:t>投标文件、电子文档外封面、封口格式</w:t>
      </w:r>
      <w:bookmarkEnd w:id="84"/>
      <w:bookmarkEnd w:id="85"/>
    </w:p>
    <w:p>
      <w:pPr>
        <w:rPr>
          <w:rFonts w:ascii="仿宋" w:hAnsi="仿宋" w:cs="仿宋"/>
        </w:rPr>
      </w:pPr>
      <w:r>
        <w:rPr>
          <w:rFonts w:hint="eastAsia" w:ascii="仿宋" w:hAnsi="仿宋" w:cs="仿宋"/>
          <w:sz w:val="28"/>
          <w:szCs w:val="28"/>
        </w:rPr>
        <w:t>封面格式：</w:t>
      </w:r>
    </w:p>
    <w:tbl>
      <w:tblPr>
        <w:tblStyle w:val="23"/>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pPr>
              <w:jc w:val="center"/>
              <w:rPr>
                <w:rFonts w:ascii="仿宋" w:hAnsi="仿宋" w:cs="仿宋"/>
                <w:b/>
                <w:bCs/>
              </w:rPr>
            </w:pPr>
          </w:p>
          <w:p>
            <w:pPr>
              <w:jc w:val="center"/>
              <w:rPr>
                <w:rFonts w:ascii="仿宋" w:hAnsi="仿宋" w:cs="仿宋"/>
                <w:b/>
                <w:bCs/>
              </w:rPr>
            </w:pPr>
            <w:r>
              <w:rPr>
                <w:rFonts w:hint="eastAsia" w:ascii="仿宋" w:hAnsi="仿宋" w:cs="仿宋"/>
                <w:b/>
                <w:bCs/>
                <w:sz w:val="44"/>
                <w:szCs w:val="52"/>
              </w:rPr>
              <w:t>投标文件/电子文档</w:t>
            </w:r>
          </w:p>
          <w:p>
            <w:pPr>
              <w:jc w:val="left"/>
              <w:rPr>
                <w:rFonts w:ascii="仿宋" w:hAnsi="仿宋" w:cs="仿宋"/>
              </w:rPr>
            </w:pPr>
          </w:p>
          <w:p>
            <w:pPr>
              <w:jc w:val="left"/>
              <w:rPr>
                <w:rFonts w:ascii="仿宋" w:hAnsi="仿宋" w:cs="仿宋"/>
              </w:rPr>
            </w:pPr>
          </w:p>
          <w:p>
            <w:pPr>
              <w:jc w:val="left"/>
              <w:rPr>
                <w:rFonts w:ascii="仿宋" w:hAnsi="仿宋" w:cs="仿宋"/>
              </w:rPr>
            </w:pPr>
            <w:r>
              <w:rPr>
                <w:rFonts w:hint="eastAsia" w:ascii="仿宋" w:hAnsi="仿宋" w:cs="仿宋"/>
              </w:rPr>
              <w:t>所投包号：第  包</w:t>
            </w:r>
          </w:p>
          <w:p>
            <w:pPr>
              <w:jc w:val="left"/>
              <w:rPr>
                <w:rFonts w:ascii="仿宋" w:hAnsi="仿宋" w:cs="仿宋"/>
              </w:rPr>
            </w:pPr>
          </w:p>
          <w:p>
            <w:pPr>
              <w:jc w:val="left"/>
              <w:rPr>
                <w:rFonts w:ascii="仿宋" w:hAnsi="仿宋" w:cs="仿宋"/>
              </w:rPr>
            </w:pPr>
            <w:r>
              <w:rPr>
                <w:rFonts w:hint="eastAsia" w:ascii="仿宋" w:hAnsi="仿宋" w:cs="仿宋"/>
              </w:rPr>
              <w:t>项目名称：</w:t>
            </w:r>
          </w:p>
          <w:p>
            <w:pPr>
              <w:jc w:val="left"/>
              <w:rPr>
                <w:rFonts w:ascii="仿宋" w:hAnsi="仿宋" w:cs="仿宋"/>
              </w:rPr>
            </w:pPr>
          </w:p>
          <w:p>
            <w:pPr>
              <w:jc w:val="left"/>
              <w:rPr>
                <w:rFonts w:ascii="仿宋" w:hAnsi="仿宋" w:cs="仿宋"/>
              </w:rPr>
            </w:pPr>
            <w:r>
              <w:rPr>
                <w:rFonts w:hint="eastAsia" w:ascii="仿宋" w:hAnsi="仿宋" w:cs="仿宋"/>
              </w:rPr>
              <w:t>项目编号：</w:t>
            </w:r>
          </w:p>
          <w:p>
            <w:pPr>
              <w:jc w:val="center"/>
              <w:rPr>
                <w:rFonts w:ascii="仿宋" w:hAnsi="仿宋" w:cs="仿宋"/>
              </w:rPr>
            </w:pPr>
          </w:p>
          <w:p>
            <w:pPr>
              <w:jc w:val="left"/>
              <w:rPr>
                <w:rFonts w:ascii="仿宋" w:hAnsi="仿宋" w:cs="仿宋"/>
              </w:rPr>
            </w:pPr>
            <w:r>
              <w:rPr>
                <w:rFonts w:hint="eastAsia" w:ascii="仿宋" w:hAnsi="仿宋" w:cs="仿宋"/>
              </w:rPr>
              <w:t>供应商名称（加盖单位公章）</w:t>
            </w:r>
          </w:p>
        </w:tc>
      </w:tr>
    </w:tbl>
    <w:p>
      <w:pPr>
        <w:rPr>
          <w:rFonts w:ascii="仿宋" w:hAnsi="仿宋" w:cs="仿宋"/>
        </w:rPr>
      </w:pPr>
    </w:p>
    <w:p>
      <w:pPr>
        <w:rPr>
          <w:rFonts w:ascii="仿宋" w:hAnsi="仿宋" w:cs="仿宋"/>
        </w:rPr>
      </w:pPr>
    </w:p>
    <w:p>
      <w:pPr>
        <w:rPr>
          <w:rFonts w:ascii="仿宋" w:hAnsi="仿宋" w:cs="仿宋"/>
        </w:rPr>
      </w:pPr>
      <w:r>
        <w:rPr>
          <w:rFonts w:hint="eastAsia" w:ascii="仿宋" w:hAnsi="仿宋" w:cs="仿宋"/>
          <w:sz w:val="24"/>
          <w:szCs w:val="32"/>
        </w:rPr>
        <w:t>封口格式：</w:t>
      </w:r>
    </w:p>
    <w:tbl>
      <w:tblPr>
        <w:tblStyle w:val="23"/>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rPr>
            </w:pPr>
            <w:r>
              <w:rPr>
                <w:rFonts w:hint="eastAsia" w:ascii="仿宋" w:hAnsi="仿宋" w:cs="仿宋"/>
              </w:rPr>
              <w:t>——于   年  月  日   时之前不准启封（公章）——</w:t>
            </w:r>
          </w:p>
        </w:tc>
      </w:tr>
    </w:tbl>
    <w:p>
      <w:pPr>
        <w:rPr>
          <w:rFonts w:ascii="仿宋" w:hAnsi="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格式2</w:t>
      </w:r>
    </w:p>
    <w:p>
      <w:pPr>
        <w:jc w:val="center"/>
        <w:rPr>
          <w:rFonts w:ascii="仿宋" w:hAnsi="仿宋" w:cs="仿宋"/>
          <w:b/>
          <w:bCs/>
          <w:sz w:val="32"/>
          <w:szCs w:val="32"/>
        </w:rPr>
      </w:pPr>
      <w:r>
        <w:rPr>
          <w:rFonts w:hint="eastAsia" w:ascii="仿宋" w:hAnsi="仿宋" w:cs="仿宋"/>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 w:hAnsi="仿宋" w:cs="仿宋"/>
          <w:b/>
          <w:bCs/>
          <w:sz w:val="32"/>
          <w:szCs w:val="32"/>
        </w:rPr>
        <w:t>投标文件的封皮</w:t>
      </w: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jc w:val="center"/>
        <w:rPr>
          <w:rFonts w:ascii="仿宋" w:hAnsi="仿宋" w:cs="仿宋"/>
          <w:b/>
          <w:bCs/>
          <w:sz w:val="52"/>
          <w:szCs w:val="52"/>
        </w:rPr>
      </w:pPr>
      <w:r>
        <w:rPr>
          <w:rFonts w:hint="eastAsia" w:ascii="仿宋" w:hAnsi="仿宋" w:cs="仿宋"/>
          <w:b/>
          <w:bCs/>
          <w:sz w:val="52"/>
          <w:szCs w:val="52"/>
        </w:rPr>
        <w:t>投  标  文  件</w:t>
      </w:r>
    </w:p>
    <w:p>
      <w:pPr>
        <w:rPr>
          <w:rFonts w:ascii="仿宋" w:hAnsi="仿宋" w:cs="仿宋"/>
        </w:rPr>
      </w:pPr>
    </w:p>
    <w:p>
      <w:pPr>
        <w:rPr>
          <w:rFonts w:ascii="仿宋" w:hAnsi="仿宋" w:cs="仿宋"/>
        </w:rPr>
      </w:pPr>
    </w:p>
    <w:p>
      <w:pPr>
        <w:rPr>
          <w:rFonts w:ascii="仿宋" w:hAnsi="仿宋" w:cs="仿宋"/>
          <w:sz w:val="28"/>
          <w:szCs w:val="28"/>
        </w:rPr>
      </w:pPr>
    </w:p>
    <w:p>
      <w:pPr>
        <w:rPr>
          <w:rFonts w:ascii="仿宋" w:hAnsi="仿宋" w:cs="仿宋"/>
          <w:sz w:val="28"/>
          <w:szCs w:val="28"/>
        </w:rPr>
      </w:pPr>
    </w:p>
    <w:p>
      <w:pPr>
        <w:rPr>
          <w:rFonts w:ascii="仿宋" w:hAnsi="仿宋" w:cs="仿宋"/>
          <w:sz w:val="28"/>
          <w:szCs w:val="28"/>
        </w:rPr>
      </w:pPr>
    </w:p>
    <w:p>
      <w:pPr>
        <w:rPr>
          <w:rFonts w:ascii="仿宋" w:hAnsi="仿宋" w:cs="仿宋"/>
          <w:sz w:val="28"/>
          <w:szCs w:val="28"/>
        </w:rPr>
      </w:pPr>
      <w:r>
        <w:rPr>
          <w:rFonts w:hint="eastAsia" w:ascii="仿宋" w:hAnsi="仿宋" w:cs="仿宋"/>
          <w:sz w:val="28"/>
          <w:szCs w:val="28"/>
        </w:rPr>
        <w:t>所投包号：第  包</w:t>
      </w:r>
    </w:p>
    <w:p>
      <w:pPr>
        <w:rPr>
          <w:rFonts w:ascii="仿宋" w:hAnsi="仿宋" w:cs="仿宋"/>
          <w:sz w:val="28"/>
          <w:szCs w:val="28"/>
        </w:rPr>
      </w:pPr>
      <w:r>
        <w:rPr>
          <w:rFonts w:hint="eastAsia" w:ascii="仿宋" w:hAnsi="仿宋" w:cs="仿宋"/>
          <w:sz w:val="28"/>
          <w:szCs w:val="28"/>
        </w:rPr>
        <w:t>项目名称：</w:t>
      </w:r>
    </w:p>
    <w:p>
      <w:pPr>
        <w:rPr>
          <w:rFonts w:ascii="仿宋" w:hAnsi="仿宋" w:cs="仿宋"/>
          <w:sz w:val="28"/>
          <w:szCs w:val="28"/>
        </w:rPr>
      </w:pPr>
      <w:r>
        <w:rPr>
          <w:rFonts w:hint="eastAsia" w:ascii="仿宋" w:hAnsi="仿宋" w:cs="仿宋"/>
          <w:sz w:val="28"/>
          <w:szCs w:val="28"/>
        </w:rPr>
        <w:t>项目编号：</w:t>
      </w:r>
    </w:p>
    <w:p>
      <w:pPr>
        <w:rPr>
          <w:rFonts w:ascii="仿宋" w:hAnsi="仿宋" w:cs="仿宋"/>
          <w:sz w:val="28"/>
          <w:szCs w:val="28"/>
        </w:rPr>
      </w:pPr>
      <w:r>
        <w:rPr>
          <w:rFonts w:hint="eastAsia" w:ascii="仿宋" w:hAnsi="仿宋" w:cs="仿宋"/>
          <w:sz w:val="28"/>
          <w:szCs w:val="28"/>
        </w:rPr>
        <w:t>供应商名称 ：</w:t>
      </w: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格式3-1</w:t>
      </w:r>
    </w:p>
    <w:p>
      <w:pPr>
        <w:spacing w:before="312" w:beforeLines="100" w:after="312" w:afterLines="100" w:line="360" w:lineRule="auto"/>
        <w:ind w:right="-21" w:rightChars="-10"/>
        <w:jc w:val="center"/>
        <w:rPr>
          <w:rFonts w:ascii="仿宋" w:hAnsi="仿宋" w:cs="仿宋"/>
          <w:b/>
          <w:sz w:val="32"/>
          <w:szCs w:val="32"/>
        </w:rPr>
      </w:pPr>
      <w:bookmarkStart w:id="86" w:name="_Toc2304_WPSOffice_Level2"/>
      <w:bookmarkStart w:id="87" w:name="_Toc21414_WPSOffice_Level2"/>
      <w:r>
        <w:rPr>
          <w:rFonts w:hint="eastAsia" w:ascii="仿宋" w:hAnsi="仿宋" w:cs="仿宋"/>
          <w:b/>
          <w:sz w:val="32"/>
          <w:szCs w:val="32"/>
        </w:rPr>
        <w:t>目  录</w:t>
      </w:r>
      <w:bookmarkEnd w:id="86"/>
      <w:bookmarkEnd w:id="87"/>
    </w:p>
    <w:p>
      <w:pPr>
        <w:rPr>
          <w:rFonts w:ascii="仿宋" w:hAnsi="仿宋" w:cs="仿宋"/>
        </w:rPr>
      </w:pPr>
      <w:bookmarkStart w:id="88" w:name="_Toc30940_WPSOffice_Level2"/>
      <w:bookmarkStart w:id="89" w:name="_Toc7636_WPSOffice_Level2"/>
      <w:r>
        <w:rPr>
          <w:rFonts w:hint="eastAsia" w:ascii="仿宋" w:hAnsi="仿宋" w:cs="仿宋"/>
        </w:rPr>
        <w:t>一、资格证明材料</w:t>
      </w:r>
      <w:bookmarkEnd w:id="88"/>
      <w:bookmarkEnd w:id="89"/>
    </w:p>
    <w:p>
      <w:pPr>
        <w:rPr>
          <w:rFonts w:ascii="仿宋" w:hAnsi="仿宋" w:cs="仿宋"/>
        </w:rPr>
      </w:pPr>
      <w:r>
        <w:rPr>
          <w:rFonts w:hint="eastAsia" w:ascii="仿宋" w:hAnsi="仿宋" w:cs="仿宋"/>
        </w:rPr>
        <w:t>……</w:t>
      </w:r>
    </w:p>
    <w:p>
      <w:pPr>
        <w:rPr>
          <w:rFonts w:ascii="仿宋" w:hAnsi="仿宋" w:cs="仿宋"/>
        </w:rPr>
      </w:pPr>
      <w:bookmarkStart w:id="90" w:name="_Toc13950_WPSOffice_Level2"/>
      <w:bookmarkStart w:id="91" w:name="_Toc31702_WPSOffice_Level2"/>
      <w:r>
        <w:rPr>
          <w:rFonts w:hint="eastAsia" w:ascii="仿宋" w:hAnsi="仿宋" w:cs="仿宋"/>
        </w:rPr>
        <w:t>二、符合性证明材料</w:t>
      </w:r>
      <w:bookmarkEnd w:id="90"/>
      <w:bookmarkEnd w:id="91"/>
    </w:p>
    <w:p>
      <w:pPr>
        <w:rPr>
          <w:rFonts w:ascii="仿宋" w:hAnsi="仿宋" w:cs="仿宋"/>
        </w:rPr>
      </w:pPr>
      <w:r>
        <w:rPr>
          <w:rFonts w:hint="eastAsia" w:ascii="仿宋" w:hAnsi="仿宋" w:cs="仿宋"/>
        </w:rPr>
        <w:t>……</w:t>
      </w:r>
    </w:p>
    <w:p>
      <w:pPr>
        <w:rPr>
          <w:rFonts w:ascii="仿宋" w:hAnsi="仿宋" w:cs="仿宋"/>
        </w:rPr>
      </w:pPr>
      <w:bookmarkStart w:id="92" w:name="_Toc9090_WPSOffice_Level2"/>
      <w:bookmarkStart w:id="93" w:name="_Toc14854_WPSOffice_Level2"/>
      <w:r>
        <w:rPr>
          <w:rFonts w:hint="eastAsia" w:ascii="仿宋" w:hAnsi="仿宋" w:cs="仿宋"/>
        </w:rPr>
        <w:t>三、其它材料</w:t>
      </w:r>
      <w:bookmarkEnd w:id="92"/>
      <w:bookmarkEnd w:id="93"/>
    </w:p>
    <w:p>
      <w:pPr>
        <w:rPr>
          <w:rFonts w:ascii="仿宋" w:hAnsi="仿宋" w:cs="仿宋"/>
          <w:szCs w:val="21"/>
        </w:rPr>
      </w:pPr>
      <w:r>
        <w:rPr>
          <w:rFonts w:hint="eastAsia" w:ascii="仿宋" w:hAnsi="仿宋" w:cs="仿宋"/>
          <w:szCs w:val="21"/>
        </w:rPr>
        <w:t>……</w:t>
      </w:r>
    </w:p>
    <w:p>
      <w:pPr>
        <w:rPr>
          <w:rFonts w:ascii="仿宋" w:hAnsi="仿宋" w:cs="仿宋"/>
          <w:szCs w:val="21"/>
        </w:rPr>
      </w:pPr>
    </w:p>
    <w:p>
      <w:pPr>
        <w:rPr>
          <w:rFonts w:ascii="仿宋" w:hAnsi="仿宋" w:cs="仿宋"/>
          <w:szCs w:val="21"/>
        </w:rPr>
      </w:pPr>
    </w:p>
    <w:p>
      <w:pPr>
        <w:rPr>
          <w:rFonts w:ascii="仿宋" w:hAnsi="仿宋" w:cs="仿宋"/>
          <w:szCs w:val="21"/>
        </w:rPr>
      </w:pPr>
    </w:p>
    <w:p>
      <w:pPr>
        <w:adjustRightInd w:val="0"/>
        <w:snapToGrid w:val="0"/>
        <w:spacing w:line="360" w:lineRule="auto"/>
        <w:ind w:firstLine="420" w:firstLineChars="200"/>
        <w:rPr>
          <w:rFonts w:ascii="仿宋" w:hAnsi="仿宋" w:cs="仿宋"/>
        </w:rPr>
      </w:pPr>
      <w:r>
        <w:rPr>
          <w:rFonts w:hint="eastAsia" w:ascii="仿宋" w:hAnsi="仿宋" w:cs="仿宋"/>
        </w:rPr>
        <w:t>我单位的投标文件由资格证明材料、符合性证明材料和其它材料三部分组成，在此加盖单位公章并由法定代表人（或非法人组织负责人）或其授权委托人签字，保证投标文件中所有材料真实、有效。</w:t>
      </w:r>
    </w:p>
    <w:p>
      <w:pPr>
        <w:spacing w:line="360" w:lineRule="auto"/>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其授权委托人(签字或盖章)：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pStyle w:val="3"/>
        <w:adjustRightInd w:val="0"/>
        <w:snapToGrid w:val="0"/>
        <w:spacing w:before="0" w:after="0" w:line="240" w:lineRule="auto"/>
        <w:jc w:val="left"/>
        <w:rPr>
          <w:rFonts w:ascii="仿宋" w:hAnsi="仿宋" w:cs="仿宋"/>
          <w:szCs w:val="28"/>
        </w:rPr>
      </w:pPr>
      <w:r>
        <w:rPr>
          <w:rFonts w:hint="eastAsia" w:ascii="仿宋" w:hAnsi="仿宋" w:cs="仿宋"/>
        </w:rPr>
        <w:br w:type="page"/>
      </w:r>
      <w:r>
        <w:rPr>
          <w:rFonts w:hint="eastAsia" w:ascii="仿宋" w:hAnsi="仿宋" w:cs="仿宋"/>
          <w:szCs w:val="28"/>
        </w:rPr>
        <w:t>格式3-2</w:t>
      </w:r>
    </w:p>
    <w:p>
      <w:pPr>
        <w:rPr>
          <w:rFonts w:ascii="仿宋" w:hAnsi="仿宋" w:cs="仿宋"/>
          <w:szCs w:val="28"/>
        </w:rPr>
      </w:pPr>
    </w:p>
    <w:p>
      <w:pPr>
        <w:pStyle w:val="10"/>
        <w:ind w:left="63" w:right="63"/>
        <w:jc w:val="center"/>
        <w:rPr>
          <w:rFonts w:ascii="仿宋" w:hAnsi="仿宋" w:eastAsia="仿宋" w:cs="仿宋"/>
          <w:b/>
          <w:bCs/>
          <w:sz w:val="28"/>
          <w:szCs w:val="28"/>
        </w:rPr>
      </w:pPr>
      <w:r>
        <w:rPr>
          <w:rFonts w:hint="eastAsia" w:ascii="仿宋" w:hAnsi="仿宋" w:eastAsia="仿宋" w:cs="仿宋"/>
          <w:b/>
          <w:bCs/>
          <w:sz w:val="28"/>
          <w:szCs w:val="28"/>
        </w:rPr>
        <w:t>评分索引表</w:t>
      </w:r>
    </w:p>
    <w:p>
      <w:pPr>
        <w:rPr>
          <w:rFonts w:ascii="仿宋" w:hAnsi="仿宋" w:cs="仿宋"/>
        </w:rPr>
      </w:pPr>
    </w:p>
    <w:tbl>
      <w:tblPr>
        <w:tblStyle w:val="23"/>
        <w:tblW w:w="883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5"/>
        <w:gridCol w:w="115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675" w:type="dxa"/>
            <w:vAlign w:val="center"/>
          </w:tcPr>
          <w:p>
            <w:pPr>
              <w:spacing w:before="60" w:after="60"/>
              <w:jc w:val="center"/>
              <w:rPr>
                <w:rFonts w:ascii="仿宋" w:hAnsi="仿宋" w:cs="仿宋"/>
              </w:rPr>
            </w:pPr>
            <w:r>
              <w:rPr>
                <w:rFonts w:hint="eastAsia" w:ascii="仿宋" w:hAnsi="仿宋" w:cs="仿宋"/>
              </w:rPr>
              <w:t>评分标准</w:t>
            </w:r>
          </w:p>
        </w:tc>
        <w:tc>
          <w:tcPr>
            <w:tcW w:w="1159" w:type="dxa"/>
            <w:vAlign w:val="center"/>
          </w:tcPr>
          <w:p>
            <w:pPr>
              <w:spacing w:before="60" w:after="60"/>
              <w:jc w:val="center"/>
              <w:rPr>
                <w:rFonts w:ascii="仿宋" w:hAnsi="仿宋" w:cs="仿宋"/>
              </w:rPr>
            </w:pPr>
            <w:r>
              <w:rPr>
                <w:rFonts w:hint="eastAsia" w:ascii="仿宋" w:hAnsi="仿宋" w:cs="仿宋"/>
              </w:rPr>
              <w:t>证明材料所在页码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rPr>
                <w:rFonts w:ascii="仿宋" w:hAnsi="仿宋" w:cs="仿宋"/>
              </w:rPr>
            </w:pPr>
          </w:p>
        </w:tc>
        <w:tc>
          <w:tcPr>
            <w:tcW w:w="1159" w:type="dxa"/>
          </w:tcPr>
          <w:p>
            <w:pPr>
              <w:spacing w:before="60" w:after="60"/>
              <w:rPr>
                <w:rFonts w:ascii="仿宋" w:hAnsi="仿宋" w:cs="仿宋"/>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675" w:type="dxa"/>
          </w:tcPr>
          <w:p>
            <w:pPr>
              <w:spacing w:before="60" w:after="60"/>
              <w:jc w:val="center"/>
              <w:rPr>
                <w:rFonts w:ascii="仿宋" w:hAnsi="仿宋" w:cs="仿宋"/>
              </w:rPr>
            </w:pPr>
            <w:r>
              <w:rPr>
                <w:rFonts w:hint="eastAsia" w:ascii="仿宋" w:hAnsi="仿宋" w:cs="仿宋"/>
              </w:rPr>
              <w:t>...</w:t>
            </w:r>
          </w:p>
        </w:tc>
        <w:tc>
          <w:tcPr>
            <w:tcW w:w="1159" w:type="dxa"/>
          </w:tcPr>
          <w:p>
            <w:pPr>
              <w:spacing w:before="60" w:after="60"/>
              <w:jc w:val="center"/>
              <w:rPr>
                <w:rFonts w:ascii="仿宋" w:hAnsi="仿宋" w:cs="仿宋"/>
              </w:rPr>
            </w:pPr>
            <w:r>
              <w:rPr>
                <w:rFonts w:hint="eastAsia" w:ascii="仿宋" w:hAnsi="仿宋" w:cs="仿宋"/>
              </w:rPr>
              <w:t>...</w:t>
            </w:r>
          </w:p>
        </w:tc>
      </w:tr>
    </w:tbl>
    <w:p>
      <w:pPr>
        <w:pStyle w:val="39"/>
        <w:ind w:firstLine="480"/>
        <w:rPr>
          <w:rFonts w:ascii="仿宋" w:hAnsi="仿宋" w:eastAsia="仿宋" w:cs="仿宋"/>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格式4</w:t>
      </w:r>
    </w:p>
    <w:p>
      <w:pPr>
        <w:spacing w:before="312" w:beforeLines="100" w:after="312" w:afterLines="100" w:line="360" w:lineRule="auto"/>
        <w:ind w:right="-21" w:rightChars="-10"/>
        <w:jc w:val="center"/>
        <w:rPr>
          <w:rFonts w:ascii="仿宋" w:hAnsi="仿宋" w:cs="仿宋"/>
          <w:b/>
          <w:sz w:val="32"/>
          <w:szCs w:val="32"/>
        </w:rPr>
      </w:pPr>
      <w:bookmarkStart w:id="94" w:name="_Toc3401_WPSOffice_Level2"/>
      <w:bookmarkStart w:id="95" w:name="_Toc16924_WPSOffice_Level2"/>
      <w:r>
        <w:rPr>
          <w:rFonts w:hint="eastAsia" w:ascii="仿宋" w:hAnsi="仿宋" w:cs="仿宋"/>
          <w:b/>
          <w:sz w:val="32"/>
          <w:szCs w:val="32"/>
        </w:rPr>
        <w:t>法定代表人（或非法人组织负责人）身份证明书</w:t>
      </w:r>
      <w:bookmarkEnd w:id="94"/>
      <w:bookmarkEnd w:id="95"/>
    </w:p>
    <w:p>
      <w:pPr>
        <w:spacing w:line="360" w:lineRule="auto"/>
        <w:ind w:firstLine="840" w:firstLineChars="400"/>
        <w:rPr>
          <w:rFonts w:ascii="仿宋" w:hAnsi="仿宋" w:cs="仿宋"/>
          <w:szCs w:val="21"/>
        </w:rPr>
      </w:pPr>
      <w:r>
        <w:rPr>
          <w:rFonts w:hint="eastAsia" w:ascii="仿宋" w:hAnsi="仿宋" w:cs="仿宋"/>
          <w:szCs w:val="21"/>
        </w:rPr>
        <w:t>姓名：</w:t>
      </w:r>
      <w:r>
        <w:rPr>
          <w:rFonts w:hint="eastAsia" w:ascii="仿宋" w:hAnsi="仿宋" w:cs="仿宋"/>
          <w:szCs w:val="21"/>
          <w:u w:val="single"/>
        </w:rPr>
        <w:t xml:space="preserve">        </w:t>
      </w:r>
      <w:r>
        <w:rPr>
          <w:rFonts w:hint="eastAsia" w:ascii="仿宋" w:hAnsi="仿宋" w:cs="仿宋"/>
          <w:szCs w:val="21"/>
        </w:rPr>
        <w:t>，性别：</w:t>
      </w:r>
      <w:r>
        <w:rPr>
          <w:rFonts w:hint="eastAsia" w:ascii="仿宋" w:hAnsi="仿宋" w:cs="仿宋"/>
          <w:szCs w:val="21"/>
          <w:u w:val="single"/>
        </w:rPr>
        <w:t xml:space="preserve">        </w:t>
      </w:r>
      <w:r>
        <w:rPr>
          <w:rFonts w:hint="eastAsia" w:ascii="仿宋" w:hAnsi="仿宋" w:cs="仿宋"/>
          <w:szCs w:val="21"/>
        </w:rPr>
        <w:t>，出生日期：</w:t>
      </w:r>
      <w:r>
        <w:rPr>
          <w:rFonts w:hint="eastAsia" w:ascii="仿宋" w:hAnsi="仿宋" w:cs="仿宋"/>
          <w:szCs w:val="21"/>
          <w:u w:val="single"/>
        </w:rPr>
        <w:t xml:space="preserve">         </w:t>
      </w:r>
      <w:r>
        <w:rPr>
          <w:rFonts w:hint="eastAsia" w:ascii="仿宋" w:hAnsi="仿宋" w:cs="仿宋"/>
          <w:szCs w:val="21"/>
        </w:rPr>
        <w:t>，现任职务：</w:t>
      </w:r>
      <w:r>
        <w:rPr>
          <w:rFonts w:hint="eastAsia" w:ascii="仿宋" w:hAnsi="仿宋" w:cs="仿宋"/>
          <w:szCs w:val="21"/>
          <w:u w:val="single"/>
        </w:rPr>
        <w:t xml:space="preserve">       </w:t>
      </w:r>
      <w:r>
        <w:rPr>
          <w:rFonts w:hint="eastAsia" w:ascii="仿宋" w:hAnsi="仿宋" w:cs="仿宋"/>
          <w:szCs w:val="21"/>
        </w:rPr>
        <w:t>，系</w:t>
      </w:r>
      <w:r>
        <w:rPr>
          <w:rFonts w:hint="eastAsia" w:ascii="仿宋" w:hAnsi="仿宋" w:cs="仿宋"/>
          <w:szCs w:val="21"/>
          <w:u w:val="single"/>
        </w:rPr>
        <w:t xml:space="preserve">            </w:t>
      </w:r>
      <w:r>
        <w:rPr>
          <w:rFonts w:hint="eastAsia" w:ascii="仿宋" w:hAnsi="仿宋" w:cs="仿宋"/>
          <w:szCs w:val="21"/>
        </w:rPr>
        <w:t>（供应商名称）的法定代表人（或非法人组织负责人）。</w:t>
      </w:r>
    </w:p>
    <w:p>
      <w:pPr>
        <w:rPr>
          <w:rFonts w:ascii="仿宋" w:hAnsi="仿宋" w:cs="仿宋"/>
          <w:szCs w:val="21"/>
        </w:rPr>
      </w:pPr>
    </w:p>
    <w:p>
      <w:pPr>
        <w:rPr>
          <w:rFonts w:ascii="仿宋" w:hAnsi="仿宋" w:cs="仿宋"/>
          <w:szCs w:val="21"/>
        </w:rPr>
      </w:pPr>
      <w:r>
        <w:rPr>
          <w:rFonts w:hint="eastAsia" w:ascii="仿宋" w:hAnsi="仿宋" w:cs="仿宋"/>
          <w:szCs w:val="21"/>
        </w:rPr>
        <w:t>特此证明。</w:t>
      </w:r>
    </w:p>
    <w:p>
      <w:pPr>
        <w:rPr>
          <w:rFonts w:ascii="仿宋" w:hAnsi="仿宋" w:cs="仿宋"/>
          <w:szCs w:val="21"/>
        </w:rPr>
      </w:pPr>
    </w:p>
    <w:p>
      <w:pPr>
        <w:rPr>
          <w:rFonts w:ascii="仿宋" w:hAnsi="仿宋" w:cs="仿宋"/>
          <w:szCs w:val="21"/>
        </w:rPr>
      </w:pPr>
    </w:p>
    <w:p>
      <w:pPr>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（※法定代表人（或非法人组织负责人）身份证正、反面复印件※）</w:t>
            </w:r>
          </w:p>
        </w:tc>
      </w:tr>
    </w:tbl>
    <w:p>
      <w:pPr>
        <w:rPr>
          <w:rFonts w:ascii="仿宋" w:hAnsi="仿宋" w:cs="仿宋"/>
          <w:szCs w:val="21"/>
        </w:rPr>
      </w:pPr>
    </w:p>
    <w:p>
      <w:pPr>
        <w:spacing w:line="480" w:lineRule="auto"/>
        <w:rPr>
          <w:rFonts w:ascii="仿宋" w:hAnsi="仿宋" w:cs="仿宋"/>
          <w:u w:val="single"/>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rPr>
          <w:rFonts w:ascii="仿宋" w:hAnsi="仿宋" w:cs="仿宋"/>
        </w:rPr>
      </w:pPr>
    </w:p>
    <w:p>
      <w:pPr>
        <w:rPr>
          <w:rFonts w:ascii="仿宋" w:hAnsi="仿宋" w:cs="仿宋"/>
          <w:szCs w:val="21"/>
        </w:rPr>
      </w:pPr>
    </w:p>
    <w:p>
      <w:pPr>
        <w:pStyle w:val="3"/>
        <w:adjustRightInd w:val="0"/>
        <w:snapToGrid w:val="0"/>
        <w:spacing w:before="0" w:after="0" w:line="240" w:lineRule="auto"/>
        <w:jc w:val="left"/>
        <w:rPr>
          <w:rFonts w:ascii="仿宋" w:hAnsi="仿宋" w:cs="仿宋"/>
          <w:b w:val="0"/>
          <w:bCs/>
          <w:sz w:val="32"/>
          <w:szCs w:val="32"/>
        </w:rPr>
      </w:pPr>
      <w:r>
        <w:rPr>
          <w:rFonts w:hint="eastAsia" w:ascii="仿宋" w:hAnsi="仿宋" w:cs="仿宋"/>
          <w:szCs w:val="28"/>
        </w:rPr>
        <w:br w:type="page"/>
      </w:r>
      <w:r>
        <w:rPr>
          <w:rFonts w:hint="eastAsia" w:ascii="仿宋" w:hAnsi="仿宋" w:cs="仿宋"/>
          <w:szCs w:val="28"/>
        </w:rPr>
        <w:t>格式5</w:t>
      </w:r>
      <w:bookmarkStart w:id="96" w:name="_Toc21833_WPSOffice_Level2"/>
      <w:bookmarkStart w:id="97" w:name="_Toc122_WPSOffice_Level2"/>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法定代表人（或非法人组织负责人）授权委托书</w:t>
      </w:r>
      <w:bookmarkEnd w:id="96"/>
      <w:bookmarkEnd w:id="97"/>
    </w:p>
    <w:p>
      <w:pPr>
        <w:spacing w:line="360" w:lineRule="auto"/>
        <w:ind w:firstLine="420" w:firstLineChars="200"/>
        <w:rPr>
          <w:rFonts w:ascii="仿宋" w:hAnsi="仿宋" w:cs="仿宋"/>
          <w:szCs w:val="21"/>
          <w:u w:val="single"/>
        </w:rPr>
      </w:pPr>
      <w:r>
        <w:rPr>
          <w:rFonts w:hint="eastAsia" w:ascii="仿宋" w:hAnsi="仿宋" w:cs="仿宋"/>
          <w:szCs w:val="21"/>
        </w:rPr>
        <w:t>单位名称：</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法定代表人（或非法人组织负责人）姓名：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tabs>
          <w:tab w:val="left" w:pos="5205"/>
        </w:tabs>
        <w:spacing w:line="360" w:lineRule="auto"/>
        <w:ind w:firstLine="420" w:firstLineChars="200"/>
        <w:rPr>
          <w:rFonts w:ascii="仿宋" w:hAnsi="仿宋" w:cs="仿宋"/>
          <w:szCs w:val="21"/>
          <w:u w:val="single"/>
        </w:rPr>
      </w:pPr>
      <w:r>
        <w:rPr>
          <w:rFonts w:hint="eastAsia" w:ascii="仿宋" w:hAnsi="仿宋" w:cs="仿宋"/>
          <w:szCs w:val="21"/>
        </w:rPr>
        <w:t>住所地：</w:t>
      </w:r>
      <w:r>
        <w:rPr>
          <w:rFonts w:hint="eastAsia" w:ascii="仿宋" w:hAnsi="仿宋" w:cs="仿宋"/>
          <w:szCs w:val="21"/>
          <w:u w:val="single"/>
        </w:rPr>
        <w:t xml:space="preserve">                    </w:t>
      </w:r>
      <w:r>
        <w:rPr>
          <w:rFonts w:hint="eastAsia" w:ascii="仿宋" w:hAnsi="仿宋" w:cs="仿宋"/>
          <w:szCs w:val="21"/>
          <w:u w:val="single"/>
        </w:rPr>
        <w:tab/>
      </w:r>
    </w:p>
    <w:p>
      <w:pPr>
        <w:spacing w:line="360" w:lineRule="auto"/>
        <w:ind w:firstLine="420" w:firstLineChars="200"/>
        <w:rPr>
          <w:rFonts w:ascii="仿宋" w:hAnsi="仿宋" w:cs="仿宋"/>
          <w:szCs w:val="21"/>
          <w:u w:val="single"/>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人姓名：</w:t>
      </w:r>
      <w:r>
        <w:rPr>
          <w:rFonts w:hint="eastAsia" w:ascii="仿宋" w:hAnsi="仿宋" w:cs="仿宋"/>
          <w:szCs w:val="21"/>
          <w:u w:val="single"/>
        </w:rPr>
        <w:t xml:space="preserve">                </w:t>
      </w:r>
      <w:r>
        <w:rPr>
          <w:rFonts w:hint="eastAsia" w:ascii="仿宋" w:hAnsi="仿宋" w:cs="仿宋"/>
          <w:szCs w:val="21"/>
        </w:rPr>
        <w:t xml:space="preserve">                   身份证号码：</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工作单位：</w:t>
      </w:r>
      <w:r>
        <w:rPr>
          <w:rFonts w:hint="eastAsia" w:ascii="仿宋" w:hAnsi="仿宋" w:cs="仿宋"/>
          <w:szCs w:val="21"/>
          <w:u w:val="single"/>
        </w:rPr>
        <w:t xml:space="preserve">                  </w:t>
      </w:r>
    </w:p>
    <w:p>
      <w:pPr>
        <w:spacing w:line="360" w:lineRule="auto"/>
        <w:ind w:firstLine="420" w:firstLineChars="200"/>
        <w:rPr>
          <w:rFonts w:ascii="仿宋" w:hAnsi="仿宋" w:cs="仿宋"/>
          <w:szCs w:val="21"/>
          <w:u w:val="single"/>
        </w:rPr>
      </w:pPr>
      <w:r>
        <w:rPr>
          <w:rFonts w:hint="eastAsia" w:ascii="仿宋" w:hAnsi="仿宋" w:cs="仿宋"/>
          <w:szCs w:val="21"/>
        </w:rPr>
        <w:t>住址：</w:t>
      </w:r>
      <w:r>
        <w:rPr>
          <w:rFonts w:hint="eastAsia" w:ascii="仿宋" w:hAnsi="仿宋" w:cs="仿宋"/>
          <w:szCs w:val="21"/>
          <w:u w:val="single"/>
        </w:rPr>
        <w:t xml:space="preserve">                      </w:t>
      </w:r>
      <w:r>
        <w:rPr>
          <w:rFonts w:hint="eastAsia" w:ascii="仿宋" w:hAnsi="仿宋" w:cs="仿宋"/>
          <w:szCs w:val="21"/>
        </w:rPr>
        <w:t xml:space="preserve">                   电话：</w:t>
      </w:r>
      <w:r>
        <w:rPr>
          <w:rFonts w:hint="eastAsia" w:ascii="仿宋" w:hAnsi="仿宋" w:cs="仿宋"/>
          <w:szCs w:val="21"/>
          <w:u w:val="single"/>
        </w:rPr>
        <w:t xml:space="preserve">               </w:t>
      </w:r>
    </w:p>
    <w:p>
      <w:pPr>
        <w:spacing w:line="360" w:lineRule="auto"/>
        <w:ind w:firstLine="420" w:firstLineChars="200"/>
        <w:rPr>
          <w:rFonts w:ascii="仿宋" w:hAnsi="仿宋" w:cs="仿宋"/>
          <w:szCs w:val="21"/>
        </w:rPr>
      </w:pPr>
      <w:r>
        <w:rPr>
          <w:rFonts w:hint="eastAsia" w:ascii="仿宋" w:hAnsi="仿宋" w:cs="仿宋"/>
          <w:szCs w:val="21"/>
        </w:rPr>
        <w:t>现委托</w:t>
      </w:r>
      <w:r>
        <w:rPr>
          <w:rFonts w:hint="eastAsia" w:ascii="仿宋" w:hAnsi="仿宋" w:cs="仿宋"/>
          <w:szCs w:val="21"/>
          <w:u w:val="single"/>
        </w:rPr>
        <w:t xml:space="preserve">           </w:t>
      </w:r>
      <w:r>
        <w:rPr>
          <w:rFonts w:hint="eastAsia" w:ascii="仿宋" w:hAnsi="仿宋" w:cs="仿宋"/>
          <w:szCs w:val="21"/>
        </w:rPr>
        <w:t>就</w:t>
      </w:r>
      <w:r>
        <w:rPr>
          <w:rFonts w:hint="eastAsia" w:ascii="仿宋" w:hAnsi="仿宋" w:cs="仿宋"/>
          <w:szCs w:val="21"/>
          <w:u w:val="single"/>
        </w:rPr>
        <w:t>（项目编号、项目名称、包号）</w:t>
      </w:r>
      <w:r>
        <w:rPr>
          <w:rFonts w:hint="eastAsia" w:ascii="仿宋" w:hAnsi="仿宋" w:cs="仿宋"/>
          <w:szCs w:val="21"/>
        </w:rPr>
        <w:t>投标中，以我单位名义处理一切与之有关的事务。</w:t>
      </w:r>
    </w:p>
    <w:p>
      <w:pPr>
        <w:spacing w:line="360" w:lineRule="auto"/>
        <w:ind w:firstLine="420" w:firstLineChars="200"/>
        <w:rPr>
          <w:rFonts w:ascii="仿宋" w:hAnsi="仿宋" w:cs="仿宋"/>
          <w:szCs w:val="21"/>
        </w:rPr>
      </w:pPr>
      <w:r>
        <w:rPr>
          <w:rFonts w:hint="eastAsia" w:ascii="仿宋" w:hAnsi="仿宋" w:cs="仿宋"/>
          <w:szCs w:val="21"/>
        </w:rPr>
        <w:t>本授权书于</w:t>
      </w:r>
      <w:r>
        <w:rPr>
          <w:rFonts w:hint="eastAsia" w:ascii="仿宋" w:hAnsi="仿宋" w:cs="仿宋"/>
          <w:szCs w:val="21"/>
          <w:u w:val="single"/>
        </w:rPr>
        <w:t xml:space="preserve">   </w:t>
      </w:r>
      <w:r>
        <w:rPr>
          <w:rFonts w:hint="eastAsia" w:ascii="仿宋" w:hAnsi="仿宋" w:cs="仿宋"/>
          <w:szCs w:val="21"/>
        </w:rPr>
        <w:t>年</w:t>
      </w:r>
      <w:r>
        <w:rPr>
          <w:rFonts w:hint="eastAsia" w:ascii="仿宋" w:hAnsi="仿宋" w:cs="仿宋"/>
          <w:szCs w:val="21"/>
          <w:u w:val="single"/>
        </w:rPr>
        <w:t xml:space="preserve">   </w:t>
      </w:r>
      <w:r>
        <w:rPr>
          <w:rFonts w:hint="eastAsia" w:ascii="仿宋" w:hAnsi="仿宋" w:cs="仿宋"/>
          <w:szCs w:val="21"/>
        </w:rPr>
        <w:t>月</w:t>
      </w:r>
      <w:r>
        <w:rPr>
          <w:rFonts w:hint="eastAsia" w:ascii="仿宋" w:hAnsi="仿宋" w:cs="仿宋"/>
          <w:szCs w:val="21"/>
          <w:u w:val="single"/>
        </w:rPr>
        <w:t xml:space="preserve">   </w:t>
      </w:r>
      <w:r>
        <w:rPr>
          <w:rFonts w:hint="eastAsia" w:ascii="仿宋" w:hAnsi="仿宋" w:cs="仿宋"/>
          <w:szCs w:val="21"/>
        </w:rPr>
        <w:t>日签字或盖章生效，无转委托，特此声明。</w:t>
      </w:r>
    </w:p>
    <w:p>
      <w:pPr>
        <w:spacing w:line="360" w:lineRule="auto"/>
        <w:rPr>
          <w:rFonts w:ascii="仿宋" w:hAnsi="仿宋" w:cs="仿宋"/>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人身份证正、反面复印件※）</w:t>
            </w:r>
          </w:p>
        </w:tc>
      </w:tr>
    </w:tbl>
    <w:p>
      <w:pPr>
        <w:spacing w:line="360" w:lineRule="auto"/>
        <w:rPr>
          <w:rFonts w:ascii="仿宋" w:hAnsi="仿宋" w:cs="仿宋"/>
          <w:szCs w:val="21"/>
        </w:rPr>
      </w:pPr>
    </w:p>
    <w:p>
      <w:pPr>
        <w:spacing w:line="360" w:lineRule="auto"/>
        <w:rPr>
          <w:rFonts w:ascii="仿宋" w:hAnsi="仿宋" w:cs="仿宋"/>
          <w:szCs w:val="21"/>
        </w:rPr>
      </w:pPr>
      <w:r>
        <w:rPr>
          <w:rFonts w:hint="eastAsia" w:ascii="仿宋" w:hAnsi="仿宋" w:cs="仿宋"/>
          <w:szCs w:val="21"/>
        </w:rPr>
        <w:t>委托人（加盖单位公章）：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法定代表人（或非法人组织负责人）（签字或盖章）：</w:t>
      </w:r>
      <w:r>
        <w:rPr>
          <w:rFonts w:hint="eastAsia" w:ascii="仿宋" w:hAnsi="仿宋" w:cs="仿宋"/>
          <w:szCs w:val="21"/>
          <w:u w:val="single"/>
        </w:rPr>
        <w:t xml:space="preserve">                   </w:t>
      </w:r>
      <w:r>
        <w:rPr>
          <w:rFonts w:hint="eastAsia" w:ascii="仿宋" w:hAnsi="仿宋" w:cs="仿宋"/>
          <w:szCs w:val="21"/>
        </w:rPr>
        <w:t xml:space="preserve"> </w:t>
      </w:r>
    </w:p>
    <w:p>
      <w:pPr>
        <w:spacing w:line="360" w:lineRule="auto"/>
        <w:rPr>
          <w:rFonts w:ascii="仿宋" w:hAnsi="仿宋" w:cs="仿宋"/>
          <w:szCs w:val="21"/>
        </w:rPr>
      </w:pPr>
      <w:r>
        <w:rPr>
          <w:rFonts w:hint="eastAsia" w:ascii="仿宋" w:hAnsi="仿宋" w:cs="仿宋"/>
          <w:szCs w:val="21"/>
        </w:rPr>
        <w:t>授权</w:t>
      </w:r>
      <w:r>
        <w:rPr>
          <w:rFonts w:hint="eastAsia" w:ascii="仿宋" w:hAnsi="仿宋" w:cs="仿宋"/>
        </w:rPr>
        <w:t>委托</w:t>
      </w:r>
      <w:r>
        <w:rPr>
          <w:rFonts w:hint="eastAsia" w:ascii="仿宋" w:hAnsi="仿宋" w:cs="仿宋"/>
          <w:szCs w:val="21"/>
        </w:rPr>
        <w:t>人（签字或盖章）：</w:t>
      </w:r>
      <w:r>
        <w:rPr>
          <w:rFonts w:hint="eastAsia" w:ascii="仿宋" w:hAnsi="仿宋" w:cs="仿宋"/>
          <w:szCs w:val="21"/>
          <w:u w:val="single"/>
        </w:rPr>
        <w:t xml:space="preserve">              </w:t>
      </w:r>
    </w:p>
    <w:p>
      <w:pPr>
        <w:spacing w:line="360" w:lineRule="auto"/>
        <w:rPr>
          <w:rFonts w:ascii="仿宋" w:hAnsi="仿宋" w:cs="仿宋"/>
          <w:szCs w:val="21"/>
        </w:rPr>
      </w:pPr>
      <w:r>
        <w:rPr>
          <w:rFonts w:hint="eastAsia" w:ascii="仿宋" w:hAnsi="仿宋" w:cs="仿宋"/>
          <w:szCs w:val="21"/>
        </w:rPr>
        <w:t>详细通讯地址：</w:t>
      </w:r>
      <w:r>
        <w:rPr>
          <w:rFonts w:hint="eastAsia" w:ascii="仿宋" w:hAnsi="仿宋" w:cs="仿宋"/>
          <w:szCs w:val="21"/>
          <w:u w:val="single"/>
        </w:rPr>
        <w:t xml:space="preserve">                      </w:t>
      </w:r>
      <w:r>
        <w:rPr>
          <w:rFonts w:hint="eastAsia" w:ascii="仿宋" w:hAnsi="仿宋" w:cs="仿宋"/>
          <w:szCs w:val="21"/>
        </w:rPr>
        <w:t xml:space="preserve">      邮政编码 ：</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传        真：</w:t>
      </w:r>
      <w:r>
        <w:rPr>
          <w:rFonts w:hint="eastAsia" w:ascii="仿宋" w:hAnsi="仿宋" w:cs="仿宋"/>
          <w:szCs w:val="21"/>
          <w:u w:val="single"/>
        </w:rPr>
        <w:t xml:space="preserve">                      </w:t>
      </w:r>
      <w:r>
        <w:rPr>
          <w:rFonts w:hint="eastAsia" w:ascii="仿宋" w:hAnsi="仿宋" w:cs="仿宋"/>
          <w:szCs w:val="21"/>
        </w:rPr>
        <w:t xml:space="preserve">      电     话：</w:t>
      </w:r>
      <w:r>
        <w:rPr>
          <w:rFonts w:hint="eastAsia" w:ascii="仿宋" w:hAnsi="仿宋" w:cs="仿宋"/>
          <w:szCs w:val="21"/>
          <w:u w:val="single"/>
        </w:rPr>
        <w:t xml:space="preserve">              </w:t>
      </w:r>
    </w:p>
    <w:p>
      <w:pPr>
        <w:spacing w:line="360" w:lineRule="auto"/>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pStyle w:val="3"/>
        <w:adjustRightInd w:val="0"/>
        <w:snapToGrid w:val="0"/>
        <w:spacing w:before="0" w:after="0" w:line="240" w:lineRule="auto"/>
        <w:jc w:val="left"/>
        <w:rPr>
          <w:rFonts w:ascii="仿宋" w:hAnsi="仿宋" w:cs="仿宋"/>
          <w:szCs w:val="21"/>
          <w:u w:val="single"/>
        </w:rPr>
      </w:pPr>
      <w:r>
        <w:rPr>
          <w:rFonts w:hint="eastAsia" w:ascii="仿宋" w:hAnsi="仿宋" w:cs="仿宋"/>
          <w:szCs w:val="21"/>
          <w:u w:val="single"/>
        </w:rPr>
        <w:br w:type="page"/>
      </w:r>
      <w:r>
        <w:rPr>
          <w:rFonts w:hint="eastAsia" w:ascii="仿宋" w:hAnsi="仿宋" w:cs="仿宋"/>
          <w:szCs w:val="28"/>
        </w:rPr>
        <w:t>格式6</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具有良好的商业信誉和健全的财务会计制度的承诺函</w:t>
      </w:r>
    </w:p>
    <w:p>
      <w:pPr>
        <w:spacing w:before="312" w:beforeLines="100" w:after="312" w:afterLines="100" w:line="480" w:lineRule="exact"/>
        <w:ind w:right="630" w:rightChars="300"/>
        <w:jc w:val="center"/>
        <w:rPr>
          <w:rFonts w:ascii="仿宋" w:hAnsi="仿宋" w:cs="仿宋"/>
          <w:sz w:val="28"/>
          <w:szCs w:val="28"/>
        </w:rPr>
      </w:pPr>
      <w:r>
        <w:rPr>
          <w:rFonts w:hint="eastAsia" w:ascii="仿宋" w:hAnsi="仿宋" w:cs="仿宋"/>
          <w:sz w:val="28"/>
          <w:szCs w:val="28"/>
        </w:rPr>
        <w:t>（格式自拟）</w:t>
      </w: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napToGrid w:val="0"/>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napToGrid w:val="0"/>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r>
        <w:rPr>
          <w:rFonts w:hint="eastAsia" w:ascii="仿宋" w:hAnsi="仿宋" w:cs="仿宋"/>
        </w:rPr>
        <w:t>日期：</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p>
    <w:p>
      <w:pPr>
        <w:rPr>
          <w:rFonts w:ascii="仿宋" w:hAnsi="仿宋" w:cs="仿宋"/>
          <w:szCs w:val="28"/>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格式7</w:t>
      </w:r>
    </w:p>
    <w:p>
      <w:pPr>
        <w:spacing w:before="312" w:beforeLines="100" w:after="312" w:afterLines="100" w:line="360" w:lineRule="auto"/>
        <w:ind w:right="-21" w:rightChars="-10"/>
        <w:jc w:val="center"/>
        <w:rPr>
          <w:rFonts w:ascii="仿宋" w:hAnsi="仿宋" w:cs="仿宋"/>
          <w:b/>
          <w:sz w:val="32"/>
          <w:szCs w:val="32"/>
        </w:rPr>
      </w:pPr>
      <w:bookmarkStart w:id="98" w:name="_Toc23728_WPSOffice_Level2"/>
      <w:bookmarkStart w:id="99" w:name="_Toc12037_WPSOffice_Level2"/>
      <w:r>
        <w:rPr>
          <w:rFonts w:hint="eastAsia" w:ascii="仿宋" w:hAnsi="仿宋" w:cs="仿宋"/>
          <w:b/>
          <w:sz w:val="32"/>
          <w:szCs w:val="32"/>
        </w:rPr>
        <w:t>具备履行合同所必需的设备和专业技术能力声明函</w:t>
      </w:r>
      <w:bookmarkEnd w:id="98"/>
      <w:bookmarkEnd w:id="99"/>
    </w:p>
    <w:p>
      <w:pPr>
        <w:spacing w:before="312" w:beforeLines="100" w:after="312" w:afterLines="100" w:line="480" w:lineRule="exact"/>
        <w:ind w:right="630" w:rightChars="300"/>
        <w:jc w:val="center"/>
        <w:rPr>
          <w:rFonts w:ascii="仿宋" w:hAnsi="仿宋" w:cs="仿宋"/>
          <w:sz w:val="28"/>
          <w:szCs w:val="28"/>
        </w:rPr>
      </w:pPr>
      <w:bookmarkStart w:id="100" w:name="_Toc1917_WPSOffice_Level2"/>
      <w:bookmarkStart w:id="101" w:name="_Toc28831_WPSOffice_Level2"/>
      <w:r>
        <w:rPr>
          <w:rFonts w:hint="eastAsia" w:ascii="仿宋" w:hAnsi="仿宋" w:cs="仿宋"/>
          <w:sz w:val="28"/>
          <w:szCs w:val="28"/>
        </w:rPr>
        <w:t>（格式自拟）</w:t>
      </w:r>
      <w:bookmarkEnd w:id="100"/>
      <w:bookmarkEnd w:id="101"/>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napToGrid w:val="0"/>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napToGrid w:val="0"/>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r>
        <w:rPr>
          <w:rFonts w:hint="eastAsia" w:ascii="仿宋" w:hAnsi="仿宋" w:cs="仿宋"/>
        </w:rPr>
        <w:t>日期：</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u w:val="single"/>
        </w:rPr>
      </w:pPr>
    </w:p>
    <w:p>
      <w:pPr>
        <w:adjustRightInd w:val="0"/>
        <w:snapToGrid w:val="0"/>
        <w:spacing w:line="360" w:lineRule="auto"/>
        <w:ind w:right="105" w:rightChars="50"/>
        <w:jc w:val="left"/>
        <w:rPr>
          <w:rFonts w:ascii="仿宋" w:hAnsi="仿宋" w:cs="仿宋"/>
          <w:b/>
          <w:sz w:val="28"/>
          <w:szCs w:val="28"/>
        </w:rPr>
      </w:pPr>
    </w:p>
    <w:p>
      <w:pPr>
        <w:widowControl/>
        <w:jc w:val="left"/>
        <w:rPr>
          <w:rFonts w:ascii="仿宋" w:hAnsi="仿宋" w:cs="仿宋"/>
          <w:b/>
          <w:sz w:val="28"/>
          <w:szCs w:val="28"/>
        </w:rPr>
      </w:pPr>
    </w:p>
    <w:p>
      <w:pPr>
        <w:pStyle w:val="3"/>
        <w:adjustRightInd w:val="0"/>
        <w:snapToGrid w:val="0"/>
        <w:spacing w:before="0" w:after="0" w:line="240" w:lineRule="auto"/>
        <w:jc w:val="left"/>
        <w:rPr>
          <w:rFonts w:ascii="仿宋" w:hAnsi="仿宋" w:cs="仿宋"/>
        </w:rPr>
      </w:pPr>
      <w:r>
        <w:rPr>
          <w:rFonts w:hint="eastAsia" w:ascii="仿宋" w:hAnsi="仿宋" w:cs="仿宋"/>
          <w:szCs w:val="28"/>
        </w:rPr>
        <w:br w:type="page"/>
      </w:r>
      <w:r>
        <w:rPr>
          <w:rFonts w:hint="eastAsia" w:ascii="仿宋" w:hAnsi="仿宋" w:cs="仿宋"/>
          <w:szCs w:val="28"/>
        </w:rPr>
        <w:t>格式8</w:t>
      </w:r>
    </w:p>
    <w:p>
      <w:pPr>
        <w:spacing w:before="312" w:beforeLines="100" w:after="312" w:afterLines="100" w:line="360" w:lineRule="auto"/>
        <w:ind w:right="-21" w:rightChars="-10"/>
        <w:jc w:val="center"/>
        <w:rPr>
          <w:rFonts w:ascii="仿宋" w:hAnsi="仿宋" w:cs="仿宋"/>
          <w:b/>
          <w:sz w:val="32"/>
          <w:szCs w:val="32"/>
        </w:rPr>
      </w:pPr>
      <w:r>
        <w:rPr>
          <w:rFonts w:hint="eastAsia" w:ascii="仿宋" w:hAnsi="仿宋" w:cs="仿宋"/>
          <w:b/>
          <w:sz w:val="32"/>
          <w:szCs w:val="32"/>
        </w:rPr>
        <w:t xml:space="preserve">   </w:t>
      </w:r>
      <w:bookmarkStart w:id="102" w:name="_Toc7498_WPSOffice_Level2"/>
      <w:bookmarkStart w:id="103" w:name="_Toc11967_WPSOffice_Level2"/>
      <w:r>
        <w:rPr>
          <w:rFonts w:hint="eastAsia" w:ascii="仿宋" w:hAnsi="仿宋" w:cs="仿宋"/>
          <w:b/>
          <w:sz w:val="32"/>
          <w:szCs w:val="32"/>
        </w:rPr>
        <w:t>参加政府采购活动前3年内在经营活动中没有重大违法记录的书面声明</w:t>
      </w:r>
      <w:bookmarkEnd w:id="102"/>
      <w:bookmarkEnd w:id="103"/>
    </w:p>
    <w:p>
      <w:pPr>
        <w:spacing w:line="360" w:lineRule="auto"/>
        <w:ind w:right="630" w:rightChars="300"/>
        <w:rPr>
          <w:rFonts w:ascii="仿宋" w:hAnsi="仿宋" w:cs="仿宋"/>
          <w:b/>
          <w:szCs w:val="21"/>
        </w:rPr>
      </w:pPr>
      <w:r>
        <w:rPr>
          <w:rFonts w:hint="eastAsia" w:ascii="仿宋" w:hAnsi="仿宋" w:cs="仿宋"/>
          <w:b/>
          <w:szCs w:val="21"/>
          <w:u w:val="single"/>
        </w:rPr>
        <w:t xml:space="preserve">（采购人或采购代理机构名称） </w:t>
      </w:r>
      <w:r>
        <w:rPr>
          <w:rFonts w:hint="eastAsia" w:ascii="仿宋" w:hAnsi="仿宋" w:cs="仿宋"/>
          <w:b/>
          <w:szCs w:val="21"/>
        </w:rPr>
        <w:t xml:space="preserve"> ：</w:t>
      </w:r>
    </w:p>
    <w:p>
      <w:pPr>
        <w:spacing w:line="360" w:lineRule="auto"/>
        <w:ind w:right="-21" w:rightChars="-10" w:firstLine="493" w:firstLineChars="235"/>
        <w:rPr>
          <w:rFonts w:ascii="仿宋" w:hAnsi="仿宋" w:cs="仿宋"/>
          <w:szCs w:val="21"/>
        </w:rPr>
      </w:pPr>
      <w:r>
        <w:rPr>
          <w:rFonts w:hint="eastAsia" w:ascii="仿宋" w:hAnsi="仿宋" w:cs="仿宋"/>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pPr>
        <w:tabs>
          <w:tab w:val="left" w:pos="10065"/>
        </w:tabs>
        <w:spacing w:line="360" w:lineRule="auto"/>
        <w:ind w:right="-21" w:rightChars="-10" w:firstLine="371" w:firstLineChars="177"/>
        <w:rPr>
          <w:rFonts w:ascii="仿宋" w:hAnsi="仿宋" w:cs="仿宋"/>
          <w:szCs w:val="21"/>
        </w:rPr>
      </w:pPr>
      <w:r>
        <w:rPr>
          <w:rFonts w:hint="eastAsia" w:ascii="仿宋" w:hAnsi="仿宋" w:cs="仿宋"/>
          <w:szCs w:val="21"/>
        </w:rPr>
        <w:t>如发现我单位提供的声明函不实时，我单位将按照《政府采购法》有关提供虚假材料的规定，接受处罚。</w:t>
      </w:r>
    </w:p>
    <w:p>
      <w:pPr>
        <w:spacing w:line="360" w:lineRule="auto"/>
        <w:ind w:right="1050" w:rightChars="500" w:firstLine="420" w:firstLineChars="200"/>
        <w:rPr>
          <w:rFonts w:ascii="仿宋" w:hAnsi="仿宋" w:cs="仿宋"/>
          <w:szCs w:val="21"/>
        </w:rPr>
      </w:pPr>
      <w:r>
        <w:rPr>
          <w:rFonts w:hint="eastAsia" w:ascii="仿宋" w:hAnsi="仿宋" w:cs="仿宋"/>
          <w:szCs w:val="21"/>
        </w:rPr>
        <w:t>特此声明。</w:t>
      </w:r>
    </w:p>
    <w:p>
      <w:pPr>
        <w:spacing w:before="156" w:beforeLines="50" w:after="156" w:afterLines="50" w:line="400" w:lineRule="exact"/>
        <w:ind w:right="1050" w:rightChars="500"/>
        <w:rPr>
          <w:rFonts w:ascii="仿宋" w:hAnsi="仿宋" w:cs="仿宋"/>
          <w:szCs w:val="21"/>
        </w:rPr>
      </w:pPr>
    </w:p>
    <w:p>
      <w:pPr>
        <w:spacing w:before="156" w:beforeLines="50" w:after="156" w:afterLines="50" w:line="400" w:lineRule="exact"/>
        <w:ind w:right="1050" w:rightChars="500"/>
        <w:rPr>
          <w:rFonts w:ascii="仿宋" w:hAnsi="仿宋" w:cs="仿宋"/>
          <w:szCs w:val="21"/>
        </w:rPr>
      </w:pPr>
    </w:p>
    <w:p>
      <w:pPr>
        <w:spacing w:line="360" w:lineRule="exact"/>
        <w:ind w:right="1050" w:rightChars="500"/>
        <w:rPr>
          <w:rFonts w:ascii="仿宋" w:hAnsi="仿宋" w:cs="仿宋"/>
          <w:szCs w:val="21"/>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spacing w:line="360" w:lineRule="auto"/>
        <w:rPr>
          <w:rFonts w:ascii="仿宋" w:hAnsi="仿宋" w:cs="仿宋"/>
          <w:szCs w:val="21"/>
        </w:rPr>
      </w:pPr>
    </w:p>
    <w:p>
      <w:pPr>
        <w:spacing w:line="360" w:lineRule="exact"/>
        <w:ind w:right="1050" w:rightChars="500"/>
        <w:jc w:val="left"/>
        <w:rPr>
          <w:rFonts w:ascii="仿宋" w:hAnsi="仿宋" w:cs="仿宋"/>
          <w:szCs w:val="21"/>
          <w:u w:val="single"/>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r>
        <w:rPr>
          <w:rFonts w:hint="eastAsia" w:ascii="仿宋" w:hAnsi="仿宋" w:eastAsia="仿宋" w:cs="仿宋"/>
        </w:rPr>
        <w:br w:type="page"/>
      </w: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格式9</w:t>
      </w:r>
    </w:p>
    <w:p>
      <w:pPr>
        <w:spacing w:before="312" w:beforeLines="100" w:after="312" w:afterLines="100" w:line="360" w:lineRule="auto"/>
        <w:ind w:right="-21" w:rightChars="-10"/>
        <w:jc w:val="center"/>
        <w:rPr>
          <w:rFonts w:ascii="仿宋" w:hAnsi="仿宋" w:cs="仿宋"/>
          <w:b/>
          <w:sz w:val="32"/>
          <w:szCs w:val="32"/>
        </w:rPr>
      </w:pPr>
      <w:bookmarkStart w:id="104" w:name="_Toc24841_WPSOffice_Level2"/>
      <w:bookmarkStart w:id="105" w:name="_Toc14782_WPSOffice_Level2"/>
      <w:r>
        <w:rPr>
          <w:rFonts w:hint="eastAsia" w:ascii="仿宋" w:hAnsi="仿宋" w:cs="仿宋"/>
          <w:b/>
          <w:sz w:val="32"/>
          <w:szCs w:val="32"/>
        </w:rPr>
        <w:t>投标函</w:t>
      </w:r>
      <w:bookmarkEnd w:id="104"/>
      <w:bookmarkEnd w:id="105"/>
    </w:p>
    <w:p>
      <w:pPr>
        <w:adjustRightInd w:val="0"/>
        <w:snapToGrid w:val="0"/>
        <w:spacing w:line="360" w:lineRule="auto"/>
        <w:ind w:right="630" w:rightChars="300"/>
        <w:rPr>
          <w:rFonts w:ascii="仿宋" w:hAnsi="仿宋" w:cs="仿宋"/>
          <w:szCs w:val="21"/>
          <w:u w:val="single"/>
        </w:rPr>
      </w:pPr>
      <w:r>
        <w:rPr>
          <w:rFonts w:hint="eastAsia" w:ascii="仿宋" w:hAnsi="仿宋" w:cs="仿宋"/>
          <w:szCs w:val="21"/>
        </w:rPr>
        <w:t xml:space="preserve"> </w:t>
      </w:r>
      <w:r>
        <w:rPr>
          <w:rFonts w:hint="eastAsia" w:ascii="仿宋" w:hAnsi="仿宋" w:cs="仿宋"/>
          <w:szCs w:val="21"/>
          <w:u w:val="single"/>
        </w:rPr>
        <w:t>（采购人或采购代理机构）：</w:t>
      </w:r>
    </w:p>
    <w:p>
      <w:pPr>
        <w:adjustRightInd w:val="0"/>
        <w:snapToGrid w:val="0"/>
        <w:spacing w:line="360" w:lineRule="auto"/>
        <w:ind w:right="-21" w:rightChars="-10"/>
        <w:rPr>
          <w:rFonts w:ascii="仿宋" w:hAnsi="仿宋" w:cs="仿宋"/>
          <w:szCs w:val="21"/>
        </w:rPr>
      </w:pPr>
      <w:r>
        <w:rPr>
          <w:rFonts w:hint="eastAsia" w:ascii="仿宋" w:hAnsi="仿宋" w:cs="仿宋"/>
          <w:szCs w:val="21"/>
        </w:rPr>
        <w:t xml:space="preserve">    根据贵方</w:t>
      </w:r>
      <w:r>
        <w:rPr>
          <w:rFonts w:hint="eastAsia" w:ascii="仿宋" w:hAnsi="仿宋" w:cs="仿宋"/>
          <w:szCs w:val="21"/>
          <w:u w:val="single"/>
        </w:rPr>
        <w:t>(项目名称)</w:t>
      </w:r>
      <w:r>
        <w:rPr>
          <w:rFonts w:hint="eastAsia" w:ascii="仿宋" w:hAnsi="仿宋" w:cs="仿宋"/>
          <w:szCs w:val="21"/>
        </w:rPr>
        <w:t>项目的招标公告</w:t>
      </w:r>
      <w:r>
        <w:rPr>
          <w:rFonts w:hint="eastAsia" w:ascii="仿宋" w:hAnsi="仿宋" w:cs="仿宋"/>
          <w:szCs w:val="21"/>
          <w:u w:val="single"/>
        </w:rPr>
        <w:t>(招标编号)</w:t>
      </w:r>
      <w:r>
        <w:rPr>
          <w:rFonts w:hint="eastAsia" w:ascii="仿宋" w:hAnsi="仿宋" w:cs="仿宋"/>
          <w:szCs w:val="21"/>
        </w:rPr>
        <w:t>,签字代表</w:t>
      </w:r>
      <w:r>
        <w:rPr>
          <w:rFonts w:hint="eastAsia" w:ascii="仿宋" w:hAnsi="仿宋" w:cs="仿宋"/>
          <w:szCs w:val="21"/>
          <w:u w:val="single"/>
        </w:rPr>
        <w:t>(姓名、职务)</w:t>
      </w:r>
      <w:r>
        <w:rPr>
          <w:rFonts w:hint="eastAsia" w:ascii="仿宋" w:hAnsi="仿宋" w:cs="仿宋"/>
          <w:szCs w:val="21"/>
        </w:rPr>
        <w:t>经正式授权并代表供应商</w:t>
      </w:r>
      <w:r>
        <w:rPr>
          <w:rFonts w:hint="eastAsia" w:ascii="仿宋" w:hAnsi="仿宋" w:cs="仿宋"/>
          <w:szCs w:val="21"/>
          <w:u w:val="single"/>
        </w:rPr>
        <w:t>（名称、地址）</w:t>
      </w:r>
      <w:r>
        <w:rPr>
          <w:rFonts w:hint="eastAsia" w:ascii="仿宋" w:hAnsi="仿宋" w:cs="仿宋"/>
          <w:szCs w:val="21"/>
        </w:rPr>
        <w:t>提交下述文件正本</w:t>
      </w:r>
      <w:r>
        <w:rPr>
          <w:rFonts w:hint="eastAsia" w:ascii="仿宋" w:hAnsi="仿宋" w:cs="仿宋"/>
          <w:szCs w:val="21"/>
          <w:u w:val="single"/>
        </w:rPr>
        <w:t xml:space="preserve">   </w:t>
      </w:r>
      <w:r>
        <w:rPr>
          <w:rFonts w:hint="eastAsia" w:ascii="仿宋" w:hAnsi="仿宋" w:cs="仿宋"/>
          <w:szCs w:val="21"/>
        </w:rPr>
        <w:t>份、副本</w:t>
      </w:r>
      <w:r>
        <w:rPr>
          <w:rFonts w:hint="eastAsia" w:ascii="仿宋" w:hAnsi="仿宋" w:cs="仿宋"/>
          <w:szCs w:val="21"/>
          <w:u w:val="single"/>
        </w:rPr>
        <w:t xml:space="preserve">  </w:t>
      </w:r>
      <w:r>
        <w:rPr>
          <w:rFonts w:hint="eastAsia" w:ascii="仿宋" w:hAnsi="仿宋" w:cs="仿宋"/>
          <w:szCs w:val="21"/>
        </w:rPr>
        <w:t>份及电子文档</w:t>
      </w:r>
      <w:r>
        <w:rPr>
          <w:rFonts w:hint="eastAsia" w:ascii="仿宋" w:hAnsi="仿宋" w:cs="仿宋"/>
          <w:szCs w:val="21"/>
          <w:u w:val="single"/>
        </w:rPr>
        <w:t xml:space="preserve">  </w:t>
      </w:r>
      <w:r>
        <w:rPr>
          <w:rFonts w:hint="eastAsia" w:ascii="仿宋" w:hAnsi="仿宋" w:cs="仿宋"/>
          <w:szCs w:val="21"/>
        </w:rPr>
        <w:t>份，并以</w:t>
      </w:r>
      <w:r>
        <w:rPr>
          <w:rFonts w:hint="eastAsia" w:ascii="仿宋" w:hAnsi="仿宋" w:cs="仿宋"/>
          <w:szCs w:val="21"/>
          <w:u w:val="single"/>
        </w:rPr>
        <w:t xml:space="preserve">  </w:t>
      </w:r>
      <w:r>
        <w:rPr>
          <w:rFonts w:hint="eastAsia" w:ascii="仿宋" w:hAnsi="仿宋" w:cs="仿宋"/>
          <w:szCs w:val="21"/>
        </w:rPr>
        <w:t>形式出具的金额为</w:t>
      </w:r>
      <w:r>
        <w:rPr>
          <w:rFonts w:hint="eastAsia" w:ascii="仿宋" w:hAnsi="仿宋" w:cs="仿宋"/>
          <w:szCs w:val="21"/>
          <w:u w:val="single"/>
        </w:rPr>
        <w:t xml:space="preserve">    </w:t>
      </w:r>
      <w:r>
        <w:rPr>
          <w:rFonts w:hint="eastAsia" w:ascii="仿宋" w:hAnsi="仿宋" w:cs="仿宋"/>
          <w:szCs w:val="21"/>
        </w:rPr>
        <w:t>人民币元的投标保证金。</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据此，签字代表宣布同意如下：</w:t>
      </w:r>
    </w:p>
    <w:p>
      <w:pPr>
        <w:numPr>
          <w:ilvl w:val="0"/>
          <w:numId w:val="3"/>
        </w:num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本项目投标总价详见开标一览表。</w:t>
      </w:r>
    </w:p>
    <w:p>
      <w:pPr>
        <w:numPr>
          <w:ilvl w:val="0"/>
          <w:numId w:val="3"/>
        </w:num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本投标有效期为自递交投标文件截止之日起</w:t>
      </w:r>
      <w:r>
        <w:rPr>
          <w:rFonts w:hint="eastAsia" w:ascii="仿宋" w:hAnsi="仿宋" w:cs="仿宋"/>
          <w:szCs w:val="21"/>
          <w:u w:val="single"/>
        </w:rPr>
        <w:t>90</w:t>
      </w:r>
      <w:r>
        <w:rPr>
          <w:rFonts w:hint="eastAsia" w:ascii="仿宋" w:hAnsi="仿宋" w:cs="仿宋"/>
          <w:szCs w:val="21"/>
        </w:rPr>
        <w:t>日历日。</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（3）已详细审查全部招标文件，包括所有补充通知（如果有的话）。</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（4）在规定的开标时间后，遵守招标文件中有关保证金的规定。</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（8）按照招标文件的规定履行合同责任和义务。</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（9）我方承诺投标文件中的证明材料真实、合法、有效。</w:t>
      </w:r>
    </w:p>
    <w:p>
      <w:pPr>
        <w:adjustRightInd w:val="0"/>
        <w:snapToGrid w:val="0"/>
        <w:spacing w:line="360" w:lineRule="auto"/>
        <w:ind w:right="-21" w:rightChars="-10" w:firstLine="420" w:firstLineChars="200"/>
        <w:rPr>
          <w:rFonts w:ascii="仿宋" w:hAnsi="仿宋" w:cs="仿宋"/>
          <w:szCs w:val="21"/>
        </w:rPr>
      </w:pPr>
      <w:r>
        <w:rPr>
          <w:rFonts w:hint="eastAsia" w:ascii="仿宋" w:hAnsi="仿宋" w:cs="仿宋"/>
          <w:szCs w:val="21"/>
        </w:rPr>
        <w:t>其他事项：</w:t>
      </w:r>
      <w:r>
        <w:rPr>
          <w:rFonts w:hint="eastAsia" w:ascii="仿宋" w:hAnsi="仿宋" w:cs="仿宋"/>
          <w:szCs w:val="21"/>
          <w:u w:val="single"/>
        </w:rPr>
        <w:t xml:space="preserve">                                                      </w:t>
      </w:r>
      <w:r>
        <w:rPr>
          <w:rFonts w:hint="eastAsia" w:ascii="仿宋" w:hAnsi="仿宋" w:cs="仿宋"/>
          <w:szCs w:val="21"/>
        </w:rPr>
        <w:t>。</w:t>
      </w:r>
    </w:p>
    <w:p>
      <w:pPr>
        <w:adjustRightInd w:val="0"/>
        <w:snapToGrid w:val="0"/>
        <w:spacing w:line="360" w:lineRule="auto"/>
        <w:ind w:right="-21" w:rightChars="-10"/>
        <w:rPr>
          <w:rFonts w:ascii="仿宋" w:hAnsi="仿宋" w:cs="仿宋"/>
          <w:szCs w:val="21"/>
        </w:rPr>
      </w:pPr>
    </w:p>
    <w:p>
      <w:pPr>
        <w:pStyle w:val="40"/>
        <w:rPr>
          <w:rFonts w:ascii="仿宋" w:hAnsi="仿宋" w:eastAsia="仿宋" w:cs="仿宋"/>
        </w:rPr>
      </w:pPr>
    </w:p>
    <w:p>
      <w:pPr>
        <w:adjustRightInd w:val="0"/>
        <w:snapToGrid w:val="0"/>
        <w:spacing w:line="360" w:lineRule="auto"/>
        <w:ind w:right="-21" w:rightChars="-10"/>
        <w:rPr>
          <w:rFonts w:ascii="仿宋" w:hAnsi="仿宋" w:cs="仿宋"/>
          <w:szCs w:val="21"/>
        </w:rPr>
      </w:pPr>
    </w:p>
    <w:p>
      <w:pPr>
        <w:adjustRightInd w:val="0"/>
        <w:snapToGrid w:val="0"/>
        <w:spacing w:line="360" w:lineRule="auto"/>
        <w:ind w:right="-21" w:rightChars="-10"/>
        <w:rPr>
          <w:rFonts w:ascii="仿宋" w:hAnsi="仿宋" w:cs="仿宋"/>
          <w:szCs w:val="21"/>
        </w:rPr>
      </w:pPr>
      <w:r>
        <w:rPr>
          <w:rFonts w:hint="eastAsia" w:ascii="仿宋" w:hAnsi="仿宋" w:cs="仿宋"/>
          <w:szCs w:val="21"/>
        </w:rPr>
        <w:t>与本项目有关的一切往来通讯请寄</w:t>
      </w:r>
    </w:p>
    <w:p>
      <w:pPr>
        <w:adjustRightInd w:val="0"/>
        <w:snapToGrid w:val="0"/>
        <w:spacing w:line="360" w:lineRule="auto"/>
        <w:ind w:right="-21" w:rightChars="-10"/>
        <w:rPr>
          <w:rFonts w:ascii="仿宋" w:hAnsi="仿宋" w:cs="仿宋"/>
          <w:szCs w:val="21"/>
          <w:u w:val="single"/>
        </w:rPr>
      </w:pPr>
      <w:r>
        <w:rPr>
          <w:rFonts w:hint="eastAsia" w:ascii="仿宋" w:hAnsi="仿宋" w:cs="仿宋"/>
          <w:szCs w:val="21"/>
        </w:rPr>
        <w:t>地址：</w:t>
      </w:r>
      <w:r>
        <w:rPr>
          <w:rFonts w:hint="eastAsia" w:ascii="仿宋" w:hAnsi="仿宋" w:cs="仿宋"/>
          <w:szCs w:val="21"/>
          <w:u w:val="single"/>
        </w:rPr>
        <w:t xml:space="preserve">                     </w:t>
      </w:r>
      <w:r>
        <w:rPr>
          <w:rFonts w:hint="eastAsia" w:ascii="仿宋" w:hAnsi="仿宋" w:cs="仿宋"/>
          <w:szCs w:val="21"/>
        </w:rPr>
        <w:t xml:space="preserve">         传真：</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u w:val="single"/>
        </w:rPr>
      </w:pPr>
      <w:r>
        <w:rPr>
          <w:rFonts w:hint="eastAsia" w:ascii="仿宋" w:hAnsi="仿宋" w:cs="仿宋"/>
          <w:szCs w:val="21"/>
        </w:rPr>
        <w:t>电话：</w:t>
      </w:r>
      <w:r>
        <w:rPr>
          <w:rFonts w:hint="eastAsia" w:ascii="仿宋" w:hAnsi="仿宋" w:cs="仿宋"/>
          <w:szCs w:val="21"/>
          <w:u w:val="single"/>
        </w:rPr>
        <w:t xml:space="preserve">                     </w:t>
      </w:r>
      <w:r>
        <w:rPr>
          <w:rFonts w:hint="eastAsia" w:ascii="仿宋" w:hAnsi="仿宋" w:cs="仿宋"/>
          <w:szCs w:val="21"/>
        </w:rPr>
        <w:t xml:space="preserve">         电子邮件：</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u w:val="single"/>
        </w:rPr>
      </w:pPr>
      <w:r>
        <w:rPr>
          <w:rFonts w:hint="eastAsia" w:ascii="仿宋" w:hAnsi="仿宋" w:cs="仿宋"/>
          <w:szCs w:val="21"/>
        </w:rPr>
        <w:t>法定代表人（非法人组织负责人）或其授权委托人（签字或盖章）：</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rPr>
      </w:pPr>
      <w:r>
        <w:rPr>
          <w:rFonts w:hint="eastAsia" w:ascii="仿宋" w:hAnsi="仿宋" w:cs="仿宋"/>
          <w:szCs w:val="21"/>
        </w:rPr>
        <w:t>供应商名称（加盖单位公章）：</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rPr>
      </w:pPr>
      <w:r>
        <w:rPr>
          <w:rFonts w:hint="eastAsia" w:ascii="仿宋" w:hAnsi="仿宋" w:cs="仿宋"/>
          <w:szCs w:val="21"/>
        </w:rPr>
        <w:t>供应商开户银行（全称）：</w:t>
      </w:r>
      <w:r>
        <w:rPr>
          <w:rFonts w:hint="eastAsia" w:ascii="仿宋" w:hAnsi="仿宋" w:cs="仿宋"/>
          <w:szCs w:val="21"/>
          <w:u w:val="single"/>
        </w:rPr>
        <w:t xml:space="preserve">             </w:t>
      </w:r>
    </w:p>
    <w:p>
      <w:pPr>
        <w:adjustRightInd w:val="0"/>
        <w:snapToGrid w:val="0"/>
        <w:spacing w:line="360" w:lineRule="auto"/>
        <w:ind w:right="-21" w:rightChars="-10"/>
        <w:rPr>
          <w:rFonts w:ascii="仿宋" w:hAnsi="仿宋" w:cs="仿宋"/>
          <w:szCs w:val="21"/>
        </w:rPr>
      </w:pPr>
      <w:r>
        <w:rPr>
          <w:rFonts w:hint="eastAsia" w:ascii="仿宋" w:hAnsi="仿宋" w:cs="仿宋"/>
          <w:szCs w:val="21"/>
        </w:rPr>
        <w:t>供应商银行账号：</w:t>
      </w:r>
      <w:r>
        <w:rPr>
          <w:rFonts w:hint="eastAsia" w:ascii="仿宋" w:hAnsi="仿宋" w:cs="仿宋"/>
          <w:szCs w:val="21"/>
          <w:u w:val="single"/>
        </w:rPr>
        <w:t xml:space="preserve">                     </w:t>
      </w:r>
    </w:p>
    <w:p>
      <w:pPr>
        <w:adjustRightInd w:val="0"/>
        <w:snapToGrid w:val="0"/>
        <w:spacing w:line="360" w:lineRule="auto"/>
        <w:ind w:right="1050" w:rightChars="500"/>
        <w:jc w:val="left"/>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adjustRightInd w:val="0"/>
        <w:snapToGrid w:val="0"/>
        <w:spacing w:line="360" w:lineRule="auto"/>
        <w:ind w:right="1050" w:rightChars="500"/>
        <w:jc w:val="left"/>
        <w:rPr>
          <w:rFonts w:ascii="仿宋" w:hAnsi="仿宋" w:cs="仿宋"/>
          <w:szCs w:val="21"/>
          <w:u w:val="single"/>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格式10</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06" w:name="_Toc2673_WPSOffice_Level2"/>
      <w:bookmarkStart w:id="107" w:name="_Toc11267_WPSOffice_Level2"/>
      <w:r>
        <w:rPr>
          <w:rFonts w:hint="eastAsia" w:ascii="仿宋" w:hAnsi="仿宋" w:cs="仿宋"/>
          <w:b/>
          <w:bCs/>
          <w:sz w:val="32"/>
          <w:szCs w:val="32"/>
        </w:rPr>
        <w:t>开标一览表</w:t>
      </w:r>
      <w:bookmarkEnd w:id="106"/>
      <w:bookmarkEnd w:id="107"/>
    </w:p>
    <w:p>
      <w:pPr>
        <w:adjustRightInd w:val="0"/>
        <w:snapToGrid w:val="0"/>
        <w:spacing w:line="360" w:lineRule="auto"/>
        <w:ind w:right="105" w:rightChars="50"/>
        <w:jc w:val="left"/>
        <w:rPr>
          <w:rFonts w:ascii="仿宋" w:hAnsi="仿宋" w:cs="仿宋"/>
          <w:b/>
          <w:bCs/>
          <w:szCs w:val="21"/>
        </w:rPr>
      </w:pPr>
      <w:r>
        <w:rPr>
          <w:rFonts w:hint="eastAsia" w:ascii="仿宋" w:hAnsi="仿宋" w:cs="仿宋"/>
          <w:b/>
          <w:bCs/>
          <w:szCs w:val="21"/>
        </w:rPr>
        <w:t>包号：                                                      报价单位：</w:t>
      </w:r>
    </w:p>
    <w:tbl>
      <w:tblPr>
        <w:tblStyle w:val="23"/>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货物名称</w:t>
            </w:r>
          </w:p>
        </w:tc>
        <w:tc>
          <w:tcPr>
            <w:tcW w:w="2373"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投标总价</w:t>
            </w:r>
          </w:p>
        </w:tc>
        <w:tc>
          <w:tcPr>
            <w:tcW w:w="1309"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投标保证金</w:t>
            </w:r>
          </w:p>
        </w:tc>
        <w:tc>
          <w:tcPr>
            <w:tcW w:w="1109"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交货时间</w:t>
            </w:r>
          </w:p>
        </w:tc>
        <w:tc>
          <w:tcPr>
            <w:tcW w:w="1252"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交货地点</w:t>
            </w:r>
          </w:p>
        </w:tc>
        <w:tc>
          <w:tcPr>
            <w:tcW w:w="951" w:type="dxa"/>
            <w:vAlign w:val="center"/>
          </w:tcPr>
          <w:p>
            <w:pPr>
              <w:adjustRightInd w:val="0"/>
              <w:snapToGrid w:val="0"/>
              <w:ind w:left="-55" w:leftChars="-26" w:right="-46" w:rightChars="-22"/>
              <w:jc w:val="center"/>
              <w:rPr>
                <w:rFonts w:ascii="仿宋" w:hAnsi="仿宋" w:cs="仿宋"/>
                <w:szCs w:val="21"/>
              </w:rPr>
            </w:pPr>
            <w:r>
              <w:rPr>
                <w:rFonts w:hint="eastAsia" w:ascii="仿宋" w:hAnsi="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pPr>
              <w:adjustRightInd w:val="0"/>
              <w:snapToGrid w:val="0"/>
              <w:ind w:left="-55" w:leftChars="-26" w:right="-46" w:rightChars="-22"/>
              <w:jc w:val="center"/>
              <w:rPr>
                <w:rFonts w:ascii="仿宋" w:hAnsi="仿宋" w:cs="仿宋"/>
                <w:szCs w:val="21"/>
              </w:rPr>
            </w:pPr>
          </w:p>
        </w:tc>
        <w:tc>
          <w:tcPr>
            <w:tcW w:w="2373" w:type="dxa"/>
            <w:vAlign w:val="center"/>
          </w:tcPr>
          <w:p>
            <w:pPr>
              <w:adjustRightInd w:val="0"/>
              <w:snapToGrid w:val="0"/>
              <w:ind w:left="-55" w:leftChars="-26" w:right="-46" w:rightChars="-22"/>
              <w:jc w:val="left"/>
              <w:rPr>
                <w:rFonts w:ascii="仿宋" w:hAnsi="仿宋" w:cs="仿宋"/>
                <w:szCs w:val="21"/>
              </w:rPr>
            </w:pPr>
            <w:r>
              <w:rPr>
                <w:rFonts w:hint="eastAsia" w:ascii="仿宋" w:hAnsi="仿宋" w:cs="仿宋"/>
                <w:szCs w:val="21"/>
              </w:rPr>
              <w:t>小写：</w:t>
            </w:r>
          </w:p>
          <w:p>
            <w:pPr>
              <w:adjustRightInd w:val="0"/>
              <w:snapToGrid w:val="0"/>
              <w:ind w:left="-55" w:leftChars="-26" w:right="-46" w:rightChars="-22"/>
              <w:jc w:val="left"/>
              <w:rPr>
                <w:rFonts w:ascii="仿宋" w:hAnsi="仿宋" w:cs="仿宋"/>
                <w:szCs w:val="21"/>
              </w:rPr>
            </w:pPr>
            <w:r>
              <w:rPr>
                <w:rFonts w:hint="eastAsia" w:ascii="仿宋" w:hAnsi="仿宋" w:cs="仿宋"/>
                <w:szCs w:val="21"/>
              </w:rPr>
              <w:t>大写：</w:t>
            </w:r>
          </w:p>
        </w:tc>
        <w:tc>
          <w:tcPr>
            <w:tcW w:w="1309" w:type="dxa"/>
            <w:vAlign w:val="center"/>
          </w:tcPr>
          <w:p>
            <w:pPr>
              <w:adjustRightInd w:val="0"/>
              <w:snapToGrid w:val="0"/>
              <w:ind w:left="-55" w:leftChars="-26" w:right="-46" w:rightChars="-22"/>
              <w:jc w:val="center"/>
              <w:rPr>
                <w:rFonts w:ascii="仿宋" w:hAnsi="仿宋" w:cs="仿宋"/>
                <w:szCs w:val="21"/>
              </w:rPr>
            </w:pPr>
          </w:p>
        </w:tc>
        <w:tc>
          <w:tcPr>
            <w:tcW w:w="1109" w:type="dxa"/>
            <w:vAlign w:val="center"/>
          </w:tcPr>
          <w:p>
            <w:pPr>
              <w:adjustRightInd w:val="0"/>
              <w:snapToGrid w:val="0"/>
              <w:ind w:left="-55" w:leftChars="-26" w:right="-46" w:rightChars="-22"/>
              <w:jc w:val="center"/>
              <w:rPr>
                <w:rFonts w:ascii="仿宋" w:hAnsi="仿宋" w:cs="仿宋"/>
                <w:szCs w:val="21"/>
              </w:rPr>
            </w:pPr>
          </w:p>
        </w:tc>
        <w:tc>
          <w:tcPr>
            <w:tcW w:w="1252" w:type="dxa"/>
            <w:vAlign w:val="center"/>
          </w:tcPr>
          <w:p>
            <w:pPr>
              <w:adjustRightInd w:val="0"/>
              <w:snapToGrid w:val="0"/>
              <w:ind w:left="-55" w:leftChars="-26" w:right="-46" w:rightChars="-22"/>
              <w:jc w:val="center"/>
              <w:rPr>
                <w:rFonts w:ascii="仿宋" w:hAnsi="仿宋" w:cs="仿宋"/>
                <w:szCs w:val="21"/>
              </w:rPr>
            </w:pPr>
          </w:p>
        </w:tc>
        <w:tc>
          <w:tcPr>
            <w:tcW w:w="951" w:type="dxa"/>
            <w:vAlign w:val="center"/>
          </w:tcPr>
          <w:p>
            <w:pPr>
              <w:adjustRightInd w:val="0"/>
              <w:snapToGrid w:val="0"/>
              <w:ind w:left="-55" w:leftChars="-26" w:right="-46" w:rightChars="-22"/>
              <w:jc w:val="center"/>
              <w:rPr>
                <w:rFonts w:ascii="仿宋" w:hAnsi="仿宋" w:cs="仿宋"/>
                <w:szCs w:val="21"/>
              </w:rPr>
            </w:pPr>
          </w:p>
        </w:tc>
      </w:tr>
    </w:tbl>
    <w:p>
      <w:pPr>
        <w:adjustRightInd w:val="0"/>
        <w:snapToGrid w:val="0"/>
        <w:spacing w:line="360" w:lineRule="auto"/>
        <w:ind w:right="105" w:rightChars="50" w:firstLine="420" w:firstLineChars="200"/>
        <w:jc w:val="left"/>
        <w:rPr>
          <w:rFonts w:ascii="仿宋" w:hAnsi="仿宋" w:cs="仿宋"/>
          <w:szCs w:val="21"/>
        </w:rPr>
      </w:pPr>
    </w:p>
    <w:p>
      <w:pPr>
        <w:adjustRightInd w:val="0"/>
        <w:snapToGrid w:val="0"/>
        <w:spacing w:line="360" w:lineRule="auto"/>
        <w:ind w:right="105" w:rightChars="50" w:firstLine="420" w:firstLineChars="200"/>
        <w:jc w:val="left"/>
        <w:rPr>
          <w:rFonts w:ascii="仿宋" w:hAnsi="仿宋" w:cs="仿宋"/>
          <w:szCs w:val="21"/>
        </w:rPr>
      </w:pPr>
      <w:r>
        <w:rPr>
          <w:rFonts w:hint="eastAsia" w:ascii="仿宋" w:hAnsi="仿宋" w:cs="仿宋"/>
          <w:szCs w:val="21"/>
        </w:rPr>
        <w:t>注：此表中，投标总价应和分项报价表的总价相一致。</w:t>
      </w: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ind w:right="1050" w:rightChars="500"/>
        <w:jc w:val="left"/>
        <w:rPr>
          <w:rFonts w:ascii="仿宋" w:hAnsi="仿宋" w:cs="仿宋"/>
          <w:szCs w:val="21"/>
          <w:u w:val="single"/>
        </w:rPr>
      </w:pPr>
      <w:r>
        <w:rPr>
          <w:rFonts w:hint="eastAsia" w:ascii="仿宋" w:hAnsi="仿宋" w:cs="仿宋"/>
        </w:rPr>
        <w:t>日期：</w:t>
      </w:r>
      <w:r>
        <w:rPr>
          <w:rFonts w:hint="eastAsia" w:ascii="仿宋" w:hAnsi="仿宋" w:cs="仿宋"/>
          <w:u w:val="single"/>
        </w:rPr>
        <w:t xml:space="preserve">               </w:t>
      </w:r>
      <w:r>
        <w:rPr>
          <w:rFonts w:hint="eastAsia" w:ascii="仿宋" w:hAnsi="仿宋" w:cs="仿宋"/>
          <w:szCs w:val="21"/>
        </w:rPr>
        <w:t xml:space="preserve">  </w:t>
      </w: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br w:type="page"/>
      </w:r>
      <w:r>
        <w:rPr>
          <w:rFonts w:hint="eastAsia" w:ascii="仿宋" w:hAnsi="仿宋" w:cs="仿宋"/>
          <w:szCs w:val="28"/>
        </w:rPr>
        <w:t>格式11</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08" w:name="_Toc28271_WPSOffice_Level2"/>
      <w:bookmarkStart w:id="109" w:name="_Toc16044_WPSOffice_Level2"/>
      <w:r>
        <w:rPr>
          <w:rFonts w:hint="eastAsia" w:ascii="仿宋" w:hAnsi="仿宋" w:cs="仿宋"/>
          <w:b/>
          <w:bCs/>
          <w:sz w:val="32"/>
          <w:szCs w:val="32"/>
        </w:rPr>
        <w:t>分项报价表</w:t>
      </w:r>
      <w:bookmarkEnd w:id="108"/>
      <w:bookmarkEnd w:id="109"/>
    </w:p>
    <w:p>
      <w:pPr>
        <w:adjustRightInd w:val="0"/>
        <w:snapToGrid w:val="0"/>
        <w:spacing w:line="360" w:lineRule="auto"/>
        <w:ind w:right="105" w:rightChars="50"/>
        <w:jc w:val="left"/>
        <w:rPr>
          <w:rFonts w:ascii="仿宋" w:hAnsi="仿宋" w:cs="仿宋"/>
          <w:b/>
          <w:bCs/>
          <w:szCs w:val="21"/>
        </w:rPr>
      </w:pPr>
      <w:r>
        <w:rPr>
          <w:rFonts w:hint="eastAsia" w:ascii="仿宋" w:hAnsi="仿宋" w:cs="仿宋"/>
          <w:b/>
          <w:bCs/>
          <w:szCs w:val="21"/>
        </w:rPr>
        <w:t>包号：                                                      报价单位：</w:t>
      </w:r>
    </w:p>
    <w:tbl>
      <w:tblPr>
        <w:tblStyle w:val="23"/>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序号</w:t>
            </w:r>
          </w:p>
        </w:tc>
        <w:tc>
          <w:tcPr>
            <w:tcW w:w="1347"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产品名称</w:t>
            </w:r>
          </w:p>
        </w:tc>
        <w:tc>
          <w:tcPr>
            <w:tcW w:w="1033"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品牌</w:t>
            </w:r>
          </w:p>
        </w:tc>
        <w:tc>
          <w:tcPr>
            <w:tcW w:w="1033"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型号</w:t>
            </w:r>
          </w:p>
          <w:p>
            <w:pPr>
              <w:adjustRightInd w:val="0"/>
              <w:snapToGrid w:val="0"/>
              <w:ind w:left="-97" w:leftChars="-46" w:right="-63" w:rightChars="-30"/>
              <w:jc w:val="center"/>
              <w:rPr>
                <w:rFonts w:ascii="仿宋" w:hAnsi="仿宋" w:cs="仿宋"/>
                <w:szCs w:val="21"/>
              </w:rPr>
            </w:pPr>
            <w:r>
              <w:rPr>
                <w:rFonts w:hint="eastAsia" w:ascii="仿宋" w:hAnsi="仿宋" w:cs="仿宋"/>
                <w:szCs w:val="21"/>
              </w:rPr>
              <w:t>规格</w:t>
            </w:r>
          </w:p>
        </w:tc>
        <w:tc>
          <w:tcPr>
            <w:tcW w:w="721"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数量</w:t>
            </w:r>
          </w:p>
        </w:tc>
        <w:tc>
          <w:tcPr>
            <w:tcW w:w="80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原产地</w:t>
            </w:r>
          </w:p>
        </w:tc>
        <w:tc>
          <w:tcPr>
            <w:tcW w:w="80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制造商名称</w:t>
            </w:r>
          </w:p>
        </w:tc>
        <w:tc>
          <w:tcPr>
            <w:tcW w:w="675"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单价</w:t>
            </w:r>
          </w:p>
        </w:tc>
        <w:tc>
          <w:tcPr>
            <w:tcW w:w="68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总价</w:t>
            </w:r>
          </w:p>
        </w:tc>
        <w:tc>
          <w:tcPr>
            <w:tcW w:w="802" w:type="dxa"/>
            <w:vAlign w:val="center"/>
          </w:tcPr>
          <w:p>
            <w:pPr>
              <w:adjustRightInd w:val="0"/>
              <w:snapToGrid w:val="0"/>
              <w:ind w:left="-97" w:leftChars="-46" w:right="-63" w:rightChars="-30"/>
              <w:jc w:val="center"/>
              <w:rPr>
                <w:rFonts w:ascii="仿宋" w:hAnsi="仿宋" w:cs="仿宋"/>
                <w:szCs w:val="21"/>
              </w:rPr>
            </w:pPr>
            <w:r>
              <w:rPr>
                <w:rFonts w:hint="eastAsia" w:ascii="仿宋" w:hAnsi="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pPr>
              <w:adjustRightInd w:val="0"/>
              <w:snapToGrid w:val="0"/>
              <w:ind w:left="-97" w:leftChars="-46" w:right="-63" w:rightChars="-30"/>
              <w:jc w:val="center"/>
              <w:rPr>
                <w:rFonts w:ascii="仿宋" w:hAnsi="仿宋" w:cs="仿宋"/>
                <w:szCs w:val="21"/>
              </w:rPr>
            </w:pPr>
          </w:p>
        </w:tc>
        <w:tc>
          <w:tcPr>
            <w:tcW w:w="1347"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1033" w:type="dxa"/>
            <w:vAlign w:val="center"/>
          </w:tcPr>
          <w:p>
            <w:pPr>
              <w:adjustRightInd w:val="0"/>
              <w:snapToGrid w:val="0"/>
              <w:ind w:left="-97" w:leftChars="-46" w:right="-63" w:rightChars="-30"/>
              <w:jc w:val="center"/>
              <w:rPr>
                <w:rFonts w:ascii="仿宋" w:hAnsi="仿宋" w:cs="仿宋"/>
                <w:szCs w:val="21"/>
              </w:rPr>
            </w:pPr>
          </w:p>
        </w:tc>
        <w:tc>
          <w:tcPr>
            <w:tcW w:w="721"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c>
          <w:tcPr>
            <w:tcW w:w="675" w:type="dxa"/>
            <w:vAlign w:val="center"/>
          </w:tcPr>
          <w:p>
            <w:pPr>
              <w:adjustRightInd w:val="0"/>
              <w:snapToGrid w:val="0"/>
              <w:ind w:left="-97" w:leftChars="-46" w:right="-63" w:rightChars="-30"/>
              <w:jc w:val="center"/>
              <w:rPr>
                <w:rFonts w:ascii="仿宋" w:hAnsi="仿宋" w:cs="仿宋"/>
                <w:szCs w:val="21"/>
              </w:rPr>
            </w:pPr>
          </w:p>
        </w:tc>
        <w:tc>
          <w:tcPr>
            <w:tcW w:w="682" w:type="dxa"/>
            <w:vAlign w:val="center"/>
          </w:tcPr>
          <w:p>
            <w:pPr>
              <w:adjustRightInd w:val="0"/>
              <w:snapToGrid w:val="0"/>
              <w:ind w:left="-97" w:leftChars="-46" w:right="-63" w:rightChars="-30"/>
              <w:jc w:val="center"/>
              <w:rPr>
                <w:rFonts w:ascii="仿宋" w:hAnsi="仿宋" w:cs="仿宋"/>
                <w:szCs w:val="21"/>
              </w:rPr>
            </w:pPr>
          </w:p>
        </w:tc>
        <w:tc>
          <w:tcPr>
            <w:tcW w:w="802" w:type="dxa"/>
            <w:vAlign w:val="center"/>
          </w:tcPr>
          <w:p>
            <w:pPr>
              <w:adjustRightInd w:val="0"/>
              <w:snapToGrid w:val="0"/>
              <w:ind w:left="-97"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pPr>
              <w:adjustRightInd w:val="0"/>
              <w:snapToGrid w:val="0"/>
              <w:ind w:right="105" w:rightChars="50"/>
              <w:jc w:val="center"/>
              <w:rPr>
                <w:rFonts w:ascii="仿宋" w:hAnsi="仿宋" w:cs="仿宋"/>
                <w:szCs w:val="21"/>
              </w:rPr>
            </w:pPr>
            <w:r>
              <w:rPr>
                <w:rFonts w:hint="eastAsia" w:ascii="仿宋" w:hAnsi="仿宋" w:cs="仿宋"/>
                <w:szCs w:val="21"/>
              </w:rPr>
              <w:t>总价</w:t>
            </w:r>
          </w:p>
        </w:tc>
        <w:tc>
          <w:tcPr>
            <w:tcW w:w="1033" w:type="dxa"/>
            <w:vAlign w:val="center"/>
          </w:tcPr>
          <w:p>
            <w:pPr>
              <w:adjustRightInd w:val="0"/>
              <w:snapToGrid w:val="0"/>
              <w:ind w:right="105" w:rightChars="50"/>
              <w:jc w:val="center"/>
              <w:rPr>
                <w:rFonts w:ascii="仿宋" w:hAnsi="仿宋" w:cs="仿宋"/>
                <w:szCs w:val="21"/>
              </w:rPr>
            </w:pPr>
          </w:p>
        </w:tc>
        <w:tc>
          <w:tcPr>
            <w:tcW w:w="1033" w:type="dxa"/>
            <w:vAlign w:val="center"/>
          </w:tcPr>
          <w:p>
            <w:pPr>
              <w:adjustRightInd w:val="0"/>
              <w:snapToGrid w:val="0"/>
              <w:ind w:right="105" w:rightChars="50"/>
              <w:jc w:val="center"/>
              <w:rPr>
                <w:rFonts w:ascii="仿宋" w:hAnsi="仿宋" w:cs="仿宋"/>
                <w:szCs w:val="21"/>
              </w:rPr>
            </w:pPr>
          </w:p>
        </w:tc>
        <w:tc>
          <w:tcPr>
            <w:tcW w:w="721" w:type="dxa"/>
            <w:vAlign w:val="center"/>
          </w:tcPr>
          <w:p>
            <w:pPr>
              <w:adjustRightInd w:val="0"/>
              <w:snapToGrid w:val="0"/>
              <w:ind w:right="105" w:rightChars="50"/>
              <w:jc w:val="center"/>
              <w:rPr>
                <w:rFonts w:ascii="仿宋" w:hAnsi="仿宋" w:cs="仿宋"/>
                <w:szCs w:val="21"/>
              </w:rPr>
            </w:pPr>
          </w:p>
        </w:tc>
        <w:tc>
          <w:tcPr>
            <w:tcW w:w="802" w:type="dxa"/>
            <w:vAlign w:val="center"/>
          </w:tcPr>
          <w:p>
            <w:pPr>
              <w:adjustRightInd w:val="0"/>
              <w:snapToGrid w:val="0"/>
              <w:ind w:right="105" w:rightChars="50"/>
              <w:jc w:val="center"/>
              <w:rPr>
                <w:rFonts w:ascii="仿宋" w:hAnsi="仿宋" w:cs="仿宋"/>
                <w:szCs w:val="21"/>
              </w:rPr>
            </w:pPr>
          </w:p>
        </w:tc>
        <w:tc>
          <w:tcPr>
            <w:tcW w:w="802" w:type="dxa"/>
            <w:vAlign w:val="center"/>
          </w:tcPr>
          <w:p>
            <w:pPr>
              <w:adjustRightInd w:val="0"/>
              <w:snapToGrid w:val="0"/>
              <w:ind w:right="105" w:rightChars="50"/>
              <w:jc w:val="center"/>
              <w:rPr>
                <w:rFonts w:ascii="仿宋" w:hAnsi="仿宋" w:cs="仿宋"/>
                <w:szCs w:val="21"/>
              </w:rPr>
            </w:pPr>
          </w:p>
        </w:tc>
        <w:tc>
          <w:tcPr>
            <w:tcW w:w="675" w:type="dxa"/>
            <w:vAlign w:val="center"/>
          </w:tcPr>
          <w:p>
            <w:pPr>
              <w:adjustRightInd w:val="0"/>
              <w:snapToGrid w:val="0"/>
              <w:ind w:right="105" w:rightChars="50"/>
              <w:jc w:val="center"/>
              <w:rPr>
                <w:rFonts w:ascii="仿宋" w:hAnsi="仿宋" w:cs="仿宋"/>
                <w:szCs w:val="21"/>
              </w:rPr>
            </w:pPr>
          </w:p>
        </w:tc>
        <w:tc>
          <w:tcPr>
            <w:tcW w:w="682" w:type="dxa"/>
            <w:vAlign w:val="center"/>
          </w:tcPr>
          <w:p>
            <w:pPr>
              <w:adjustRightInd w:val="0"/>
              <w:snapToGrid w:val="0"/>
              <w:ind w:right="105" w:rightChars="50"/>
              <w:jc w:val="center"/>
              <w:rPr>
                <w:rFonts w:ascii="仿宋" w:hAnsi="仿宋" w:cs="仿宋"/>
                <w:szCs w:val="21"/>
              </w:rPr>
            </w:pPr>
          </w:p>
        </w:tc>
        <w:tc>
          <w:tcPr>
            <w:tcW w:w="802" w:type="dxa"/>
            <w:vAlign w:val="center"/>
          </w:tcPr>
          <w:p>
            <w:pPr>
              <w:adjustRightInd w:val="0"/>
              <w:snapToGrid w:val="0"/>
              <w:ind w:right="105" w:rightChars="50"/>
              <w:jc w:val="center"/>
              <w:rPr>
                <w:rFonts w:ascii="仿宋" w:hAnsi="仿宋" w:cs="仿宋"/>
                <w:szCs w:val="21"/>
              </w:rPr>
            </w:pPr>
          </w:p>
        </w:tc>
      </w:tr>
    </w:tbl>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firstLine="420" w:firstLineChars="200"/>
        <w:jc w:val="left"/>
        <w:rPr>
          <w:rFonts w:ascii="仿宋" w:hAnsi="仿宋" w:cs="仿宋"/>
          <w:szCs w:val="21"/>
        </w:rPr>
      </w:pPr>
      <w:r>
        <w:rPr>
          <w:rFonts w:hint="eastAsia" w:ascii="仿宋" w:hAnsi="仿宋" w:cs="仿宋"/>
          <w:szCs w:val="21"/>
        </w:rPr>
        <w:t>注：此表中，总价应和开标一览表的投标总价相一致。</w:t>
      </w:r>
    </w:p>
    <w:p>
      <w:pPr>
        <w:adjustRightInd w:val="0"/>
        <w:snapToGrid w:val="0"/>
        <w:spacing w:line="360" w:lineRule="auto"/>
        <w:ind w:right="105" w:rightChars="50" w:firstLine="420" w:firstLineChars="200"/>
        <w:jc w:val="left"/>
        <w:rPr>
          <w:rFonts w:ascii="仿宋" w:hAnsi="仿宋" w:cs="仿宋"/>
          <w:szCs w:val="21"/>
        </w:rPr>
      </w:pPr>
      <w:r>
        <w:rPr>
          <w:rFonts w:hint="eastAsia" w:ascii="仿宋" w:hAnsi="仿宋" w:cs="仿宋"/>
          <w:szCs w:val="21"/>
        </w:rPr>
        <w:t>此表填写的货物种类及数量等必须和相应包组采购需求一致，否则按无效投标处理。</w:t>
      </w:r>
    </w:p>
    <w:p>
      <w:pPr>
        <w:adjustRightInd w:val="0"/>
        <w:snapToGrid w:val="0"/>
        <w:spacing w:line="360" w:lineRule="auto"/>
        <w:ind w:right="105" w:rightChars="50" w:firstLine="420" w:firstLineChars="20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adjustRightInd w:val="0"/>
        <w:snapToGrid w:val="0"/>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adjustRightInd w:val="0"/>
        <w:snapToGrid w:val="0"/>
        <w:spacing w:line="480" w:lineRule="auto"/>
        <w:ind w:right="105" w:rightChars="50"/>
        <w:jc w:val="left"/>
        <w:rPr>
          <w:rFonts w:ascii="仿宋" w:hAnsi="仿宋" w:cs="仿宋"/>
          <w:szCs w:val="21"/>
        </w:rPr>
      </w:pPr>
      <w:r>
        <w:rPr>
          <w:rFonts w:hint="eastAsia" w:ascii="仿宋" w:hAnsi="仿宋" w:cs="仿宋"/>
        </w:rPr>
        <w:t>日期：</w:t>
      </w:r>
      <w:r>
        <w:rPr>
          <w:rFonts w:hint="eastAsia" w:ascii="仿宋" w:hAnsi="仿宋" w:cs="仿宋"/>
          <w:u w:val="single"/>
        </w:rPr>
        <w:t xml:space="preserve">               </w:t>
      </w:r>
    </w:p>
    <w:p>
      <w:pPr>
        <w:pStyle w:val="3"/>
        <w:adjustRightInd w:val="0"/>
        <w:snapToGrid w:val="0"/>
        <w:spacing w:before="0" w:after="0" w:line="240" w:lineRule="auto"/>
        <w:jc w:val="left"/>
        <w:rPr>
          <w:rFonts w:ascii="仿宋" w:hAnsi="仿宋" w:cs="仿宋"/>
          <w:szCs w:val="21"/>
        </w:rPr>
        <w:sectPr>
          <w:pgSz w:w="11906" w:h="16838"/>
          <w:pgMar w:top="1440" w:right="1797" w:bottom="1440" w:left="1797" w:header="851" w:footer="992" w:gutter="0"/>
          <w:cols w:space="720" w:num="1"/>
          <w:docGrid w:type="lines" w:linePitch="312" w:charSpace="0"/>
        </w:sect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格式12</w:t>
      </w:r>
    </w:p>
    <w:p>
      <w:pPr>
        <w:adjustRightInd w:val="0"/>
        <w:snapToGrid w:val="0"/>
        <w:spacing w:before="312" w:beforeLines="100" w:line="360" w:lineRule="auto"/>
        <w:ind w:right="105" w:rightChars="50"/>
        <w:jc w:val="center"/>
        <w:rPr>
          <w:rFonts w:ascii="仿宋" w:hAnsi="仿宋" w:cs="仿宋"/>
          <w:b/>
          <w:bCs/>
          <w:sz w:val="32"/>
          <w:szCs w:val="32"/>
        </w:rPr>
      </w:pPr>
      <w:r>
        <w:rPr>
          <w:rFonts w:hint="eastAsia" w:ascii="仿宋" w:hAnsi="仿宋" w:cs="仿宋"/>
          <w:b/>
          <w:bCs/>
          <w:sz w:val="32"/>
          <w:szCs w:val="32"/>
        </w:rPr>
        <w:t>技术规格偏离表</w:t>
      </w:r>
    </w:p>
    <w:tbl>
      <w:tblPr>
        <w:tblStyle w:val="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0"/>
        <w:gridCol w:w="1126"/>
        <w:gridCol w:w="689"/>
        <w:gridCol w:w="855"/>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935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pPr>
            <w:r>
              <w:rPr>
                <w:rFonts w:hint="eastAsia" w:ascii="仿宋" w:hAnsi="仿宋" w:cs="仿宋"/>
                <w:szCs w:val="21"/>
              </w:rPr>
              <w:t>包号/序号：001/1</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产品名称：冰面救援服</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数量：80（套）</w:t>
            </w:r>
          </w:p>
          <w:p>
            <w:pPr>
              <w:tabs>
                <w:tab w:val="left" w:pos="0"/>
              </w:tabs>
              <w:adjustRightInd w:val="0"/>
              <w:snapToGrid w:val="0"/>
              <w:rPr>
                <w:rFonts w:ascii="仿宋" w:hAnsi="仿宋" w:cs="仿宋"/>
                <w:szCs w:val="21"/>
              </w:rPr>
            </w:pPr>
            <w:r>
              <w:rPr>
                <w:rFonts w:hint="eastAsia" w:ascii="仿宋" w:hAnsi="仿宋" w:cs="仿宋"/>
                <w:szCs w:val="21"/>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599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招标文件要求</w:t>
            </w:r>
          </w:p>
          <w:p>
            <w:pPr>
              <w:snapToGrid w:val="0"/>
              <w:ind w:hanging="1"/>
              <w:rPr>
                <w:rFonts w:ascii="仿宋" w:hAnsi="仿宋" w:cs="仿宋"/>
                <w:b/>
                <w:szCs w:val="21"/>
              </w:rPr>
            </w:pPr>
            <w:r>
              <w:rPr>
                <w:rFonts w:hint="eastAsia" w:ascii="仿宋" w:hAnsi="仿宋" w:cs="仿宋"/>
                <w:b/>
                <w:sz w:val="18"/>
                <w:szCs w:val="18"/>
              </w:rPr>
              <w:t>重要提示：实质性要求及重要指标用★标注（“★”必须标注在序号前），★标注项不得负偏离，如果负偏离，则投标文件无效。</w:t>
            </w:r>
          </w:p>
        </w:tc>
        <w:tc>
          <w:tcPr>
            <w:tcW w:w="10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投标文件</w:t>
            </w:r>
          </w:p>
          <w:p>
            <w:pPr>
              <w:tabs>
                <w:tab w:val="left" w:pos="0"/>
              </w:tabs>
              <w:snapToGrid w:val="0"/>
              <w:jc w:val="center"/>
              <w:rPr>
                <w:rFonts w:ascii="仿宋" w:hAnsi="仿宋" w:cs="仿宋"/>
                <w:kern w:val="0"/>
                <w:szCs w:val="21"/>
              </w:rPr>
            </w:pPr>
            <w:r>
              <w:rPr>
                <w:rFonts w:hint="eastAsia" w:ascii="仿宋" w:hAnsi="仿宋" w:cs="仿宋"/>
                <w:szCs w:val="21"/>
              </w:rPr>
              <w:t>响应内容</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偏离程度</w:t>
            </w: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偏离说明</w:t>
            </w: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szCs w:val="21"/>
              </w:rPr>
            </w:pPr>
            <w:r>
              <w:rPr>
                <w:rFonts w:hint="eastAsia" w:ascii="仿宋" w:hAnsi="仿宋" w:cs="仿宋"/>
                <w:szCs w:val="21"/>
              </w:rPr>
              <w:t>证明</w:t>
            </w:r>
          </w:p>
          <w:p>
            <w:pPr>
              <w:tabs>
                <w:tab w:val="left" w:pos="0"/>
              </w:tabs>
              <w:snapToGrid w:val="0"/>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
              </w:rPr>
            </w:pPr>
            <w:r>
              <w:rPr>
                <w:rFonts w:ascii="仿宋" w:hAnsi="仿宋" w:cs="仿宋"/>
              </w:rPr>
              <w:t>一、实质性要求（★）</w:t>
            </w:r>
          </w:p>
          <w:p>
            <w:pPr>
              <w:adjustRightInd w:val="0"/>
              <w:snapToGrid w:val="0"/>
              <w:ind w:right="105" w:rightChars="50"/>
              <w:jc w:val="left"/>
              <w:rPr>
                <w:rFonts w:ascii="仿宋" w:hAnsi="仿宋" w:cs="仿宋"/>
              </w:rPr>
            </w:pPr>
            <w:r>
              <w:rPr>
                <w:rFonts w:ascii="仿宋" w:hAnsi="仿宋" w:cs="仿宋"/>
              </w:rPr>
              <w:t>★1、整体设计为完全密封连体服装，头罩、手套（手套为五指）、腰部和靴子与服装为一整体。内有保暖内衬，内衬具有良好的浮力和热反射性能，内置胸部安全带，可以直接和绳索相连。</w:t>
            </w:r>
          </w:p>
          <w:p>
            <w:pPr>
              <w:adjustRightInd w:val="0"/>
              <w:snapToGrid w:val="0"/>
              <w:ind w:right="105" w:rightChars="50"/>
              <w:jc w:val="left"/>
              <w:rPr>
                <w:rFonts w:ascii="仿宋" w:hAnsi="仿宋" w:cs="仿宋"/>
              </w:rPr>
            </w:pPr>
            <w:r>
              <w:rPr>
                <w:rFonts w:ascii="仿宋" w:hAnsi="仿宋" w:cs="仿宋"/>
              </w:rPr>
              <w:t>★2、外部材质为或优于聚氨酯涂层的尼龙材料，具有防水耐磨防刮特性。</w:t>
            </w:r>
          </w:p>
          <w:p>
            <w:pPr>
              <w:adjustRightInd w:val="0"/>
              <w:snapToGrid w:val="0"/>
              <w:ind w:right="105" w:rightChars="50"/>
              <w:jc w:val="left"/>
              <w:rPr>
                <w:rFonts w:ascii="仿宋" w:hAnsi="仿宋" w:cs="仿宋"/>
              </w:rPr>
            </w:pPr>
            <w:r>
              <w:rPr>
                <w:rFonts w:ascii="仿宋" w:hAnsi="仿宋" w:cs="仿宋"/>
              </w:rPr>
              <w:t>★3、鞋底为防滑材质，可以应对各种路面，在冰雪中行走方便，要具备良好的隔热性能，防止寒冷从鞋底传导，保护脚部免受低温伤害。</w:t>
            </w:r>
          </w:p>
          <w:p>
            <w:pPr>
              <w:adjustRightInd w:val="0"/>
              <w:snapToGrid w:val="0"/>
              <w:ind w:right="105" w:rightChars="50"/>
              <w:jc w:val="left"/>
              <w:rPr>
                <w:rFonts w:ascii="仿宋" w:hAnsi="仿宋" w:cs="仿宋"/>
              </w:rPr>
            </w:pPr>
            <w:r>
              <w:rPr>
                <w:rFonts w:ascii="仿宋" w:hAnsi="仿宋" w:cs="仿宋"/>
              </w:rPr>
              <w:t>★4、根据采购单位要求，安装符合《消防装备物资物联网标识管理》规定的二维码和RFID标签，（车辆或器材）在交付前须完成部局系统赋码工作，确保一物一码。</w:t>
            </w:r>
          </w:p>
          <w:p>
            <w:pPr>
              <w:adjustRightInd w:val="0"/>
              <w:snapToGrid w:val="0"/>
              <w:ind w:right="105" w:rightChars="50"/>
              <w:jc w:val="left"/>
              <w:rPr>
                <w:rFonts w:ascii="仿宋" w:hAnsi="仿宋" w:cs="仿宋"/>
              </w:rPr>
            </w:pPr>
            <w:r>
              <w:rPr>
                <w:rFonts w:hint="eastAsia" w:ascii="仿宋" w:hAnsi="仿宋" w:cs="仿宋"/>
              </w:rPr>
              <w:t>二、</w:t>
            </w:r>
            <w:r>
              <w:rPr>
                <w:rFonts w:ascii="仿宋" w:hAnsi="仿宋" w:cs="仿宋"/>
              </w:rPr>
              <w:t>一般指标性参数（●）</w:t>
            </w:r>
          </w:p>
          <w:p>
            <w:pPr>
              <w:adjustRightInd w:val="0"/>
              <w:snapToGrid w:val="0"/>
              <w:ind w:right="105" w:rightChars="50"/>
              <w:jc w:val="left"/>
              <w:rPr>
                <w:rFonts w:ascii="仿宋" w:hAnsi="仿宋" w:cs="仿宋"/>
              </w:rPr>
            </w:pPr>
            <w:r>
              <w:rPr>
                <w:rFonts w:ascii="仿宋" w:hAnsi="仿宋" w:cs="仿宋"/>
              </w:rPr>
              <w:t>1、前部、后部、头顶设计反光条。</w:t>
            </w:r>
          </w:p>
          <w:p>
            <w:pPr>
              <w:adjustRightInd w:val="0"/>
              <w:snapToGrid w:val="0"/>
              <w:ind w:right="105" w:rightChars="50"/>
              <w:jc w:val="left"/>
              <w:rPr>
                <w:rFonts w:ascii="仿宋" w:hAnsi="仿宋" w:cs="仿宋"/>
              </w:rPr>
            </w:pPr>
            <w:r>
              <w:rPr>
                <w:rFonts w:ascii="仿宋" w:hAnsi="仿宋" w:cs="仿宋"/>
              </w:rPr>
              <w:t>2、全身配有不少于5处反光条和魔术贴。</w:t>
            </w:r>
          </w:p>
          <w:p>
            <w:pPr>
              <w:adjustRightInd w:val="0"/>
              <w:snapToGrid w:val="0"/>
              <w:ind w:right="105" w:rightChars="50"/>
              <w:jc w:val="left"/>
              <w:rPr>
                <w:rFonts w:ascii="仿宋" w:hAnsi="仿宋" w:cs="仿宋"/>
              </w:rPr>
            </w:pPr>
            <w:r>
              <w:rPr>
                <w:rFonts w:ascii="仿宋" w:hAnsi="仿宋" w:cs="仿宋"/>
              </w:rPr>
              <w:t>3、穿着浸水1小时后，进水量≤0.085kg，体温降幅≤1.0℃。</w:t>
            </w:r>
          </w:p>
          <w:p>
            <w:pPr>
              <w:adjustRightInd w:val="0"/>
              <w:snapToGrid w:val="0"/>
              <w:ind w:right="105" w:rightChars="50"/>
              <w:jc w:val="left"/>
              <w:rPr>
                <w:rFonts w:ascii="仿宋" w:hAnsi="仿宋" w:cs="仿宋"/>
              </w:rPr>
            </w:pPr>
            <w:r>
              <w:rPr>
                <w:rFonts w:ascii="仿宋" w:hAnsi="仿宋" w:cs="仿宋"/>
              </w:rPr>
              <w:t>4、材料断裂强度在150N拉伸强度下10s不断裂或优于。</w:t>
            </w:r>
          </w:p>
          <w:p>
            <w:pPr>
              <w:adjustRightInd w:val="0"/>
              <w:snapToGrid w:val="0"/>
              <w:ind w:right="105" w:rightChars="50"/>
              <w:jc w:val="left"/>
              <w:rPr>
                <w:rFonts w:ascii="仿宋" w:hAnsi="仿宋" w:cs="仿宋"/>
              </w:rPr>
            </w:pPr>
            <w:r>
              <w:rPr>
                <w:rFonts w:ascii="仿宋" w:hAnsi="仿宋" w:cs="仿宋"/>
              </w:rPr>
              <w:t>5、拉链缝合紧密防水，能够在-55℃的低温环境下正常使用，上止开尾，便于穿着，下止到拉链中间完全气密，拉链应具备防水、防风、保温的功能。</w:t>
            </w:r>
          </w:p>
          <w:p>
            <w:pPr>
              <w:adjustRightInd w:val="0"/>
              <w:snapToGrid w:val="0"/>
              <w:ind w:right="105" w:rightChars="50"/>
              <w:jc w:val="left"/>
              <w:rPr>
                <w:rFonts w:ascii="仿宋" w:hAnsi="仿宋" w:cs="仿宋"/>
              </w:rPr>
            </w:pPr>
            <w:r>
              <w:rPr>
                <w:rFonts w:ascii="仿宋" w:hAnsi="仿宋" w:cs="仿宋"/>
              </w:rPr>
              <w:t>6、适用于-25℃-0℃环境，</w:t>
            </w:r>
          </w:p>
          <w:p>
            <w:pPr>
              <w:adjustRightInd w:val="0"/>
              <w:snapToGrid w:val="0"/>
              <w:ind w:right="105" w:rightChars="50"/>
              <w:jc w:val="left"/>
              <w:rPr>
                <w:rFonts w:ascii="仿宋" w:hAnsi="仿宋" w:cs="仿宋"/>
              </w:rPr>
            </w:pPr>
            <w:r>
              <w:rPr>
                <w:rFonts w:ascii="仿宋" w:hAnsi="仿宋" w:cs="仿宋"/>
              </w:rPr>
              <w:t>7、适用身高1.5-1.9米，可分大中小号。</w:t>
            </w:r>
          </w:p>
          <w:p>
            <w:pPr>
              <w:adjustRightInd w:val="0"/>
              <w:snapToGrid w:val="0"/>
              <w:ind w:right="105" w:rightChars="50"/>
              <w:jc w:val="left"/>
              <w:rPr>
                <w:rFonts w:ascii="仿宋" w:hAnsi="仿宋" w:cs="仿宋"/>
              </w:rPr>
            </w:pPr>
            <w:r>
              <w:rPr>
                <w:rFonts w:ascii="仿宋" w:hAnsi="仿宋" w:cs="仿宋"/>
              </w:rPr>
              <w:t>8、面部、肘部、臀部、膝盖部有护垫保护。</w:t>
            </w:r>
          </w:p>
          <w:p>
            <w:pPr>
              <w:adjustRightInd w:val="0"/>
              <w:snapToGrid w:val="0"/>
              <w:ind w:right="105" w:rightChars="50"/>
              <w:jc w:val="left"/>
              <w:rPr>
                <w:rFonts w:ascii="仿宋" w:hAnsi="仿宋" w:cs="仿宋"/>
              </w:rPr>
            </w:pPr>
            <w:r>
              <w:rPr>
                <w:rFonts w:ascii="仿宋" w:hAnsi="仿宋" w:cs="仿宋"/>
              </w:rPr>
              <w:t>9、防护垫厚度≥2.5mm，面部设防水胶垫。</w:t>
            </w:r>
          </w:p>
          <w:p>
            <w:pPr>
              <w:adjustRightInd w:val="0"/>
              <w:snapToGrid w:val="0"/>
              <w:ind w:right="105" w:rightChars="50"/>
              <w:jc w:val="left"/>
              <w:rPr>
                <w:rFonts w:ascii="仿宋" w:hAnsi="仿宋" w:cs="仿宋"/>
              </w:rPr>
            </w:pPr>
            <w:r>
              <w:rPr>
                <w:rFonts w:ascii="仿宋" w:hAnsi="仿宋" w:cs="仿宋"/>
              </w:rPr>
              <w:t>10、内衬可拆卸方便清洗，</w:t>
            </w:r>
          </w:p>
          <w:p>
            <w:pPr>
              <w:adjustRightInd w:val="0"/>
              <w:snapToGrid w:val="0"/>
              <w:ind w:right="105" w:rightChars="50"/>
              <w:jc w:val="left"/>
              <w:rPr>
                <w:rFonts w:ascii="仿宋" w:hAnsi="仿宋" w:cs="仿宋"/>
              </w:rPr>
            </w:pPr>
            <w:r>
              <w:rPr>
                <w:rFonts w:ascii="仿宋" w:hAnsi="仿宋" w:cs="仿宋"/>
              </w:rPr>
              <w:t>11、同时也要具备一定的防水性能。</w:t>
            </w:r>
          </w:p>
          <w:p>
            <w:pPr>
              <w:adjustRightInd w:val="0"/>
              <w:snapToGrid w:val="0"/>
              <w:ind w:right="105" w:rightChars="50"/>
              <w:jc w:val="left"/>
              <w:rPr>
                <w:rFonts w:ascii="仿宋" w:hAnsi="仿宋" w:cs="仿宋"/>
              </w:rPr>
            </w:pPr>
            <w:r>
              <w:rPr>
                <w:rFonts w:ascii="仿宋" w:hAnsi="仿宋" w:cs="仿宋"/>
              </w:rPr>
              <w:t>12、胸部配有可调节肩带，大腿部有特殊调节带。</w:t>
            </w:r>
          </w:p>
          <w:p>
            <w:pPr>
              <w:adjustRightInd w:val="0"/>
              <w:snapToGrid w:val="0"/>
              <w:ind w:right="105" w:rightChars="50"/>
              <w:jc w:val="left"/>
              <w:rPr>
                <w:rFonts w:ascii="仿宋" w:hAnsi="仿宋" w:cs="仿宋"/>
              </w:rPr>
            </w:pPr>
            <w:r>
              <w:rPr>
                <w:rFonts w:ascii="仿宋" w:hAnsi="仿宋" w:cs="仿宋"/>
              </w:rPr>
              <w:t>13、手腕处设有携带冰面爬行辅助器袋口，袋口长≥10cm。</w:t>
            </w:r>
          </w:p>
          <w:p>
            <w:pPr>
              <w:adjustRightInd w:val="0"/>
              <w:snapToGrid w:val="0"/>
              <w:ind w:right="105" w:rightChars="50"/>
              <w:jc w:val="left"/>
              <w:rPr>
                <w:rFonts w:ascii="仿宋" w:hAnsi="仿宋" w:cs="仿宋"/>
              </w:rPr>
            </w:pPr>
            <w:r>
              <w:rPr>
                <w:rFonts w:ascii="仿宋" w:hAnsi="仿宋" w:cs="仿宋"/>
              </w:rPr>
              <w:t>14、整衣重量≤5.5kg，可承重≤100-120kg的人，</w:t>
            </w:r>
          </w:p>
          <w:p>
            <w:pPr>
              <w:adjustRightInd w:val="0"/>
              <w:snapToGrid w:val="0"/>
              <w:ind w:right="105" w:rightChars="50"/>
              <w:jc w:val="left"/>
              <w:rPr>
                <w:rFonts w:ascii="仿宋" w:hAnsi="仿宋" w:cs="仿宋"/>
              </w:rPr>
            </w:pPr>
            <w:r>
              <w:rPr>
                <w:rFonts w:ascii="仿宋" w:hAnsi="仿宋" w:cs="仿宋"/>
              </w:rPr>
              <w:t>15、配有牛尾绳，与背部安全环连接。</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
                <w:kern w:val="0"/>
                <w:szCs w:val="21"/>
              </w:rPr>
            </w:pP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kern w:val="0"/>
                <w:szCs w:val="21"/>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szCs w:val="21"/>
              </w:rPr>
            </w:pPr>
            <w:r>
              <w:rPr>
                <w:rFonts w:hint="eastAsia" w:ascii="仿宋" w:hAnsi="仿宋" w:cs="仿宋"/>
                <w:szCs w:val="21"/>
              </w:rPr>
              <w:t>其它</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ascii="仿宋" w:hAnsi="仿宋" w:cs="仿宋"/>
                <w:kern w:val="0"/>
                <w:szCs w:val="21"/>
              </w:rPr>
            </w:pPr>
            <w:r>
              <w:rPr>
                <w:rFonts w:hint="eastAsia" w:ascii="仿宋" w:hAnsi="仿宋" w:cs="仿宋"/>
                <w:szCs w:val="21"/>
              </w:rPr>
              <w:t>采购人未提供需求而供应商认为需说明及补充的内容在此填列</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r>
    </w:tbl>
    <w:p/>
    <w:tbl>
      <w:tblPr>
        <w:tblStyle w:val="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0"/>
        <w:gridCol w:w="1126"/>
        <w:gridCol w:w="689"/>
        <w:gridCol w:w="855"/>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935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pPr>
            <w:r>
              <w:rPr>
                <w:rFonts w:hint="eastAsia" w:ascii="仿宋" w:hAnsi="仿宋" w:cs="仿宋"/>
                <w:szCs w:val="21"/>
              </w:rPr>
              <w:t>包号/序号：001/2</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产品名称：潜水全面罩</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数量：30（个）</w:t>
            </w:r>
          </w:p>
          <w:p>
            <w:pPr>
              <w:tabs>
                <w:tab w:val="left" w:pos="0"/>
              </w:tabs>
              <w:adjustRightInd w:val="0"/>
              <w:snapToGrid w:val="0"/>
              <w:rPr>
                <w:rFonts w:ascii="仿宋" w:hAnsi="仿宋" w:cs="仿宋"/>
                <w:szCs w:val="21"/>
              </w:rPr>
            </w:pPr>
            <w:r>
              <w:rPr>
                <w:rFonts w:hint="eastAsia" w:ascii="仿宋" w:hAnsi="仿宋" w:cs="仿宋"/>
                <w:szCs w:val="21"/>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招标文件要求</w:t>
            </w:r>
          </w:p>
          <w:p>
            <w:pPr>
              <w:snapToGrid w:val="0"/>
              <w:ind w:hanging="1"/>
              <w:rPr>
                <w:rFonts w:ascii="仿宋" w:hAnsi="仿宋" w:cs="仿宋"/>
                <w:b/>
                <w:szCs w:val="21"/>
              </w:rPr>
            </w:pPr>
            <w:r>
              <w:rPr>
                <w:rFonts w:hint="eastAsia" w:ascii="仿宋" w:hAnsi="仿宋" w:cs="仿宋"/>
                <w:b/>
                <w:sz w:val="18"/>
                <w:szCs w:val="18"/>
              </w:rPr>
              <w:t>重要提示：实质性要求及重要指标用★标注（“★”必须标注在序号前），★标注项不得负偏离，如果负偏离，则投标文件无效。</w:t>
            </w:r>
          </w:p>
        </w:tc>
        <w:tc>
          <w:tcPr>
            <w:tcW w:w="10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投标文件</w:t>
            </w:r>
          </w:p>
          <w:p>
            <w:pPr>
              <w:tabs>
                <w:tab w:val="left" w:pos="0"/>
              </w:tabs>
              <w:snapToGrid w:val="0"/>
              <w:jc w:val="center"/>
              <w:rPr>
                <w:rFonts w:ascii="仿宋" w:hAnsi="仿宋" w:cs="仿宋"/>
                <w:kern w:val="0"/>
                <w:szCs w:val="21"/>
              </w:rPr>
            </w:pPr>
            <w:r>
              <w:rPr>
                <w:rFonts w:hint="eastAsia" w:ascii="仿宋" w:hAnsi="仿宋" w:cs="仿宋"/>
                <w:szCs w:val="21"/>
              </w:rPr>
              <w:t>响应内容</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偏离程度</w:t>
            </w: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偏离说明</w:t>
            </w: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szCs w:val="21"/>
              </w:rPr>
            </w:pPr>
            <w:r>
              <w:rPr>
                <w:rFonts w:hint="eastAsia" w:ascii="仿宋" w:hAnsi="仿宋" w:cs="仿宋"/>
                <w:szCs w:val="21"/>
              </w:rPr>
              <w:t>证明</w:t>
            </w:r>
          </w:p>
          <w:p>
            <w:pPr>
              <w:tabs>
                <w:tab w:val="left" w:pos="0"/>
              </w:tabs>
              <w:snapToGrid w:val="0"/>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
              </w:rPr>
            </w:pPr>
            <w:r>
              <w:rPr>
                <w:rFonts w:ascii="仿宋" w:hAnsi="仿宋" w:cs="仿宋"/>
              </w:rPr>
              <w:t>一、实质性要求（★）</w:t>
            </w:r>
          </w:p>
          <w:p>
            <w:pPr>
              <w:adjustRightInd w:val="0"/>
              <w:snapToGrid w:val="0"/>
              <w:ind w:right="105" w:rightChars="50"/>
              <w:jc w:val="left"/>
              <w:rPr>
                <w:rFonts w:ascii="仿宋" w:hAnsi="仿宋" w:cs="仿宋"/>
              </w:rPr>
            </w:pPr>
            <w:r>
              <w:rPr>
                <w:rFonts w:ascii="仿宋" w:hAnsi="仿宋" w:cs="仿宋"/>
              </w:rPr>
              <w:t>★1、根据采购单位要求，安装符合《消防装备物资物联网标识管理》规定的二维码和RFID标签，（车辆或器材）在交付前须完成部局系统赋码工作，确保一物一码。</w:t>
            </w:r>
          </w:p>
          <w:p>
            <w:pPr>
              <w:adjustRightInd w:val="0"/>
              <w:snapToGrid w:val="0"/>
              <w:ind w:right="105" w:rightChars="50"/>
              <w:jc w:val="left"/>
              <w:rPr>
                <w:rFonts w:ascii="仿宋" w:hAnsi="仿宋" w:cs="仿宋"/>
              </w:rPr>
            </w:pPr>
            <w:r>
              <w:rPr>
                <w:rFonts w:ascii="仿宋" w:hAnsi="仿宋" w:cs="仿宋"/>
              </w:rPr>
              <w:t>二、一般指标性参数（●）</w:t>
            </w:r>
          </w:p>
          <w:p>
            <w:pPr>
              <w:adjustRightInd w:val="0"/>
              <w:snapToGrid w:val="0"/>
              <w:ind w:right="105" w:rightChars="50"/>
              <w:jc w:val="left"/>
              <w:rPr>
                <w:rFonts w:ascii="仿宋" w:hAnsi="仿宋" w:cs="仿宋"/>
              </w:rPr>
            </w:pPr>
            <w:r>
              <w:rPr>
                <w:rFonts w:ascii="仿宋" w:hAnsi="仿宋" w:cs="仿宋"/>
              </w:rPr>
              <w:t>1、全面罩内置二级减压阀，大视野面镜，穿戴轻便舒适。表面处理工艺可以在各种恶劣环境下使用，厚粘合面30-45mm，由高纯度硅胶制成，带外部排耳压装置。由聚碳酸酯制成，可见光透过率为≥92%。视野更宽大，更贴近面部，穿戴更舒适。耐用和耐磨性。</w:t>
            </w:r>
          </w:p>
          <w:p>
            <w:pPr>
              <w:adjustRightInd w:val="0"/>
              <w:snapToGrid w:val="0"/>
              <w:ind w:right="105" w:rightChars="50"/>
              <w:jc w:val="left"/>
              <w:rPr>
                <w:rFonts w:ascii="仿宋" w:hAnsi="仿宋" w:cs="仿宋"/>
              </w:rPr>
            </w:pPr>
            <w:r>
              <w:rPr>
                <w:rFonts w:ascii="仿宋" w:hAnsi="仿宋" w:cs="仿宋"/>
              </w:rPr>
              <w:t>2、可外挂摄像系统、水下照明、水下通话等设备。</w:t>
            </w:r>
          </w:p>
          <w:p>
            <w:pPr>
              <w:adjustRightInd w:val="0"/>
              <w:snapToGrid w:val="0"/>
              <w:ind w:right="105" w:rightChars="50"/>
              <w:jc w:val="left"/>
              <w:rPr>
                <w:rFonts w:ascii="仿宋" w:hAnsi="仿宋" w:cs="仿宋"/>
              </w:rPr>
            </w:pPr>
            <w:r>
              <w:rPr>
                <w:rFonts w:ascii="仿宋" w:hAnsi="仿宋" w:cs="仿宋"/>
              </w:rPr>
              <w:t>3、功率≤1瓦；单信道。</w:t>
            </w:r>
          </w:p>
          <w:p>
            <w:pPr>
              <w:adjustRightInd w:val="0"/>
              <w:snapToGrid w:val="0"/>
              <w:ind w:right="105" w:rightChars="50"/>
              <w:jc w:val="left"/>
              <w:rPr>
                <w:rFonts w:ascii="仿宋" w:hAnsi="仿宋" w:cs="仿宋"/>
              </w:rPr>
            </w:pPr>
            <w:r>
              <w:rPr>
                <w:rFonts w:ascii="仿宋" w:hAnsi="仿宋" w:cs="仿宋"/>
              </w:rPr>
              <w:t>4、面罩必须为绝缘材料。</w:t>
            </w:r>
          </w:p>
          <w:p>
            <w:pPr>
              <w:adjustRightInd w:val="0"/>
              <w:snapToGrid w:val="0"/>
              <w:ind w:right="105" w:rightChars="50"/>
              <w:jc w:val="left"/>
              <w:rPr>
                <w:rFonts w:ascii="仿宋" w:hAnsi="仿宋" w:cs="仿宋"/>
              </w:rPr>
            </w:pPr>
            <w:r>
              <w:rPr>
                <w:rFonts w:ascii="仿宋" w:hAnsi="仿宋" w:cs="仿宋"/>
              </w:rPr>
              <w:t>5、面罩自带耳压平衡装置，自带防雾，防刮功能，最大潜水深度≥85米。</w:t>
            </w:r>
          </w:p>
          <w:p>
            <w:pPr>
              <w:adjustRightInd w:val="0"/>
              <w:snapToGrid w:val="0"/>
              <w:ind w:right="105" w:rightChars="50"/>
              <w:jc w:val="left"/>
              <w:rPr>
                <w:rFonts w:ascii="仿宋" w:hAnsi="仿宋" w:cs="仿宋"/>
              </w:rPr>
            </w:pPr>
            <w:r>
              <w:rPr>
                <w:rFonts w:ascii="仿宋" w:hAnsi="仿宋" w:cs="仿宋"/>
              </w:rPr>
              <w:t>6、采用超声波工作原理，重量≤250克（不含电池），尺寸≤70×90×25（mm），供气余压0.6-1.4MPa。</w:t>
            </w:r>
          </w:p>
          <w:p>
            <w:pPr>
              <w:adjustRightInd w:val="0"/>
              <w:snapToGrid w:val="0"/>
              <w:ind w:right="105" w:rightChars="50"/>
              <w:jc w:val="left"/>
              <w:rPr>
                <w:rFonts w:ascii="仿宋" w:hAnsi="仿宋" w:cs="仿宋"/>
              </w:rPr>
            </w:pPr>
            <w:r>
              <w:rPr>
                <w:rFonts w:ascii="仿宋" w:hAnsi="仿宋" w:cs="仿宋"/>
              </w:rPr>
              <w:t>7、一键通传输，自动接收，频率32.768KHz或41KHz，自动控制噪声，DAT模式≤30s传输，≤20s接收。</w:t>
            </w:r>
          </w:p>
          <w:p>
            <w:pPr>
              <w:adjustRightInd w:val="0"/>
              <w:snapToGrid w:val="0"/>
              <w:ind w:right="105" w:rightChars="50"/>
              <w:jc w:val="left"/>
              <w:rPr>
                <w:rFonts w:ascii="仿宋" w:hAnsi="仿宋" w:cs="仿宋"/>
              </w:rPr>
            </w:pPr>
            <w:r>
              <w:rPr>
                <w:rFonts w:ascii="仿宋" w:hAnsi="仿宋" w:cs="仿宋"/>
              </w:rPr>
              <w:t>8、接收模式下可独立工作≥24个小时，9V碱性电池供电，续航时间≥9h。</w:t>
            </w:r>
          </w:p>
          <w:p>
            <w:pPr>
              <w:adjustRightInd w:val="0"/>
              <w:snapToGrid w:val="0"/>
              <w:ind w:right="105" w:rightChars="50"/>
              <w:jc w:val="left"/>
              <w:rPr>
                <w:rFonts w:ascii="仿宋" w:hAnsi="仿宋" w:cs="仿宋"/>
              </w:rPr>
            </w:pPr>
            <w:r>
              <w:rPr>
                <w:rFonts w:ascii="仿宋" w:hAnsi="仿宋" w:cs="仿宋"/>
              </w:rPr>
              <w:t>9、入水自动启动，内置低电量警告设置，低电压下可继续工作≥1h，电压低于7.5VDc 时，每30s发出一次警报信号。</w:t>
            </w:r>
          </w:p>
          <w:p>
            <w:pPr>
              <w:adjustRightInd w:val="0"/>
              <w:snapToGrid w:val="0"/>
              <w:ind w:right="105" w:rightChars="50"/>
              <w:jc w:val="left"/>
              <w:rPr>
                <w:rFonts w:ascii="仿宋" w:hAnsi="仿宋" w:cs="仿宋"/>
              </w:rPr>
            </w:pPr>
            <w:r>
              <w:rPr>
                <w:rFonts w:ascii="仿宋" w:hAnsi="仿宋" w:cs="仿宋"/>
              </w:rPr>
              <w:t>10、水下通信接收器是一台单信道接收装置，可以装在各种传统面罩带上或是全面罩上。</w:t>
            </w:r>
          </w:p>
          <w:p>
            <w:pPr>
              <w:adjustRightInd w:val="0"/>
              <w:snapToGrid w:val="0"/>
              <w:ind w:right="105" w:rightChars="50"/>
              <w:jc w:val="left"/>
              <w:rPr>
                <w:rFonts w:ascii="仿宋" w:hAnsi="仿宋" w:cs="仿宋"/>
              </w:rPr>
            </w:pPr>
            <w:r>
              <w:rPr>
                <w:rFonts w:ascii="仿宋" w:hAnsi="仿宋" w:cs="仿宋"/>
              </w:rPr>
              <w:t>11、自带可调节鼻托垫，全景视图≥120°。</w:t>
            </w:r>
          </w:p>
          <w:p>
            <w:pPr>
              <w:adjustRightInd w:val="0"/>
              <w:snapToGrid w:val="0"/>
              <w:ind w:right="105" w:rightChars="50"/>
              <w:jc w:val="left"/>
              <w:rPr>
                <w:rFonts w:ascii="仿宋" w:hAnsi="仿宋" w:cs="仿宋"/>
              </w:rPr>
            </w:pPr>
            <w:r>
              <w:rPr>
                <w:rFonts w:ascii="仿宋" w:hAnsi="仿宋" w:cs="仿宋"/>
              </w:rPr>
              <w:t>12、面罩的总重量≤860g，正浮力≥400g。</w:t>
            </w:r>
          </w:p>
          <w:p>
            <w:pPr>
              <w:adjustRightInd w:val="0"/>
              <w:snapToGrid w:val="0"/>
              <w:ind w:right="105" w:rightChars="50"/>
              <w:jc w:val="left"/>
              <w:rPr>
                <w:rFonts w:ascii="仿宋" w:hAnsi="仿宋" w:cs="仿宋"/>
              </w:rPr>
            </w:pPr>
            <w:r>
              <w:rPr>
                <w:rFonts w:hint="eastAsia" w:ascii="仿宋" w:hAnsi="仿宋" w:cs="仿宋"/>
              </w:rPr>
              <w:t>13、</w:t>
            </w:r>
            <w:r>
              <w:rPr>
                <w:rFonts w:ascii="仿宋" w:hAnsi="仿宋" w:cs="仿宋"/>
              </w:rPr>
              <w:t>面罩预留通讯接口。</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
                <w:kern w:val="0"/>
                <w:szCs w:val="21"/>
              </w:rPr>
            </w:pP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kern w:val="0"/>
                <w:szCs w:val="21"/>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szCs w:val="21"/>
              </w:rPr>
            </w:pPr>
            <w:r>
              <w:rPr>
                <w:rFonts w:hint="eastAsia" w:ascii="仿宋" w:hAnsi="仿宋" w:cs="仿宋"/>
                <w:szCs w:val="21"/>
              </w:rPr>
              <w:t>其它</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ascii="仿宋" w:hAnsi="仿宋" w:cs="仿宋"/>
                <w:kern w:val="0"/>
                <w:szCs w:val="21"/>
              </w:rPr>
            </w:pPr>
            <w:r>
              <w:rPr>
                <w:rFonts w:hint="eastAsia" w:ascii="仿宋" w:hAnsi="仿宋" w:cs="仿宋"/>
                <w:szCs w:val="21"/>
              </w:rPr>
              <w:t>采购人未提供需求而供应商认为需说明及补充的内容在此填列</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r>
    </w:tbl>
    <w:p/>
    <w:tbl>
      <w:tblPr>
        <w:tblStyle w:val="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0"/>
        <w:gridCol w:w="1126"/>
        <w:gridCol w:w="689"/>
        <w:gridCol w:w="855"/>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935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pPr>
            <w:r>
              <w:rPr>
                <w:rFonts w:hint="eastAsia" w:ascii="仿宋" w:hAnsi="仿宋" w:cs="仿宋"/>
                <w:szCs w:val="21"/>
              </w:rPr>
              <w:t>包号/序号：001/3</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产品名称：冰域呼吸器组件</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数量：30（套）</w:t>
            </w:r>
          </w:p>
          <w:p>
            <w:pPr>
              <w:tabs>
                <w:tab w:val="left" w:pos="0"/>
              </w:tabs>
              <w:adjustRightInd w:val="0"/>
              <w:snapToGrid w:val="0"/>
              <w:rPr>
                <w:rFonts w:ascii="仿宋" w:hAnsi="仿宋" w:cs="仿宋"/>
                <w:szCs w:val="21"/>
              </w:rPr>
            </w:pPr>
            <w:r>
              <w:rPr>
                <w:rFonts w:hint="eastAsia" w:ascii="仿宋" w:hAnsi="仿宋" w:cs="仿宋"/>
                <w:szCs w:val="21"/>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招标文件要求</w:t>
            </w:r>
          </w:p>
          <w:p>
            <w:pPr>
              <w:snapToGrid w:val="0"/>
              <w:ind w:hanging="1"/>
              <w:rPr>
                <w:rFonts w:ascii="仿宋" w:hAnsi="仿宋" w:cs="仿宋"/>
                <w:b/>
                <w:szCs w:val="21"/>
              </w:rPr>
            </w:pPr>
            <w:r>
              <w:rPr>
                <w:rFonts w:hint="eastAsia" w:ascii="仿宋" w:hAnsi="仿宋" w:cs="仿宋"/>
                <w:b/>
                <w:sz w:val="18"/>
                <w:szCs w:val="18"/>
              </w:rPr>
              <w:t>重要提示：实质性要求及重要指标用★标注（“★”必须标注在序号前），★标注项不得负偏离，如果负偏离，则投标文件无效。</w:t>
            </w:r>
          </w:p>
        </w:tc>
        <w:tc>
          <w:tcPr>
            <w:tcW w:w="10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投标文件</w:t>
            </w:r>
          </w:p>
          <w:p>
            <w:pPr>
              <w:tabs>
                <w:tab w:val="left" w:pos="0"/>
              </w:tabs>
              <w:snapToGrid w:val="0"/>
              <w:jc w:val="center"/>
              <w:rPr>
                <w:rFonts w:ascii="仿宋" w:hAnsi="仿宋" w:cs="仿宋"/>
                <w:kern w:val="0"/>
                <w:szCs w:val="21"/>
              </w:rPr>
            </w:pPr>
            <w:r>
              <w:rPr>
                <w:rFonts w:hint="eastAsia" w:ascii="仿宋" w:hAnsi="仿宋" w:cs="仿宋"/>
                <w:szCs w:val="21"/>
              </w:rPr>
              <w:t>响应内容</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偏离程度</w:t>
            </w: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偏离说明</w:t>
            </w: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szCs w:val="21"/>
              </w:rPr>
            </w:pPr>
            <w:r>
              <w:rPr>
                <w:rFonts w:hint="eastAsia" w:ascii="仿宋" w:hAnsi="仿宋" w:cs="仿宋"/>
                <w:szCs w:val="21"/>
              </w:rPr>
              <w:t>证明</w:t>
            </w:r>
          </w:p>
          <w:p>
            <w:pPr>
              <w:tabs>
                <w:tab w:val="left" w:pos="0"/>
              </w:tabs>
              <w:snapToGrid w:val="0"/>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
              </w:rPr>
            </w:pPr>
            <w:r>
              <w:rPr>
                <w:rFonts w:ascii="仿宋" w:hAnsi="仿宋" w:cs="仿宋"/>
              </w:rPr>
              <w:t>一、实质性要求（★）</w:t>
            </w:r>
          </w:p>
          <w:p>
            <w:pPr>
              <w:adjustRightInd w:val="0"/>
              <w:snapToGrid w:val="0"/>
              <w:ind w:right="105" w:rightChars="50"/>
              <w:jc w:val="left"/>
              <w:rPr>
                <w:rFonts w:ascii="仿宋" w:hAnsi="仿宋" w:cs="仿宋"/>
              </w:rPr>
            </w:pPr>
            <w:r>
              <w:rPr>
                <w:rFonts w:ascii="仿宋" w:hAnsi="仿宋" w:cs="仿宋"/>
              </w:rPr>
              <w:t>★1、用于高海拔潜水、冰潜、技术潜水</w:t>
            </w:r>
          </w:p>
          <w:p>
            <w:pPr>
              <w:adjustRightInd w:val="0"/>
              <w:snapToGrid w:val="0"/>
              <w:ind w:right="105" w:rightChars="50"/>
              <w:jc w:val="left"/>
              <w:rPr>
                <w:rFonts w:ascii="仿宋" w:hAnsi="仿宋" w:cs="仿宋"/>
              </w:rPr>
            </w:pPr>
            <w:r>
              <w:rPr>
                <w:rFonts w:ascii="仿宋" w:hAnsi="仿宋" w:cs="仿宋"/>
              </w:rPr>
              <w:t>★2、 潜水调节器：一级头的金属机械组件与冷水完全隔离，特别干舱设计，适用≤10度冷水环境。</w:t>
            </w:r>
          </w:p>
          <w:p>
            <w:pPr>
              <w:adjustRightInd w:val="0"/>
              <w:snapToGrid w:val="0"/>
              <w:ind w:right="105" w:rightChars="50"/>
              <w:jc w:val="left"/>
              <w:rPr>
                <w:rFonts w:ascii="仿宋" w:hAnsi="仿宋" w:cs="仿宋"/>
              </w:rPr>
            </w:pPr>
            <w:r>
              <w:rPr>
                <w:rFonts w:ascii="仿宋" w:hAnsi="仿宋" w:cs="仿宋"/>
              </w:rPr>
              <w:t>★3、本体外层包裹强抗磨损材质，强度高，耐久性高</w:t>
            </w:r>
          </w:p>
          <w:p>
            <w:pPr>
              <w:adjustRightInd w:val="0"/>
              <w:snapToGrid w:val="0"/>
              <w:ind w:right="105" w:rightChars="50"/>
              <w:jc w:val="left"/>
              <w:rPr>
                <w:rFonts w:ascii="仿宋" w:hAnsi="仿宋" w:cs="仿宋"/>
              </w:rPr>
            </w:pPr>
            <w:r>
              <w:rPr>
                <w:rFonts w:ascii="仿宋" w:hAnsi="仿宋" w:cs="仿宋"/>
              </w:rPr>
              <w:t>★4、根据采购单位要求，安装符合《消防装备物资物联网标识管理》规定的二维码和RFID标签，（车辆或器材）在交付前须完成部局系统赋码工作，确保一物一码。</w:t>
            </w:r>
          </w:p>
          <w:p>
            <w:pPr>
              <w:adjustRightInd w:val="0"/>
              <w:snapToGrid w:val="0"/>
              <w:ind w:right="105" w:rightChars="50"/>
              <w:jc w:val="left"/>
              <w:rPr>
                <w:rFonts w:ascii="仿宋" w:hAnsi="仿宋" w:cs="仿宋"/>
              </w:rPr>
            </w:pPr>
            <w:r>
              <w:rPr>
                <w:rFonts w:hint="eastAsia" w:ascii="仿宋" w:hAnsi="仿宋" w:cs="仿宋"/>
              </w:rPr>
              <w:t>二、</w:t>
            </w:r>
            <w:r>
              <w:rPr>
                <w:rFonts w:ascii="仿宋" w:hAnsi="仿宋" w:cs="仿宋"/>
              </w:rPr>
              <w:t>一般指标性参数（●）</w:t>
            </w:r>
          </w:p>
          <w:p>
            <w:pPr>
              <w:adjustRightInd w:val="0"/>
              <w:snapToGrid w:val="0"/>
              <w:ind w:right="105" w:rightChars="50"/>
              <w:jc w:val="left"/>
              <w:rPr>
                <w:rFonts w:ascii="仿宋" w:hAnsi="仿宋" w:cs="仿宋"/>
              </w:rPr>
            </w:pPr>
            <w:r>
              <w:rPr>
                <w:rFonts w:ascii="仿宋" w:hAnsi="仿宋" w:cs="仿宋"/>
              </w:rPr>
              <w:t>1、冰域呼吸器组件由呼吸调节器、三联表、潜水气瓶、浮力调整背心等组成。</w:t>
            </w:r>
          </w:p>
          <w:p>
            <w:pPr>
              <w:adjustRightInd w:val="0"/>
              <w:snapToGrid w:val="0"/>
              <w:ind w:right="105" w:rightChars="50"/>
              <w:jc w:val="left"/>
              <w:rPr>
                <w:rFonts w:ascii="仿宋" w:hAnsi="仿宋" w:cs="仿宋"/>
              </w:rPr>
            </w:pPr>
            <w:r>
              <w:rPr>
                <w:rFonts w:ascii="仿宋" w:hAnsi="仿宋" w:cs="仿宋"/>
              </w:rPr>
              <w:t>2、三联表：压力表、深度计及指北针一体式，深度表和压力表表面在同一面，背面配套的小型专用指北针。表壳采用橙色，冰域白色环境下醒目易判读。</w:t>
            </w:r>
          </w:p>
          <w:p>
            <w:pPr>
              <w:adjustRightInd w:val="0"/>
              <w:snapToGrid w:val="0"/>
              <w:ind w:right="105" w:rightChars="50"/>
              <w:jc w:val="left"/>
              <w:rPr>
                <w:rFonts w:ascii="仿宋" w:hAnsi="仿宋" w:cs="仿宋"/>
              </w:rPr>
            </w:pPr>
            <w:r>
              <w:rPr>
                <w:rFonts w:ascii="仿宋" w:hAnsi="仿宋" w:cs="仿宋"/>
              </w:rPr>
              <w:t>3、瓶体材料采用或优于6061铝制气瓶</w:t>
            </w:r>
          </w:p>
          <w:p>
            <w:pPr>
              <w:adjustRightInd w:val="0"/>
              <w:snapToGrid w:val="0"/>
              <w:ind w:right="105" w:rightChars="50"/>
              <w:jc w:val="left"/>
              <w:rPr>
                <w:rFonts w:ascii="仿宋" w:hAnsi="仿宋" w:cs="仿宋"/>
              </w:rPr>
            </w:pPr>
            <w:r>
              <w:rPr>
                <w:rFonts w:ascii="仿宋" w:hAnsi="仿宋" w:cs="仿宋"/>
              </w:rPr>
              <w:t>4、重量≤15KG</w:t>
            </w:r>
          </w:p>
          <w:p>
            <w:pPr>
              <w:adjustRightInd w:val="0"/>
              <w:snapToGrid w:val="0"/>
              <w:ind w:right="105" w:rightChars="50"/>
              <w:jc w:val="left"/>
              <w:rPr>
                <w:rFonts w:ascii="仿宋" w:hAnsi="仿宋" w:cs="仿宋"/>
              </w:rPr>
            </w:pPr>
            <w:r>
              <w:rPr>
                <w:rFonts w:ascii="仿宋" w:hAnsi="仿宋" w:cs="仿宋"/>
              </w:rPr>
              <w:t>5、工作压力：≥20MPA ；水压测试压力：≥30MPA</w:t>
            </w:r>
          </w:p>
          <w:p>
            <w:pPr>
              <w:adjustRightInd w:val="0"/>
              <w:snapToGrid w:val="0"/>
              <w:ind w:right="105" w:rightChars="50"/>
              <w:jc w:val="left"/>
              <w:rPr>
                <w:rFonts w:ascii="仿宋" w:hAnsi="仿宋" w:cs="仿宋"/>
              </w:rPr>
            </w:pPr>
            <w:r>
              <w:rPr>
                <w:rFonts w:ascii="仿宋" w:hAnsi="仿宋" w:cs="仿宋"/>
              </w:rPr>
              <w:t>6、每只气瓶带独立的出厂合格证；气瓶有中国特种设备制造许可证。</w:t>
            </w:r>
          </w:p>
          <w:p>
            <w:pPr>
              <w:adjustRightInd w:val="0"/>
              <w:snapToGrid w:val="0"/>
              <w:ind w:right="105" w:rightChars="50"/>
              <w:jc w:val="left"/>
              <w:rPr>
                <w:rFonts w:ascii="仿宋" w:hAnsi="仿宋" w:cs="仿宋"/>
              </w:rPr>
            </w:pPr>
            <w:r>
              <w:rPr>
                <w:rFonts w:ascii="仿宋" w:hAnsi="仿宋" w:cs="仿宋"/>
              </w:rPr>
              <w:t>7、配有不锈钢气瓶绑带，全部金属部件通过72小时测试盐雾测试。</w:t>
            </w:r>
          </w:p>
          <w:p>
            <w:pPr>
              <w:adjustRightInd w:val="0"/>
              <w:snapToGrid w:val="0"/>
              <w:ind w:right="105" w:rightChars="50"/>
              <w:jc w:val="left"/>
              <w:rPr>
                <w:rFonts w:ascii="仿宋" w:hAnsi="仿宋" w:cs="仿宋"/>
              </w:rPr>
            </w:pPr>
            <w:r>
              <w:rPr>
                <w:rFonts w:ascii="仿宋" w:hAnsi="仿宋" w:cs="仿宋"/>
              </w:rPr>
              <w:t>8、浮力调整背心：金属D型环≥7个，快泄排气阀≥3个，或优于1050D考杜拉面料。</w:t>
            </w:r>
          </w:p>
          <w:p>
            <w:pPr>
              <w:adjustRightInd w:val="0"/>
              <w:snapToGrid w:val="0"/>
              <w:ind w:right="105" w:rightChars="50"/>
              <w:jc w:val="left"/>
              <w:rPr>
                <w:rFonts w:ascii="仿宋" w:hAnsi="仿宋" w:cs="仿宋"/>
              </w:rPr>
            </w:pPr>
            <w:r>
              <w:rPr>
                <w:rFonts w:ascii="仿宋" w:hAnsi="仿宋" w:cs="仿宋"/>
              </w:rPr>
              <w:t xml:space="preserve">9、 有背部TRIM（额外的重量）配重，主体快卸配重系统。  </w:t>
            </w:r>
          </w:p>
          <w:p>
            <w:pPr>
              <w:adjustRightInd w:val="0"/>
              <w:snapToGrid w:val="0"/>
              <w:ind w:right="105" w:rightChars="50"/>
              <w:jc w:val="left"/>
              <w:rPr>
                <w:rFonts w:ascii="仿宋" w:hAnsi="仿宋" w:cs="仿宋"/>
              </w:rPr>
            </w:pPr>
            <w:r>
              <w:rPr>
                <w:rFonts w:ascii="仿宋" w:hAnsi="仿宋" w:cs="仿宋"/>
              </w:rPr>
              <w:t>10、一级头：≥2个高压端口、≥4个中压端口</w:t>
            </w:r>
          </w:p>
          <w:p>
            <w:pPr>
              <w:adjustRightInd w:val="0"/>
              <w:snapToGrid w:val="0"/>
              <w:ind w:right="105" w:rightChars="50"/>
              <w:jc w:val="left"/>
              <w:rPr>
                <w:rFonts w:ascii="仿宋" w:hAnsi="仿宋" w:cs="仿宋"/>
              </w:rPr>
            </w:pPr>
            <w:r>
              <w:rPr>
                <w:rFonts w:ascii="仿宋" w:hAnsi="仿宋" w:cs="仿宋"/>
              </w:rPr>
              <w:t>11、气孔轴线垂直于进气通道轴线，T型结构，利于优化管线布设。</w:t>
            </w:r>
          </w:p>
          <w:p>
            <w:pPr>
              <w:adjustRightInd w:val="0"/>
              <w:snapToGrid w:val="0"/>
              <w:ind w:right="105" w:rightChars="50"/>
              <w:jc w:val="left"/>
              <w:rPr>
                <w:rFonts w:ascii="仿宋" w:hAnsi="仿宋" w:cs="仿宋"/>
              </w:rPr>
            </w:pPr>
            <w:r>
              <w:rPr>
                <w:rFonts w:ascii="仿宋" w:hAnsi="仿宋" w:cs="仿宋"/>
              </w:rPr>
              <w:t>12、高科技聚合物阀体，导流板和阀体可拆卸。</w:t>
            </w:r>
          </w:p>
          <w:p>
            <w:pPr>
              <w:adjustRightInd w:val="0"/>
              <w:snapToGrid w:val="0"/>
              <w:ind w:right="105" w:rightChars="50"/>
              <w:jc w:val="left"/>
              <w:rPr>
                <w:rFonts w:ascii="仿宋" w:hAnsi="仿宋" w:cs="仿宋"/>
              </w:rPr>
            </w:pPr>
            <w:r>
              <w:rPr>
                <w:rFonts w:ascii="仿宋" w:hAnsi="仿宋" w:cs="仿宋"/>
              </w:rPr>
              <w:t>13、锥形气体过滤器和易于接驳气瓶的阀体，PVD镀膜技术机体护层。</w:t>
            </w:r>
          </w:p>
          <w:p>
            <w:pPr>
              <w:adjustRightInd w:val="0"/>
              <w:snapToGrid w:val="0"/>
              <w:ind w:right="105" w:rightChars="50"/>
              <w:jc w:val="left"/>
              <w:rPr>
                <w:rFonts w:ascii="仿宋" w:hAnsi="仿宋" w:cs="仿宋"/>
              </w:rPr>
            </w:pPr>
            <w:r>
              <w:rPr>
                <w:rFonts w:ascii="仿宋" w:hAnsi="仿宋" w:cs="仿宋"/>
              </w:rPr>
              <w:t>14、二级头：ABS工程塑钢制造，RK2 暗黑阳极氧化铝盖环，360°旋转配件连接低压管，呼吸阻抗与流量双调节旋钮，楔形分散导流技术可有效避免二级调节器在强流中不断漏气。配备与主用二级头同规格备用二级。</w:t>
            </w:r>
          </w:p>
          <w:p>
            <w:pPr>
              <w:adjustRightInd w:val="0"/>
              <w:snapToGrid w:val="0"/>
              <w:ind w:right="105" w:rightChars="50"/>
              <w:jc w:val="left"/>
              <w:rPr>
                <w:rFonts w:ascii="仿宋" w:hAnsi="仿宋" w:cs="仿宋"/>
              </w:rPr>
            </w:pPr>
            <w:r>
              <w:rPr>
                <w:rFonts w:ascii="仿宋" w:hAnsi="仿宋" w:cs="仿宋"/>
              </w:rPr>
              <w:t>15、压力表最大量程≥400bar，深度计最大量程≥75米。</w:t>
            </w:r>
          </w:p>
          <w:p>
            <w:pPr>
              <w:adjustRightInd w:val="0"/>
              <w:snapToGrid w:val="0"/>
              <w:ind w:right="105" w:rightChars="50"/>
              <w:jc w:val="left"/>
              <w:rPr>
                <w:rFonts w:ascii="仿宋" w:hAnsi="仿宋" w:cs="仿宋"/>
              </w:rPr>
            </w:pPr>
            <w:r>
              <w:rPr>
                <w:rFonts w:ascii="仿宋" w:hAnsi="仿宋" w:cs="仿宋"/>
              </w:rPr>
              <w:t>16、潜水气瓶：容积≥10L，潜水专用气瓶，含瓶头阀，配备冰域专用一体式护套（非底座）；</w:t>
            </w:r>
          </w:p>
          <w:p>
            <w:pPr>
              <w:adjustRightInd w:val="0"/>
              <w:snapToGrid w:val="0"/>
              <w:ind w:right="105" w:rightChars="50"/>
              <w:jc w:val="left"/>
              <w:rPr>
                <w:rFonts w:ascii="仿宋" w:hAnsi="仿宋" w:cs="仿宋"/>
              </w:rPr>
            </w:pPr>
            <w:r>
              <w:rPr>
                <w:rFonts w:ascii="仿宋" w:hAnsi="仿宋" w:cs="仿宋"/>
              </w:rPr>
              <w:t>17、压力表每10bar为一刻度使潜水者更容易判读，荧光刻度</w:t>
            </w:r>
          </w:p>
          <w:p>
            <w:pPr>
              <w:adjustRightInd w:val="0"/>
              <w:snapToGrid w:val="0"/>
              <w:ind w:right="105" w:rightChars="50"/>
              <w:jc w:val="left"/>
              <w:rPr>
                <w:rFonts w:ascii="仿宋" w:hAnsi="仿宋" w:cs="仿宋"/>
              </w:rPr>
            </w:pPr>
            <w:r>
              <w:rPr>
                <w:rFonts w:ascii="仿宋" w:hAnsi="仿宋" w:cs="仿宋"/>
              </w:rPr>
              <w:t>18、一级调节器1个：隔膜式环境密闭型设计，防污染，防低温、可直接冰潜潜水；平衡式供气设计，呼吸阻抗≤1焦耳/升，中压输出≤10BAR；应有2个高压孔，5个中压孔，中压孔座为旋转塔台设计；调节器表面应为DLC类金刚石防磨涂层；可适用于纯氧气体；重量≤890克。</w:t>
            </w:r>
          </w:p>
          <w:p>
            <w:pPr>
              <w:adjustRightInd w:val="0"/>
              <w:snapToGrid w:val="0"/>
              <w:ind w:right="105" w:rightChars="50"/>
              <w:jc w:val="left"/>
              <w:rPr>
                <w:rFonts w:ascii="仿宋" w:hAnsi="仿宋" w:cs="仿宋"/>
              </w:rPr>
            </w:pPr>
            <w:r>
              <w:rPr>
                <w:rFonts w:ascii="仿宋" w:hAnsi="仿宋" w:cs="仿宋"/>
              </w:rPr>
              <w:t>19、二级调节器2个：气动平衡设计，应具有文丘里调节和气量调节功能；低压管可在调节器左侧或右侧安装；应具有片式热交换设计；所有内部移动件应做聚四氟乙烯涂层处理；低压管和二级调节器连接处有转角适配件1个；调节器表面应做喷砂硬质阳极氧化涂层处理；可适用于纯氧气体；重量≤260克。</w:t>
            </w:r>
          </w:p>
          <w:p>
            <w:pPr>
              <w:adjustRightInd w:val="0"/>
              <w:snapToGrid w:val="0"/>
              <w:ind w:right="105" w:rightChars="50"/>
              <w:jc w:val="left"/>
              <w:rPr>
                <w:rFonts w:ascii="仿宋" w:hAnsi="仿宋" w:cs="仿宋"/>
              </w:rPr>
            </w:pPr>
            <w:r>
              <w:rPr>
                <w:rFonts w:hint="eastAsia" w:ascii="仿宋" w:hAnsi="仿宋" w:cs="仿宋"/>
              </w:rPr>
              <w:t>20、</w:t>
            </w:r>
            <w:r>
              <w:rPr>
                <w:rFonts w:ascii="仿宋" w:hAnsi="仿宋" w:cs="仿宋"/>
              </w:rPr>
              <w:t>二级调节器低压管路1套：低压管应为丁腈橡胶材质；长低压管1根，长度≥100厘米；短低压管1根，长度≥55厘米；干衣用低压充气管1根，长度≥80厘米；316不锈钢单头钩1个，长度为≥7厘米。</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
                <w:kern w:val="0"/>
                <w:szCs w:val="21"/>
              </w:rPr>
            </w:pP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kern w:val="0"/>
                <w:szCs w:val="21"/>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szCs w:val="21"/>
              </w:rPr>
            </w:pPr>
            <w:r>
              <w:rPr>
                <w:rFonts w:hint="eastAsia" w:ascii="仿宋" w:hAnsi="仿宋" w:cs="仿宋"/>
                <w:szCs w:val="21"/>
              </w:rPr>
              <w:t>其它</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ascii="仿宋" w:hAnsi="仿宋" w:cs="仿宋"/>
                <w:kern w:val="0"/>
                <w:szCs w:val="21"/>
              </w:rPr>
            </w:pPr>
            <w:r>
              <w:rPr>
                <w:rFonts w:hint="eastAsia" w:ascii="仿宋" w:hAnsi="仿宋" w:cs="仿宋"/>
                <w:szCs w:val="21"/>
              </w:rPr>
              <w:t>采购人未提供需求而供应商认为需说明及补充的内容在此填列</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r>
    </w:tbl>
    <w:p/>
    <w:tbl>
      <w:tblPr>
        <w:tblStyle w:val="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0"/>
        <w:gridCol w:w="1126"/>
        <w:gridCol w:w="689"/>
        <w:gridCol w:w="855"/>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935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pPr>
            <w:r>
              <w:rPr>
                <w:rFonts w:hint="eastAsia" w:ascii="仿宋" w:hAnsi="仿宋" w:cs="仿宋"/>
                <w:szCs w:val="21"/>
              </w:rPr>
              <w:t>包号/序号：001/4</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产品名称：冰面救援滑板</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数量：50（个）</w:t>
            </w:r>
          </w:p>
          <w:p>
            <w:pPr>
              <w:tabs>
                <w:tab w:val="left" w:pos="0"/>
              </w:tabs>
              <w:adjustRightInd w:val="0"/>
              <w:snapToGrid w:val="0"/>
              <w:rPr>
                <w:rFonts w:ascii="仿宋" w:hAnsi="仿宋" w:cs="仿宋"/>
                <w:szCs w:val="21"/>
              </w:rPr>
            </w:pPr>
            <w:r>
              <w:rPr>
                <w:rFonts w:hint="eastAsia" w:ascii="仿宋" w:hAnsi="仿宋" w:cs="仿宋"/>
                <w:szCs w:val="21"/>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招标文件要求</w:t>
            </w:r>
          </w:p>
          <w:p>
            <w:pPr>
              <w:snapToGrid w:val="0"/>
              <w:ind w:hanging="1"/>
              <w:rPr>
                <w:rFonts w:ascii="仿宋" w:hAnsi="仿宋" w:cs="仿宋"/>
                <w:b/>
                <w:szCs w:val="21"/>
              </w:rPr>
            </w:pPr>
            <w:r>
              <w:rPr>
                <w:rFonts w:hint="eastAsia" w:ascii="仿宋" w:hAnsi="仿宋" w:cs="仿宋"/>
                <w:b/>
                <w:sz w:val="18"/>
                <w:szCs w:val="18"/>
              </w:rPr>
              <w:t>重要提示：实质性要求及重要指标用★标注（“★”必须标注在序号前），★标注项不得负偏离，如果负偏离，则投标文件无效。</w:t>
            </w:r>
          </w:p>
        </w:tc>
        <w:tc>
          <w:tcPr>
            <w:tcW w:w="10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投标文件</w:t>
            </w:r>
          </w:p>
          <w:p>
            <w:pPr>
              <w:tabs>
                <w:tab w:val="left" w:pos="0"/>
              </w:tabs>
              <w:snapToGrid w:val="0"/>
              <w:jc w:val="center"/>
              <w:rPr>
                <w:rFonts w:ascii="仿宋" w:hAnsi="仿宋" w:cs="仿宋"/>
                <w:kern w:val="0"/>
                <w:szCs w:val="21"/>
              </w:rPr>
            </w:pPr>
            <w:r>
              <w:rPr>
                <w:rFonts w:hint="eastAsia" w:ascii="仿宋" w:hAnsi="仿宋" w:cs="仿宋"/>
                <w:szCs w:val="21"/>
              </w:rPr>
              <w:t>响应内容</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偏离程度</w:t>
            </w: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偏离说明</w:t>
            </w: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szCs w:val="21"/>
              </w:rPr>
            </w:pPr>
            <w:r>
              <w:rPr>
                <w:rFonts w:hint="eastAsia" w:ascii="仿宋" w:hAnsi="仿宋" w:cs="仿宋"/>
                <w:szCs w:val="21"/>
              </w:rPr>
              <w:t>证明</w:t>
            </w:r>
          </w:p>
          <w:p>
            <w:pPr>
              <w:tabs>
                <w:tab w:val="left" w:pos="0"/>
              </w:tabs>
              <w:snapToGrid w:val="0"/>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
              </w:rPr>
            </w:pPr>
            <w:r>
              <w:rPr>
                <w:rFonts w:ascii="仿宋" w:hAnsi="仿宋" w:cs="仿宋"/>
              </w:rPr>
              <w:t>一、实质性要求（★）</w:t>
            </w:r>
          </w:p>
          <w:p>
            <w:pPr>
              <w:adjustRightInd w:val="0"/>
              <w:snapToGrid w:val="0"/>
              <w:ind w:right="105" w:rightChars="50"/>
              <w:jc w:val="left"/>
              <w:rPr>
                <w:rFonts w:ascii="仿宋" w:hAnsi="仿宋" w:cs="仿宋"/>
              </w:rPr>
            </w:pPr>
            <w:r>
              <w:rPr>
                <w:rFonts w:ascii="仿宋" w:hAnsi="仿宋" w:cs="仿宋"/>
              </w:rPr>
              <w:t>★1、应一体成型，而非多层压制。</w:t>
            </w:r>
          </w:p>
          <w:p>
            <w:pPr>
              <w:adjustRightInd w:val="0"/>
              <w:snapToGrid w:val="0"/>
              <w:ind w:right="105" w:rightChars="50"/>
              <w:jc w:val="left"/>
              <w:rPr>
                <w:rFonts w:ascii="仿宋" w:hAnsi="仿宋" w:cs="仿宋"/>
              </w:rPr>
            </w:pPr>
            <w:r>
              <w:rPr>
                <w:rFonts w:ascii="仿宋" w:hAnsi="仿宋" w:cs="仿宋"/>
              </w:rPr>
              <w:t>★2、材质应完全不吸水，表面做疏水处理，底部安装防护装甲，防撞耐磨抗穿刺</w:t>
            </w:r>
          </w:p>
          <w:p>
            <w:pPr>
              <w:adjustRightInd w:val="0"/>
              <w:snapToGrid w:val="0"/>
              <w:ind w:right="105" w:rightChars="50"/>
              <w:jc w:val="left"/>
              <w:rPr>
                <w:rFonts w:ascii="仿宋" w:hAnsi="仿宋" w:cs="仿宋"/>
              </w:rPr>
            </w:pPr>
            <w:r>
              <w:rPr>
                <w:rFonts w:ascii="仿宋" w:hAnsi="仿宋" w:cs="仿宋"/>
              </w:rPr>
              <w:t>★3、采用或优于EVA（常见的塑料材质）泡沫材料，底部是光滑面、正面有防滑面。</w:t>
            </w:r>
          </w:p>
          <w:p>
            <w:pPr>
              <w:adjustRightInd w:val="0"/>
              <w:snapToGrid w:val="0"/>
              <w:ind w:right="105" w:rightChars="50"/>
              <w:jc w:val="left"/>
              <w:rPr>
                <w:rFonts w:ascii="仿宋" w:hAnsi="仿宋" w:cs="仿宋"/>
              </w:rPr>
            </w:pPr>
            <w:r>
              <w:rPr>
                <w:rFonts w:ascii="仿宋" w:hAnsi="仿宋" w:cs="仿宋"/>
              </w:rPr>
              <w:t>★4、根据采购单位要求，安装符合《消防装备物资物联网标识管理》规定的二维码和RFID标签，（车辆或器材）在交付前须完成部局系统赋码工作，确保一物一码。</w:t>
            </w:r>
          </w:p>
          <w:p>
            <w:pPr>
              <w:adjustRightInd w:val="0"/>
              <w:snapToGrid w:val="0"/>
              <w:ind w:right="105" w:rightChars="50"/>
              <w:jc w:val="left"/>
              <w:rPr>
                <w:rFonts w:ascii="仿宋" w:hAnsi="仿宋" w:cs="仿宋"/>
              </w:rPr>
            </w:pPr>
            <w:r>
              <w:rPr>
                <w:rFonts w:hint="eastAsia" w:ascii="仿宋" w:hAnsi="仿宋" w:cs="仿宋"/>
              </w:rPr>
              <w:t>二、</w:t>
            </w:r>
            <w:r>
              <w:rPr>
                <w:rFonts w:ascii="仿宋" w:hAnsi="仿宋" w:cs="仿宋"/>
              </w:rPr>
              <w:t>一般指标性参数（●）</w:t>
            </w:r>
          </w:p>
          <w:p>
            <w:pPr>
              <w:adjustRightInd w:val="0"/>
              <w:snapToGrid w:val="0"/>
              <w:ind w:right="105" w:rightChars="50"/>
              <w:jc w:val="left"/>
              <w:rPr>
                <w:rFonts w:ascii="仿宋" w:hAnsi="仿宋" w:cs="仿宋"/>
              </w:rPr>
            </w:pPr>
            <w:r>
              <w:rPr>
                <w:rFonts w:ascii="仿宋" w:hAnsi="仿宋" w:cs="仿宋"/>
              </w:rPr>
              <w:t>1、可折叠存放</w:t>
            </w:r>
          </w:p>
          <w:p>
            <w:pPr>
              <w:adjustRightInd w:val="0"/>
              <w:snapToGrid w:val="0"/>
              <w:ind w:right="105" w:rightChars="50"/>
              <w:jc w:val="left"/>
              <w:rPr>
                <w:rFonts w:ascii="仿宋" w:hAnsi="仿宋" w:cs="仿宋"/>
              </w:rPr>
            </w:pPr>
            <w:r>
              <w:rPr>
                <w:rFonts w:ascii="仿宋" w:hAnsi="仿宋" w:cs="仿宋"/>
              </w:rPr>
              <w:t>2、水上漂浮载重≥150kg不沉没。</w:t>
            </w:r>
          </w:p>
          <w:p>
            <w:pPr>
              <w:adjustRightInd w:val="0"/>
              <w:snapToGrid w:val="0"/>
              <w:ind w:right="105" w:rightChars="50"/>
              <w:jc w:val="left"/>
              <w:rPr>
                <w:rFonts w:ascii="仿宋" w:hAnsi="仿宋" w:cs="仿宋"/>
              </w:rPr>
            </w:pPr>
            <w:r>
              <w:rPr>
                <w:rFonts w:ascii="仿宋" w:hAnsi="仿宋" w:cs="仿宋"/>
              </w:rPr>
              <w:t>3、自身重量≤15kg。</w:t>
            </w:r>
          </w:p>
          <w:p>
            <w:pPr>
              <w:adjustRightInd w:val="0"/>
              <w:snapToGrid w:val="0"/>
              <w:ind w:right="105" w:rightChars="50"/>
              <w:jc w:val="left"/>
              <w:rPr>
                <w:rFonts w:ascii="仿宋" w:hAnsi="仿宋" w:cs="仿宋"/>
              </w:rPr>
            </w:pPr>
            <w:r>
              <w:rPr>
                <w:rFonts w:ascii="仿宋" w:hAnsi="仿宋" w:cs="仿宋"/>
              </w:rPr>
              <w:t>4、把手长度：25cm±2cm</w:t>
            </w:r>
          </w:p>
          <w:p>
            <w:pPr>
              <w:adjustRightInd w:val="0"/>
              <w:snapToGrid w:val="0"/>
              <w:ind w:right="105" w:rightChars="50"/>
              <w:jc w:val="left"/>
              <w:rPr>
                <w:rFonts w:ascii="仿宋" w:hAnsi="仿宋" w:cs="仿宋"/>
              </w:rPr>
            </w:pPr>
            <w:r>
              <w:rPr>
                <w:rFonts w:ascii="仿宋" w:hAnsi="仿宋" w:cs="仿宋"/>
              </w:rPr>
              <w:t>5、带有≥4个救生拉手。</w:t>
            </w:r>
          </w:p>
          <w:p>
            <w:pPr>
              <w:adjustRightInd w:val="0"/>
              <w:snapToGrid w:val="0"/>
              <w:ind w:right="105" w:rightChars="50"/>
              <w:jc w:val="left"/>
              <w:rPr>
                <w:rFonts w:ascii="仿宋" w:hAnsi="仿宋" w:cs="仿宋"/>
              </w:rPr>
            </w:pPr>
            <w:r>
              <w:rPr>
                <w:rFonts w:ascii="仿宋" w:hAnsi="仿宋" w:cs="仿宋"/>
              </w:rPr>
              <w:t>6、前段不少于4个挂绳孔和牵引拉绳。</w:t>
            </w:r>
          </w:p>
          <w:p>
            <w:pPr>
              <w:adjustRightInd w:val="0"/>
              <w:snapToGrid w:val="0"/>
              <w:ind w:right="105" w:rightChars="50"/>
              <w:jc w:val="left"/>
              <w:rPr>
                <w:rFonts w:ascii="仿宋" w:hAnsi="仿宋" w:cs="仿宋"/>
              </w:rPr>
            </w:pPr>
            <w:r>
              <w:rPr>
                <w:rFonts w:ascii="仿宋" w:hAnsi="仿宋" w:cs="仿宋"/>
              </w:rPr>
              <w:t>7、拉绳配有保护扣，可配合水上摩托艇等机动救援器材方便动力牵引救起多名落水人员</w:t>
            </w:r>
          </w:p>
          <w:p>
            <w:pPr>
              <w:adjustRightInd w:val="0"/>
              <w:snapToGrid w:val="0"/>
              <w:ind w:right="105" w:rightChars="50"/>
              <w:jc w:val="left"/>
              <w:rPr>
                <w:rFonts w:ascii="仿宋" w:hAnsi="仿宋" w:cs="仿宋"/>
              </w:rPr>
            </w:pPr>
            <w:r>
              <w:rPr>
                <w:rFonts w:ascii="仿宋" w:hAnsi="仿宋" w:cs="仿宋"/>
              </w:rPr>
              <w:t>8、漂浮板尺寸：不小于170cm*85cm*15cm；</w:t>
            </w:r>
          </w:p>
          <w:p>
            <w:pPr>
              <w:adjustRightInd w:val="0"/>
              <w:snapToGrid w:val="0"/>
              <w:ind w:right="105" w:rightChars="50"/>
              <w:jc w:val="left"/>
              <w:rPr>
                <w:rFonts w:ascii="仿宋" w:hAnsi="仿宋" w:cs="仿宋"/>
              </w:rPr>
            </w:pPr>
            <w:r>
              <w:rPr>
                <w:rFonts w:ascii="仿宋" w:hAnsi="仿宋" w:cs="仿宋"/>
              </w:rPr>
              <w:t>9、配件: 手动打气筒，包，维修筒</w:t>
            </w:r>
          </w:p>
          <w:p>
            <w:pPr>
              <w:adjustRightInd w:val="0"/>
              <w:snapToGrid w:val="0"/>
              <w:ind w:right="105" w:rightChars="50"/>
              <w:jc w:val="left"/>
              <w:rPr>
                <w:rFonts w:ascii="仿宋" w:hAnsi="仿宋" w:cs="仿宋"/>
              </w:rPr>
            </w:pPr>
            <w:r>
              <w:rPr>
                <w:rFonts w:ascii="仿宋" w:hAnsi="仿宋" w:cs="仿宋"/>
              </w:rPr>
              <w:t>10、正面顶端带有两个冰锥，方便救援人员在冰面上滑行；</w:t>
            </w:r>
          </w:p>
          <w:p>
            <w:pPr>
              <w:adjustRightInd w:val="0"/>
              <w:snapToGrid w:val="0"/>
              <w:ind w:right="105" w:rightChars="50"/>
              <w:jc w:val="left"/>
              <w:rPr>
                <w:rFonts w:ascii="仿宋" w:hAnsi="仿宋" w:cs="仿宋"/>
              </w:rPr>
            </w:pPr>
            <w:r>
              <w:rPr>
                <w:rFonts w:ascii="仿宋" w:hAnsi="仿宋" w:cs="仿宋"/>
              </w:rPr>
              <w:t>11、颜色：颜色以显目为主。</w:t>
            </w:r>
          </w:p>
          <w:p>
            <w:pPr>
              <w:adjustRightInd w:val="0"/>
              <w:snapToGrid w:val="0"/>
              <w:ind w:right="105" w:rightChars="50"/>
              <w:jc w:val="left"/>
              <w:rPr>
                <w:rFonts w:ascii="仿宋" w:hAnsi="仿宋" w:cs="仿宋"/>
              </w:rPr>
            </w:pPr>
            <w:r>
              <w:rPr>
                <w:rFonts w:ascii="仿宋" w:hAnsi="仿宋" w:cs="仿宋"/>
              </w:rPr>
              <w:t>12、充气装置设单向阀，可防止因误操作导致漏气</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
                <w:kern w:val="0"/>
                <w:szCs w:val="21"/>
              </w:rPr>
            </w:pP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kern w:val="0"/>
                <w:szCs w:val="21"/>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szCs w:val="21"/>
              </w:rPr>
            </w:pPr>
            <w:r>
              <w:rPr>
                <w:rFonts w:hint="eastAsia" w:ascii="仿宋" w:hAnsi="仿宋" w:cs="仿宋"/>
                <w:szCs w:val="21"/>
              </w:rPr>
              <w:t>其它</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ascii="仿宋" w:hAnsi="仿宋" w:cs="仿宋"/>
                <w:kern w:val="0"/>
                <w:szCs w:val="21"/>
              </w:rPr>
            </w:pPr>
            <w:r>
              <w:rPr>
                <w:rFonts w:hint="eastAsia" w:ascii="仿宋" w:hAnsi="仿宋" w:cs="仿宋"/>
                <w:szCs w:val="21"/>
              </w:rPr>
              <w:t>采购人未提供需求而供应商认为需说明及补充的内容在此填列</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r>
    </w:tbl>
    <w:p/>
    <w:tbl>
      <w:tblPr>
        <w:tblStyle w:val="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0"/>
        <w:gridCol w:w="1126"/>
        <w:gridCol w:w="689"/>
        <w:gridCol w:w="855"/>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blHeader/>
          <w:jc w:val="center"/>
        </w:trPr>
        <w:tc>
          <w:tcPr>
            <w:tcW w:w="935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pPr>
            <w:r>
              <w:rPr>
                <w:rFonts w:hint="eastAsia" w:ascii="仿宋" w:hAnsi="仿宋" w:cs="仿宋"/>
                <w:szCs w:val="21"/>
              </w:rPr>
              <w:t>包号/序号：001/5</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产品名称：冰面行动辅助套装</w:t>
            </w:r>
          </w:p>
          <w:p>
            <w:pPr>
              <w:pStyle w:val="19"/>
              <w:widowControl w:val="0"/>
              <w:adjustRightInd w:val="0"/>
              <w:snapToGrid w:val="0"/>
              <w:spacing w:before="0" w:beforeAutospacing="0" w:after="0" w:afterAutospacing="0"/>
              <w:jc w:val="both"/>
              <w:rPr>
                <w:rFonts w:ascii="仿宋" w:hAnsi="仿宋" w:eastAsia="仿宋" w:cs="仿宋"/>
                <w:kern w:val="2"/>
                <w:sz w:val="21"/>
                <w:szCs w:val="21"/>
              </w:rPr>
            </w:pPr>
            <w:r>
              <w:rPr>
                <w:rFonts w:hint="eastAsia" w:ascii="仿宋" w:hAnsi="仿宋" w:eastAsia="仿宋" w:cs="仿宋"/>
                <w:kern w:val="2"/>
                <w:sz w:val="21"/>
                <w:szCs w:val="21"/>
              </w:rPr>
              <w:t>数量：150（套）</w:t>
            </w:r>
          </w:p>
          <w:p>
            <w:pPr>
              <w:tabs>
                <w:tab w:val="left" w:pos="0"/>
              </w:tabs>
              <w:adjustRightInd w:val="0"/>
              <w:snapToGrid w:val="0"/>
              <w:rPr>
                <w:rFonts w:ascii="仿宋" w:hAnsi="仿宋" w:cs="仿宋"/>
                <w:szCs w:val="21"/>
              </w:rPr>
            </w:pPr>
            <w:r>
              <w:rPr>
                <w:rFonts w:hint="eastAsia" w:ascii="仿宋" w:hAnsi="仿宋" w:cs="仿宋"/>
                <w:szCs w:val="21"/>
              </w:rPr>
              <w:t>是否为经过审批采购的进口产品：否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blHeader/>
          <w:jc w:val="center"/>
        </w:trPr>
        <w:tc>
          <w:tcPr>
            <w:tcW w:w="599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招标文件要求</w:t>
            </w:r>
          </w:p>
          <w:p>
            <w:pPr>
              <w:snapToGrid w:val="0"/>
              <w:ind w:hanging="1"/>
              <w:rPr>
                <w:rFonts w:ascii="仿宋" w:hAnsi="仿宋" w:cs="仿宋"/>
                <w:b/>
                <w:szCs w:val="21"/>
              </w:rPr>
            </w:pPr>
            <w:r>
              <w:rPr>
                <w:rFonts w:hint="eastAsia" w:ascii="仿宋" w:hAnsi="仿宋" w:cs="仿宋"/>
                <w:b/>
                <w:sz w:val="18"/>
                <w:szCs w:val="18"/>
              </w:rPr>
              <w:t>重要提示：实质性要求及重要指标用★标注（“★”必须标注在序号前），★标注项不得负偏离，如果负偏离，则投标文件无效。</w:t>
            </w:r>
          </w:p>
        </w:tc>
        <w:tc>
          <w:tcPr>
            <w:tcW w:w="1093"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cs="仿宋"/>
                <w:szCs w:val="21"/>
              </w:rPr>
            </w:pPr>
            <w:r>
              <w:rPr>
                <w:rFonts w:hint="eastAsia" w:ascii="仿宋" w:hAnsi="仿宋" w:cs="仿宋"/>
                <w:szCs w:val="21"/>
              </w:rPr>
              <w:t>投标文件</w:t>
            </w:r>
          </w:p>
          <w:p>
            <w:pPr>
              <w:tabs>
                <w:tab w:val="left" w:pos="0"/>
              </w:tabs>
              <w:snapToGrid w:val="0"/>
              <w:jc w:val="center"/>
              <w:rPr>
                <w:rFonts w:ascii="仿宋" w:hAnsi="仿宋" w:cs="仿宋"/>
                <w:kern w:val="0"/>
                <w:szCs w:val="21"/>
              </w:rPr>
            </w:pPr>
            <w:r>
              <w:rPr>
                <w:rFonts w:hint="eastAsia" w:ascii="仿宋" w:hAnsi="仿宋" w:cs="仿宋"/>
                <w:szCs w:val="21"/>
              </w:rPr>
              <w:t>响应内容</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偏离程度</w:t>
            </w: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szCs w:val="21"/>
              </w:rPr>
              <w:t>偏离说明</w:t>
            </w: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szCs w:val="21"/>
              </w:rPr>
            </w:pPr>
            <w:r>
              <w:rPr>
                <w:rFonts w:hint="eastAsia" w:ascii="仿宋" w:hAnsi="仿宋" w:cs="仿宋"/>
                <w:szCs w:val="21"/>
              </w:rPr>
              <w:t>证明</w:t>
            </w:r>
          </w:p>
          <w:p>
            <w:pPr>
              <w:tabs>
                <w:tab w:val="left" w:pos="0"/>
              </w:tabs>
              <w:snapToGrid w:val="0"/>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ascii="仿宋" w:hAnsi="仿宋" w:cs="仿宋"/>
              </w:rPr>
            </w:pPr>
            <w:r>
              <w:rPr>
                <w:rFonts w:ascii="仿宋" w:hAnsi="仿宋" w:cs="仿宋"/>
              </w:rPr>
              <w:t>一、实质性要求（★）</w:t>
            </w:r>
          </w:p>
          <w:p>
            <w:pPr>
              <w:adjustRightInd w:val="0"/>
              <w:snapToGrid w:val="0"/>
              <w:ind w:right="105" w:rightChars="50"/>
              <w:jc w:val="left"/>
              <w:rPr>
                <w:rFonts w:ascii="仿宋" w:hAnsi="仿宋" w:cs="仿宋"/>
              </w:rPr>
            </w:pPr>
            <w:r>
              <w:rPr>
                <w:rFonts w:ascii="仿宋" w:hAnsi="仿宋" w:cs="仿宋"/>
              </w:rPr>
              <w:t>★1、冰面行动辅助套装包含：冰爪1副、爬行辅助器（冰锥）1对、冰镐1把、冰锚1副。</w:t>
            </w:r>
          </w:p>
          <w:p>
            <w:pPr>
              <w:adjustRightInd w:val="0"/>
              <w:snapToGrid w:val="0"/>
              <w:ind w:right="105" w:rightChars="50"/>
              <w:jc w:val="left"/>
              <w:rPr>
                <w:rFonts w:ascii="仿宋" w:hAnsi="仿宋" w:cs="仿宋"/>
              </w:rPr>
            </w:pPr>
            <w:r>
              <w:rPr>
                <w:rFonts w:ascii="仿宋" w:hAnsi="仿宋" w:cs="仿宋"/>
              </w:rPr>
              <w:t>★2、根据采购单位要求，安装符合《消防装备物资物联网标识管理》规定的二维码和RFID标签，器材在交付前须完成部局系统赋码工作，确保一物一码。</w:t>
            </w:r>
          </w:p>
          <w:p>
            <w:pPr>
              <w:adjustRightInd w:val="0"/>
              <w:snapToGrid w:val="0"/>
              <w:ind w:right="105" w:rightChars="50"/>
              <w:jc w:val="left"/>
              <w:rPr>
                <w:rFonts w:ascii="仿宋" w:hAnsi="仿宋" w:cs="仿宋"/>
              </w:rPr>
            </w:pPr>
            <w:r>
              <w:rPr>
                <w:rFonts w:hint="eastAsia" w:ascii="仿宋" w:hAnsi="仿宋" w:cs="仿宋"/>
              </w:rPr>
              <w:t>二、</w:t>
            </w:r>
            <w:r>
              <w:rPr>
                <w:rFonts w:ascii="仿宋" w:hAnsi="仿宋" w:cs="仿宋"/>
              </w:rPr>
              <w:t>一般指标性参数（●）</w:t>
            </w:r>
          </w:p>
          <w:p>
            <w:pPr>
              <w:adjustRightInd w:val="0"/>
              <w:snapToGrid w:val="0"/>
              <w:ind w:right="105" w:rightChars="50"/>
              <w:jc w:val="left"/>
              <w:rPr>
                <w:rFonts w:ascii="仿宋" w:hAnsi="仿宋" w:cs="仿宋"/>
              </w:rPr>
            </w:pPr>
            <w:r>
              <w:rPr>
                <w:rFonts w:ascii="仿宋" w:hAnsi="仿宋" w:cs="仿宋"/>
              </w:rPr>
              <w:t>1、冰爪</w:t>
            </w:r>
          </w:p>
          <w:p>
            <w:pPr>
              <w:adjustRightInd w:val="0"/>
              <w:snapToGrid w:val="0"/>
              <w:ind w:right="105" w:rightChars="50"/>
              <w:jc w:val="left"/>
              <w:rPr>
                <w:rFonts w:ascii="仿宋" w:hAnsi="仿宋" w:cs="仿宋"/>
              </w:rPr>
            </w:pPr>
            <w:r>
              <w:rPr>
                <w:rFonts w:ascii="仿宋" w:hAnsi="仿宋" w:cs="仿宋"/>
              </w:rPr>
              <w:t>（1）方便拆卸，可以配合不同型号的专业靴使用；</w:t>
            </w:r>
          </w:p>
          <w:p>
            <w:pPr>
              <w:adjustRightInd w:val="0"/>
              <w:snapToGrid w:val="0"/>
              <w:ind w:right="105" w:rightChars="50"/>
              <w:jc w:val="left"/>
              <w:rPr>
                <w:rFonts w:ascii="仿宋" w:hAnsi="仿宋" w:cs="仿宋"/>
              </w:rPr>
            </w:pPr>
            <w:r>
              <w:rPr>
                <w:rFonts w:ascii="仿宋" w:hAnsi="仿宋" w:cs="仿宋"/>
              </w:rPr>
              <w:t>（2）带阻雪板，光滑有弹性，不粘冰雪，不易在硬地打滑；</w:t>
            </w:r>
          </w:p>
          <w:p>
            <w:pPr>
              <w:adjustRightInd w:val="0"/>
              <w:snapToGrid w:val="0"/>
              <w:ind w:right="105" w:rightChars="50"/>
              <w:jc w:val="left"/>
              <w:rPr>
                <w:rFonts w:ascii="仿宋" w:hAnsi="仿宋" w:cs="仿宋"/>
              </w:rPr>
            </w:pPr>
            <w:r>
              <w:rPr>
                <w:rFonts w:ascii="仿宋" w:hAnsi="仿宋" w:cs="仿宋"/>
              </w:rPr>
              <w:t>（3）兼容全卡和半卡功能，可以调节单个前齿和双个前齿结构；</w:t>
            </w:r>
          </w:p>
          <w:p>
            <w:pPr>
              <w:adjustRightInd w:val="0"/>
              <w:snapToGrid w:val="0"/>
              <w:ind w:right="105" w:rightChars="50"/>
              <w:jc w:val="left"/>
              <w:rPr>
                <w:rFonts w:ascii="仿宋" w:hAnsi="仿宋" w:cs="仿宋"/>
              </w:rPr>
            </w:pPr>
            <w:r>
              <w:rPr>
                <w:rFonts w:ascii="仿宋" w:hAnsi="仿宋" w:cs="仿宋"/>
              </w:rPr>
              <w:t>（4）可拆卸的立式前齿便于踩在微小的岩石边棱上，细小的岩缝，或者蹬踏在薄冰上；中央金属片可调节，跟部塑料件可微调；</w:t>
            </w:r>
          </w:p>
          <w:p>
            <w:pPr>
              <w:adjustRightInd w:val="0"/>
              <w:snapToGrid w:val="0"/>
              <w:ind w:right="105" w:rightChars="50"/>
              <w:jc w:val="left"/>
              <w:rPr>
                <w:rFonts w:ascii="仿宋" w:hAnsi="仿宋" w:cs="仿宋"/>
              </w:rPr>
            </w:pPr>
            <w:r>
              <w:rPr>
                <w:rFonts w:ascii="仿宋" w:hAnsi="仿宋" w:cs="仿宋"/>
              </w:rPr>
              <w:t>（5）重量：≤1500g；</w:t>
            </w:r>
          </w:p>
          <w:p>
            <w:pPr>
              <w:adjustRightInd w:val="0"/>
              <w:snapToGrid w:val="0"/>
              <w:ind w:right="105" w:rightChars="50"/>
              <w:jc w:val="left"/>
              <w:rPr>
                <w:rFonts w:ascii="仿宋" w:hAnsi="仿宋" w:cs="仿宋"/>
              </w:rPr>
            </w:pPr>
            <w:r>
              <w:rPr>
                <w:rFonts w:ascii="仿宋" w:hAnsi="仿宋" w:cs="仿宋"/>
              </w:rPr>
              <w:t>2、冰镐</w:t>
            </w:r>
          </w:p>
          <w:p>
            <w:pPr>
              <w:adjustRightInd w:val="0"/>
              <w:snapToGrid w:val="0"/>
              <w:ind w:right="105" w:rightChars="50"/>
              <w:jc w:val="left"/>
              <w:rPr>
                <w:rFonts w:ascii="仿宋" w:hAnsi="仿宋" w:cs="仿宋"/>
              </w:rPr>
            </w:pPr>
            <w:r>
              <w:rPr>
                <w:rFonts w:ascii="仿宋" w:hAnsi="仿宋" w:cs="仿宋"/>
              </w:rPr>
              <w:t>（1）或优于航空铝材质,镐身采用热锻铝镁合金材质；</w:t>
            </w:r>
          </w:p>
          <w:p>
            <w:pPr>
              <w:adjustRightInd w:val="0"/>
              <w:snapToGrid w:val="0"/>
              <w:ind w:right="105" w:rightChars="50"/>
              <w:jc w:val="left"/>
              <w:rPr>
                <w:rFonts w:ascii="仿宋" w:hAnsi="仿宋" w:cs="仿宋"/>
              </w:rPr>
            </w:pPr>
            <w:r>
              <w:rPr>
                <w:rFonts w:ascii="仿宋" w:hAnsi="仿宋" w:cs="仿宋"/>
              </w:rPr>
              <w:t>（2）镐柄带有仿脱手卡位器；</w:t>
            </w:r>
          </w:p>
          <w:p>
            <w:pPr>
              <w:adjustRightInd w:val="0"/>
              <w:snapToGrid w:val="0"/>
              <w:ind w:right="105" w:rightChars="50"/>
              <w:jc w:val="left"/>
              <w:rPr>
                <w:rFonts w:ascii="仿宋" w:hAnsi="仿宋" w:cs="仿宋"/>
              </w:rPr>
            </w:pPr>
            <w:r>
              <w:rPr>
                <w:rFonts w:ascii="仿宋" w:hAnsi="仿宋" w:cs="仿宋"/>
              </w:rPr>
              <w:t>（3）手柄有防滑处理，弯曲镐柄，能让攀冰或混合地形时更轻松；</w:t>
            </w:r>
          </w:p>
          <w:p>
            <w:pPr>
              <w:adjustRightInd w:val="0"/>
              <w:snapToGrid w:val="0"/>
              <w:ind w:right="105" w:rightChars="50"/>
              <w:jc w:val="left"/>
              <w:rPr>
                <w:rFonts w:ascii="仿宋" w:hAnsi="仿宋" w:cs="仿宋"/>
              </w:rPr>
            </w:pPr>
            <w:r>
              <w:rPr>
                <w:rFonts w:ascii="仿宋" w:hAnsi="仿宋" w:cs="仿宋"/>
              </w:rPr>
              <w:t>（4）底部直镐身，更轻松穿透雪；</w:t>
            </w:r>
          </w:p>
          <w:p>
            <w:pPr>
              <w:adjustRightInd w:val="0"/>
              <w:snapToGrid w:val="0"/>
              <w:ind w:right="105" w:rightChars="50"/>
              <w:jc w:val="left"/>
              <w:rPr>
                <w:rFonts w:ascii="仿宋" w:hAnsi="仿宋" w:cs="仿宋"/>
              </w:rPr>
            </w:pPr>
            <w:r>
              <w:rPr>
                <w:rFonts w:ascii="仿宋" w:hAnsi="仿宋" w:cs="仿宋"/>
              </w:rPr>
              <w:t>（5）长度≥50cm；</w:t>
            </w:r>
          </w:p>
          <w:p>
            <w:pPr>
              <w:adjustRightInd w:val="0"/>
              <w:snapToGrid w:val="0"/>
              <w:ind w:right="105" w:rightChars="50"/>
              <w:jc w:val="left"/>
              <w:rPr>
                <w:rFonts w:ascii="仿宋" w:hAnsi="仿宋" w:cs="仿宋"/>
              </w:rPr>
            </w:pPr>
            <w:r>
              <w:rPr>
                <w:rFonts w:ascii="仿宋" w:hAnsi="仿宋" w:cs="仿宋"/>
              </w:rPr>
              <w:t>（6）重量：≤800g；</w:t>
            </w:r>
          </w:p>
          <w:p>
            <w:pPr>
              <w:adjustRightInd w:val="0"/>
              <w:snapToGrid w:val="0"/>
              <w:ind w:right="105" w:rightChars="50"/>
              <w:jc w:val="left"/>
              <w:rPr>
                <w:rFonts w:ascii="仿宋" w:hAnsi="仿宋" w:cs="仿宋"/>
              </w:rPr>
            </w:pPr>
            <w:r>
              <w:rPr>
                <w:rFonts w:ascii="仿宋" w:hAnsi="仿宋" w:cs="仿宋"/>
              </w:rPr>
              <w:t>3、冰锚</w:t>
            </w:r>
          </w:p>
          <w:p>
            <w:pPr>
              <w:adjustRightInd w:val="0"/>
              <w:snapToGrid w:val="0"/>
              <w:ind w:right="105" w:rightChars="50"/>
              <w:jc w:val="left"/>
              <w:rPr>
                <w:rFonts w:ascii="仿宋" w:hAnsi="仿宋" w:cs="仿宋"/>
              </w:rPr>
            </w:pPr>
            <w:r>
              <w:rPr>
                <w:rFonts w:ascii="仿宋" w:hAnsi="仿宋" w:cs="仿宋"/>
              </w:rPr>
              <w:t>（1）或优于航空铝材质；</w:t>
            </w:r>
          </w:p>
          <w:p>
            <w:pPr>
              <w:adjustRightInd w:val="0"/>
              <w:snapToGrid w:val="0"/>
              <w:ind w:right="105" w:rightChars="50"/>
              <w:jc w:val="left"/>
              <w:rPr>
                <w:rFonts w:ascii="仿宋" w:hAnsi="仿宋" w:cs="仿宋"/>
              </w:rPr>
            </w:pPr>
            <w:r>
              <w:rPr>
                <w:rFonts w:ascii="仿宋" w:hAnsi="仿宋" w:cs="仿宋"/>
              </w:rPr>
              <w:t>（2）自身带有孔洞，可以连接绳索或钢缆使用；</w:t>
            </w:r>
          </w:p>
          <w:p>
            <w:pPr>
              <w:adjustRightInd w:val="0"/>
              <w:snapToGrid w:val="0"/>
              <w:ind w:right="105" w:rightChars="50"/>
              <w:jc w:val="left"/>
              <w:rPr>
                <w:rFonts w:ascii="仿宋" w:hAnsi="仿宋" w:cs="仿宋"/>
              </w:rPr>
            </w:pPr>
            <w:r>
              <w:rPr>
                <w:rFonts w:ascii="仿宋" w:hAnsi="仿宋" w:cs="仿宋"/>
              </w:rPr>
              <w:t>4.爬行辅助器（冰锥）</w:t>
            </w:r>
          </w:p>
          <w:p>
            <w:pPr>
              <w:adjustRightInd w:val="0"/>
              <w:snapToGrid w:val="0"/>
              <w:ind w:right="105" w:rightChars="50"/>
              <w:jc w:val="left"/>
              <w:rPr>
                <w:rFonts w:ascii="仿宋" w:hAnsi="仿宋" w:cs="仿宋"/>
              </w:rPr>
            </w:pPr>
            <w:r>
              <w:rPr>
                <w:rFonts w:ascii="仿宋" w:hAnsi="仿宋" w:cs="仿宋"/>
              </w:rPr>
              <w:t>（1）冰面救援爬行辅助器可以在冰面上寻找固定点，在保持身体冰面接触的同时可以快速移动身体；</w:t>
            </w:r>
          </w:p>
          <w:p>
            <w:pPr>
              <w:adjustRightInd w:val="0"/>
              <w:snapToGrid w:val="0"/>
              <w:ind w:right="105" w:rightChars="50"/>
              <w:jc w:val="left"/>
              <w:rPr>
                <w:rFonts w:ascii="仿宋" w:hAnsi="仿宋" w:cs="仿宋"/>
              </w:rPr>
            </w:pPr>
            <w:r>
              <w:rPr>
                <w:rFonts w:ascii="仿宋" w:hAnsi="仿宋" w:cs="仿宋"/>
              </w:rPr>
              <w:t>（2）把手中包含一个带有可伸缩的冰锥尖头，内有弹簧保护装置，受力才会弹出，不会误伤；</w:t>
            </w:r>
          </w:p>
          <w:p>
            <w:pPr>
              <w:adjustRightInd w:val="0"/>
              <w:snapToGrid w:val="0"/>
              <w:ind w:right="105" w:rightChars="50"/>
              <w:jc w:val="left"/>
              <w:rPr>
                <w:rFonts w:ascii="仿宋" w:hAnsi="仿宋" w:cs="仿宋"/>
              </w:rPr>
            </w:pPr>
            <w:r>
              <w:rPr>
                <w:rFonts w:ascii="仿宋" w:hAnsi="仿宋" w:cs="仿宋"/>
              </w:rPr>
              <w:t>（3）把手间采用挂绳链接，里面带有反光丝，在黑暗的环境下易于辨识；</w:t>
            </w:r>
          </w:p>
          <w:p>
            <w:pPr>
              <w:adjustRightInd w:val="0"/>
              <w:snapToGrid w:val="0"/>
              <w:ind w:right="105" w:rightChars="50"/>
              <w:jc w:val="left"/>
              <w:rPr>
                <w:rFonts w:ascii="仿宋" w:hAnsi="仿宋" w:cs="仿宋"/>
              </w:rPr>
            </w:pPr>
            <w:r>
              <w:rPr>
                <w:rFonts w:ascii="仿宋" w:hAnsi="仿宋" w:cs="仿宋"/>
              </w:rPr>
              <w:t>（4）底部设有锥齿能够快速咬合冰面并能轻松旋入，顶部设有速摇把手方便抓握，</w:t>
            </w:r>
          </w:p>
          <w:p>
            <w:pPr>
              <w:adjustRightInd w:val="0"/>
              <w:snapToGrid w:val="0"/>
              <w:ind w:right="105" w:rightChars="50"/>
              <w:jc w:val="left"/>
              <w:rPr>
                <w:rFonts w:ascii="仿宋" w:hAnsi="仿宋" w:cs="仿宋"/>
              </w:rPr>
            </w:pPr>
            <w:r>
              <w:rPr>
                <w:rFonts w:ascii="仿宋" w:hAnsi="仿宋" w:cs="仿宋"/>
              </w:rPr>
              <w:t>（5）开孔尺寸适应10-15mm绳索，</w:t>
            </w:r>
          </w:p>
          <w:p>
            <w:pPr>
              <w:adjustRightInd w:val="0"/>
              <w:snapToGrid w:val="0"/>
              <w:ind w:right="105" w:rightChars="50"/>
              <w:jc w:val="left"/>
              <w:rPr>
                <w:rFonts w:ascii="仿宋" w:hAnsi="仿宋" w:cs="仿宋"/>
              </w:rPr>
            </w:pPr>
            <w:r>
              <w:rPr>
                <w:rFonts w:ascii="仿宋" w:hAnsi="仿宋" w:cs="仿宋"/>
              </w:rPr>
              <w:t>（6）把手≥10cm；</w:t>
            </w:r>
          </w:p>
          <w:p>
            <w:pPr>
              <w:adjustRightInd w:val="0"/>
              <w:snapToGrid w:val="0"/>
              <w:ind w:right="105" w:rightChars="50"/>
              <w:jc w:val="left"/>
              <w:rPr>
                <w:rFonts w:ascii="仿宋" w:hAnsi="仿宋" w:cs="仿宋"/>
              </w:rPr>
            </w:pPr>
            <w:r>
              <w:rPr>
                <w:rFonts w:ascii="仿宋" w:hAnsi="仿宋" w:cs="仿宋"/>
              </w:rPr>
              <w:t>（7）冰面行动辅助套装配备背囊或背包等，便于单兵携行收纳工具；</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 w:hAnsi="仿宋" w:cs="仿宋"/>
                <w:kern w:val="0"/>
                <w:szCs w:val="21"/>
              </w:rPr>
            </w:pP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r>
              <w:rPr>
                <w:rFonts w:hint="eastAsia" w:ascii="仿宋" w:hAnsi="仿宋" w:cs="仿宋"/>
                <w:kern w:val="0"/>
                <w:szCs w:val="21"/>
              </w:rPr>
              <w:t>提供证明材料，在此标明证明材料所在页码即可。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97"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 w:hAnsi="仿宋" w:cs="仿宋"/>
                <w:szCs w:val="21"/>
              </w:rPr>
            </w:pPr>
            <w:r>
              <w:rPr>
                <w:rFonts w:hint="eastAsia" w:ascii="仿宋" w:hAnsi="仿宋" w:cs="仿宋"/>
                <w:szCs w:val="21"/>
              </w:rPr>
              <w:t>其它</w:t>
            </w:r>
          </w:p>
        </w:tc>
        <w:tc>
          <w:tcPr>
            <w:tcW w:w="1093"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5" w:rightChars="-26"/>
              <w:jc w:val="center"/>
              <w:rPr>
                <w:rFonts w:ascii="仿宋" w:hAnsi="仿宋" w:cs="仿宋"/>
                <w:kern w:val="0"/>
                <w:szCs w:val="21"/>
              </w:rPr>
            </w:pPr>
            <w:r>
              <w:rPr>
                <w:rFonts w:hint="eastAsia" w:ascii="仿宋" w:hAnsi="仿宋" w:cs="仿宋"/>
                <w:szCs w:val="21"/>
              </w:rPr>
              <w:t>采购人未提供需求而供应商认为需说明及补充的内容在此填列</w:t>
            </w:r>
          </w:p>
        </w:tc>
        <w:tc>
          <w:tcPr>
            <w:tcW w:w="669"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830"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c>
          <w:tcPr>
            <w:tcW w:w="765" w:type="dxa"/>
            <w:tcBorders>
              <w:top w:val="single" w:color="auto" w:sz="4" w:space="0"/>
              <w:left w:val="single" w:color="auto" w:sz="4" w:space="0"/>
              <w:bottom w:val="single" w:color="auto" w:sz="4" w:space="0"/>
              <w:right w:val="single" w:color="auto" w:sz="4" w:space="0"/>
            </w:tcBorders>
            <w:vAlign w:val="center"/>
          </w:tcPr>
          <w:p>
            <w:pPr>
              <w:tabs>
                <w:tab w:val="left" w:pos="0"/>
              </w:tabs>
              <w:snapToGrid w:val="0"/>
              <w:jc w:val="center"/>
              <w:rPr>
                <w:rFonts w:ascii="仿宋" w:hAnsi="仿宋" w:cs="仿宋"/>
                <w:kern w:val="0"/>
                <w:szCs w:val="21"/>
              </w:rPr>
            </w:pPr>
          </w:p>
        </w:tc>
      </w:tr>
    </w:tbl>
    <w:p/>
    <w:p>
      <w:pPr>
        <w:adjustRightInd w:val="0"/>
        <w:snapToGrid w:val="0"/>
        <w:spacing w:line="360" w:lineRule="auto"/>
        <w:ind w:right="105" w:rightChars="50"/>
        <w:jc w:val="left"/>
        <w:rPr>
          <w:rFonts w:ascii="仿宋" w:hAnsi="仿宋" w:cs="仿宋"/>
          <w:szCs w:val="21"/>
        </w:rPr>
      </w:pPr>
      <w:r>
        <w:rPr>
          <w:rFonts w:hint="eastAsia" w:ascii="仿宋" w:hAnsi="仿宋" w:cs="仿宋"/>
          <w:b/>
          <w:szCs w:val="21"/>
        </w:rPr>
        <w:t>填表要求：</w:t>
      </w:r>
    </w:p>
    <w:p>
      <w:pPr>
        <w:adjustRightInd w:val="0"/>
        <w:snapToGrid w:val="0"/>
        <w:spacing w:line="360" w:lineRule="auto"/>
        <w:rPr>
          <w:rFonts w:ascii="仿宋" w:hAnsi="仿宋" w:cs="仿宋"/>
          <w:szCs w:val="21"/>
        </w:rPr>
      </w:pPr>
      <w:r>
        <w:rPr>
          <w:rFonts w:hint="eastAsia" w:ascii="仿宋" w:hAnsi="仿宋" w:cs="仿宋"/>
          <w:szCs w:val="21"/>
        </w:rPr>
        <w:t>1．“投标文件响应内容”一栏由供应商按照招标文件要求填写，进行响应。</w:t>
      </w:r>
    </w:p>
    <w:p>
      <w:pPr>
        <w:adjustRightInd w:val="0"/>
        <w:snapToGrid w:val="0"/>
        <w:spacing w:line="360" w:lineRule="auto"/>
        <w:rPr>
          <w:rFonts w:ascii="仿宋" w:hAnsi="仿宋" w:cs="仿宋"/>
          <w:szCs w:val="21"/>
        </w:rPr>
      </w:pPr>
      <w:r>
        <w:rPr>
          <w:rFonts w:hint="eastAsia" w:ascii="仿宋" w:hAnsi="仿宋" w:cs="仿宋"/>
          <w:szCs w:val="21"/>
        </w:rPr>
        <w:t>2．“偏离程度”一栏根据“投标文件响应内容”与招标文件逐项对照的结果填写。偏离必须用 “正偏离、负偏离或无偏离”三个名称中的一种进行标注。</w:t>
      </w:r>
    </w:p>
    <w:p>
      <w:pPr>
        <w:spacing w:line="480" w:lineRule="auto"/>
        <w:rPr>
          <w:rFonts w:ascii="仿宋" w:hAnsi="仿宋" w:cs="仿宋"/>
        </w:rPr>
      </w:pPr>
      <w:r>
        <w:rPr>
          <w:rFonts w:hint="eastAsia" w:ascii="仿宋" w:hAnsi="仿宋" w:cs="仿宋"/>
          <w:szCs w:val="21"/>
        </w:rPr>
        <w:t>3．“偏离说明”一栏由供应商对偏离的情况做详细说明。</w:t>
      </w: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rPr>
          <w:rFonts w:ascii="仿宋" w:hAnsi="仿宋" w:cs="仿宋"/>
          <w:u w:val="single"/>
        </w:rPr>
      </w:pPr>
      <w:r>
        <w:rPr>
          <w:rFonts w:hint="eastAsia" w:ascii="仿宋" w:hAnsi="仿宋" w:cs="仿宋"/>
        </w:rPr>
        <w:t>日期：</w:t>
      </w:r>
      <w:r>
        <w:rPr>
          <w:rFonts w:hint="eastAsia" w:ascii="仿宋" w:hAnsi="仿宋" w:cs="仿宋"/>
          <w:u w:val="single"/>
        </w:rPr>
        <w:t xml:space="preserve">                </w:t>
      </w:r>
    </w:p>
    <w:p>
      <w:pPr>
        <w:pStyle w:val="55"/>
      </w:pPr>
    </w:p>
    <w:p>
      <w:pPr>
        <w:pStyle w:val="55"/>
      </w:pPr>
    </w:p>
    <w:p>
      <w:pPr>
        <w:pStyle w:val="55"/>
      </w:pPr>
    </w:p>
    <w:p>
      <w:pPr>
        <w:pStyle w:val="55"/>
      </w:pPr>
    </w:p>
    <w:p>
      <w:pPr>
        <w:pStyle w:val="55"/>
      </w:pPr>
    </w:p>
    <w:p>
      <w:pPr>
        <w:pStyle w:val="55"/>
      </w:pPr>
    </w:p>
    <w:p>
      <w:pPr>
        <w:rPr>
          <w:rFonts w:ascii="仿宋" w:hAnsi="仿宋" w:cs="仿宋"/>
        </w:rPr>
      </w:pPr>
      <w:r>
        <w:rPr>
          <w:rFonts w:hint="eastAsia" w:ascii="仿宋" w:hAnsi="仿宋" w:cs="仿宋"/>
        </w:rPr>
        <w:br w:type="page"/>
      </w:r>
    </w:p>
    <w:p>
      <w:pPr>
        <w:pStyle w:val="40"/>
        <w:rPr>
          <w:rFonts w:ascii="仿宋" w:hAnsi="仿宋" w:eastAsia="仿宋" w:cs="仿宋"/>
        </w:rPr>
      </w:pPr>
    </w:p>
    <w:p>
      <w:pPr>
        <w:pStyle w:val="3"/>
        <w:adjustRightInd w:val="0"/>
        <w:snapToGrid w:val="0"/>
        <w:spacing w:before="0" w:after="0" w:line="240" w:lineRule="auto"/>
        <w:jc w:val="left"/>
        <w:rPr>
          <w:rFonts w:ascii="仿宋" w:hAnsi="仿宋" w:cs="仿宋"/>
          <w:b w:val="0"/>
          <w:bCs/>
          <w:sz w:val="32"/>
          <w:szCs w:val="32"/>
        </w:rPr>
      </w:pPr>
      <w:r>
        <w:rPr>
          <w:rFonts w:hint="eastAsia" w:ascii="仿宋" w:hAnsi="仿宋" w:cs="仿宋"/>
          <w:szCs w:val="28"/>
        </w:rPr>
        <w:t>格式13</w:t>
      </w:r>
      <w:bookmarkStart w:id="110" w:name="_Toc4431_WPSOffice_Level2"/>
      <w:bookmarkStart w:id="111" w:name="_Toc8488_WPSOffice_Level2"/>
    </w:p>
    <w:bookmarkEnd w:id="110"/>
    <w:bookmarkEnd w:id="111"/>
    <w:p>
      <w:pPr>
        <w:adjustRightInd w:val="0"/>
        <w:snapToGrid w:val="0"/>
        <w:ind w:right="105" w:rightChars="50"/>
        <w:jc w:val="center"/>
        <w:rPr>
          <w:rFonts w:ascii="仿宋" w:hAnsi="仿宋" w:cs="仿宋"/>
          <w:b/>
          <w:bCs/>
          <w:sz w:val="32"/>
          <w:szCs w:val="32"/>
        </w:rPr>
      </w:pPr>
      <w:r>
        <w:rPr>
          <w:rFonts w:hint="eastAsia" w:ascii="仿宋" w:hAnsi="仿宋" w:cs="仿宋"/>
          <w:b/>
          <w:bCs/>
          <w:sz w:val="32"/>
          <w:szCs w:val="32"/>
        </w:rPr>
        <w:t>商务条款偏离表</w:t>
      </w:r>
    </w:p>
    <w:p>
      <w:pPr>
        <w:adjustRightInd w:val="0"/>
        <w:snapToGrid w:val="0"/>
        <w:spacing w:line="360" w:lineRule="auto"/>
        <w:ind w:right="105" w:rightChars="50"/>
        <w:jc w:val="left"/>
        <w:rPr>
          <w:rFonts w:ascii="仿宋" w:hAnsi="仿宋" w:cs="仿宋"/>
        </w:rPr>
      </w:pPr>
      <w:r>
        <w:rPr>
          <w:rFonts w:hint="eastAsia" w:ascii="仿宋" w:hAnsi="仿宋" w:cs="仿宋"/>
          <w:b/>
          <w:bCs/>
          <w:szCs w:val="21"/>
        </w:rPr>
        <w:t>包号：001</w:t>
      </w:r>
    </w:p>
    <w:tbl>
      <w:tblPr>
        <w:tblStyle w:val="23"/>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3927"/>
        <w:gridCol w:w="1737"/>
        <w:gridCol w:w="610"/>
        <w:gridCol w:w="860"/>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727" w:type="dxa"/>
            <w:vAlign w:val="center"/>
          </w:tcPr>
          <w:p>
            <w:pPr>
              <w:adjustRightInd w:val="0"/>
              <w:snapToGrid w:val="0"/>
              <w:ind w:right="-48" w:rightChars="-23"/>
              <w:jc w:val="center"/>
              <w:rPr>
                <w:rFonts w:ascii="仿宋" w:hAnsi="仿宋" w:cs="仿宋"/>
                <w:szCs w:val="21"/>
              </w:rPr>
            </w:pPr>
            <w:r>
              <w:rPr>
                <w:rFonts w:hint="eastAsia" w:ascii="仿宋" w:hAnsi="仿宋" w:cs="仿宋"/>
                <w:szCs w:val="21"/>
              </w:rPr>
              <w:t>序号</w:t>
            </w:r>
          </w:p>
        </w:tc>
        <w:tc>
          <w:tcPr>
            <w:tcW w:w="3927" w:type="dxa"/>
            <w:vAlign w:val="center"/>
          </w:tcPr>
          <w:p>
            <w:pPr>
              <w:adjustRightInd w:val="0"/>
              <w:snapToGrid w:val="0"/>
              <w:ind w:right="-73" w:rightChars="-35"/>
              <w:jc w:val="center"/>
              <w:rPr>
                <w:rFonts w:ascii="仿宋" w:hAnsi="仿宋" w:cs="仿宋"/>
                <w:szCs w:val="21"/>
              </w:rPr>
            </w:pPr>
            <w:r>
              <w:rPr>
                <w:rFonts w:hint="eastAsia" w:ascii="仿宋" w:hAnsi="仿宋" w:cs="仿宋"/>
                <w:szCs w:val="21"/>
              </w:rPr>
              <w:t>招标文件的商务条款</w:t>
            </w:r>
          </w:p>
          <w:p>
            <w:pPr>
              <w:adjustRightInd w:val="0"/>
              <w:snapToGrid w:val="0"/>
              <w:ind w:right="-73" w:rightChars="-35"/>
              <w:jc w:val="center"/>
              <w:rPr>
                <w:rFonts w:ascii="仿宋" w:hAnsi="仿宋" w:cs="仿宋"/>
                <w:szCs w:val="21"/>
              </w:rPr>
            </w:pPr>
            <w:r>
              <w:rPr>
                <w:rFonts w:hint="eastAsia" w:ascii="仿宋" w:hAnsi="仿宋" w:cs="仿宋"/>
                <w:szCs w:val="21"/>
              </w:rPr>
              <w:t>（</w:t>
            </w:r>
            <w:r>
              <w:rPr>
                <w:rFonts w:hint="eastAsia" w:ascii="仿宋" w:hAnsi="仿宋" w:cs="仿宋"/>
                <w:b/>
                <w:szCs w:val="21"/>
              </w:rPr>
              <w:t>实质性要求及重要指标用★标注，★标注项不得负偏离，如果负偏离，则投标文件无效。</w:t>
            </w:r>
            <w:r>
              <w:rPr>
                <w:rFonts w:hint="eastAsia" w:ascii="仿宋" w:hAnsi="仿宋" w:cs="仿宋"/>
                <w:szCs w:val="21"/>
              </w:rPr>
              <w:t>）</w:t>
            </w:r>
          </w:p>
        </w:tc>
        <w:tc>
          <w:tcPr>
            <w:tcW w:w="1737"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投标文件</w:t>
            </w:r>
          </w:p>
          <w:p>
            <w:pPr>
              <w:adjustRightInd w:val="0"/>
              <w:snapToGrid w:val="0"/>
              <w:ind w:right="-107" w:rightChars="-51"/>
              <w:jc w:val="center"/>
              <w:rPr>
                <w:rFonts w:ascii="仿宋" w:hAnsi="仿宋" w:cs="仿宋"/>
                <w:szCs w:val="21"/>
              </w:rPr>
            </w:pPr>
            <w:r>
              <w:rPr>
                <w:rFonts w:hint="eastAsia" w:ascii="仿宋" w:hAnsi="仿宋" w:cs="仿宋"/>
                <w:szCs w:val="21"/>
              </w:rPr>
              <w:t>响应内容</w:t>
            </w:r>
          </w:p>
        </w:tc>
        <w:tc>
          <w:tcPr>
            <w:tcW w:w="610"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偏离程度</w:t>
            </w:r>
          </w:p>
        </w:tc>
        <w:tc>
          <w:tcPr>
            <w:tcW w:w="860"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偏离说明</w:t>
            </w:r>
          </w:p>
        </w:tc>
        <w:tc>
          <w:tcPr>
            <w:tcW w:w="830" w:type="dxa"/>
            <w:vAlign w:val="center"/>
          </w:tcPr>
          <w:p>
            <w:pPr>
              <w:adjustRightInd w:val="0"/>
              <w:snapToGrid w:val="0"/>
              <w:ind w:right="-107" w:rightChars="-51"/>
              <w:jc w:val="center"/>
              <w:rPr>
                <w:rFonts w:ascii="仿宋" w:hAnsi="仿宋" w:cs="仿宋"/>
                <w:szCs w:val="21"/>
              </w:rPr>
            </w:pPr>
            <w:r>
              <w:rPr>
                <w:rFonts w:hint="eastAsia" w:ascii="仿宋" w:hAnsi="仿宋" w:cs="仿宋"/>
                <w:szCs w:val="21"/>
              </w:rPr>
              <w:t>证明</w:t>
            </w:r>
          </w:p>
          <w:p>
            <w:pPr>
              <w:adjustRightInd w:val="0"/>
              <w:snapToGrid w:val="0"/>
              <w:ind w:right="-107" w:rightChars="-51"/>
              <w:jc w:val="center"/>
              <w:rPr>
                <w:rFonts w:ascii="仿宋" w:hAnsi="仿宋" w:cs="仿宋"/>
                <w:szCs w:val="21"/>
              </w:rPr>
            </w:pPr>
            <w:r>
              <w:rPr>
                <w:rFonts w:hint="eastAsia" w:ascii="仿宋" w:hAnsi="仿宋" w:cs="仿宋"/>
                <w:szCs w:val="21"/>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1</w:t>
            </w:r>
          </w:p>
        </w:tc>
        <w:tc>
          <w:tcPr>
            <w:tcW w:w="3927" w:type="dxa"/>
            <w:vAlign w:val="center"/>
          </w:tcPr>
          <w:p>
            <w:pPr>
              <w:rPr>
                <w:rFonts w:ascii="仿宋" w:hAnsi="仿宋" w:cs="仿宋"/>
                <w:szCs w:val="21"/>
              </w:rPr>
            </w:pPr>
            <w:r>
              <w:rPr>
                <w:rFonts w:hint="eastAsia" w:ascii="仿宋" w:hAnsi="仿宋" w:cs="仿宋"/>
                <w:b/>
                <w:bCs/>
                <w:szCs w:val="21"/>
              </w:rPr>
              <w:t>交货时间：</w:t>
            </w:r>
            <w:r>
              <w:rPr>
                <w:rFonts w:hint="eastAsia" w:ascii="仿宋" w:hAnsi="仿宋" w:cs="仿宋"/>
                <w:szCs w:val="21"/>
              </w:rPr>
              <w:t>合同签订后60日内供货。</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2</w:t>
            </w:r>
          </w:p>
        </w:tc>
        <w:tc>
          <w:tcPr>
            <w:tcW w:w="3927" w:type="dxa"/>
            <w:vAlign w:val="center"/>
          </w:tcPr>
          <w:p>
            <w:pPr>
              <w:jc w:val="left"/>
              <w:rPr>
                <w:rFonts w:ascii="仿宋" w:hAnsi="仿宋" w:cs="仿宋"/>
                <w:szCs w:val="21"/>
              </w:rPr>
            </w:pPr>
            <w:r>
              <w:rPr>
                <w:rFonts w:hint="eastAsia" w:ascii="仿宋" w:hAnsi="仿宋" w:cs="仿宋"/>
                <w:b/>
                <w:bCs/>
                <w:szCs w:val="21"/>
              </w:rPr>
              <w:t>交货地点：</w:t>
            </w:r>
            <w:r>
              <w:rPr>
                <w:rFonts w:hint="eastAsia" w:ascii="仿宋" w:hAnsi="仿宋" w:cs="仿宋"/>
                <w:szCs w:val="21"/>
              </w:rPr>
              <w:t>沈阳市消防救援支队指定地点。</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3</w:t>
            </w:r>
          </w:p>
        </w:tc>
        <w:tc>
          <w:tcPr>
            <w:tcW w:w="3927" w:type="dxa"/>
            <w:vAlign w:val="center"/>
          </w:tcPr>
          <w:p>
            <w:pPr>
              <w:jc w:val="left"/>
              <w:rPr>
                <w:rFonts w:ascii="仿宋" w:hAnsi="仿宋" w:cs="仿宋"/>
                <w:szCs w:val="21"/>
              </w:rPr>
            </w:pPr>
            <w:r>
              <w:rPr>
                <w:rFonts w:hint="eastAsia" w:ascii="仿宋" w:hAnsi="仿宋" w:cs="仿宋"/>
                <w:b/>
                <w:szCs w:val="21"/>
              </w:rPr>
              <w:t>付款方式及条件：</w:t>
            </w:r>
            <w:r>
              <w:rPr>
                <w:rFonts w:hint="eastAsia" w:ascii="仿宋" w:hAnsi="仿宋" w:cs="仿宋"/>
                <w:szCs w:val="21"/>
              </w:rPr>
              <w:t>本项目分两次结算，合同签订后乙方开具等额收据后，甲方付20%定金，货到经甲方验收通过后，乙方需按甲方要求开具合同金额的正规发票。甲方在收到发票经验收合格后支付乙方剩余80%尾款</w:t>
            </w:r>
          </w:p>
          <w:p>
            <w:pPr>
              <w:jc w:val="left"/>
              <w:rPr>
                <w:rFonts w:ascii="仿宋" w:hAnsi="仿宋" w:cs="仿宋"/>
                <w:bCs/>
                <w:szCs w:val="21"/>
              </w:rPr>
            </w:pPr>
            <w:r>
              <w:rPr>
                <w:rFonts w:hint="eastAsia" w:ascii="仿宋" w:hAnsi="仿宋" w:cs="仿宋"/>
                <w:szCs w:val="21"/>
              </w:rPr>
              <w:t>注：乙方需具备随时开具不可撤销、不可转让的见索即付的独立保函的能力，如项目进度需要，乙方需按照甲方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r>
              <w:rPr>
                <w:rFonts w:hint="eastAsia" w:ascii="仿宋" w:hAnsi="仿宋" w:cs="仿宋"/>
                <w:szCs w:val="21"/>
              </w:rPr>
              <w:t>提供具备开具独立保函能力的承诺函</w:t>
            </w:r>
            <w:r>
              <w:rPr>
                <w:rFonts w:hint="eastAsia" w:ascii="仿宋" w:hAnsi="仿宋" w:cs="仿宋"/>
                <w:kern w:val="0"/>
                <w:szCs w:val="21"/>
              </w:rPr>
              <w:t>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szCs w:val="21"/>
              </w:rPr>
            </w:pPr>
            <w:r>
              <w:rPr>
                <w:rFonts w:hint="eastAsia" w:ascii="仿宋" w:hAnsi="仿宋" w:cs="仿宋"/>
                <w:b/>
                <w:szCs w:val="21"/>
              </w:rPr>
              <w:t>★</w:t>
            </w:r>
            <w:r>
              <w:rPr>
                <w:rFonts w:hint="eastAsia" w:ascii="仿宋" w:hAnsi="仿宋" w:cs="仿宋"/>
                <w:szCs w:val="21"/>
              </w:rPr>
              <w:t>4</w:t>
            </w:r>
          </w:p>
        </w:tc>
        <w:tc>
          <w:tcPr>
            <w:tcW w:w="3927" w:type="dxa"/>
            <w:vAlign w:val="center"/>
          </w:tcPr>
          <w:p>
            <w:pPr>
              <w:jc w:val="left"/>
              <w:rPr>
                <w:rFonts w:ascii="仿宋" w:hAnsi="仿宋" w:cs="仿宋"/>
                <w:bCs/>
                <w:szCs w:val="21"/>
              </w:rPr>
            </w:pPr>
            <w:r>
              <w:rPr>
                <w:rFonts w:hint="eastAsia" w:ascii="仿宋" w:hAnsi="仿宋" w:cs="仿宋"/>
                <w:b/>
                <w:szCs w:val="21"/>
              </w:rPr>
              <w:t>质量保证期：</w:t>
            </w:r>
            <w:r>
              <w:rPr>
                <w:rFonts w:hint="eastAsia" w:ascii="仿宋" w:hAnsi="仿宋" w:cs="仿宋"/>
                <w:bCs/>
                <w:szCs w:val="21"/>
              </w:rPr>
              <w:t>3年</w:t>
            </w:r>
            <w:r>
              <w:rPr>
                <w:rFonts w:hint="eastAsia" w:ascii="仿宋" w:hAnsi="仿宋" w:cs="仿宋"/>
                <w:szCs w:val="21"/>
              </w:rPr>
              <w:t>。</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b/>
                <w:szCs w:val="21"/>
              </w:rPr>
            </w:pPr>
            <w:r>
              <w:rPr>
                <w:rFonts w:hint="eastAsia" w:ascii="仿宋" w:hAnsi="仿宋" w:cs="仿宋"/>
                <w:b/>
                <w:szCs w:val="21"/>
              </w:rPr>
              <w:t>★</w:t>
            </w:r>
            <w:r>
              <w:rPr>
                <w:rFonts w:hint="eastAsia" w:ascii="仿宋" w:hAnsi="仿宋" w:cs="仿宋"/>
                <w:szCs w:val="21"/>
              </w:rPr>
              <w:t>5</w:t>
            </w:r>
          </w:p>
        </w:tc>
        <w:tc>
          <w:tcPr>
            <w:tcW w:w="3927" w:type="dxa"/>
            <w:vAlign w:val="center"/>
          </w:tcPr>
          <w:p>
            <w:pPr>
              <w:adjustRightInd w:val="0"/>
              <w:snapToGrid w:val="0"/>
              <w:rPr>
                <w:rFonts w:ascii="仿宋" w:hAnsi="仿宋" w:cs="仿宋"/>
                <w:szCs w:val="21"/>
              </w:rPr>
            </w:pPr>
            <w:r>
              <w:rPr>
                <w:rFonts w:hint="eastAsia" w:ascii="仿宋" w:hAnsi="仿宋" w:cs="仿宋"/>
                <w:b/>
                <w:bCs/>
                <w:szCs w:val="21"/>
              </w:rPr>
              <w:t>验收标准及程序</w:t>
            </w:r>
            <w:r>
              <w:rPr>
                <w:rFonts w:hint="eastAsia" w:ascii="仿宋" w:hAnsi="仿宋" w:cs="仿宋"/>
                <w:szCs w:val="21"/>
              </w:rPr>
              <w:t>：根据</w:t>
            </w:r>
            <w:r>
              <w:rPr>
                <w:rFonts w:hint="eastAsia" w:ascii="仿宋" w:hAnsi="仿宋" w:cs="仿宋"/>
                <w:szCs w:val="21"/>
                <w:lang w:eastAsia="zh-CN"/>
              </w:rPr>
              <w:t>辽宁省消防救援总队自然灾害应急能力提升工程沈阳支队装备建设项目验收方案</w:t>
            </w:r>
            <w:r>
              <w:rPr>
                <w:rFonts w:hint="eastAsia" w:ascii="仿宋" w:hAnsi="仿宋" w:cs="仿宋"/>
                <w:szCs w:val="21"/>
              </w:rPr>
              <w:t>》。</w:t>
            </w:r>
          </w:p>
          <w:p>
            <w:pPr>
              <w:adjustRightInd w:val="0"/>
              <w:snapToGrid w:val="0"/>
              <w:rPr>
                <w:rFonts w:ascii="仿宋" w:hAnsi="仿宋" w:cs="仿宋"/>
                <w:szCs w:val="21"/>
              </w:rPr>
            </w:pPr>
            <w:r>
              <w:rPr>
                <w:rFonts w:hint="eastAsia" w:ascii="仿宋" w:hAnsi="仿宋" w:cs="仿宋"/>
                <w:b/>
                <w:bCs/>
                <w:szCs w:val="21"/>
              </w:rPr>
              <w:t>验收报告：</w:t>
            </w:r>
            <w:r>
              <w:rPr>
                <w:rFonts w:hint="eastAsia" w:ascii="仿宋" w:hAnsi="仿宋" w:cs="仿宋"/>
                <w:szCs w:val="21"/>
              </w:rPr>
              <w:t>按采购方验收报告填写。</w:t>
            </w:r>
          </w:p>
          <w:p>
            <w:pPr>
              <w:jc w:val="left"/>
              <w:rPr>
                <w:rFonts w:ascii="仿宋" w:hAnsi="仿宋" w:cs="仿宋"/>
                <w:szCs w:val="21"/>
              </w:rPr>
            </w:pPr>
            <w:r>
              <w:rPr>
                <w:rFonts w:hint="eastAsia" w:ascii="仿宋" w:hAnsi="仿宋" w:cs="仿宋"/>
                <w:b/>
                <w:bCs/>
                <w:szCs w:val="21"/>
              </w:rPr>
              <w:t>组织验收主体</w:t>
            </w:r>
            <w:r>
              <w:rPr>
                <w:rFonts w:hint="eastAsia" w:ascii="仿宋" w:hAnsi="仿宋" w:cs="仿宋"/>
                <w:szCs w:val="21"/>
              </w:rPr>
              <w:t>：本项目的履约验收工作由采购人依法组织实施。</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27" w:type="dxa"/>
            <w:vAlign w:val="center"/>
          </w:tcPr>
          <w:p>
            <w:pPr>
              <w:adjustRightInd w:val="0"/>
              <w:snapToGrid w:val="0"/>
              <w:ind w:hanging="1"/>
              <w:jc w:val="center"/>
              <w:rPr>
                <w:rFonts w:ascii="仿宋" w:hAnsi="仿宋" w:cs="仿宋"/>
                <w:b/>
                <w:szCs w:val="21"/>
              </w:rPr>
            </w:pPr>
            <w:r>
              <w:rPr>
                <w:rFonts w:hint="eastAsia" w:ascii="仿宋" w:hAnsi="仿宋" w:cs="仿宋"/>
                <w:b/>
                <w:szCs w:val="21"/>
              </w:rPr>
              <w:t>★</w:t>
            </w:r>
            <w:r>
              <w:rPr>
                <w:rFonts w:hint="eastAsia" w:ascii="仿宋" w:hAnsi="仿宋" w:cs="仿宋"/>
                <w:bCs/>
                <w:szCs w:val="21"/>
              </w:rPr>
              <w:t>6</w:t>
            </w:r>
          </w:p>
        </w:tc>
        <w:tc>
          <w:tcPr>
            <w:tcW w:w="3927" w:type="dxa"/>
            <w:vAlign w:val="center"/>
          </w:tcPr>
          <w:p>
            <w:pPr>
              <w:jc w:val="left"/>
              <w:rPr>
                <w:b/>
                <w:bCs/>
                <w:szCs w:val="21"/>
              </w:rPr>
            </w:pPr>
            <w:r>
              <w:rPr>
                <w:rFonts w:hint="eastAsia"/>
                <w:b/>
                <w:bCs/>
                <w:szCs w:val="21"/>
              </w:rPr>
              <w:t>其他商务要求：</w:t>
            </w:r>
          </w:p>
          <w:p>
            <w:pPr>
              <w:jc w:val="left"/>
              <w:rPr>
                <w:b/>
                <w:bCs/>
                <w:szCs w:val="21"/>
              </w:rPr>
            </w:pPr>
            <w:r>
              <w:rPr>
                <w:rFonts w:hint="eastAsia" w:ascii="仿宋" w:hAnsi="仿宋" w:cs="仿宋"/>
                <w:b/>
                <w:bCs/>
                <w:szCs w:val="21"/>
              </w:rPr>
              <w:t>001/3（冰域呼吸器组件）：</w:t>
            </w:r>
          </w:p>
          <w:p>
            <w:pPr>
              <w:jc w:val="left"/>
              <w:rPr>
                <w:szCs w:val="21"/>
              </w:rPr>
            </w:pPr>
            <w:r>
              <w:rPr>
                <w:rFonts w:hint="eastAsia"/>
                <w:szCs w:val="21"/>
              </w:rPr>
              <w:t>1</w:t>
            </w:r>
            <w:r>
              <w:rPr>
                <w:szCs w:val="21"/>
              </w:rPr>
              <w:t>、供货时，须提供使用说明书、产品品牌、生产厂家详细地址、联络方式及代理商的详细地址和售后服务联络方式。</w:t>
            </w:r>
          </w:p>
          <w:p>
            <w:pPr>
              <w:pStyle w:val="3"/>
              <w:spacing w:line="240" w:lineRule="auto"/>
              <w:jc w:val="left"/>
              <w:rPr>
                <w:rFonts w:ascii="Times New Roman" w:hAnsi="Times New Roman"/>
                <w:sz w:val="21"/>
                <w:szCs w:val="21"/>
              </w:rPr>
            </w:pPr>
            <w:r>
              <w:rPr>
                <w:rFonts w:ascii="Times New Roman" w:hAnsi="Times New Roman"/>
                <w:bCs/>
                <w:sz w:val="21"/>
                <w:szCs w:val="21"/>
              </w:rPr>
              <w:t>001/</w:t>
            </w:r>
            <w:r>
              <w:rPr>
                <w:rFonts w:hint="eastAsia" w:ascii="Times New Roman" w:hAnsi="Times New Roman"/>
                <w:bCs/>
                <w:sz w:val="21"/>
                <w:szCs w:val="21"/>
              </w:rPr>
              <w:t>4（冰面救援滑板）</w:t>
            </w:r>
            <w:r>
              <w:rPr>
                <w:rFonts w:hint="eastAsia" w:ascii="Times New Roman" w:hAnsi="Times New Roman"/>
                <w:sz w:val="21"/>
                <w:szCs w:val="21"/>
              </w:rPr>
              <w:t>：</w:t>
            </w:r>
          </w:p>
          <w:p>
            <w:pPr>
              <w:jc w:val="left"/>
              <w:rPr>
                <w:szCs w:val="21"/>
              </w:rPr>
            </w:pPr>
            <w:r>
              <w:rPr>
                <w:rFonts w:hint="eastAsia"/>
                <w:szCs w:val="21"/>
              </w:rPr>
              <w:t>1</w:t>
            </w:r>
            <w:r>
              <w:rPr>
                <w:szCs w:val="21"/>
              </w:rPr>
              <w:t>、提供使用说明书、产品品牌、生产厂家详细地址、联络方式及代理商的详细地址和售后服务联络方式。</w:t>
            </w:r>
          </w:p>
          <w:p>
            <w:pPr>
              <w:pStyle w:val="3"/>
              <w:spacing w:line="240" w:lineRule="auto"/>
              <w:jc w:val="left"/>
              <w:rPr>
                <w:rFonts w:ascii="Times New Roman" w:hAnsi="Times New Roman"/>
                <w:bCs/>
                <w:sz w:val="21"/>
                <w:szCs w:val="21"/>
              </w:rPr>
            </w:pPr>
            <w:r>
              <w:rPr>
                <w:rFonts w:ascii="Times New Roman" w:hAnsi="Times New Roman"/>
                <w:bCs/>
                <w:sz w:val="21"/>
                <w:szCs w:val="21"/>
              </w:rPr>
              <w:t>001/</w:t>
            </w:r>
            <w:r>
              <w:rPr>
                <w:rFonts w:hint="eastAsia" w:ascii="Times New Roman" w:hAnsi="Times New Roman"/>
                <w:bCs/>
                <w:sz w:val="21"/>
                <w:szCs w:val="21"/>
              </w:rPr>
              <w:t>5（冰面行动辅助套装）：</w:t>
            </w:r>
          </w:p>
          <w:p>
            <w:pPr>
              <w:pStyle w:val="3"/>
              <w:spacing w:line="240" w:lineRule="auto"/>
              <w:jc w:val="left"/>
              <w:rPr>
                <w:rFonts w:ascii="仿宋" w:hAnsi="仿宋" w:cs="仿宋"/>
                <w:b w:val="0"/>
                <w:bCs/>
                <w:sz w:val="21"/>
                <w:szCs w:val="21"/>
              </w:rPr>
            </w:pPr>
            <w:r>
              <w:rPr>
                <w:rFonts w:hint="eastAsia" w:ascii="仿宋" w:hAnsi="仿宋" w:cs="仿宋"/>
                <w:b w:val="0"/>
                <w:bCs/>
                <w:sz w:val="21"/>
                <w:szCs w:val="21"/>
              </w:rPr>
              <w:t>1、供货时，须提供使用说明书、产品品牌、生产厂家详细地址、联络方式及代理商的详细地址和售后服务联络方式。</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vAlign w:val="center"/>
          </w:tcPr>
          <w:p>
            <w:pPr>
              <w:adjustRightInd w:val="0"/>
              <w:snapToGrid w:val="0"/>
              <w:ind w:hanging="1"/>
              <w:jc w:val="center"/>
              <w:rPr>
                <w:rFonts w:ascii="仿宋" w:hAnsi="仿宋" w:cs="仿宋"/>
                <w:bCs/>
                <w:szCs w:val="21"/>
              </w:rPr>
            </w:pPr>
            <w:r>
              <w:rPr>
                <w:rFonts w:hint="eastAsia" w:ascii="仿宋" w:hAnsi="仿宋" w:cs="仿宋"/>
                <w:bCs/>
                <w:szCs w:val="21"/>
              </w:rPr>
              <w:t>★7</w:t>
            </w:r>
          </w:p>
        </w:tc>
        <w:tc>
          <w:tcPr>
            <w:tcW w:w="3927" w:type="dxa"/>
            <w:vAlign w:val="center"/>
          </w:tcPr>
          <w:p>
            <w:pPr>
              <w:rPr>
                <w:rFonts w:ascii="仿宋" w:hAnsi="仿宋" w:cs="仿宋"/>
                <w:bCs/>
                <w:szCs w:val="21"/>
              </w:rPr>
            </w:pPr>
            <w:r>
              <w:rPr>
                <w:rFonts w:hint="eastAsia" w:ascii="仿宋" w:hAnsi="仿宋" w:cs="仿宋"/>
                <w:bCs/>
                <w:szCs w:val="21"/>
              </w:rPr>
              <w:t>所投产品必须为正规公司生产的产品，具备正规的供货渠道和铭牌编号，不得为贴牌、挂牌产品，投标厂家具备完善的售后能力。</w:t>
            </w:r>
          </w:p>
        </w:tc>
        <w:tc>
          <w:tcPr>
            <w:tcW w:w="1737" w:type="dxa"/>
            <w:vAlign w:val="center"/>
          </w:tcPr>
          <w:p>
            <w:pPr>
              <w:adjustRightInd w:val="0"/>
              <w:snapToGrid w:val="0"/>
              <w:ind w:right="105" w:rightChars="50" w:firstLine="514" w:firstLineChars="245"/>
              <w:jc w:val="center"/>
              <w:rPr>
                <w:rFonts w:ascii="仿宋" w:hAnsi="仿宋" w:cs="仿宋"/>
                <w:szCs w:val="21"/>
              </w:rPr>
            </w:pP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727" w:type="dxa"/>
            <w:vAlign w:val="center"/>
          </w:tcPr>
          <w:p>
            <w:pPr>
              <w:adjustRightInd w:val="0"/>
              <w:snapToGrid w:val="0"/>
              <w:ind w:right="105" w:rightChars="50"/>
              <w:jc w:val="center"/>
              <w:rPr>
                <w:rFonts w:ascii="仿宋" w:hAnsi="仿宋" w:cs="仿宋"/>
                <w:szCs w:val="21"/>
              </w:rPr>
            </w:pPr>
            <w:r>
              <w:rPr>
                <w:rFonts w:hint="eastAsia" w:ascii="仿宋" w:hAnsi="仿宋" w:cs="仿宋"/>
                <w:szCs w:val="21"/>
              </w:rPr>
              <w:t>8</w:t>
            </w:r>
          </w:p>
        </w:tc>
        <w:tc>
          <w:tcPr>
            <w:tcW w:w="3927" w:type="dxa"/>
            <w:vAlign w:val="center"/>
          </w:tcPr>
          <w:p>
            <w:pPr>
              <w:jc w:val="left"/>
              <w:rPr>
                <w:rFonts w:ascii="仿宋" w:hAnsi="仿宋" w:cs="仿宋"/>
                <w:szCs w:val="21"/>
              </w:rPr>
            </w:pPr>
            <w:r>
              <w:rPr>
                <w:rFonts w:hint="eastAsia" w:ascii="仿宋" w:hAnsi="仿宋" w:cs="仿宋"/>
                <w:szCs w:val="21"/>
              </w:rPr>
              <w:t>其它</w:t>
            </w:r>
          </w:p>
        </w:tc>
        <w:tc>
          <w:tcPr>
            <w:tcW w:w="1737" w:type="dxa"/>
            <w:vAlign w:val="center"/>
          </w:tcPr>
          <w:p>
            <w:pPr>
              <w:jc w:val="center"/>
              <w:rPr>
                <w:rFonts w:ascii="仿宋" w:hAnsi="仿宋" w:cs="仿宋"/>
                <w:szCs w:val="21"/>
              </w:rPr>
            </w:pPr>
            <w:r>
              <w:rPr>
                <w:rFonts w:hint="eastAsia" w:ascii="仿宋" w:hAnsi="仿宋" w:cs="仿宋"/>
                <w:szCs w:val="21"/>
              </w:rPr>
              <w:t>采购单位未提供需求而供应商认为需说明及补充的内容在此填列</w:t>
            </w:r>
          </w:p>
        </w:tc>
        <w:tc>
          <w:tcPr>
            <w:tcW w:w="610" w:type="dxa"/>
            <w:vAlign w:val="center"/>
          </w:tcPr>
          <w:p>
            <w:pPr>
              <w:adjustRightInd w:val="0"/>
              <w:snapToGrid w:val="0"/>
              <w:ind w:right="105" w:rightChars="50"/>
              <w:jc w:val="center"/>
              <w:rPr>
                <w:rFonts w:ascii="仿宋" w:hAnsi="仿宋" w:cs="仿宋"/>
                <w:szCs w:val="21"/>
              </w:rPr>
            </w:pPr>
          </w:p>
        </w:tc>
        <w:tc>
          <w:tcPr>
            <w:tcW w:w="860" w:type="dxa"/>
            <w:vAlign w:val="center"/>
          </w:tcPr>
          <w:p>
            <w:pPr>
              <w:adjustRightInd w:val="0"/>
              <w:snapToGrid w:val="0"/>
              <w:ind w:right="105" w:rightChars="50"/>
              <w:jc w:val="center"/>
              <w:rPr>
                <w:rFonts w:ascii="仿宋" w:hAnsi="仿宋" w:cs="仿宋"/>
                <w:szCs w:val="21"/>
              </w:rPr>
            </w:pPr>
          </w:p>
        </w:tc>
        <w:tc>
          <w:tcPr>
            <w:tcW w:w="830" w:type="dxa"/>
            <w:vAlign w:val="center"/>
          </w:tcPr>
          <w:p>
            <w:pPr>
              <w:adjustRightInd w:val="0"/>
              <w:snapToGrid w:val="0"/>
              <w:ind w:right="105" w:rightChars="50"/>
              <w:jc w:val="center"/>
              <w:rPr>
                <w:rFonts w:ascii="仿宋" w:hAnsi="仿宋" w:cs="仿宋"/>
                <w:szCs w:val="21"/>
              </w:rPr>
            </w:pPr>
          </w:p>
        </w:tc>
      </w:tr>
    </w:tbl>
    <w:p>
      <w:pPr>
        <w:adjustRightInd w:val="0"/>
        <w:snapToGrid w:val="0"/>
        <w:spacing w:line="360" w:lineRule="auto"/>
        <w:ind w:right="105" w:rightChars="50"/>
        <w:jc w:val="left"/>
        <w:rPr>
          <w:rFonts w:ascii="仿宋" w:hAnsi="仿宋" w:cs="仿宋"/>
          <w:b/>
          <w:szCs w:val="21"/>
        </w:rPr>
      </w:pPr>
    </w:p>
    <w:p>
      <w:pPr>
        <w:adjustRightInd w:val="0"/>
        <w:snapToGrid w:val="0"/>
        <w:spacing w:line="360" w:lineRule="auto"/>
        <w:ind w:right="105" w:rightChars="50"/>
        <w:jc w:val="left"/>
        <w:rPr>
          <w:rFonts w:ascii="仿宋" w:hAnsi="仿宋" w:cs="仿宋"/>
          <w:szCs w:val="21"/>
        </w:rPr>
      </w:pPr>
      <w:r>
        <w:rPr>
          <w:rFonts w:hint="eastAsia" w:ascii="仿宋" w:hAnsi="仿宋" w:cs="仿宋"/>
          <w:b/>
          <w:szCs w:val="21"/>
        </w:rPr>
        <w:t>填表要求：</w:t>
      </w:r>
    </w:p>
    <w:p>
      <w:pPr>
        <w:adjustRightInd w:val="0"/>
        <w:snapToGrid w:val="0"/>
        <w:spacing w:line="360" w:lineRule="auto"/>
        <w:rPr>
          <w:rFonts w:ascii="仿宋" w:hAnsi="仿宋" w:cs="仿宋"/>
          <w:szCs w:val="21"/>
        </w:rPr>
      </w:pPr>
      <w:r>
        <w:rPr>
          <w:rFonts w:hint="eastAsia" w:ascii="仿宋" w:hAnsi="仿宋" w:cs="仿宋"/>
          <w:szCs w:val="21"/>
        </w:rPr>
        <w:t>1．“投标文件响应内容”一栏由供应商按照招标文件要求填写，进行响应。</w:t>
      </w:r>
    </w:p>
    <w:p>
      <w:pPr>
        <w:adjustRightInd w:val="0"/>
        <w:snapToGrid w:val="0"/>
        <w:spacing w:line="360" w:lineRule="auto"/>
        <w:rPr>
          <w:rFonts w:ascii="仿宋" w:hAnsi="仿宋" w:cs="仿宋"/>
          <w:szCs w:val="21"/>
        </w:rPr>
      </w:pPr>
      <w:r>
        <w:rPr>
          <w:rFonts w:hint="eastAsia" w:ascii="仿宋" w:hAnsi="仿宋" w:cs="仿宋"/>
          <w:szCs w:val="21"/>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 w:hAnsi="仿宋" w:cs="仿宋"/>
          <w:szCs w:val="21"/>
        </w:rPr>
      </w:pPr>
      <w:r>
        <w:rPr>
          <w:rFonts w:hint="eastAsia" w:ascii="仿宋" w:hAnsi="仿宋" w:cs="仿宋"/>
          <w:szCs w:val="21"/>
        </w:rPr>
        <w:t>3．“偏离说明”一栏由供应商对偏离的情况做详细说明。</w:t>
      </w:r>
    </w:p>
    <w:p>
      <w:pPr>
        <w:spacing w:line="480" w:lineRule="auto"/>
        <w:rPr>
          <w:rFonts w:ascii="仿宋" w:hAnsi="仿宋" w:cs="仿宋"/>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rPr>
          <w:rFonts w:ascii="仿宋" w:hAnsi="仿宋" w:cs="仿宋"/>
          <w:u w:val="single"/>
        </w:rPr>
      </w:pPr>
      <w:r>
        <w:rPr>
          <w:rFonts w:hint="eastAsia" w:ascii="仿宋" w:hAnsi="仿宋" w:cs="仿宋"/>
        </w:rPr>
        <w:t>日期：</w:t>
      </w:r>
      <w:r>
        <w:rPr>
          <w:rFonts w:hint="eastAsia" w:ascii="仿宋" w:hAnsi="仿宋" w:cs="仿宋"/>
          <w:u w:val="single"/>
        </w:rPr>
        <w:t xml:space="preserve">                </w:t>
      </w:r>
    </w:p>
    <w:p>
      <w:pPr>
        <w:spacing w:line="480" w:lineRule="auto"/>
        <w:rPr>
          <w:rFonts w:ascii="仿宋" w:hAnsi="仿宋" w:cs="仿宋"/>
          <w:u w:val="single"/>
        </w:rPr>
      </w:pPr>
    </w:p>
    <w:p>
      <w:pPr>
        <w:spacing w:line="480" w:lineRule="auto"/>
        <w:rPr>
          <w:rFonts w:ascii="仿宋" w:hAnsi="仿宋" w:cs="仿宋"/>
          <w:u w:val="single"/>
        </w:rPr>
      </w:pPr>
    </w:p>
    <w:p>
      <w:pPr>
        <w:spacing w:line="480" w:lineRule="auto"/>
        <w:rPr>
          <w:rFonts w:ascii="仿宋" w:hAnsi="仿宋" w:cs="仿宋"/>
          <w:u w:val="single"/>
        </w:rPr>
      </w:pPr>
    </w:p>
    <w:p>
      <w:pPr>
        <w:spacing w:line="480" w:lineRule="auto"/>
        <w:rPr>
          <w:rFonts w:ascii="仿宋" w:hAnsi="仿宋" w:cs="仿宋"/>
          <w:u w:val="single"/>
        </w:rPr>
      </w:pPr>
    </w:p>
    <w:p>
      <w:pPr>
        <w:spacing w:line="480" w:lineRule="auto"/>
        <w:rPr>
          <w:rFonts w:ascii="仿宋" w:hAnsi="仿宋" w:cs="仿宋"/>
          <w:u w:val="single"/>
        </w:rPr>
      </w:pPr>
    </w:p>
    <w:p>
      <w:pPr>
        <w:spacing w:line="480" w:lineRule="auto"/>
        <w:rPr>
          <w:rFonts w:ascii="仿宋" w:hAnsi="仿宋" w:cs="仿宋"/>
          <w:szCs w:val="28"/>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格式14</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12" w:name="_Toc9410_WPSOffice_Level2"/>
      <w:bookmarkStart w:id="113" w:name="_Toc20929_WPSOffice_Level2"/>
      <w:r>
        <w:rPr>
          <w:rFonts w:hint="eastAsia" w:ascii="仿宋" w:hAnsi="仿宋" w:cs="仿宋"/>
          <w:b/>
          <w:bCs/>
          <w:sz w:val="32"/>
          <w:szCs w:val="32"/>
        </w:rPr>
        <w:t>供应商关联单位的说明</w:t>
      </w:r>
      <w:bookmarkEnd w:id="112"/>
      <w:bookmarkEnd w:id="113"/>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说明：供应商应当如实披露与本单位存在下列关联关系的单位名称：</w:t>
      </w:r>
    </w:p>
    <w:p>
      <w:pPr>
        <w:adjustRightInd w:val="0"/>
        <w:snapToGrid w:val="0"/>
        <w:spacing w:line="360" w:lineRule="auto"/>
        <w:ind w:right="105" w:rightChars="50" w:firstLine="476" w:firstLineChars="227"/>
        <w:jc w:val="left"/>
        <w:rPr>
          <w:rFonts w:ascii="仿宋" w:hAnsi="仿宋" w:cs="仿宋"/>
          <w:szCs w:val="21"/>
        </w:rPr>
      </w:pPr>
      <w:bookmarkStart w:id="114" w:name="_Toc2074_WPSOffice_Level2"/>
      <w:bookmarkStart w:id="115" w:name="_Toc31070_WPSOffice_Level2"/>
      <w:r>
        <w:rPr>
          <w:rFonts w:hint="eastAsia" w:ascii="仿宋" w:hAnsi="仿宋" w:cs="仿宋"/>
          <w:szCs w:val="21"/>
        </w:rPr>
        <w:t>（1）与供应商单位法定代表人（或非法人组织负责人）为同一人的其他单位；</w:t>
      </w:r>
      <w:bookmarkEnd w:id="114"/>
      <w:bookmarkEnd w:id="115"/>
    </w:p>
    <w:p>
      <w:pPr>
        <w:adjustRightInd w:val="0"/>
        <w:snapToGrid w:val="0"/>
        <w:spacing w:line="360" w:lineRule="auto"/>
        <w:ind w:right="105" w:rightChars="50" w:firstLine="476" w:firstLineChars="227"/>
        <w:jc w:val="left"/>
        <w:rPr>
          <w:rFonts w:ascii="仿宋" w:hAnsi="仿宋" w:cs="仿宋"/>
          <w:szCs w:val="21"/>
        </w:rPr>
      </w:pPr>
      <w:bookmarkStart w:id="116" w:name="_Toc27053_WPSOffice_Level2"/>
      <w:bookmarkStart w:id="117" w:name="_Toc889_WPSOffice_Level2"/>
      <w:r>
        <w:rPr>
          <w:rFonts w:hint="eastAsia" w:ascii="仿宋" w:hAnsi="仿宋" w:cs="仿宋"/>
          <w:szCs w:val="21"/>
        </w:rPr>
        <w:t>（2）与供应商存在直接控股、管理关系的其他单位。</w:t>
      </w:r>
      <w:bookmarkEnd w:id="116"/>
      <w:bookmarkEnd w:id="117"/>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注：若无此情形，写“无”即可</w:t>
      </w: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p>
    <w:p>
      <w:pPr>
        <w:spacing w:line="480" w:lineRule="auto"/>
        <w:rPr>
          <w:rFonts w:ascii="仿宋" w:hAnsi="仿宋" w:cs="仿宋"/>
        </w:rPr>
      </w:pPr>
      <w:r>
        <w:rPr>
          <w:rFonts w:hint="eastAsia" w:ascii="仿宋" w:hAnsi="仿宋" w:cs="仿宋"/>
        </w:rPr>
        <w:t>供应商名称（加盖单位公章）：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法定代表人（或</w:t>
      </w:r>
      <w:r>
        <w:rPr>
          <w:rFonts w:hint="eastAsia" w:ascii="仿宋" w:hAnsi="仿宋" w:cs="仿宋"/>
          <w:szCs w:val="21"/>
        </w:rPr>
        <w:t>非法人组织负责人）或</w:t>
      </w:r>
      <w:r>
        <w:rPr>
          <w:rFonts w:hint="eastAsia" w:ascii="仿宋" w:hAnsi="仿宋" w:cs="仿宋"/>
        </w:rPr>
        <w:t>其</w:t>
      </w:r>
      <w:r>
        <w:rPr>
          <w:rFonts w:hint="eastAsia" w:ascii="仿宋" w:hAnsi="仿宋" w:cs="仿宋"/>
          <w:szCs w:val="21"/>
        </w:rPr>
        <w:t>授权</w:t>
      </w:r>
      <w:r>
        <w:rPr>
          <w:rFonts w:hint="eastAsia" w:ascii="仿宋" w:hAnsi="仿宋" w:cs="仿宋"/>
        </w:rPr>
        <w:t>委托</w:t>
      </w:r>
      <w:r>
        <w:rPr>
          <w:rFonts w:hint="eastAsia" w:ascii="仿宋" w:hAnsi="仿宋" w:cs="仿宋"/>
          <w:szCs w:val="21"/>
        </w:rPr>
        <w:t>人</w:t>
      </w:r>
      <w:r>
        <w:rPr>
          <w:rFonts w:hint="eastAsia" w:ascii="仿宋" w:hAnsi="仿宋" w:cs="仿宋"/>
        </w:rPr>
        <w:t>(签字或盖章)：</w:t>
      </w:r>
      <w:r>
        <w:rPr>
          <w:rFonts w:hint="eastAsia" w:ascii="仿宋" w:hAnsi="仿宋" w:cs="仿宋"/>
          <w:u w:val="single"/>
        </w:rPr>
        <w:t xml:space="preserve">           </w:t>
      </w:r>
    </w:p>
    <w:p>
      <w:pPr>
        <w:spacing w:line="480" w:lineRule="auto"/>
        <w:rPr>
          <w:rFonts w:ascii="仿宋" w:hAnsi="仿宋" w:cs="仿宋"/>
        </w:rPr>
      </w:pPr>
      <w:r>
        <w:rPr>
          <w:rFonts w:hint="eastAsia" w:ascii="仿宋" w:hAnsi="仿宋" w:cs="仿宋"/>
        </w:rPr>
        <w:t>日期：</w:t>
      </w:r>
      <w:r>
        <w:rPr>
          <w:rFonts w:hint="eastAsia" w:ascii="仿宋" w:hAnsi="仿宋" w:cs="仿宋"/>
          <w:u w:val="single"/>
        </w:rPr>
        <w:t xml:space="preserve">                </w:t>
      </w: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spacing w:line="360" w:lineRule="auto"/>
        <w:ind w:firstLine="420" w:firstLineChars="200"/>
        <w:rPr>
          <w:rFonts w:ascii="仿宋" w:hAnsi="仿宋" w:cs="仿宋"/>
          <w:szCs w:val="21"/>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格式15</w:t>
      </w:r>
    </w:p>
    <w:p>
      <w:pPr>
        <w:adjustRightInd w:val="0"/>
        <w:snapToGrid w:val="0"/>
        <w:spacing w:before="312" w:beforeLines="100" w:after="312" w:afterLines="100" w:line="360" w:lineRule="auto"/>
        <w:ind w:right="105" w:rightChars="50"/>
        <w:jc w:val="center"/>
        <w:rPr>
          <w:rFonts w:ascii="仿宋" w:hAnsi="仿宋" w:cs="仿宋"/>
          <w:b/>
          <w:bCs/>
          <w:sz w:val="32"/>
          <w:szCs w:val="32"/>
        </w:rPr>
      </w:pPr>
      <w:r>
        <w:rPr>
          <w:rFonts w:hint="eastAsia" w:ascii="仿宋" w:hAnsi="仿宋" w:cs="仿宋"/>
          <w:b/>
          <w:bCs/>
          <w:sz w:val="32"/>
          <w:szCs w:val="32"/>
        </w:rPr>
        <w:t>中小企业声明函（货物）</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本公司（联合体）郑重声明，根据《政府采购促进中小企业发展管理办法》（财库﹝2020﹞46号）的规定，本公司（联合体）参加</w:t>
      </w:r>
      <w:r>
        <w:rPr>
          <w:rFonts w:hint="eastAsia" w:ascii="仿宋" w:hAnsi="仿宋" w:cs="仿宋"/>
          <w:i/>
          <w:kern w:val="0"/>
          <w:szCs w:val="21"/>
          <w:u w:val="single"/>
        </w:rPr>
        <w:t>（单位名称）</w:t>
      </w:r>
      <w:r>
        <w:rPr>
          <w:rFonts w:hint="eastAsia" w:ascii="仿宋" w:hAnsi="仿宋" w:cs="仿宋"/>
          <w:kern w:val="0"/>
          <w:szCs w:val="21"/>
        </w:rPr>
        <w:t>的</w:t>
      </w:r>
      <w:r>
        <w:rPr>
          <w:rFonts w:hint="eastAsia" w:ascii="仿宋" w:hAnsi="仿宋" w:cs="仿宋"/>
          <w:i/>
          <w:kern w:val="0"/>
          <w:szCs w:val="21"/>
          <w:u w:val="single"/>
        </w:rPr>
        <w:t>（项目名称）</w:t>
      </w:r>
      <w:r>
        <w:rPr>
          <w:rFonts w:hint="eastAsia" w:ascii="仿宋" w:hAnsi="仿宋" w:cs="仿宋"/>
          <w:kern w:val="0"/>
          <w:szCs w:val="21"/>
        </w:rPr>
        <w:t>采购活动，提供的货物全部由符合政策要求的中小企业制造。相关企业（含联合体中的中小企业、签订分包意向协议的中小企业）的具体情况如下：</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1.</w:t>
      </w:r>
      <w:r>
        <w:rPr>
          <w:rFonts w:hint="eastAsia" w:ascii="仿宋" w:hAnsi="仿宋" w:cs="仿宋"/>
          <w:i/>
          <w:kern w:val="0"/>
          <w:szCs w:val="21"/>
          <w:u w:val="single"/>
        </w:rPr>
        <w:t xml:space="preserve"> （标的名称） </w:t>
      </w:r>
      <w:r>
        <w:rPr>
          <w:rFonts w:hint="eastAsia" w:ascii="仿宋" w:hAnsi="仿宋" w:cs="仿宋"/>
          <w:kern w:val="0"/>
          <w:szCs w:val="21"/>
        </w:rPr>
        <w:t>，属于</w:t>
      </w:r>
      <w:r>
        <w:rPr>
          <w:rFonts w:hint="eastAsia" w:ascii="仿宋" w:hAnsi="仿宋" w:cs="仿宋"/>
          <w:i/>
          <w:kern w:val="0"/>
          <w:szCs w:val="21"/>
          <w:u w:val="single"/>
        </w:rPr>
        <w:t>（招标文件中明确的所属行业：工业）行业</w:t>
      </w:r>
      <w:r>
        <w:rPr>
          <w:rFonts w:hint="eastAsia" w:ascii="仿宋" w:hAnsi="仿宋" w:cs="仿宋"/>
          <w:kern w:val="0"/>
          <w:szCs w:val="21"/>
        </w:rPr>
        <w:t>；制造商为</w:t>
      </w:r>
      <w:r>
        <w:rPr>
          <w:rFonts w:hint="eastAsia" w:ascii="仿宋" w:hAnsi="仿宋" w:cs="仿宋"/>
          <w:i/>
          <w:kern w:val="0"/>
          <w:szCs w:val="21"/>
          <w:u w:val="single"/>
        </w:rPr>
        <w:t>（企业名称）</w:t>
      </w:r>
      <w:r>
        <w:rPr>
          <w:rFonts w:hint="eastAsia" w:ascii="仿宋" w:hAnsi="仿宋" w:cs="仿宋"/>
          <w:kern w:val="0"/>
          <w:szCs w:val="21"/>
        </w:rPr>
        <w:t>，从业人员</w:t>
      </w:r>
      <w:r>
        <w:rPr>
          <w:rFonts w:hint="eastAsia" w:ascii="仿宋" w:hAnsi="仿宋" w:cs="仿宋"/>
          <w:kern w:val="0"/>
          <w:szCs w:val="21"/>
          <w:u w:val="single"/>
        </w:rPr>
        <w:t>　　</w:t>
      </w:r>
      <w:r>
        <w:rPr>
          <w:rFonts w:hint="eastAsia" w:ascii="仿宋" w:hAnsi="仿宋" w:cs="仿宋"/>
          <w:kern w:val="0"/>
          <w:szCs w:val="21"/>
        </w:rPr>
        <w:t>人，营业收入为</w:t>
      </w:r>
      <w:r>
        <w:rPr>
          <w:rFonts w:hint="eastAsia" w:ascii="仿宋" w:hAnsi="仿宋" w:cs="仿宋"/>
          <w:kern w:val="0"/>
          <w:szCs w:val="21"/>
          <w:u w:val="single"/>
        </w:rPr>
        <w:t>　　</w:t>
      </w:r>
      <w:r>
        <w:rPr>
          <w:rFonts w:hint="eastAsia" w:ascii="仿宋" w:hAnsi="仿宋" w:cs="仿宋"/>
          <w:kern w:val="0"/>
          <w:szCs w:val="21"/>
        </w:rPr>
        <w:t>万元，资产总额为</w:t>
      </w:r>
      <w:r>
        <w:rPr>
          <w:rFonts w:hint="eastAsia" w:ascii="仿宋" w:hAnsi="仿宋" w:cs="仿宋"/>
          <w:kern w:val="0"/>
          <w:szCs w:val="21"/>
          <w:u w:val="single"/>
        </w:rPr>
        <w:t>　　</w:t>
      </w:r>
      <w:r>
        <w:rPr>
          <w:rFonts w:hint="eastAsia" w:ascii="仿宋" w:hAnsi="仿宋" w:cs="仿宋"/>
          <w:kern w:val="0"/>
          <w:szCs w:val="21"/>
        </w:rPr>
        <w:t>万元，属于</w:t>
      </w:r>
      <w:r>
        <w:rPr>
          <w:rFonts w:hint="eastAsia" w:ascii="仿宋" w:hAnsi="仿宋" w:cs="仿宋"/>
          <w:i/>
          <w:kern w:val="0"/>
          <w:szCs w:val="21"/>
          <w:u w:val="single"/>
        </w:rPr>
        <w:t>（中型企业、小型企业、微型企业）</w:t>
      </w:r>
      <w:r>
        <w:rPr>
          <w:rFonts w:hint="eastAsia" w:ascii="仿宋" w:hAnsi="仿宋" w:cs="仿宋"/>
          <w:kern w:val="0"/>
          <w:szCs w:val="21"/>
        </w:rPr>
        <w:t>；</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2.</w:t>
      </w:r>
      <w:r>
        <w:rPr>
          <w:rFonts w:hint="eastAsia" w:ascii="仿宋" w:hAnsi="仿宋" w:cs="仿宋"/>
          <w:i/>
          <w:kern w:val="0"/>
          <w:szCs w:val="21"/>
          <w:u w:val="single"/>
        </w:rPr>
        <w:t xml:space="preserve"> （标的名称） </w:t>
      </w:r>
      <w:r>
        <w:rPr>
          <w:rFonts w:hint="eastAsia" w:ascii="仿宋" w:hAnsi="仿宋" w:cs="仿宋"/>
          <w:kern w:val="0"/>
          <w:szCs w:val="21"/>
        </w:rPr>
        <w:t>，属于</w:t>
      </w:r>
      <w:r>
        <w:rPr>
          <w:rFonts w:hint="eastAsia" w:ascii="仿宋" w:hAnsi="仿宋" w:cs="仿宋"/>
          <w:i/>
          <w:kern w:val="0"/>
          <w:szCs w:val="21"/>
          <w:u w:val="single"/>
        </w:rPr>
        <w:t>（招标文件中明确的所属行业：工业）行业</w:t>
      </w:r>
      <w:r>
        <w:rPr>
          <w:rFonts w:hint="eastAsia" w:ascii="仿宋" w:hAnsi="仿宋" w:cs="仿宋"/>
          <w:kern w:val="0"/>
          <w:szCs w:val="21"/>
        </w:rPr>
        <w:t>；制造商为</w:t>
      </w:r>
      <w:r>
        <w:rPr>
          <w:rFonts w:hint="eastAsia" w:ascii="仿宋" w:hAnsi="仿宋" w:cs="仿宋"/>
          <w:i/>
          <w:kern w:val="0"/>
          <w:szCs w:val="21"/>
          <w:u w:val="single"/>
        </w:rPr>
        <w:t>（企业名称）</w:t>
      </w:r>
      <w:r>
        <w:rPr>
          <w:rFonts w:hint="eastAsia" w:ascii="仿宋" w:hAnsi="仿宋" w:cs="仿宋"/>
          <w:kern w:val="0"/>
          <w:szCs w:val="21"/>
        </w:rPr>
        <w:t>，从业人员</w:t>
      </w:r>
      <w:r>
        <w:rPr>
          <w:rFonts w:hint="eastAsia" w:ascii="仿宋" w:hAnsi="仿宋" w:cs="仿宋"/>
          <w:kern w:val="0"/>
          <w:szCs w:val="21"/>
          <w:u w:val="single"/>
        </w:rPr>
        <w:t>　　</w:t>
      </w:r>
      <w:r>
        <w:rPr>
          <w:rFonts w:hint="eastAsia" w:ascii="仿宋" w:hAnsi="仿宋" w:cs="仿宋"/>
          <w:kern w:val="0"/>
          <w:szCs w:val="21"/>
        </w:rPr>
        <w:t>人，营业收入为</w:t>
      </w:r>
      <w:r>
        <w:rPr>
          <w:rFonts w:hint="eastAsia" w:ascii="仿宋" w:hAnsi="仿宋" w:cs="仿宋"/>
          <w:kern w:val="0"/>
          <w:szCs w:val="21"/>
          <w:u w:val="single"/>
        </w:rPr>
        <w:t>　　</w:t>
      </w:r>
      <w:r>
        <w:rPr>
          <w:rFonts w:hint="eastAsia" w:ascii="仿宋" w:hAnsi="仿宋" w:cs="仿宋"/>
          <w:kern w:val="0"/>
          <w:szCs w:val="21"/>
        </w:rPr>
        <w:t>万元，资产总额为</w:t>
      </w:r>
      <w:r>
        <w:rPr>
          <w:rFonts w:hint="eastAsia" w:ascii="仿宋" w:hAnsi="仿宋" w:cs="仿宋"/>
          <w:kern w:val="0"/>
          <w:szCs w:val="21"/>
          <w:u w:val="single"/>
        </w:rPr>
        <w:t>　　</w:t>
      </w:r>
      <w:r>
        <w:rPr>
          <w:rFonts w:hint="eastAsia" w:ascii="仿宋" w:hAnsi="仿宋" w:cs="仿宋"/>
          <w:kern w:val="0"/>
          <w:szCs w:val="21"/>
        </w:rPr>
        <w:t>万元，属于</w:t>
      </w:r>
      <w:r>
        <w:rPr>
          <w:rFonts w:hint="eastAsia" w:ascii="仿宋" w:hAnsi="仿宋" w:cs="仿宋"/>
          <w:i/>
          <w:kern w:val="0"/>
          <w:szCs w:val="21"/>
          <w:u w:val="single"/>
        </w:rPr>
        <w:t>（中型企业、小型企业、微型企业）</w:t>
      </w:r>
      <w:r>
        <w:rPr>
          <w:rFonts w:hint="eastAsia" w:ascii="仿宋" w:hAnsi="仿宋" w:cs="仿宋"/>
          <w:kern w:val="0"/>
          <w:szCs w:val="21"/>
        </w:rPr>
        <w:t>；</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以上企业，不属于大企业的分支机构，不存在控股股东为大企业的情形，也不存在与大企业的负责人为同一人的情形。</w:t>
      </w:r>
    </w:p>
    <w:p>
      <w:pPr>
        <w:autoSpaceDE w:val="0"/>
        <w:autoSpaceDN w:val="0"/>
        <w:adjustRightInd w:val="0"/>
        <w:snapToGrid w:val="0"/>
        <w:spacing w:before="156" w:beforeLines="50" w:after="156" w:afterLines="50" w:line="360" w:lineRule="auto"/>
        <w:ind w:firstLine="420" w:firstLineChars="200"/>
        <w:jc w:val="left"/>
        <w:rPr>
          <w:rFonts w:ascii="仿宋" w:hAnsi="仿宋" w:cs="仿宋"/>
          <w:kern w:val="0"/>
          <w:szCs w:val="21"/>
        </w:rPr>
      </w:pPr>
      <w:r>
        <w:rPr>
          <w:rFonts w:hint="eastAsia" w:ascii="仿宋" w:hAnsi="仿宋" w:cs="仿宋"/>
          <w:kern w:val="0"/>
          <w:szCs w:val="21"/>
        </w:rPr>
        <w:t>本企业对上述声明内容的真实性负责。如有虚假，将依法承担相应责任。</w:t>
      </w:r>
    </w:p>
    <w:p>
      <w:pPr>
        <w:autoSpaceDE w:val="0"/>
        <w:autoSpaceDN w:val="0"/>
        <w:adjustRightInd w:val="0"/>
        <w:snapToGrid w:val="0"/>
        <w:spacing w:line="360" w:lineRule="auto"/>
        <w:ind w:firstLine="2511" w:firstLineChars="1196"/>
        <w:jc w:val="left"/>
        <w:rPr>
          <w:rFonts w:ascii="仿宋" w:hAnsi="仿宋" w:cs="仿宋"/>
          <w:kern w:val="0"/>
          <w:szCs w:val="21"/>
        </w:rPr>
      </w:pPr>
    </w:p>
    <w:p>
      <w:pPr>
        <w:adjustRightInd w:val="0"/>
        <w:snapToGrid w:val="0"/>
        <w:spacing w:line="480" w:lineRule="auto"/>
        <w:ind w:right="105" w:rightChars="50"/>
        <w:jc w:val="left"/>
        <w:rPr>
          <w:rFonts w:ascii="仿宋" w:hAnsi="仿宋" w:cs="仿宋"/>
          <w:szCs w:val="21"/>
        </w:rPr>
      </w:pPr>
      <w:r>
        <w:rPr>
          <w:rFonts w:hint="eastAsia" w:ascii="仿宋" w:hAnsi="仿宋" w:cs="仿宋"/>
          <w:szCs w:val="21"/>
        </w:rPr>
        <w:t>供应商名称（加盖单位公章）：</w:t>
      </w:r>
      <w:r>
        <w:rPr>
          <w:rFonts w:hint="eastAsia" w:ascii="仿宋" w:hAnsi="仿宋" w:cs="仿宋"/>
          <w:szCs w:val="21"/>
          <w:u w:val="single"/>
        </w:rPr>
        <w:t xml:space="preserve">              </w:t>
      </w:r>
    </w:p>
    <w:p>
      <w:pPr>
        <w:adjustRightInd w:val="0"/>
        <w:snapToGrid w:val="0"/>
        <w:spacing w:line="480" w:lineRule="auto"/>
        <w:ind w:right="105" w:rightChars="50"/>
        <w:jc w:val="left"/>
        <w:rPr>
          <w:rFonts w:ascii="仿宋" w:hAnsi="仿宋" w:cs="仿宋"/>
          <w:szCs w:val="21"/>
          <w:u w:val="single"/>
        </w:rPr>
      </w:pPr>
      <w:r>
        <w:rPr>
          <w:rFonts w:hint="eastAsia" w:ascii="仿宋" w:hAnsi="仿宋" w:cs="仿宋"/>
          <w:szCs w:val="21"/>
        </w:rPr>
        <w:t>日 期：</w:t>
      </w:r>
      <w:r>
        <w:rPr>
          <w:rFonts w:hint="eastAsia" w:ascii="仿宋" w:hAnsi="仿宋" w:cs="仿宋"/>
          <w:szCs w:val="21"/>
          <w:u w:val="single"/>
        </w:rPr>
        <w:t xml:space="preserve">              </w:t>
      </w:r>
    </w:p>
    <w:p>
      <w:pPr>
        <w:pStyle w:val="39"/>
        <w:ind w:firstLine="480"/>
        <w:rPr>
          <w:rFonts w:ascii="仿宋" w:hAnsi="仿宋" w:eastAsia="仿宋" w:cs="仿宋"/>
        </w:rPr>
      </w:pPr>
    </w:p>
    <w:p>
      <w:pPr>
        <w:adjustRightInd w:val="0"/>
        <w:snapToGrid w:val="0"/>
        <w:spacing w:line="360" w:lineRule="auto"/>
        <w:ind w:right="105" w:rightChars="50"/>
        <w:jc w:val="left"/>
        <w:rPr>
          <w:rFonts w:ascii="仿宋" w:hAnsi="仿宋" w:cs="仿宋"/>
          <w:szCs w:val="21"/>
        </w:rPr>
      </w:pPr>
      <w:r>
        <w:rPr>
          <w:rFonts w:hint="eastAsia" w:ascii="仿宋" w:hAnsi="仿宋" w:cs="仿宋"/>
          <w:szCs w:val="21"/>
        </w:rPr>
        <w:t>注：</w:t>
      </w:r>
    </w:p>
    <w:p>
      <w:pPr>
        <w:adjustRightInd w:val="0"/>
        <w:snapToGrid w:val="0"/>
        <w:spacing w:line="360" w:lineRule="auto"/>
        <w:ind w:right="105" w:rightChars="50"/>
        <w:jc w:val="left"/>
        <w:rPr>
          <w:rFonts w:ascii="仿宋" w:hAnsi="仿宋" w:cs="仿宋"/>
          <w:szCs w:val="21"/>
        </w:rPr>
      </w:pPr>
      <w:r>
        <w:rPr>
          <w:rFonts w:hint="eastAsia" w:ascii="仿宋" w:hAnsi="仿宋" w:cs="仿宋"/>
          <w:szCs w:val="21"/>
        </w:rPr>
        <w:t>1、从业人员、营业收入、资产总额填报上一年度数据，无上一年度数据的新成立企业可不填报。</w:t>
      </w:r>
    </w:p>
    <w:p>
      <w:pPr>
        <w:adjustRightInd w:val="0"/>
        <w:snapToGrid w:val="0"/>
        <w:spacing w:line="360" w:lineRule="auto"/>
        <w:ind w:right="105" w:rightChars="50"/>
        <w:jc w:val="left"/>
        <w:rPr>
          <w:rFonts w:ascii="仿宋" w:hAnsi="仿宋" w:cs="仿宋"/>
          <w:b/>
          <w:bCs/>
          <w:szCs w:val="21"/>
        </w:rPr>
      </w:pPr>
      <w:r>
        <w:rPr>
          <w:rFonts w:hint="eastAsia" w:ascii="仿宋" w:hAnsi="仿宋" w:cs="仿宋"/>
          <w:b/>
          <w:bCs/>
          <w:szCs w:val="21"/>
        </w:rPr>
        <w:t>2、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480" w:lineRule="auto"/>
        <w:ind w:right="105" w:rightChars="50"/>
        <w:jc w:val="left"/>
        <w:rPr>
          <w:rFonts w:ascii="仿宋" w:hAnsi="仿宋" w:cs="仿宋"/>
          <w:szCs w:val="21"/>
          <w:u w:val="single"/>
        </w:rPr>
      </w:pPr>
      <w:r>
        <w:rPr>
          <w:rFonts w:hint="eastAsia" w:ascii="仿宋" w:hAnsi="仿宋" w:cs="仿宋"/>
          <w:b/>
          <w:bCs/>
          <w:szCs w:val="21"/>
        </w:rPr>
        <w:t>3、标的名称按前附表1.3.6填写。</w:t>
      </w: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格式16</w:t>
      </w:r>
    </w:p>
    <w:p>
      <w:pPr>
        <w:adjustRightInd w:val="0"/>
        <w:snapToGrid w:val="0"/>
        <w:spacing w:before="312" w:beforeLines="100" w:after="312" w:afterLines="100" w:line="360" w:lineRule="auto"/>
        <w:ind w:right="105" w:rightChars="50"/>
        <w:jc w:val="center"/>
        <w:rPr>
          <w:rFonts w:ascii="仿宋" w:hAnsi="仿宋" w:cs="仿宋"/>
          <w:b/>
          <w:bCs/>
          <w:sz w:val="32"/>
          <w:szCs w:val="32"/>
        </w:rPr>
      </w:pPr>
      <w:bookmarkStart w:id="118" w:name="_Toc13566_WPSOffice_Level2"/>
      <w:bookmarkStart w:id="119" w:name="_Toc29880_WPSOffice_Level2"/>
      <w:r>
        <w:rPr>
          <w:rFonts w:hint="eastAsia" w:ascii="仿宋" w:hAnsi="仿宋" w:cs="仿宋"/>
          <w:b/>
          <w:bCs/>
          <w:sz w:val="32"/>
          <w:szCs w:val="32"/>
        </w:rPr>
        <w:t>残疾人福利性单位声明函</w:t>
      </w:r>
      <w:bookmarkEnd w:id="118"/>
      <w:bookmarkEnd w:id="119"/>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cs="仿宋"/>
          <w:szCs w:val="21"/>
          <w:u w:val="single"/>
        </w:rPr>
        <w:t xml:space="preserve">       </w:t>
      </w:r>
      <w:r>
        <w:rPr>
          <w:rFonts w:hint="eastAsia" w:ascii="仿宋" w:hAnsi="仿宋" w:cs="仿宋"/>
          <w:szCs w:val="21"/>
        </w:rPr>
        <w:t>单位的</w:t>
      </w:r>
      <w:r>
        <w:rPr>
          <w:rFonts w:hint="eastAsia" w:ascii="仿宋" w:hAnsi="仿宋" w:cs="仿宋"/>
          <w:szCs w:val="21"/>
          <w:u w:val="single"/>
        </w:rPr>
        <w:t xml:space="preserve">     </w:t>
      </w:r>
      <w:r>
        <w:rPr>
          <w:rFonts w:hint="eastAsia" w:ascii="仿宋" w:hAnsi="仿宋" w:cs="仿宋"/>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本单位对上述声明的真实性负责。如有虚假，将依法承担相应责任。</w:t>
      </w:r>
    </w:p>
    <w:tbl>
      <w:tblPr>
        <w:tblStyle w:val="23"/>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pPr>
              <w:jc w:val="center"/>
              <w:rPr>
                <w:rFonts w:ascii="仿宋" w:hAnsi="仿宋" w:cs="仿宋"/>
                <w:szCs w:val="21"/>
              </w:rPr>
            </w:pPr>
            <w:r>
              <w:rPr>
                <w:rFonts w:hint="eastAsia" w:ascii="仿宋" w:hAnsi="仿宋" w:cs="仿宋"/>
                <w:szCs w:val="21"/>
              </w:rPr>
              <w:t>序号</w:t>
            </w:r>
          </w:p>
        </w:tc>
        <w:tc>
          <w:tcPr>
            <w:tcW w:w="1582" w:type="dxa"/>
            <w:vAlign w:val="center"/>
          </w:tcPr>
          <w:p>
            <w:pPr>
              <w:jc w:val="center"/>
              <w:rPr>
                <w:rFonts w:ascii="仿宋" w:hAnsi="仿宋" w:cs="仿宋"/>
                <w:szCs w:val="21"/>
              </w:rPr>
            </w:pPr>
            <w:r>
              <w:rPr>
                <w:rFonts w:hint="eastAsia" w:ascii="仿宋" w:hAnsi="仿宋" w:cs="仿宋"/>
                <w:szCs w:val="21"/>
              </w:rPr>
              <w:t>品  名</w:t>
            </w:r>
          </w:p>
        </w:tc>
        <w:tc>
          <w:tcPr>
            <w:tcW w:w="1587" w:type="dxa"/>
            <w:vAlign w:val="center"/>
          </w:tcPr>
          <w:p>
            <w:pPr>
              <w:widowControl/>
              <w:jc w:val="center"/>
              <w:rPr>
                <w:rFonts w:ascii="仿宋" w:hAnsi="仿宋" w:cs="仿宋"/>
                <w:szCs w:val="21"/>
              </w:rPr>
            </w:pPr>
            <w:r>
              <w:rPr>
                <w:rFonts w:hint="eastAsia" w:ascii="仿宋" w:hAnsi="仿宋" w:cs="仿宋"/>
                <w:szCs w:val="21"/>
              </w:rPr>
              <w:t>数量</w:t>
            </w:r>
          </w:p>
        </w:tc>
        <w:tc>
          <w:tcPr>
            <w:tcW w:w="1427" w:type="dxa"/>
            <w:vAlign w:val="center"/>
          </w:tcPr>
          <w:p>
            <w:pPr>
              <w:jc w:val="center"/>
              <w:rPr>
                <w:rFonts w:ascii="仿宋" w:hAnsi="仿宋" w:cs="仿宋"/>
                <w:szCs w:val="21"/>
              </w:rPr>
            </w:pPr>
            <w:r>
              <w:rPr>
                <w:rFonts w:hint="eastAsia" w:ascii="仿宋" w:hAnsi="仿宋" w:cs="仿宋"/>
                <w:szCs w:val="21"/>
              </w:rPr>
              <w:t>规格</w:t>
            </w:r>
          </w:p>
          <w:p>
            <w:pPr>
              <w:jc w:val="center"/>
              <w:rPr>
                <w:rFonts w:ascii="仿宋" w:hAnsi="仿宋" w:cs="仿宋"/>
                <w:szCs w:val="21"/>
              </w:rPr>
            </w:pPr>
            <w:r>
              <w:rPr>
                <w:rFonts w:hint="eastAsia" w:ascii="仿宋" w:hAnsi="仿宋" w:cs="仿宋"/>
                <w:szCs w:val="21"/>
              </w:rPr>
              <w:t>型号</w:t>
            </w:r>
          </w:p>
        </w:tc>
        <w:tc>
          <w:tcPr>
            <w:tcW w:w="1427" w:type="dxa"/>
            <w:vAlign w:val="center"/>
          </w:tcPr>
          <w:p>
            <w:pPr>
              <w:jc w:val="center"/>
              <w:rPr>
                <w:rFonts w:ascii="仿宋" w:hAnsi="仿宋" w:cs="仿宋"/>
                <w:szCs w:val="21"/>
              </w:rPr>
            </w:pPr>
            <w:r>
              <w:rPr>
                <w:rFonts w:hint="eastAsia" w:ascii="仿宋" w:hAnsi="仿宋" w:cs="仿宋"/>
                <w:szCs w:val="21"/>
              </w:rPr>
              <w:t>生产</w:t>
            </w:r>
          </w:p>
          <w:p>
            <w:pPr>
              <w:jc w:val="center"/>
              <w:rPr>
                <w:rFonts w:ascii="仿宋" w:hAnsi="仿宋" w:cs="仿宋"/>
                <w:szCs w:val="21"/>
              </w:rPr>
            </w:pPr>
            <w:r>
              <w:rPr>
                <w:rFonts w:hint="eastAsia" w:ascii="仿宋" w:hAnsi="仿宋" w:cs="仿宋"/>
                <w:szCs w:val="21"/>
              </w:rPr>
              <w:t>厂家</w:t>
            </w:r>
          </w:p>
        </w:tc>
        <w:tc>
          <w:tcPr>
            <w:tcW w:w="1344" w:type="dxa"/>
            <w:vAlign w:val="center"/>
          </w:tcPr>
          <w:p>
            <w:pPr>
              <w:jc w:val="center"/>
              <w:rPr>
                <w:rFonts w:ascii="仿宋" w:hAnsi="仿宋" w:cs="仿宋"/>
                <w:szCs w:val="21"/>
              </w:rPr>
            </w:pPr>
            <w:r>
              <w:rPr>
                <w:rFonts w:hint="eastAsia" w:ascii="仿宋" w:hAnsi="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1</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2</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3</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pPr>
              <w:jc w:val="center"/>
              <w:rPr>
                <w:rFonts w:ascii="仿宋" w:hAnsi="仿宋" w:cs="仿宋"/>
                <w:szCs w:val="21"/>
              </w:rPr>
            </w:pPr>
            <w:r>
              <w:rPr>
                <w:rFonts w:hint="eastAsia" w:ascii="仿宋" w:hAnsi="仿宋" w:cs="仿宋"/>
                <w:szCs w:val="21"/>
              </w:rPr>
              <w:t>……</w:t>
            </w:r>
          </w:p>
        </w:tc>
        <w:tc>
          <w:tcPr>
            <w:tcW w:w="1582" w:type="dxa"/>
            <w:vAlign w:val="center"/>
          </w:tcPr>
          <w:p>
            <w:pPr>
              <w:jc w:val="center"/>
              <w:rPr>
                <w:rFonts w:ascii="仿宋" w:hAnsi="仿宋" w:cs="仿宋"/>
                <w:szCs w:val="21"/>
              </w:rPr>
            </w:pPr>
          </w:p>
        </w:tc>
        <w:tc>
          <w:tcPr>
            <w:tcW w:w="158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427" w:type="dxa"/>
            <w:vAlign w:val="center"/>
          </w:tcPr>
          <w:p>
            <w:pPr>
              <w:jc w:val="center"/>
              <w:rPr>
                <w:rFonts w:ascii="仿宋" w:hAnsi="仿宋" w:cs="仿宋"/>
                <w:szCs w:val="21"/>
              </w:rPr>
            </w:pPr>
          </w:p>
        </w:tc>
        <w:tc>
          <w:tcPr>
            <w:tcW w:w="1344" w:type="dxa"/>
            <w:vAlign w:val="center"/>
          </w:tcPr>
          <w:p>
            <w:pPr>
              <w:spacing w:line="360" w:lineRule="auto"/>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pPr>
              <w:ind w:firstLine="422" w:firstLineChars="200"/>
              <w:jc w:val="left"/>
              <w:rPr>
                <w:rFonts w:ascii="仿宋" w:hAnsi="仿宋" w:cs="仿宋"/>
                <w:szCs w:val="21"/>
              </w:rPr>
            </w:pPr>
            <w:r>
              <w:rPr>
                <w:rFonts w:hint="eastAsia" w:ascii="仿宋" w:hAnsi="仿宋" w:cs="仿宋"/>
                <w:b/>
                <w:szCs w:val="21"/>
              </w:rPr>
              <w:t xml:space="preserve"> </w:t>
            </w:r>
            <w:r>
              <w:rPr>
                <w:rFonts w:hint="eastAsia" w:ascii="仿宋" w:hAnsi="仿宋" w:cs="仿宋"/>
                <w:b/>
                <w:szCs w:val="21"/>
                <w:lang w:val="zh-CN"/>
              </w:rPr>
              <w:t>投标文件中所提供投标的以上伴随产品为我单位生产的产品，</w:t>
            </w:r>
            <w:r>
              <w:rPr>
                <w:rFonts w:hint="eastAsia" w:ascii="仿宋" w:hAnsi="仿宋" w:cs="仿宋"/>
                <w:b/>
                <w:szCs w:val="21"/>
              </w:rPr>
              <w:t>如有虚假</w:t>
            </w:r>
            <w:r>
              <w:rPr>
                <w:rFonts w:hint="eastAsia" w:ascii="仿宋" w:hAnsi="仿宋" w:cs="仿宋"/>
                <w:b/>
                <w:szCs w:val="21"/>
                <w:lang w:val="zh-CN"/>
              </w:rPr>
              <w:t>，我单位承担由此产生的一切后果</w:t>
            </w:r>
            <w:r>
              <w:rPr>
                <w:rFonts w:hint="eastAsia" w:ascii="仿宋" w:hAnsi="仿宋" w:cs="仿宋"/>
                <w:szCs w:val="21"/>
                <w:lang w:val="zh-CN"/>
              </w:rPr>
              <w:t>。</w:t>
            </w:r>
          </w:p>
        </w:tc>
      </w:tr>
    </w:tbl>
    <w:p>
      <w:pPr>
        <w:adjustRightInd w:val="0"/>
        <w:snapToGrid w:val="0"/>
        <w:spacing w:line="360" w:lineRule="auto"/>
        <w:ind w:right="105" w:rightChars="50" w:firstLine="476" w:firstLineChars="227"/>
        <w:jc w:val="left"/>
        <w:rPr>
          <w:rFonts w:ascii="仿宋" w:hAnsi="仿宋" w:cs="仿宋"/>
          <w:szCs w:val="21"/>
        </w:rPr>
      </w:pP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注：1、供应商为非残疾人福利性单位的，无需填写此声明函。</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 xml:space="preserve">    2、仅为本项目提供服务，未提供服务所伴随产品的，此表格可不填写。</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 xml:space="preserve">    3、如为本项目提供本单位伴随产品的，请填写此表格。</w:t>
      </w:r>
    </w:p>
    <w:p>
      <w:pPr>
        <w:adjustRightInd w:val="0"/>
        <w:snapToGrid w:val="0"/>
        <w:spacing w:line="360" w:lineRule="auto"/>
        <w:ind w:right="105" w:rightChars="50" w:firstLine="476" w:firstLineChars="227"/>
        <w:jc w:val="left"/>
        <w:rPr>
          <w:rFonts w:ascii="仿宋" w:hAnsi="仿宋" w:cs="仿宋"/>
          <w:szCs w:val="21"/>
        </w:rPr>
      </w:pPr>
      <w:r>
        <w:rPr>
          <w:rFonts w:hint="eastAsia" w:ascii="仿宋" w:hAnsi="仿宋" w:cs="仿宋"/>
          <w:szCs w:val="21"/>
        </w:rPr>
        <w:t xml:space="preserve">    4、如为本项目提供的伴随产品是其他单位生产的，无需填写此表格，但需生产单位按此格式出具此声明。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360" w:lineRule="auto"/>
        <w:ind w:right="105" w:rightChars="50"/>
        <w:jc w:val="left"/>
        <w:rPr>
          <w:rFonts w:ascii="仿宋" w:hAnsi="仿宋" w:cs="仿宋"/>
          <w:szCs w:val="21"/>
        </w:rPr>
      </w:pPr>
    </w:p>
    <w:p>
      <w:pPr>
        <w:adjustRightInd w:val="0"/>
        <w:snapToGrid w:val="0"/>
        <w:spacing w:line="480" w:lineRule="auto"/>
        <w:ind w:right="105" w:rightChars="50"/>
        <w:jc w:val="left"/>
        <w:rPr>
          <w:rFonts w:ascii="仿宋" w:hAnsi="仿宋" w:cs="仿宋"/>
          <w:szCs w:val="21"/>
        </w:rPr>
      </w:pPr>
      <w:r>
        <w:rPr>
          <w:rFonts w:hint="eastAsia" w:ascii="仿宋" w:hAnsi="仿宋" w:cs="仿宋"/>
          <w:szCs w:val="21"/>
        </w:rPr>
        <w:t>供应商名称（加盖单位公章）：</w:t>
      </w:r>
      <w:r>
        <w:rPr>
          <w:rFonts w:hint="eastAsia" w:ascii="仿宋" w:hAnsi="仿宋" w:cs="仿宋"/>
          <w:szCs w:val="21"/>
          <w:u w:val="single"/>
        </w:rPr>
        <w:t xml:space="preserve">              </w:t>
      </w:r>
    </w:p>
    <w:p>
      <w:pPr>
        <w:adjustRightInd w:val="0"/>
        <w:snapToGrid w:val="0"/>
        <w:spacing w:line="480" w:lineRule="auto"/>
        <w:ind w:right="105" w:rightChars="50"/>
        <w:jc w:val="left"/>
        <w:rPr>
          <w:rFonts w:ascii="仿宋" w:hAnsi="仿宋" w:cs="仿宋"/>
          <w:b/>
          <w:sz w:val="28"/>
          <w:szCs w:val="28"/>
        </w:rPr>
      </w:pPr>
      <w:r>
        <w:rPr>
          <w:rFonts w:hint="eastAsia" w:ascii="仿宋" w:hAnsi="仿宋" w:cs="仿宋"/>
          <w:szCs w:val="21"/>
        </w:rPr>
        <w:t>日 期：</w:t>
      </w:r>
      <w:r>
        <w:rPr>
          <w:rFonts w:hint="eastAsia" w:ascii="仿宋" w:hAnsi="仿宋" w:cs="仿宋"/>
          <w:szCs w:val="21"/>
          <w:u w:val="single"/>
        </w:rPr>
        <w:t xml:space="preserve">              </w:t>
      </w:r>
    </w:p>
    <w:p>
      <w:pPr>
        <w:adjustRightInd w:val="0"/>
        <w:snapToGrid w:val="0"/>
        <w:spacing w:line="360" w:lineRule="auto"/>
        <w:ind w:right="105" w:rightChars="50"/>
        <w:jc w:val="left"/>
        <w:rPr>
          <w:rFonts w:ascii="仿宋" w:hAnsi="仿宋" w:cs="仿宋"/>
          <w:szCs w:val="21"/>
          <w:u w:val="single"/>
        </w:rPr>
      </w:pPr>
    </w:p>
    <w:p>
      <w:pPr>
        <w:pStyle w:val="2"/>
        <w:snapToGrid w:val="0"/>
        <w:spacing w:before="312" w:beforeLines="100" w:after="312" w:afterLines="100" w:line="360" w:lineRule="auto"/>
        <w:rPr>
          <w:rFonts w:ascii="仿宋" w:hAnsi="仿宋" w:cs="仿宋"/>
        </w:rPr>
      </w:pPr>
      <w:bookmarkStart w:id="120" w:name="_Toc4498_WPSOffice_Level1"/>
      <w:bookmarkStart w:id="121" w:name="_Toc17590"/>
      <w:r>
        <w:rPr>
          <w:rFonts w:hint="eastAsia" w:ascii="仿宋" w:hAnsi="仿宋" w:cs="仿宋"/>
        </w:rPr>
        <w:t>第三章 货物需求</w:t>
      </w:r>
      <w:bookmarkEnd w:id="120"/>
      <w:bookmarkEnd w:id="121"/>
    </w:p>
    <w:p>
      <w:pPr>
        <w:pStyle w:val="40"/>
        <w:jc w:val="center"/>
        <w:rPr>
          <w:rFonts w:ascii="仿宋" w:hAnsi="仿宋" w:eastAsia="仿宋" w:cs="仿宋"/>
          <w:szCs w:val="28"/>
        </w:rPr>
      </w:pPr>
      <w:r>
        <w:rPr>
          <w:rFonts w:hint="eastAsia" w:ascii="仿宋" w:hAnsi="仿宋" w:eastAsia="仿宋" w:cs="仿宋"/>
          <w:szCs w:val="28"/>
        </w:rPr>
        <w:t>详见格式12技术规格偏离表和格式13商务条款偏离表。</w:t>
      </w: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29"/>
        <w:adjustRightInd/>
        <w:spacing w:line="600" w:lineRule="exact"/>
        <w:rPr>
          <w:rFonts w:ascii="仿宋" w:hAnsi="仿宋" w:eastAsia="仿宋" w:cs="仿宋"/>
          <w:color w:val="auto"/>
        </w:rPr>
      </w:pPr>
      <w:r>
        <w:rPr>
          <w:rFonts w:hint="eastAsia" w:ascii="仿宋" w:hAnsi="仿宋" w:eastAsia="仿宋" w:cs="仿宋"/>
          <w:color w:val="auto"/>
          <w:sz w:val="32"/>
          <w:szCs w:val="32"/>
        </w:rPr>
        <w:t xml:space="preserve">    </w:t>
      </w: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40"/>
        <w:rPr>
          <w:rFonts w:ascii="仿宋" w:hAnsi="仿宋" w:eastAsia="仿宋" w:cs="仿宋"/>
          <w:szCs w:val="21"/>
        </w:rPr>
      </w:pPr>
    </w:p>
    <w:p>
      <w:pPr>
        <w:pStyle w:val="2"/>
        <w:snapToGrid w:val="0"/>
        <w:spacing w:before="312" w:beforeLines="100" w:after="312" w:afterLines="100" w:line="360" w:lineRule="auto"/>
        <w:rPr>
          <w:rFonts w:ascii="仿宋" w:hAnsi="仿宋" w:cs="仿宋"/>
        </w:rPr>
      </w:pPr>
      <w:bookmarkStart w:id="122" w:name="_Toc25237"/>
      <w:bookmarkStart w:id="123" w:name="_Toc2821_WPSOffice_Level1"/>
      <w:r>
        <w:rPr>
          <w:rFonts w:hint="eastAsia" w:ascii="仿宋" w:hAnsi="仿宋" w:cs="仿宋"/>
        </w:rPr>
        <w:br w:type="page"/>
      </w:r>
      <w:r>
        <w:rPr>
          <w:rFonts w:hint="eastAsia" w:ascii="仿宋" w:hAnsi="仿宋" w:cs="仿宋"/>
        </w:rPr>
        <w:t>第四章 评标方法</w:t>
      </w:r>
      <w:bookmarkEnd w:id="122"/>
      <w:bookmarkEnd w:id="123"/>
    </w:p>
    <w:p>
      <w:pPr>
        <w:adjustRightInd w:val="0"/>
        <w:snapToGrid w:val="0"/>
        <w:spacing w:line="360" w:lineRule="auto"/>
        <w:ind w:firstLine="420" w:firstLineChars="200"/>
        <w:rPr>
          <w:rFonts w:ascii="仿宋" w:hAnsi="仿宋" w:cs="仿宋"/>
          <w:b/>
          <w:kern w:val="0"/>
          <w:szCs w:val="21"/>
        </w:rPr>
      </w:pPr>
      <w:r>
        <w:rPr>
          <w:rFonts w:hint="eastAsia" w:ascii="仿宋" w:hAnsi="仿宋" w:cs="仿宋"/>
          <w:bCs/>
          <w:kern w:val="0"/>
          <w:szCs w:val="21"/>
        </w:rPr>
        <w:t>本项目将按照招标文件第一章供应商须知中“六 开标及评标”、“七 确定中标”及本章的规定评标。</w:t>
      </w:r>
    </w:p>
    <w:p>
      <w:pPr>
        <w:adjustRightInd w:val="0"/>
        <w:snapToGrid w:val="0"/>
        <w:spacing w:line="360" w:lineRule="auto"/>
        <w:ind w:firstLine="422" w:firstLineChars="200"/>
        <w:rPr>
          <w:rFonts w:ascii="仿宋" w:hAnsi="仿宋" w:cs="仿宋"/>
          <w:b/>
          <w:kern w:val="0"/>
          <w:szCs w:val="21"/>
        </w:rPr>
      </w:pPr>
      <w:bookmarkStart w:id="124" w:name="_Toc22313_WPSOffice_Level2"/>
      <w:r>
        <w:rPr>
          <w:rFonts w:hint="eastAsia" w:ascii="仿宋" w:hAnsi="仿宋" w:cs="仿宋"/>
          <w:b/>
          <w:kern w:val="0"/>
          <w:szCs w:val="21"/>
        </w:rPr>
        <w:t>一、评标方法</w:t>
      </w:r>
      <w:bookmarkEnd w:id="124"/>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本项目采用</w:t>
      </w:r>
      <w:r>
        <w:rPr>
          <w:rFonts w:hint="eastAsia" w:ascii="仿宋" w:hAnsi="仿宋" w:cs="仿宋"/>
          <w:kern w:val="0"/>
          <w:szCs w:val="21"/>
          <w:u w:val="single"/>
        </w:rPr>
        <w:t>综合评分法</w:t>
      </w:r>
      <w:r>
        <w:rPr>
          <w:rFonts w:hint="eastAsia" w:ascii="仿宋" w:hAnsi="仿宋" w:cs="仿宋"/>
          <w:kern w:val="0"/>
          <w:szCs w:val="21"/>
        </w:rPr>
        <w:t>进行评标。</w:t>
      </w:r>
    </w:p>
    <w:p>
      <w:pPr>
        <w:adjustRightInd w:val="0"/>
        <w:snapToGrid w:val="0"/>
        <w:spacing w:line="360" w:lineRule="auto"/>
        <w:ind w:firstLine="422" w:firstLineChars="200"/>
        <w:textAlignment w:val="baseline"/>
        <w:rPr>
          <w:rFonts w:ascii="仿宋" w:hAnsi="仿宋" w:cs="仿宋"/>
          <w:b/>
          <w:kern w:val="0"/>
          <w:szCs w:val="21"/>
        </w:rPr>
      </w:pPr>
      <w:bookmarkStart w:id="125" w:name="_Toc21368_WPSOffice_Level2"/>
      <w:r>
        <w:rPr>
          <w:rFonts w:hint="eastAsia" w:ascii="仿宋" w:hAnsi="仿宋" w:cs="仿宋"/>
          <w:b/>
          <w:kern w:val="0"/>
          <w:szCs w:val="21"/>
        </w:rPr>
        <w:t>二、评标原则及程序</w:t>
      </w:r>
      <w:bookmarkEnd w:id="125"/>
    </w:p>
    <w:p>
      <w:pPr>
        <w:adjustRightInd w:val="0"/>
        <w:snapToGrid w:val="0"/>
        <w:spacing w:line="360" w:lineRule="auto"/>
        <w:ind w:firstLine="422" w:firstLineChars="200"/>
        <w:textAlignment w:val="baseline"/>
        <w:rPr>
          <w:rFonts w:ascii="仿宋" w:hAnsi="仿宋" w:cs="仿宋"/>
          <w:b/>
          <w:kern w:val="0"/>
          <w:szCs w:val="21"/>
        </w:rPr>
      </w:pPr>
      <w:r>
        <w:rPr>
          <w:rFonts w:hint="eastAsia" w:ascii="仿宋" w:hAnsi="仿宋" w:cs="仿宋"/>
          <w:b/>
          <w:kern w:val="0"/>
          <w:szCs w:val="21"/>
        </w:rPr>
        <w:t>（一）评标原则</w:t>
      </w:r>
    </w:p>
    <w:p>
      <w:pPr>
        <w:adjustRightInd w:val="0"/>
        <w:snapToGrid w:val="0"/>
        <w:spacing w:line="360" w:lineRule="auto"/>
        <w:ind w:firstLine="420" w:firstLineChars="200"/>
        <w:textAlignment w:val="baseline"/>
        <w:rPr>
          <w:rFonts w:ascii="仿宋" w:hAnsi="仿宋" w:cs="仿宋"/>
          <w:b/>
          <w:kern w:val="0"/>
          <w:szCs w:val="21"/>
        </w:rPr>
      </w:pPr>
      <w:r>
        <w:rPr>
          <w:rFonts w:hint="eastAsia" w:ascii="仿宋" w:hAnsi="仿宋" w:cs="仿宋"/>
          <w:kern w:val="0"/>
        </w:rPr>
        <w:t>评标委员会应当按照客观、公正、审慎的原则，根据招标文件规定的评审程序、评审方法和评审标准进行独立评审。招标文件内容违反国家有关强制性规定的，评标委员会应当停止评审并向采购人或者采购代理机构说明情况。</w:t>
      </w:r>
    </w:p>
    <w:p>
      <w:pPr>
        <w:adjustRightInd w:val="0"/>
        <w:snapToGrid w:val="0"/>
        <w:spacing w:line="360" w:lineRule="auto"/>
        <w:ind w:firstLine="422" w:firstLineChars="200"/>
        <w:textAlignment w:val="baseline"/>
        <w:rPr>
          <w:rFonts w:ascii="仿宋" w:hAnsi="仿宋" w:cs="仿宋"/>
          <w:b/>
          <w:kern w:val="0"/>
          <w:szCs w:val="21"/>
        </w:rPr>
      </w:pPr>
      <w:r>
        <w:rPr>
          <w:rFonts w:hint="eastAsia" w:ascii="仿宋" w:hAnsi="仿宋" w:cs="仿宋"/>
          <w:b/>
          <w:kern w:val="0"/>
          <w:szCs w:val="21"/>
        </w:rPr>
        <w:t>（二）评标程序</w:t>
      </w:r>
    </w:p>
    <w:p>
      <w:pPr>
        <w:adjustRightInd w:val="0"/>
        <w:snapToGrid w:val="0"/>
        <w:spacing w:line="360" w:lineRule="auto"/>
        <w:ind w:firstLine="422" w:firstLineChars="200"/>
        <w:textAlignment w:val="baseline"/>
        <w:rPr>
          <w:rFonts w:ascii="仿宋" w:hAnsi="仿宋" w:cs="仿宋"/>
          <w:b/>
          <w:kern w:val="0"/>
          <w:szCs w:val="21"/>
        </w:rPr>
      </w:pPr>
      <w:r>
        <w:rPr>
          <w:rFonts w:hint="eastAsia" w:ascii="仿宋" w:hAnsi="仿宋" w:cs="仿宋"/>
          <w:b/>
          <w:kern w:val="0"/>
          <w:szCs w:val="21"/>
        </w:rPr>
        <w:t>★1、资格审查</w:t>
      </w:r>
    </w:p>
    <w:p>
      <w:pPr>
        <w:adjustRightInd w:val="0"/>
        <w:snapToGrid w:val="0"/>
        <w:spacing w:line="360" w:lineRule="auto"/>
        <w:ind w:firstLine="420" w:firstLineChars="200"/>
        <w:textAlignment w:val="baseline"/>
        <w:rPr>
          <w:rFonts w:ascii="仿宋" w:hAnsi="仿宋" w:cs="仿宋"/>
          <w:kern w:val="0"/>
          <w:szCs w:val="21"/>
        </w:rPr>
      </w:pPr>
      <w:r>
        <w:rPr>
          <w:rFonts w:hint="eastAsia" w:ascii="仿宋" w:hAnsi="仿宋" w:cs="仿宋"/>
          <w:kern w:val="0"/>
          <w:szCs w:val="21"/>
        </w:rPr>
        <w:t>1.1详见供应商须知22条。资格审查表详见本章附件1。</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w:t>
      </w:r>
      <w:r>
        <w:rPr>
          <w:rFonts w:hint="eastAsia" w:ascii="仿宋" w:hAnsi="仿宋" w:cs="仿宋"/>
          <w:b/>
          <w:bCs/>
          <w:kern w:val="0"/>
          <w:szCs w:val="21"/>
        </w:rPr>
        <w:t>2、符合性审查</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2.1详见供应商须知23条。符合性审查表详见本章附件2。</w:t>
      </w:r>
    </w:p>
    <w:p>
      <w:pPr>
        <w:adjustRightInd w:val="0"/>
        <w:snapToGrid w:val="0"/>
        <w:spacing w:line="360" w:lineRule="auto"/>
        <w:ind w:firstLine="422" w:firstLineChars="200"/>
        <w:rPr>
          <w:rFonts w:ascii="仿宋" w:hAnsi="仿宋" w:cs="仿宋"/>
          <w:b/>
          <w:kern w:val="0"/>
          <w:szCs w:val="21"/>
        </w:rPr>
      </w:pPr>
      <w:r>
        <w:rPr>
          <w:rFonts w:hint="eastAsia" w:ascii="仿宋" w:hAnsi="仿宋" w:cs="仿宋"/>
          <w:b/>
          <w:kern w:val="0"/>
          <w:szCs w:val="21"/>
        </w:rPr>
        <w:t>3、样品及演示</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3.1</w:t>
      </w:r>
      <w:r>
        <w:rPr>
          <w:rFonts w:hint="eastAsia" w:ascii="仿宋" w:hAnsi="仿宋" w:cs="仿宋"/>
          <w:kern w:val="0"/>
          <w:szCs w:val="21"/>
        </w:rPr>
        <w:t>供应商须知表11.3条</w:t>
      </w:r>
      <w:r>
        <w:rPr>
          <w:rFonts w:hint="eastAsia" w:ascii="仿宋" w:hAnsi="仿宋" w:cs="仿宋"/>
          <w:szCs w:val="21"/>
        </w:rPr>
        <w:t>中要求供应商提供样品或演示的，按照</w:t>
      </w:r>
      <w:r>
        <w:rPr>
          <w:rFonts w:hint="eastAsia" w:ascii="仿宋" w:hAnsi="仿宋" w:cs="仿宋"/>
          <w:kern w:val="0"/>
          <w:szCs w:val="21"/>
        </w:rPr>
        <w:t>供应商须知表25.1条</w:t>
      </w:r>
      <w:r>
        <w:rPr>
          <w:rFonts w:hint="eastAsia" w:ascii="仿宋" w:hAnsi="仿宋" w:cs="仿宋"/>
          <w:szCs w:val="21"/>
        </w:rPr>
        <w:t>中确定的评审方法以及评审标准进行评审。(样品或演示属于符合性审查的，按照</w:t>
      </w:r>
      <w:r>
        <w:rPr>
          <w:rFonts w:hint="eastAsia" w:ascii="仿宋" w:hAnsi="仿宋" w:cs="仿宋"/>
          <w:kern w:val="0"/>
          <w:szCs w:val="21"/>
        </w:rPr>
        <w:t>供应商须知23条</w:t>
      </w:r>
      <w:r>
        <w:rPr>
          <w:rFonts w:hint="eastAsia" w:ascii="仿宋" w:hAnsi="仿宋" w:cs="仿宋"/>
          <w:szCs w:val="21"/>
        </w:rPr>
        <w:t>规定执行）</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★4</w:t>
      </w:r>
      <w:r>
        <w:rPr>
          <w:rFonts w:hint="eastAsia" w:ascii="仿宋" w:hAnsi="仿宋" w:cs="仿宋"/>
          <w:b/>
          <w:bCs/>
          <w:kern w:val="0"/>
          <w:szCs w:val="21"/>
        </w:rPr>
        <w:t>、同一品牌产品</w:t>
      </w:r>
    </w:p>
    <w:p>
      <w:pPr>
        <w:adjustRightInd w:val="0"/>
        <w:snapToGrid w:val="0"/>
        <w:spacing w:line="360" w:lineRule="auto"/>
        <w:ind w:firstLine="420" w:firstLineChars="200"/>
        <w:rPr>
          <w:rFonts w:ascii="仿宋" w:hAnsi="仿宋" w:cs="仿宋"/>
          <w:b/>
          <w:bCs/>
          <w:szCs w:val="21"/>
        </w:rPr>
      </w:pPr>
      <w:r>
        <w:rPr>
          <w:rFonts w:hint="eastAsia" w:ascii="仿宋" w:hAnsi="仿宋" w:cs="仿宋"/>
          <w:szCs w:val="21"/>
        </w:rPr>
        <w:t>4.1通过资格审查、符合性审查的不同品牌供应商不足3家的，按照</w:t>
      </w:r>
      <w:r>
        <w:rPr>
          <w:rFonts w:hint="eastAsia" w:ascii="仿宋" w:hAnsi="仿宋" w:cs="仿宋"/>
          <w:kern w:val="0"/>
          <w:szCs w:val="21"/>
        </w:rPr>
        <w:t>供应商须知28条第（1）款</w:t>
      </w:r>
      <w:r>
        <w:rPr>
          <w:rFonts w:hint="eastAsia" w:ascii="仿宋" w:hAnsi="仿宋" w:cs="仿宋"/>
          <w:szCs w:val="21"/>
        </w:rPr>
        <w:t>执行</w:t>
      </w:r>
      <w:r>
        <w:rPr>
          <w:rFonts w:hint="eastAsia" w:ascii="仿宋" w:hAnsi="仿宋" w:cs="仿宋"/>
          <w:kern w:val="0"/>
          <w:szCs w:val="21"/>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4.2提供相同品牌产品且通过资格审查、符合性审查的不同供应商，按一家供应商计算。</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4.3如一个分包内只有一种产品，不同供应商所投产品为同一品牌的，按如下方式处理：</w:t>
      </w:r>
    </w:p>
    <w:p>
      <w:pPr>
        <w:numPr>
          <w:ilvl w:val="0"/>
          <w:numId w:val="4"/>
        </w:numPr>
        <w:adjustRightInd w:val="0"/>
        <w:snapToGrid w:val="0"/>
        <w:spacing w:line="360" w:lineRule="auto"/>
        <w:ind w:firstLine="420" w:firstLineChars="200"/>
        <w:rPr>
          <w:rFonts w:ascii="仿宋" w:hAnsi="仿宋" w:cs="仿宋"/>
          <w:szCs w:val="21"/>
        </w:rPr>
      </w:pPr>
      <w:r>
        <w:rPr>
          <w:rFonts w:hint="eastAsia" w:ascii="仿宋" w:hAnsi="仿宋" w:cs="仿宋"/>
          <w:szCs w:val="21"/>
        </w:rPr>
        <w:t>如本项目使用最低评标价法，提供相同品牌产品的不同供应商以其中通过资格审查、符合性审查且报价最低的参加比较及评价；报价相同的，按</w:t>
      </w:r>
      <w:r>
        <w:rPr>
          <w:rFonts w:hint="eastAsia" w:ascii="仿宋" w:hAnsi="仿宋" w:cs="仿宋"/>
          <w:kern w:val="0"/>
          <w:szCs w:val="21"/>
        </w:rPr>
        <w:t>本章第8条</w:t>
      </w:r>
      <w:r>
        <w:rPr>
          <w:rFonts w:hint="eastAsia" w:ascii="仿宋" w:hAnsi="仿宋" w:cs="仿宋"/>
          <w:szCs w:val="21"/>
        </w:rPr>
        <w:t>“推荐中标候选人的原则”规定执行；未规定的采取随机抽取方式确定，其他</w:t>
      </w:r>
      <w:r>
        <w:rPr>
          <w:rFonts w:hint="eastAsia" w:ascii="仿宋" w:hAnsi="仿宋" w:cs="仿宋"/>
          <w:b/>
          <w:bCs/>
          <w:szCs w:val="21"/>
        </w:rPr>
        <w:t>投标无效</w:t>
      </w:r>
      <w:r>
        <w:rPr>
          <w:rFonts w:hint="eastAsia" w:ascii="仿宋" w:hAnsi="仿宋" w:cs="仿宋"/>
          <w:szCs w:val="21"/>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如本项目使用综合评分法，评审后得分最高的同品牌供应商获得中标人推荐资格；评审得分相同的，按本章第8条“推荐中标候选人的原则”规定执行；未规定的采取随机抽取方式确定，其他同品牌供应商不作为中标候选人。</w:t>
      </w:r>
    </w:p>
    <w:p>
      <w:pPr>
        <w:adjustRightInd w:val="0"/>
        <w:snapToGrid w:val="0"/>
        <w:spacing w:line="360" w:lineRule="auto"/>
        <w:ind w:firstLine="420" w:firstLineChars="200"/>
        <w:rPr>
          <w:rFonts w:ascii="仿宋" w:hAnsi="仿宋" w:cs="仿宋"/>
          <w:kern w:val="0"/>
          <w:szCs w:val="21"/>
        </w:rPr>
      </w:pPr>
      <w:r>
        <w:rPr>
          <w:rFonts w:hint="eastAsia" w:ascii="仿宋" w:hAnsi="仿宋" w:cs="仿宋"/>
          <w:szCs w:val="21"/>
        </w:rPr>
        <w:t>4.4如一个分包内包含多种产品的，采购人或采购代理机构将在招标文件中载明核心产品，多家供应商提供的核心产品品牌相同的，</w:t>
      </w:r>
      <w:r>
        <w:rPr>
          <w:rFonts w:hint="eastAsia" w:ascii="仿宋" w:hAnsi="仿宋" w:cs="仿宋"/>
          <w:kern w:val="0"/>
          <w:szCs w:val="21"/>
        </w:rPr>
        <w:t>按本章第4.3条规定处理。</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★5</w:t>
      </w:r>
      <w:r>
        <w:rPr>
          <w:rFonts w:hint="eastAsia" w:ascii="仿宋" w:hAnsi="仿宋" w:cs="仿宋"/>
          <w:b/>
          <w:bCs/>
          <w:kern w:val="0"/>
          <w:szCs w:val="21"/>
        </w:rPr>
        <w:t>、比较及评价</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5.1评标委员会对通过符合性审查的投标文件进行比较和评价。</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5.2在评标期间，对投标文件的澄清按供应商须知24条内容执行。</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5.3评标委员会认为供应商的报价明显低于其他通过符合性审查的供应商报价，有可能影响产品质量或者不能诚信履约的，评标委员会应当要求其在评标现场合理的时间（</w:t>
      </w:r>
      <w:r>
        <w:rPr>
          <w:rFonts w:hint="eastAsia" w:ascii="仿宋" w:hAnsi="仿宋" w:cs="仿宋"/>
          <w:kern w:val="0"/>
          <w:szCs w:val="21"/>
        </w:rPr>
        <w:t>接到通知后</w:t>
      </w:r>
      <w:r>
        <w:rPr>
          <w:rFonts w:hint="eastAsia" w:ascii="仿宋" w:hAnsi="仿宋" w:cs="仿宋"/>
          <w:kern w:val="0"/>
          <w:szCs w:val="21"/>
          <w:u w:val="single"/>
        </w:rPr>
        <w:t>0.5</w:t>
      </w:r>
      <w:r>
        <w:rPr>
          <w:rFonts w:hint="eastAsia" w:ascii="仿宋" w:hAnsi="仿宋" w:cs="仿宋"/>
          <w:kern w:val="0"/>
          <w:szCs w:val="21"/>
        </w:rPr>
        <w:t>小时</w:t>
      </w:r>
      <w:r>
        <w:rPr>
          <w:rFonts w:hint="eastAsia" w:ascii="仿宋" w:hAnsi="仿宋" w:cs="仿宋"/>
          <w:szCs w:val="21"/>
        </w:rPr>
        <w:t>）内提供书面说明，并提交相关证明材料，</w:t>
      </w:r>
      <w:r>
        <w:rPr>
          <w:rFonts w:hint="eastAsia" w:ascii="仿宋" w:hAnsi="仿宋" w:cs="仿宋"/>
          <w:kern w:val="0"/>
          <w:szCs w:val="21"/>
        </w:rPr>
        <w:t>供应商不能证明其报价合理性的，评标委员会应当将</w:t>
      </w:r>
      <w:r>
        <w:rPr>
          <w:rFonts w:hint="eastAsia" w:ascii="仿宋" w:hAnsi="仿宋" w:cs="仿宋"/>
          <w:szCs w:val="21"/>
        </w:rPr>
        <w:t>其投标作为</w:t>
      </w:r>
      <w:r>
        <w:rPr>
          <w:rFonts w:hint="eastAsia" w:ascii="仿宋" w:hAnsi="仿宋" w:cs="仿宋"/>
          <w:b/>
          <w:bCs/>
          <w:szCs w:val="21"/>
        </w:rPr>
        <w:t>无效投标处理</w:t>
      </w:r>
      <w:r>
        <w:rPr>
          <w:rFonts w:hint="eastAsia" w:ascii="仿宋" w:hAnsi="仿宋" w:cs="仿宋"/>
          <w:szCs w:val="21"/>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供应商的书面说明材料包含货物本身成本、人工费用、运输、税收等，以及报价不会影响产品质量或诚信履约能力的说明等。</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供应商的书面说明应当签字确认或者加盖公章，否则无效。书面说明的签字确认，由其法定代表人（非法人单位负责人或自然人本人）或者其授权代表签字确认。</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供应商提供书面说明后，评标委员会应当结合采购项目采购需求、专业实际情况、供应商财务状况报告、与其他供应商比较情况等就供应商的书面说明进行审查评价。供应商如有下列情况的，评标委员会应当将其投标文件作为无效处理：</w:t>
      </w:r>
    </w:p>
    <w:p>
      <w:pPr>
        <w:numPr>
          <w:ilvl w:val="0"/>
          <w:numId w:val="5"/>
        </w:numPr>
        <w:adjustRightInd w:val="0"/>
        <w:snapToGrid w:val="0"/>
        <w:spacing w:line="360" w:lineRule="auto"/>
        <w:ind w:firstLine="420" w:firstLineChars="200"/>
        <w:rPr>
          <w:rFonts w:ascii="仿宋" w:hAnsi="仿宋" w:cs="仿宋"/>
          <w:szCs w:val="21"/>
        </w:rPr>
      </w:pPr>
      <w:r>
        <w:rPr>
          <w:rFonts w:hint="eastAsia" w:ascii="仿宋" w:hAnsi="仿宋" w:cs="仿宋"/>
          <w:szCs w:val="21"/>
        </w:rPr>
        <w:t>拒绝或者变相拒绝提供有效书面说明；</w:t>
      </w:r>
    </w:p>
    <w:p>
      <w:pPr>
        <w:numPr>
          <w:ilvl w:val="0"/>
          <w:numId w:val="5"/>
        </w:numPr>
        <w:adjustRightInd w:val="0"/>
        <w:snapToGrid w:val="0"/>
        <w:spacing w:line="360" w:lineRule="auto"/>
        <w:ind w:firstLine="420" w:firstLineChars="200"/>
        <w:rPr>
          <w:rFonts w:ascii="仿宋" w:hAnsi="仿宋" w:cs="仿宋"/>
          <w:szCs w:val="21"/>
        </w:rPr>
      </w:pPr>
      <w:r>
        <w:rPr>
          <w:rFonts w:hint="eastAsia" w:ascii="仿宋" w:hAnsi="仿宋" w:cs="仿宋"/>
          <w:szCs w:val="21"/>
        </w:rPr>
        <w:t>书面说明不能证明其报价合理性的；</w:t>
      </w:r>
    </w:p>
    <w:p>
      <w:pPr>
        <w:numPr>
          <w:ilvl w:val="0"/>
          <w:numId w:val="5"/>
        </w:numPr>
        <w:adjustRightInd w:val="0"/>
        <w:snapToGrid w:val="0"/>
        <w:spacing w:line="360" w:lineRule="auto"/>
        <w:ind w:firstLine="420" w:firstLineChars="200"/>
        <w:rPr>
          <w:rFonts w:ascii="仿宋" w:hAnsi="仿宋" w:cs="仿宋"/>
          <w:szCs w:val="21"/>
        </w:rPr>
      </w:pPr>
      <w:r>
        <w:rPr>
          <w:rFonts w:hint="eastAsia" w:ascii="仿宋" w:hAnsi="仿宋" w:cs="仿宋"/>
          <w:szCs w:val="21"/>
        </w:rPr>
        <w:t>未在规定时间内递交有效书面说明书的。</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★6</w:t>
      </w:r>
      <w:r>
        <w:rPr>
          <w:rFonts w:hint="eastAsia" w:ascii="仿宋" w:hAnsi="仿宋" w:cs="仿宋"/>
          <w:b/>
          <w:bCs/>
          <w:kern w:val="0"/>
          <w:szCs w:val="21"/>
        </w:rPr>
        <w:t>、需落实的政府采购政策性规定：</w:t>
      </w:r>
    </w:p>
    <w:p>
      <w:pPr>
        <w:adjustRightInd w:val="0"/>
        <w:snapToGrid w:val="0"/>
        <w:spacing w:line="360" w:lineRule="auto"/>
        <w:ind w:firstLine="422" w:firstLineChars="200"/>
        <w:rPr>
          <w:rFonts w:ascii="仿宋" w:hAnsi="仿宋" w:cs="仿宋"/>
          <w:b/>
          <w:kern w:val="0"/>
          <w:szCs w:val="21"/>
        </w:rPr>
      </w:pPr>
      <w:r>
        <w:rPr>
          <w:rFonts w:hint="eastAsia" w:ascii="仿宋" w:hAnsi="仿宋" w:cs="仿宋"/>
          <w:b/>
          <w:kern w:val="0"/>
          <w:szCs w:val="21"/>
        </w:rPr>
        <w:t>6.1对于中小微企业的相关规定</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6.1.1 具体执行“政府采购促进中小企业发展管理办法(财库(2020)46号)”的相关规定。对于专门面向中小企业采购的项目或者采购包，不再执行价格评审优惠的扶持政策。</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对于非专门面向中小企业的项目，在满足价格扣除条件且在投标文件中按要求提交了</w:t>
      </w:r>
    </w:p>
    <w:p>
      <w:pPr>
        <w:adjustRightInd w:val="0"/>
        <w:snapToGrid w:val="0"/>
        <w:spacing w:line="360" w:lineRule="auto"/>
        <w:rPr>
          <w:rFonts w:ascii="仿宋" w:hAnsi="仿宋" w:cs="仿宋"/>
          <w:szCs w:val="21"/>
        </w:rPr>
      </w:pPr>
      <w:r>
        <w:rPr>
          <w:rFonts w:hint="eastAsia" w:ascii="仿宋" w:hAnsi="仿宋" w:cs="仿宋"/>
          <w:szCs w:val="21"/>
        </w:rPr>
        <w:t>《中小企业声明函》的，对最后报价给予价格扣除，用扣除后的价格参与评审。最后报价</w:t>
      </w:r>
    </w:p>
    <w:p>
      <w:pPr>
        <w:adjustRightInd w:val="0"/>
        <w:snapToGrid w:val="0"/>
        <w:spacing w:line="360" w:lineRule="auto"/>
        <w:rPr>
          <w:rFonts w:ascii="仿宋" w:hAnsi="仿宋" w:cs="仿宋"/>
          <w:szCs w:val="21"/>
        </w:rPr>
      </w:pPr>
      <w:r>
        <w:rPr>
          <w:rFonts w:hint="eastAsia" w:ascii="仿宋" w:hAnsi="仿宋" w:cs="仿宋"/>
          <w:szCs w:val="21"/>
        </w:rPr>
        <w:t>扣除比例如下:</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(1)非联合体投标</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小型和微型企业相应产品、服务投标报价的</w:t>
      </w:r>
      <w:r>
        <w:rPr>
          <w:rFonts w:hint="eastAsia" w:ascii="仿宋" w:hAnsi="仿宋" w:cs="仿宋"/>
          <w:szCs w:val="21"/>
          <w:u w:val="single"/>
        </w:rPr>
        <w:t xml:space="preserve"> 10 </w:t>
      </w:r>
      <w:r>
        <w:rPr>
          <w:rFonts w:hint="eastAsia" w:ascii="仿宋" w:hAnsi="仿宋" w:cs="仿宋"/>
          <w:szCs w:val="21"/>
        </w:rPr>
        <w:t>%。</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(2)联合体投标(不适用)</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仿宋" w:hAnsi="仿宋" w:cs="仿宋"/>
          <w:szCs w:val="21"/>
          <w:u w:val="single"/>
        </w:rPr>
        <w:t xml:space="preserve">  /  </w:t>
      </w:r>
      <w:r>
        <w:rPr>
          <w:rFonts w:hint="eastAsia" w:ascii="仿宋" w:hAnsi="仿宋" w:cs="仿宋"/>
          <w:szCs w:val="21"/>
        </w:rPr>
        <w:t>的扣除。</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联合体各方均为小型、微型企业，按第本款（1）条规定享受扶持政策。组成联合体的大中型企业和自然人、法人或其他组织，与小型、微型企业之间不得存在投资关系。</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依据《政府采购促进中小企业发展管理办法》（财库〔2020〕46号）规定享受扶持政策获得政府采购合同的，小微企业不得将合同分包给大中型企业，中型企业不得将合同分包给大型企业。</w:t>
      </w:r>
    </w:p>
    <w:p>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cs="仿宋"/>
          <w:kern w:val="0"/>
          <w:szCs w:val="21"/>
        </w:rPr>
        <w:t>用扣除后的价格参与评审</w:t>
      </w:r>
      <w:r>
        <w:rPr>
          <w:rFonts w:hint="eastAsia" w:ascii="仿宋" w:hAnsi="仿宋" w:cs="仿宋"/>
          <w:szCs w:val="21"/>
        </w:rPr>
        <w:t>。</w:t>
      </w:r>
    </w:p>
    <w:p>
      <w:pPr>
        <w:adjustRightInd w:val="0"/>
        <w:snapToGrid w:val="0"/>
        <w:spacing w:line="360" w:lineRule="auto"/>
        <w:ind w:firstLine="420" w:firstLineChars="200"/>
        <w:jc w:val="left"/>
        <w:rPr>
          <w:rFonts w:ascii="仿宋" w:hAnsi="仿宋" w:cs="仿宋"/>
          <w:szCs w:val="21"/>
        </w:rPr>
      </w:pPr>
      <w:r>
        <w:rPr>
          <w:rFonts w:hint="eastAsia" w:ascii="仿宋" w:hAnsi="仿宋" w:cs="仿宋"/>
          <w:kern w:val="0"/>
          <w:szCs w:val="21"/>
        </w:rPr>
        <w:t>6.1.3</w:t>
      </w:r>
      <w:r>
        <w:rPr>
          <w:rFonts w:hint="eastAsia" w:ascii="仿宋" w:hAnsi="仿宋" w:cs="仿宋"/>
          <w:szCs w:val="21"/>
        </w:rPr>
        <w:t>残疾人福利性单位视同小型、微型企业，在满足价格扣除条件且在</w:t>
      </w:r>
      <w:r>
        <w:rPr>
          <w:rFonts w:hint="eastAsia" w:ascii="仿宋" w:hAnsi="仿宋" w:cs="仿宋"/>
          <w:kern w:val="0"/>
          <w:szCs w:val="21"/>
        </w:rPr>
        <w:t>投标文件中提供了《残疾人福利性单位声明函》的，</w:t>
      </w:r>
      <w:r>
        <w:rPr>
          <w:rFonts w:hint="eastAsia" w:ascii="仿宋" w:hAnsi="仿宋" w:cs="仿宋"/>
          <w:szCs w:val="21"/>
        </w:rPr>
        <w:t>对其投标报价按本章6.1.1条款的比例予以扣除</w:t>
      </w:r>
      <w:r>
        <w:rPr>
          <w:rFonts w:hint="eastAsia" w:ascii="仿宋" w:hAnsi="仿宋" w:cs="仿宋"/>
          <w:kern w:val="0"/>
          <w:szCs w:val="21"/>
        </w:rPr>
        <w:t>，用扣除后的价格参与评审。</w:t>
      </w:r>
    </w:p>
    <w:p>
      <w:pPr>
        <w:adjustRightInd w:val="0"/>
        <w:snapToGrid w:val="0"/>
        <w:spacing w:line="360" w:lineRule="auto"/>
        <w:ind w:firstLine="422" w:firstLineChars="200"/>
        <w:rPr>
          <w:rFonts w:ascii="仿宋" w:hAnsi="仿宋" w:cs="仿宋"/>
          <w:b/>
          <w:szCs w:val="21"/>
        </w:rPr>
      </w:pPr>
      <w:r>
        <w:rPr>
          <w:rFonts w:hint="eastAsia" w:ascii="仿宋" w:hAnsi="仿宋" w:cs="仿宋"/>
          <w:b/>
          <w:szCs w:val="21"/>
        </w:rPr>
        <w:t>6.1.4残疾人福利性单位属于小型、微型企业的，不重复享受政策。</w:t>
      </w:r>
    </w:p>
    <w:p>
      <w:pPr>
        <w:adjustRightInd w:val="0"/>
        <w:snapToGrid w:val="0"/>
        <w:spacing w:line="360" w:lineRule="auto"/>
        <w:ind w:firstLine="422" w:firstLineChars="200"/>
        <w:rPr>
          <w:rFonts w:ascii="仿宋" w:hAnsi="仿宋" w:cs="仿宋"/>
          <w:b/>
          <w:kern w:val="0"/>
          <w:szCs w:val="21"/>
        </w:rPr>
      </w:pPr>
      <w:r>
        <w:rPr>
          <w:rFonts w:hint="eastAsia" w:ascii="仿宋" w:hAnsi="仿宋" w:cs="仿宋"/>
          <w:b/>
          <w:kern w:val="0"/>
          <w:szCs w:val="21"/>
        </w:rPr>
        <w:t>6.2对于节能产品、环境标志产品的相关规定</w:t>
      </w:r>
    </w:p>
    <w:p>
      <w:pPr>
        <w:numPr>
          <w:ilvl w:val="0"/>
          <w:numId w:val="6"/>
        </w:num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节能产品或环境标志产品，依据品目清单和认证证书实施政府优先采购。</w:t>
      </w:r>
      <w:r>
        <w:rPr>
          <w:rFonts w:hint="eastAsia" w:ascii="仿宋" w:hAnsi="仿宋" w:cs="仿宋"/>
        </w:rPr>
        <w:t>供应商</w:t>
      </w:r>
      <w:r>
        <w:rPr>
          <w:rFonts w:hint="eastAsia" w:ascii="仿宋" w:hAnsi="仿宋" w:cs="仿宋"/>
          <w:szCs w:val="21"/>
        </w:rPr>
        <w:t>应能够提供国家确定的认证机构出具的、处于有效期之内的节能产品、环境标志产品认证证书，方可对获得证书的产品优先推荐。</w:t>
      </w:r>
    </w:p>
    <w:p>
      <w:pPr>
        <w:adjustRightInd w:val="0"/>
        <w:snapToGrid w:val="0"/>
        <w:spacing w:line="360" w:lineRule="auto"/>
        <w:ind w:firstLine="630" w:firstLineChars="300"/>
        <w:jc w:val="left"/>
        <w:rPr>
          <w:rFonts w:ascii="仿宋" w:hAnsi="仿宋" w:cs="仿宋"/>
          <w:szCs w:val="21"/>
        </w:rPr>
      </w:pPr>
      <w:r>
        <w:rPr>
          <w:rFonts w:hint="eastAsia" w:ascii="仿宋" w:hAnsi="仿宋" w:cs="仿宋"/>
          <w:kern w:val="0"/>
          <w:szCs w:val="21"/>
        </w:rPr>
        <w:t>采用最低评标价法的，</w:t>
      </w:r>
      <w:r>
        <w:rPr>
          <w:rFonts w:hint="eastAsia" w:ascii="仿宋" w:hAnsi="仿宋" w:cs="仿宋"/>
          <w:szCs w:val="21"/>
        </w:rPr>
        <w:t>对</w:t>
      </w:r>
      <w:r>
        <w:rPr>
          <w:rFonts w:hint="eastAsia" w:ascii="仿宋" w:hAnsi="仿宋" w:cs="仿宋"/>
          <w:kern w:val="0"/>
          <w:szCs w:val="21"/>
        </w:rPr>
        <w:t>清单中投标产品的报价</w:t>
      </w:r>
      <w:r>
        <w:rPr>
          <w:rFonts w:hint="eastAsia" w:ascii="仿宋" w:hAnsi="仿宋" w:cs="仿宋"/>
          <w:szCs w:val="21"/>
        </w:rPr>
        <w:t>给予价格扣除，用扣除后的价格参与评审。报价扣除比例为</w:t>
      </w:r>
      <w:r>
        <w:rPr>
          <w:rFonts w:hint="eastAsia" w:ascii="仿宋" w:hAnsi="仿宋" w:cs="仿宋"/>
          <w:kern w:val="0"/>
          <w:szCs w:val="21"/>
        </w:rPr>
        <w:t>清单中产品报价的</w:t>
      </w:r>
      <w:r>
        <w:rPr>
          <w:rFonts w:hint="eastAsia" w:ascii="仿宋" w:hAnsi="仿宋" w:cs="仿宋"/>
          <w:kern w:val="0"/>
          <w:szCs w:val="21"/>
          <w:u w:val="single"/>
        </w:rPr>
        <w:t xml:space="preserve"> </w:t>
      </w:r>
      <w:r>
        <w:rPr>
          <w:rFonts w:hint="eastAsia" w:ascii="仿宋" w:hAnsi="仿宋" w:cs="仿宋"/>
          <w:szCs w:val="21"/>
          <w:u w:val="single"/>
        </w:rPr>
        <w:t xml:space="preserve">/ </w:t>
      </w:r>
      <w:r>
        <w:rPr>
          <w:rFonts w:hint="eastAsia" w:ascii="仿宋" w:hAnsi="仿宋" w:cs="仿宋"/>
          <w:szCs w:val="21"/>
        </w:rPr>
        <w:t>%。</w:t>
      </w:r>
    </w:p>
    <w:p>
      <w:pPr>
        <w:adjustRightInd w:val="0"/>
        <w:snapToGrid w:val="0"/>
        <w:spacing w:line="360" w:lineRule="auto"/>
        <w:ind w:firstLine="630" w:firstLineChars="300"/>
        <w:jc w:val="left"/>
        <w:rPr>
          <w:rFonts w:ascii="仿宋" w:hAnsi="仿宋" w:cs="仿宋"/>
          <w:szCs w:val="21"/>
        </w:rPr>
      </w:pPr>
      <w:r>
        <w:rPr>
          <w:rFonts w:hint="eastAsia" w:ascii="仿宋" w:hAnsi="仿宋" w:cs="仿宋"/>
          <w:kern w:val="0"/>
          <w:szCs w:val="21"/>
        </w:rPr>
        <w:t>采用综合评分法评标的项目，对清单中产品给予相应的加分。（详见评分细则）</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（2）供应商应同时提供品目清单网络截图，并以明确标注所报产品信息和位置的方式，用以方便评审。</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（3）认证机构和获证产品信息发布媒体：详见中国政府采购网（www.ccgp.gov.cn）建立的与认证结果信息发布平台的链接。</w:t>
      </w:r>
    </w:p>
    <w:p>
      <w:pPr>
        <w:adjustRightInd w:val="0"/>
        <w:spacing w:line="360" w:lineRule="auto"/>
        <w:ind w:firstLine="422" w:firstLineChars="200"/>
        <w:jc w:val="left"/>
        <w:rPr>
          <w:rFonts w:ascii="仿宋" w:hAnsi="仿宋" w:cs="仿宋"/>
          <w:b/>
          <w:bCs/>
          <w:szCs w:val="21"/>
        </w:rPr>
      </w:pPr>
      <w:r>
        <w:rPr>
          <w:rFonts w:hint="eastAsia" w:ascii="仿宋" w:hAnsi="仿宋" w:cs="仿宋"/>
          <w:b/>
          <w:bCs/>
          <w:szCs w:val="21"/>
        </w:rPr>
        <w:t>6.3对于列入《创新产品和服务目录》内的产品、服务的相关规定</w:t>
      </w:r>
    </w:p>
    <w:p>
      <w:pPr>
        <w:adjustRightInd w:val="0"/>
        <w:spacing w:line="360" w:lineRule="auto"/>
        <w:ind w:firstLine="420" w:firstLineChars="200"/>
        <w:jc w:val="left"/>
        <w:rPr>
          <w:rFonts w:ascii="仿宋" w:hAnsi="仿宋" w:cs="仿宋"/>
          <w:szCs w:val="21"/>
        </w:rPr>
      </w:pPr>
      <w:r>
        <w:rPr>
          <w:rFonts w:hint="eastAsia" w:ascii="仿宋" w:hAnsi="仿宋" w:cs="仿宋"/>
          <w:szCs w:val="21"/>
        </w:rPr>
        <w:t>采用最低评标价法的：对列入《创新产品和服务目录》内的投标产品、服务给予其投标报价</w:t>
      </w:r>
      <w:r>
        <w:rPr>
          <w:rFonts w:hint="eastAsia" w:ascii="仿宋" w:hAnsi="仿宋" w:cs="仿宋"/>
          <w:szCs w:val="21"/>
          <w:u w:val="single"/>
        </w:rPr>
        <w:t xml:space="preserve"> / </w:t>
      </w:r>
      <w:r>
        <w:rPr>
          <w:rFonts w:hint="eastAsia" w:ascii="仿宋" w:hAnsi="仿宋" w:cs="仿宋"/>
          <w:szCs w:val="21"/>
        </w:rPr>
        <w:t>（6-8%）的价格扣除，用扣除后的价格参与评审。</w:t>
      </w:r>
    </w:p>
    <w:p>
      <w:pPr>
        <w:adjustRightInd w:val="0"/>
        <w:spacing w:line="360" w:lineRule="auto"/>
        <w:ind w:firstLine="420" w:firstLineChars="200"/>
        <w:jc w:val="left"/>
        <w:rPr>
          <w:rFonts w:ascii="仿宋" w:hAnsi="仿宋" w:cs="仿宋"/>
        </w:rPr>
      </w:pPr>
      <w:r>
        <w:rPr>
          <w:rFonts w:hint="eastAsia" w:ascii="仿宋" w:hAnsi="仿宋" w:cs="仿宋"/>
          <w:szCs w:val="21"/>
        </w:rPr>
        <w:t>采用综合评分法评标的：对列入《创新产品和服务目录》内的投标产品、服务给予</w:t>
      </w:r>
      <w:r>
        <w:rPr>
          <w:rFonts w:hint="eastAsia" w:ascii="仿宋" w:hAnsi="仿宋" w:cs="仿宋"/>
          <w:szCs w:val="21"/>
          <w:u w:val="single"/>
        </w:rPr>
        <w:t xml:space="preserve">  6%   </w:t>
      </w:r>
      <w:r>
        <w:rPr>
          <w:rFonts w:hint="eastAsia" w:ascii="仿宋" w:hAnsi="仿宋" w:cs="仿宋"/>
          <w:szCs w:val="21"/>
        </w:rPr>
        <w:t>（6-8%）的加分（详见评分细则）。</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★7</w:t>
      </w:r>
      <w:r>
        <w:rPr>
          <w:rFonts w:hint="eastAsia" w:ascii="仿宋" w:hAnsi="仿宋" w:cs="仿宋"/>
          <w:b/>
          <w:bCs/>
          <w:kern w:val="0"/>
          <w:szCs w:val="21"/>
        </w:rPr>
        <w:t>、投标无效情况详见供应商须知。</w:t>
      </w:r>
    </w:p>
    <w:p>
      <w:pPr>
        <w:adjustRightInd w:val="0"/>
        <w:snapToGrid w:val="0"/>
        <w:spacing w:line="360" w:lineRule="auto"/>
        <w:ind w:firstLine="422" w:firstLineChars="200"/>
        <w:rPr>
          <w:rFonts w:ascii="仿宋" w:hAnsi="仿宋" w:cs="仿宋"/>
          <w:b/>
          <w:bCs/>
          <w:kern w:val="0"/>
          <w:szCs w:val="21"/>
        </w:rPr>
      </w:pPr>
      <w:r>
        <w:rPr>
          <w:rFonts w:hint="eastAsia" w:ascii="仿宋" w:hAnsi="仿宋" w:cs="仿宋"/>
          <w:b/>
          <w:kern w:val="0"/>
          <w:szCs w:val="21"/>
        </w:rPr>
        <w:t>★8</w:t>
      </w:r>
      <w:r>
        <w:rPr>
          <w:rFonts w:hint="eastAsia" w:ascii="仿宋" w:hAnsi="仿宋" w:cs="仿宋"/>
          <w:b/>
          <w:bCs/>
          <w:kern w:val="0"/>
          <w:szCs w:val="21"/>
        </w:rPr>
        <w:t>、推荐中标候选人的原则</w:t>
      </w:r>
    </w:p>
    <w:p>
      <w:pPr>
        <w:adjustRightInd w:val="0"/>
        <w:snapToGrid w:val="0"/>
        <w:spacing w:line="360" w:lineRule="auto"/>
        <w:ind w:firstLine="420" w:firstLineChars="200"/>
        <w:rPr>
          <w:rFonts w:ascii="仿宋" w:hAnsi="仿宋" w:cs="仿宋"/>
          <w:kern w:val="0"/>
          <w:szCs w:val="21"/>
        </w:rPr>
      </w:pPr>
      <w:r>
        <w:rPr>
          <w:rFonts w:hint="eastAsia" w:ascii="仿宋" w:hAnsi="仿宋" w:cs="仿宋"/>
          <w:kern w:val="0"/>
          <w:szCs w:val="21"/>
        </w:rPr>
        <w:t>详见第一章供应商须知第29条，具体处理办法如下：</w:t>
      </w:r>
    </w:p>
    <w:p>
      <w:pPr>
        <w:numPr>
          <w:ilvl w:val="0"/>
          <w:numId w:val="7"/>
        </w:numPr>
        <w:adjustRightInd w:val="0"/>
        <w:snapToGrid w:val="0"/>
        <w:spacing w:line="360" w:lineRule="auto"/>
        <w:ind w:firstLine="420" w:firstLineChars="200"/>
        <w:rPr>
          <w:rFonts w:ascii="仿宋" w:hAnsi="仿宋" w:cs="仿宋"/>
          <w:szCs w:val="21"/>
        </w:rPr>
      </w:pPr>
      <w:r>
        <w:rPr>
          <w:rFonts w:hint="eastAsia" w:ascii="仿宋" w:hAnsi="仿宋" w:cs="仿宋"/>
          <w:szCs w:val="21"/>
        </w:rPr>
        <w:t>采用最低评标价法的：</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扣除后的投标报价相同时，按投标报价由低至高排序；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按前款不能区分的，优先采购节能产品、环境标志产品；</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按前款不能区分的，按技术指标优劣排序；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其他情况，由评标委员会投票处理。</w:t>
      </w:r>
    </w:p>
    <w:p>
      <w:pPr>
        <w:numPr>
          <w:ilvl w:val="0"/>
          <w:numId w:val="7"/>
        </w:numPr>
        <w:adjustRightInd w:val="0"/>
        <w:snapToGrid w:val="0"/>
        <w:spacing w:line="360" w:lineRule="auto"/>
        <w:ind w:firstLine="420" w:firstLineChars="200"/>
        <w:rPr>
          <w:rFonts w:ascii="仿宋" w:hAnsi="仿宋" w:cs="仿宋"/>
          <w:szCs w:val="21"/>
        </w:rPr>
      </w:pPr>
      <w:r>
        <w:rPr>
          <w:rFonts w:hint="eastAsia" w:ascii="仿宋" w:hAnsi="仿宋" w:cs="仿宋"/>
          <w:szCs w:val="21"/>
        </w:rPr>
        <w:t>采用综合评分法的：</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得分相同的，按扣除后的投标报价由低到高顺序排序；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按前款不能区分的，按投标报价由低至高顺序排序；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按前款不能区分的，按技术指标优劣排序；</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其他情况，由评标委员会投票处理。</w:t>
      </w:r>
    </w:p>
    <w:p>
      <w:pPr>
        <w:adjustRightInd w:val="0"/>
        <w:snapToGrid w:val="0"/>
        <w:spacing w:line="360" w:lineRule="auto"/>
        <w:ind w:firstLine="422" w:firstLineChars="200"/>
        <w:rPr>
          <w:rFonts w:ascii="仿宋" w:hAnsi="仿宋" w:cs="仿宋"/>
          <w:b/>
          <w:kern w:val="0"/>
          <w:szCs w:val="21"/>
        </w:rPr>
      </w:pPr>
      <w:bookmarkStart w:id="126" w:name="_Toc30297_WPSOffice_Level2"/>
      <w:r>
        <w:rPr>
          <w:rFonts w:hint="eastAsia" w:ascii="仿宋" w:hAnsi="仿宋" w:cs="仿宋"/>
          <w:b/>
          <w:szCs w:val="21"/>
        </w:rPr>
        <w:t>三、</w:t>
      </w:r>
      <w:r>
        <w:rPr>
          <w:rFonts w:hint="eastAsia" w:ascii="仿宋" w:hAnsi="仿宋" w:cs="仿宋"/>
          <w:b/>
          <w:kern w:val="0"/>
          <w:szCs w:val="21"/>
        </w:rPr>
        <w:t>确定中标人</w:t>
      </w:r>
      <w:bookmarkEnd w:id="126"/>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评标委员会根据全体评标委员会成员签字的原始评标记录和评标结果编写评标报告，并向采购人提交书面评标报告。</w:t>
      </w:r>
    </w:p>
    <w:p>
      <w:pPr>
        <w:adjustRightInd w:val="0"/>
        <w:snapToGrid w:val="0"/>
        <w:spacing w:line="360" w:lineRule="auto"/>
        <w:ind w:firstLine="420" w:firstLineChars="200"/>
        <w:rPr>
          <w:rFonts w:ascii="仿宋" w:hAnsi="仿宋" w:cs="仿宋"/>
          <w:szCs w:val="21"/>
        </w:rPr>
      </w:pPr>
      <w:r>
        <w:rPr>
          <w:rFonts w:hint="eastAsia" w:ascii="仿宋" w:hAnsi="仿宋" w:cs="仿宋"/>
          <w:szCs w:val="21"/>
        </w:rPr>
        <w:t>采购人按照评标报告确定的中标候选人名单按顺序确定中标人，或由采购人委托评标委员会按照第一章供应商须知第31条规定的方式确定中标人。</w:t>
      </w:r>
    </w:p>
    <w:p>
      <w:pPr>
        <w:pStyle w:val="3"/>
        <w:adjustRightInd w:val="0"/>
        <w:snapToGrid w:val="0"/>
        <w:spacing w:before="0" w:after="0" w:line="240" w:lineRule="auto"/>
        <w:jc w:val="left"/>
        <w:rPr>
          <w:rFonts w:ascii="仿宋" w:hAnsi="仿宋" w:cs="仿宋"/>
          <w:szCs w:val="28"/>
        </w:rPr>
      </w:pPr>
      <w:r>
        <w:rPr>
          <w:rFonts w:hint="eastAsia" w:ascii="仿宋" w:hAnsi="仿宋" w:cs="仿宋"/>
        </w:rPr>
        <w:br w:type="page"/>
      </w:r>
      <w:bookmarkStart w:id="127" w:name="_Toc32318_WPSOffice_Level2"/>
      <w:r>
        <w:rPr>
          <w:rFonts w:hint="eastAsia" w:ascii="仿宋" w:hAnsi="仿宋" w:cs="仿宋"/>
          <w:szCs w:val="28"/>
        </w:rPr>
        <w:t xml:space="preserve">附件1 </w:t>
      </w:r>
    </w:p>
    <w:p>
      <w:pPr>
        <w:jc w:val="center"/>
        <w:rPr>
          <w:rFonts w:ascii="仿宋" w:hAnsi="仿宋" w:cs="仿宋"/>
        </w:rPr>
      </w:pPr>
      <w:r>
        <w:rPr>
          <w:rFonts w:hint="eastAsia" w:ascii="仿宋" w:hAnsi="仿宋" w:cs="仿宋"/>
          <w:b/>
          <w:sz w:val="32"/>
          <w:szCs w:val="32"/>
        </w:rPr>
        <w:t>资格审查表</w:t>
      </w:r>
      <w:bookmarkEnd w:id="127"/>
    </w:p>
    <w:tbl>
      <w:tblPr>
        <w:tblStyle w:val="23"/>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pPr>
              <w:ind w:left="-97" w:leftChars="-46" w:right="-86" w:rightChars="-41"/>
              <w:jc w:val="center"/>
              <w:rPr>
                <w:rFonts w:ascii="仿宋" w:hAnsi="仿宋" w:cs="仿宋"/>
              </w:rPr>
            </w:pPr>
            <w:r>
              <w:rPr>
                <w:rFonts w:hint="eastAsia" w:ascii="仿宋" w:hAnsi="仿宋" w:cs="仿宋"/>
              </w:rPr>
              <w:t>序号</w:t>
            </w:r>
          </w:p>
        </w:tc>
        <w:tc>
          <w:tcPr>
            <w:tcW w:w="3837" w:type="dxa"/>
            <w:vMerge w:val="restart"/>
            <w:vAlign w:val="center"/>
          </w:tcPr>
          <w:p>
            <w:pPr>
              <w:pStyle w:val="3"/>
              <w:adjustRightInd w:val="0"/>
              <w:snapToGrid w:val="0"/>
              <w:spacing w:before="0" w:after="0" w:line="240" w:lineRule="auto"/>
              <w:ind w:left="-97" w:leftChars="-46" w:right="-86" w:rightChars="-41"/>
              <w:rPr>
                <w:rFonts w:ascii="仿宋" w:hAnsi="仿宋" w:cs="仿宋"/>
                <w:b w:val="0"/>
                <w:sz w:val="21"/>
                <w:szCs w:val="21"/>
              </w:rPr>
            </w:pPr>
            <w:r>
              <w:rPr>
                <w:rFonts w:hint="eastAsia" w:ascii="仿宋" w:hAnsi="仿宋" w:cs="仿宋"/>
                <w:b w:val="0"/>
                <w:sz w:val="21"/>
                <w:szCs w:val="21"/>
              </w:rPr>
              <w:t>审查项目</w:t>
            </w:r>
          </w:p>
        </w:tc>
        <w:tc>
          <w:tcPr>
            <w:tcW w:w="1982" w:type="dxa"/>
            <w:vMerge w:val="restart"/>
            <w:vAlign w:val="center"/>
          </w:tcPr>
          <w:p>
            <w:pPr>
              <w:pStyle w:val="3"/>
              <w:adjustRightInd w:val="0"/>
              <w:snapToGrid w:val="0"/>
              <w:spacing w:before="0" w:after="0" w:line="240" w:lineRule="auto"/>
              <w:ind w:left="-97" w:leftChars="-46" w:right="-86" w:rightChars="-41"/>
              <w:rPr>
                <w:rFonts w:ascii="仿宋" w:hAnsi="仿宋" w:cs="仿宋"/>
                <w:b w:val="0"/>
                <w:sz w:val="21"/>
                <w:szCs w:val="21"/>
              </w:rPr>
            </w:pPr>
            <w:r>
              <w:rPr>
                <w:rFonts w:hint="eastAsia" w:ascii="仿宋" w:hAnsi="仿宋" w:cs="仿宋"/>
                <w:b w:val="0"/>
                <w:sz w:val="21"/>
                <w:szCs w:val="21"/>
              </w:rPr>
              <w:t>审查标准</w:t>
            </w:r>
          </w:p>
        </w:tc>
        <w:tc>
          <w:tcPr>
            <w:tcW w:w="2836" w:type="dxa"/>
            <w:gridSpan w:val="3"/>
            <w:vAlign w:val="center"/>
          </w:tcPr>
          <w:p>
            <w:pPr>
              <w:pStyle w:val="3"/>
              <w:adjustRightInd w:val="0"/>
              <w:snapToGrid w:val="0"/>
              <w:spacing w:before="0" w:after="0" w:line="240" w:lineRule="auto"/>
              <w:ind w:left="-97" w:leftChars="-46" w:right="-86" w:rightChars="-41"/>
              <w:rPr>
                <w:rFonts w:ascii="仿宋" w:hAnsi="仿宋" w:cs="仿宋"/>
                <w:b w:val="0"/>
                <w:sz w:val="21"/>
                <w:szCs w:val="21"/>
              </w:rPr>
            </w:pPr>
            <w:r>
              <w:rPr>
                <w:rFonts w:hint="eastAsia" w:ascii="仿宋" w:hAnsi="仿宋" w:cs="仿宋"/>
                <w:b w:val="0"/>
                <w:sz w:val="21"/>
                <w:szCs w:val="21"/>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pPr>
              <w:pStyle w:val="3"/>
              <w:adjustRightInd w:val="0"/>
              <w:snapToGrid w:val="0"/>
              <w:spacing w:before="0" w:after="0" w:line="240" w:lineRule="auto"/>
              <w:rPr>
                <w:rFonts w:ascii="仿宋" w:hAnsi="仿宋" w:cs="仿宋"/>
              </w:rPr>
            </w:pPr>
          </w:p>
        </w:tc>
        <w:tc>
          <w:tcPr>
            <w:tcW w:w="3837" w:type="dxa"/>
            <w:vMerge w:val="continue"/>
            <w:vAlign w:val="center"/>
          </w:tcPr>
          <w:p>
            <w:pPr>
              <w:pStyle w:val="3"/>
              <w:adjustRightInd w:val="0"/>
              <w:snapToGrid w:val="0"/>
              <w:spacing w:before="0" w:after="0" w:line="240" w:lineRule="auto"/>
              <w:rPr>
                <w:rFonts w:ascii="仿宋" w:hAnsi="仿宋" w:cs="仿宋"/>
                <w:sz w:val="21"/>
                <w:szCs w:val="21"/>
              </w:rPr>
            </w:pPr>
          </w:p>
        </w:tc>
        <w:tc>
          <w:tcPr>
            <w:tcW w:w="1982" w:type="dxa"/>
            <w:vMerge w:val="continue"/>
            <w:vAlign w:val="center"/>
          </w:tcPr>
          <w:p>
            <w:pPr>
              <w:pStyle w:val="3"/>
              <w:adjustRightInd w:val="0"/>
              <w:snapToGrid w:val="0"/>
              <w:spacing w:before="0" w:after="0" w:line="240" w:lineRule="auto"/>
              <w:rPr>
                <w:rFonts w:ascii="仿宋" w:hAnsi="仿宋" w:cs="仿宋"/>
                <w:sz w:val="21"/>
                <w:szCs w:val="21"/>
              </w:rPr>
            </w:pPr>
          </w:p>
        </w:tc>
        <w:tc>
          <w:tcPr>
            <w:tcW w:w="986" w:type="dxa"/>
            <w:vAlign w:val="center"/>
          </w:tcPr>
          <w:p>
            <w:pPr>
              <w:pStyle w:val="3"/>
              <w:adjustRightInd w:val="0"/>
              <w:snapToGrid w:val="0"/>
              <w:spacing w:before="0" w:after="0" w:line="240" w:lineRule="auto"/>
              <w:rPr>
                <w:rFonts w:ascii="仿宋" w:hAnsi="仿宋" w:cs="仿宋"/>
                <w:sz w:val="21"/>
                <w:szCs w:val="21"/>
              </w:rPr>
            </w:pPr>
          </w:p>
        </w:tc>
        <w:tc>
          <w:tcPr>
            <w:tcW w:w="962" w:type="dxa"/>
            <w:vAlign w:val="center"/>
          </w:tcPr>
          <w:p>
            <w:pPr>
              <w:pStyle w:val="3"/>
              <w:adjustRightInd w:val="0"/>
              <w:snapToGrid w:val="0"/>
              <w:spacing w:before="0" w:after="0" w:line="240" w:lineRule="auto"/>
              <w:rPr>
                <w:rFonts w:ascii="仿宋" w:hAnsi="仿宋" w:cs="仿宋"/>
                <w:sz w:val="21"/>
                <w:szCs w:val="21"/>
              </w:rPr>
            </w:pPr>
          </w:p>
        </w:tc>
        <w:tc>
          <w:tcPr>
            <w:tcW w:w="888"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pPr>
              <w:snapToGrid w:val="0"/>
              <w:jc w:val="center"/>
              <w:rPr>
                <w:rFonts w:ascii="仿宋" w:hAnsi="仿宋" w:cs="仿宋"/>
              </w:rPr>
            </w:pPr>
            <w:r>
              <w:rPr>
                <w:rFonts w:hint="eastAsia" w:ascii="仿宋" w:hAnsi="仿宋" w:cs="仿宋"/>
              </w:rPr>
              <w:t>1</w:t>
            </w:r>
          </w:p>
        </w:tc>
        <w:tc>
          <w:tcPr>
            <w:tcW w:w="3837" w:type="dxa"/>
            <w:vAlign w:val="center"/>
          </w:tcPr>
          <w:p>
            <w:pPr>
              <w:snapToGrid w:val="0"/>
              <w:jc w:val="left"/>
              <w:rPr>
                <w:rFonts w:ascii="仿宋" w:hAnsi="仿宋" w:cs="仿宋"/>
                <w:b/>
                <w:szCs w:val="21"/>
              </w:rPr>
            </w:pPr>
            <w:r>
              <w:rPr>
                <w:rFonts w:hint="eastAsia" w:ascii="仿宋" w:hAnsi="仿宋" w:cs="仿宋"/>
              </w:rPr>
              <w:t>营业执照或事业单位法人证书或执业许可证等证明文件或自然人的身份证明</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vAlign w:val="center"/>
          </w:tcPr>
          <w:p>
            <w:pPr>
              <w:pStyle w:val="3"/>
              <w:adjustRightInd w:val="0"/>
              <w:snapToGrid w:val="0"/>
              <w:spacing w:before="0" w:after="0" w:line="240" w:lineRule="auto"/>
              <w:rPr>
                <w:rFonts w:ascii="仿宋" w:hAnsi="仿宋" w:cs="仿宋"/>
                <w:sz w:val="21"/>
                <w:szCs w:val="21"/>
              </w:rPr>
            </w:pPr>
          </w:p>
        </w:tc>
        <w:tc>
          <w:tcPr>
            <w:tcW w:w="962" w:type="dxa"/>
            <w:vAlign w:val="center"/>
          </w:tcPr>
          <w:p>
            <w:pPr>
              <w:pStyle w:val="3"/>
              <w:adjustRightInd w:val="0"/>
              <w:snapToGrid w:val="0"/>
              <w:spacing w:before="0" w:after="0" w:line="240" w:lineRule="auto"/>
              <w:rPr>
                <w:rFonts w:ascii="仿宋" w:hAnsi="仿宋" w:cs="仿宋"/>
                <w:sz w:val="21"/>
                <w:szCs w:val="21"/>
              </w:rPr>
            </w:pPr>
          </w:p>
        </w:tc>
        <w:tc>
          <w:tcPr>
            <w:tcW w:w="888"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pPr>
              <w:widowControl/>
              <w:snapToGrid w:val="0"/>
              <w:jc w:val="center"/>
              <w:rPr>
                <w:rFonts w:ascii="仿宋" w:hAnsi="仿宋" w:cs="仿宋"/>
              </w:rPr>
            </w:pPr>
            <w:r>
              <w:rPr>
                <w:rFonts w:hint="eastAsia" w:ascii="仿宋" w:hAnsi="仿宋" w:cs="仿宋"/>
              </w:rPr>
              <w:t>2</w:t>
            </w:r>
          </w:p>
        </w:tc>
        <w:tc>
          <w:tcPr>
            <w:tcW w:w="3837" w:type="dxa"/>
            <w:vAlign w:val="center"/>
          </w:tcPr>
          <w:p>
            <w:pPr>
              <w:widowControl/>
              <w:snapToGrid w:val="0"/>
              <w:jc w:val="left"/>
              <w:rPr>
                <w:rFonts w:ascii="仿宋" w:hAnsi="仿宋" w:cs="仿宋"/>
                <w:b/>
                <w:szCs w:val="21"/>
              </w:rPr>
            </w:pPr>
            <w:r>
              <w:rPr>
                <w:rFonts w:hint="eastAsia" w:ascii="仿宋" w:hAnsi="仿宋" w:cs="仿宋"/>
              </w:rPr>
              <w:t>组织机构代码证</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pPr>
              <w:widowControl/>
              <w:snapToGrid w:val="0"/>
              <w:jc w:val="center"/>
              <w:rPr>
                <w:rFonts w:ascii="仿宋" w:hAnsi="仿宋" w:cs="仿宋"/>
              </w:rPr>
            </w:pPr>
            <w:r>
              <w:rPr>
                <w:rFonts w:hint="eastAsia" w:ascii="仿宋" w:hAnsi="仿宋" w:cs="仿宋"/>
              </w:rPr>
              <w:t>3</w:t>
            </w:r>
          </w:p>
        </w:tc>
        <w:tc>
          <w:tcPr>
            <w:tcW w:w="3837" w:type="dxa"/>
            <w:vAlign w:val="center"/>
          </w:tcPr>
          <w:p>
            <w:pPr>
              <w:widowControl/>
              <w:snapToGrid w:val="0"/>
              <w:jc w:val="left"/>
              <w:rPr>
                <w:rFonts w:ascii="仿宋" w:hAnsi="仿宋" w:cs="仿宋"/>
                <w:b/>
                <w:szCs w:val="21"/>
              </w:rPr>
            </w:pPr>
            <w:r>
              <w:rPr>
                <w:rFonts w:hint="eastAsia" w:ascii="仿宋" w:hAnsi="仿宋" w:cs="仿宋"/>
              </w:rPr>
              <w:t>税务登记证</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widowControl/>
              <w:snapToGrid w:val="0"/>
              <w:jc w:val="center"/>
              <w:rPr>
                <w:rFonts w:ascii="仿宋" w:hAnsi="仿宋" w:cs="仿宋"/>
              </w:rPr>
            </w:pPr>
            <w:r>
              <w:rPr>
                <w:rFonts w:hint="eastAsia" w:ascii="仿宋" w:hAnsi="仿宋" w:cs="仿宋"/>
                <w:szCs w:val="21"/>
              </w:rPr>
              <w:t>4</w:t>
            </w:r>
          </w:p>
        </w:tc>
        <w:tc>
          <w:tcPr>
            <w:tcW w:w="3837" w:type="dxa"/>
            <w:vAlign w:val="center"/>
          </w:tcPr>
          <w:p>
            <w:pPr>
              <w:widowControl/>
              <w:snapToGrid w:val="0"/>
              <w:jc w:val="left"/>
              <w:rPr>
                <w:rFonts w:ascii="仿宋" w:hAnsi="仿宋" w:cs="仿宋"/>
                <w:b/>
                <w:szCs w:val="21"/>
              </w:rPr>
            </w:pPr>
            <w:r>
              <w:rPr>
                <w:rFonts w:hint="eastAsia" w:ascii="仿宋" w:hAnsi="仿宋" w:cs="仿宋"/>
                <w:szCs w:val="21"/>
              </w:rPr>
              <w:t>法定代表人（或非法人组织负责人）身份证明书</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pPr>
              <w:widowControl/>
              <w:snapToGrid w:val="0"/>
              <w:jc w:val="center"/>
              <w:rPr>
                <w:rFonts w:ascii="仿宋" w:hAnsi="仿宋" w:cs="仿宋"/>
              </w:rPr>
            </w:pPr>
            <w:r>
              <w:rPr>
                <w:rFonts w:hint="eastAsia" w:ascii="仿宋" w:hAnsi="仿宋" w:cs="仿宋"/>
              </w:rPr>
              <w:t>5</w:t>
            </w:r>
          </w:p>
        </w:tc>
        <w:tc>
          <w:tcPr>
            <w:tcW w:w="3837" w:type="dxa"/>
            <w:vAlign w:val="center"/>
          </w:tcPr>
          <w:p>
            <w:pPr>
              <w:widowControl/>
              <w:snapToGrid w:val="0"/>
              <w:jc w:val="left"/>
              <w:rPr>
                <w:rFonts w:ascii="仿宋" w:hAnsi="仿宋" w:cs="仿宋"/>
                <w:b/>
                <w:szCs w:val="21"/>
              </w:rPr>
            </w:pPr>
            <w:r>
              <w:rPr>
                <w:rFonts w:hint="eastAsia" w:ascii="仿宋" w:hAnsi="仿宋" w:cs="仿宋"/>
              </w:rPr>
              <w:t>法定代表人（或非法人组织</w:t>
            </w:r>
            <w:r>
              <w:rPr>
                <w:rFonts w:hint="eastAsia" w:ascii="仿宋" w:hAnsi="仿宋" w:cs="仿宋"/>
                <w:szCs w:val="21"/>
              </w:rPr>
              <w:t>负责人）</w:t>
            </w:r>
            <w:r>
              <w:rPr>
                <w:rFonts w:hint="eastAsia" w:ascii="仿宋" w:hAnsi="仿宋" w:cs="仿宋"/>
              </w:rPr>
              <w:t>授权委托书</w:t>
            </w:r>
            <w:r>
              <w:rPr>
                <w:rFonts w:hint="eastAsia" w:ascii="仿宋" w:hAnsi="仿宋" w:cs="仿宋"/>
                <w:szCs w:val="21"/>
              </w:rPr>
              <w:t>（授权委托人参加投标的须提供）</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pPr>
              <w:widowControl/>
              <w:snapToGrid w:val="0"/>
              <w:jc w:val="center"/>
              <w:rPr>
                <w:rFonts w:ascii="仿宋" w:hAnsi="仿宋" w:cs="仿宋"/>
              </w:rPr>
            </w:pPr>
            <w:r>
              <w:rPr>
                <w:rFonts w:hint="eastAsia" w:ascii="仿宋" w:hAnsi="仿宋" w:cs="仿宋"/>
              </w:rPr>
              <w:t>6</w:t>
            </w:r>
          </w:p>
        </w:tc>
        <w:tc>
          <w:tcPr>
            <w:tcW w:w="3837" w:type="dxa"/>
            <w:vAlign w:val="center"/>
          </w:tcPr>
          <w:p>
            <w:pPr>
              <w:widowControl/>
              <w:snapToGrid w:val="0"/>
              <w:jc w:val="left"/>
              <w:rPr>
                <w:rFonts w:ascii="仿宋" w:hAnsi="仿宋" w:cs="仿宋"/>
                <w:b/>
                <w:szCs w:val="21"/>
              </w:rPr>
            </w:pPr>
            <w:r>
              <w:rPr>
                <w:rFonts w:hint="eastAsia" w:ascii="仿宋" w:hAnsi="仿宋" w:cs="仿宋"/>
              </w:rPr>
              <w:t>具有良好的商业信誉和健全的财务会计制度的承诺函</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1.信息完整</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
              </w:rPr>
            </w:pPr>
            <w:r>
              <w:rPr>
                <w:rFonts w:hint="eastAsia" w:ascii="仿宋" w:hAnsi="仿宋" w:cs="仿宋"/>
              </w:rPr>
              <w:t>7</w:t>
            </w:r>
          </w:p>
        </w:tc>
        <w:tc>
          <w:tcPr>
            <w:tcW w:w="3837" w:type="dxa"/>
            <w:vAlign w:val="center"/>
          </w:tcPr>
          <w:p>
            <w:pPr>
              <w:snapToGrid w:val="0"/>
              <w:jc w:val="left"/>
              <w:rPr>
                <w:rFonts w:ascii="仿宋" w:hAnsi="仿宋" w:cs="仿宋"/>
                <w:b/>
                <w:szCs w:val="21"/>
              </w:rPr>
            </w:pPr>
            <w:r>
              <w:rPr>
                <w:rFonts w:hint="eastAsia" w:ascii="仿宋" w:hAnsi="仿宋" w:cs="仿宋"/>
              </w:rPr>
              <w:t>开标时间前六个月内任一个月的依法缴纳税收的缴款凭据</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pPr>
              <w:snapToGrid w:val="0"/>
              <w:jc w:val="center"/>
              <w:rPr>
                <w:rFonts w:ascii="仿宋" w:hAnsi="仿宋" w:cs="仿宋"/>
              </w:rPr>
            </w:pPr>
            <w:r>
              <w:rPr>
                <w:rFonts w:hint="eastAsia" w:ascii="仿宋" w:hAnsi="仿宋" w:cs="仿宋"/>
              </w:rPr>
              <w:t>8</w:t>
            </w:r>
          </w:p>
        </w:tc>
        <w:tc>
          <w:tcPr>
            <w:tcW w:w="3837" w:type="dxa"/>
            <w:vAlign w:val="center"/>
          </w:tcPr>
          <w:p>
            <w:pPr>
              <w:snapToGrid w:val="0"/>
              <w:jc w:val="left"/>
              <w:rPr>
                <w:rFonts w:ascii="仿宋" w:hAnsi="仿宋" w:cs="仿宋"/>
                <w:b/>
                <w:szCs w:val="21"/>
              </w:rPr>
            </w:pPr>
            <w:r>
              <w:rPr>
                <w:rFonts w:hint="eastAsia" w:ascii="仿宋" w:hAnsi="仿宋" w:cs="仿宋"/>
              </w:rPr>
              <w:t>开标时间前六个月内任一个月的依法缴纳社会保障资金的缴款凭据</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1.按要求提供</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pPr>
              <w:snapToGrid w:val="0"/>
              <w:jc w:val="center"/>
              <w:rPr>
                <w:rFonts w:ascii="仿宋" w:hAnsi="仿宋" w:cs="仿宋"/>
              </w:rPr>
            </w:pPr>
            <w:r>
              <w:rPr>
                <w:rFonts w:hint="eastAsia" w:ascii="仿宋" w:hAnsi="仿宋" w:cs="仿宋"/>
              </w:rPr>
              <w:t>9</w:t>
            </w:r>
          </w:p>
        </w:tc>
        <w:tc>
          <w:tcPr>
            <w:tcW w:w="3837" w:type="dxa"/>
            <w:vAlign w:val="center"/>
          </w:tcPr>
          <w:p>
            <w:pPr>
              <w:snapToGrid w:val="0"/>
              <w:jc w:val="left"/>
              <w:rPr>
                <w:rFonts w:ascii="仿宋" w:hAnsi="仿宋" w:cs="仿宋"/>
                <w:b/>
                <w:szCs w:val="21"/>
              </w:rPr>
            </w:pPr>
            <w:r>
              <w:rPr>
                <w:rFonts w:hint="eastAsia" w:ascii="仿宋" w:hAnsi="仿宋" w:cs="仿宋"/>
              </w:rPr>
              <w:t>具备履行合同所必需的设备和专业技术能力声明函</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1.信息完整</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ascii="仿宋" w:hAnsi="仿宋" w:cs="仿宋"/>
              </w:rPr>
            </w:pPr>
            <w:r>
              <w:rPr>
                <w:rFonts w:hint="eastAsia" w:ascii="仿宋" w:hAnsi="仿宋" w:cs="仿宋"/>
                <w:szCs w:val="21"/>
              </w:rPr>
              <w:t>10</w:t>
            </w:r>
          </w:p>
        </w:tc>
        <w:tc>
          <w:tcPr>
            <w:tcW w:w="3837" w:type="dxa"/>
            <w:vAlign w:val="center"/>
          </w:tcPr>
          <w:p>
            <w:pPr>
              <w:snapToGrid w:val="0"/>
              <w:jc w:val="left"/>
              <w:rPr>
                <w:rFonts w:ascii="仿宋" w:hAnsi="仿宋" w:cs="仿宋"/>
              </w:rPr>
            </w:pPr>
            <w:r>
              <w:rPr>
                <w:rFonts w:hint="eastAsia" w:ascii="仿宋" w:hAnsi="仿宋" w:cs="仿宋"/>
                <w:szCs w:val="21"/>
              </w:rPr>
              <w:t>参加政府采购活动前3年内在经营活动中没有重大违法记录的书面声明</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pPr>
              <w:snapToGrid w:val="0"/>
              <w:jc w:val="center"/>
              <w:rPr>
                <w:rFonts w:ascii="仿宋" w:hAnsi="仿宋" w:cs="仿宋"/>
                <w:szCs w:val="21"/>
              </w:rPr>
            </w:pPr>
            <w:r>
              <w:rPr>
                <w:rFonts w:hint="eastAsia" w:ascii="仿宋" w:hAnsi="仿宋" w:cs="仿宋"/>
                <w:szCs w:val="21"/>
              </w:rPr>
              <w:t>11</w:t>
            </w:r>
          </w:p>
        </w:tc>
        <w:tc>
          <w:tcPr>
            <w:tcW w:w="3837" w:type="dxa"/>
            <w:vAlign w:val="center"/>
          </w:tcPr>
          <w:p>
            <w:pPr>
              <w:snapToGrid w:val="0"/>
              <w:jc w:val="left"/>
              <w:rPr>
                <w:rFonts w:ascii="仿宋" w:hAnsi="仿宋" w:cs="仿宋"/>
                <w:szCs w:val="21"/>
              </w:rPr>
            </w:pPr>
            <w:r>
              <w:rPr>
                <w:rFonts w:hint="eastAsia" w:ascii="仿宋" w:hAnsi="仿宋" w:cs="仿宋"/>
                <w:kern w:val="0"/>
                <w:szCs w:val="21"/>
              </w:rPr>
              <w:t>中小企业声明函或监狱企业证明文件或</w:t>
            </w:r>
            <w:r>
              <w:rPr>
                <w:rFonts w:hint="eastAsia" w:ascii="仿宋" w:hAnsi="仿宋" w:cs="仿宋"/>
                <w:szCs w:val="21"/>
              </w:rPr>
              <w:t>残疾人福利性单位声明函</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1.按给定格式填写</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2.按规定签章</w:t>
            </w:r>
          </w:p>
          <w:p>
            <w:r>
              <w:rPr>
                <w:rFonts w:hint="eastAsia" w:ascii="仿宋" w:hAnsi="仿宋" w:cs="仿宋"/>
                <w:szCs w:val="21"/>
              </w:rPr>
              <w:t>3.合法有效</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
              </w:rPr>
            </w:pPr>
            <w:r>
              <w:rPr>
                <w:rFonts w:hint="eastAsia" w:ascii="仿宋" w:hAnsi="仿宋" w:cs="仿宋"/>
              </w:rPr>
              <w:t>12</w:t>
            </w:r>
          </w:p>
        </w:tc>
        <w:tc>
          <w:tcPr>
            <w:tcW w:w="3837" w:type="dxa"/>
            <w:vAlign w:val="center"/>
          </w:tcPr>
          <w:p>
            <w:pPr>
              <w:snapToGrid w:val="0"/>
              <w:jc w:val="left"/>
              <w:rPr>
                <w:rFonts w:ascii="仿宋" w:hAnsi="仿宋" w:cs="仿宋"/>
              </w:rPr>
            </w:pPr>
            <w:r>
              <w:rPr>
                <w:rFonts w:hint="eastAsia" w:ascii="仿宋" w:hAnsi="仿宋" w:cs="仿宋"/>
              </w:rPr>
              <w:t>信用记录（</w:t>
            </w:r>
            <w:r>
              <w:rPr>
                <w:rFonts w:hint="eastAsia" w:ascii="仿宋" w:hAnsi="仿宋" w:cs="仿宋"/>
                <w:szCs w:val="21"/>
              </w:rPr>
              <w:t>采购人或采购代理机构将按照招标文件规定的审查期间内进行查询</w:t>
            </w:r>
            <w:r>
              <w:rPr>
                <w:rFonts w:hint="eastAsia" w:ascii="仿宋" w:hAnsi="仿宋" w:cs="仿宋"/>
              </w:rPr>
              <w:t>）</w:t>
            </w:r>
          </w:p>
        </w:tc>
        <w:tc>
          <w:tcPr>
            <w:tcW w:w="1982"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无投标须知22.2.1所述的不良记录</w:t>
            </w: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pPr>
              <w:snapToGrid w:val="0"/>
              <w:jc w:val="center"/>
              <w:rPr>
                <w:rFonts w:ascii="仿宋" w:hAnsi="仿宋" w:cs="仿宋"/>
              </w:rPr>
            </w:pPr>
          </w:p>
        </w:tc>
        <w:tc>
          <w:tcPr>
            <w:tcW w:w="3837" w:type="dxa"/>
            <w:vAlign w:val="center"/>
          </w:tcPr>
          <w:p>
            <w:pPr>
              <w:snapToGrid w:val="0"/>
              <w:jc w:val="center"/>
              <w:rPr>
                <w:rFonts w:ascii="仿宋" w:hAnsi="仿宋" w:cs="仿宋"/>
              </w:rPr>
            </w:pPr>
            <w:r>
              <w:rPr>
                <w:rFonts w:hint="eastAsia" w:ascii="仿宋" w:hAnsi="仿宋" w:cs="仿宋"/>
              </w:rPr>
              <w:t>结论</w:t>
            </w:r>
          </w:p>
        </w:tc>
        <w:tc>
          <w:tcPr>
            <w:tcW w:w="1982" w:type="dxa"/>
          </w:tcPr>
          <w:p>
            <w:pPr>
              <w:pStyle w:val="3"/>
              <w:adjustRightInd w:val="0"/>
              <w:snapToGrid w:val="0"/>
              <w:spacing w:before="0" w:after="0" w:line="240" w:lineRule="auto"/>
              <w:rPr>
                <w:rFonts w:ascii="仿宋" w:hAnsi="仿宋" w:cs="仿宋"/>
                <w:sz w:val="21"/>
                <w:szCs w:val="21"/>
              </w:rPr>
            </w:pPr>
          </w:p>
        </w:tc>
        <w:tc>
          <w:tcPr>
            <w:tcW w:w="986" w:type="dxa"/>
          </w:tcPr>
          <w:p>
            <w:pPr>
              <w:pStyle w:val="3"/>
              <w:adjustRightInd w:val="0"/>
              <w:snapToGrid w:val="0"/>
              <w:spacing w:before="0" w:after="0" w:line="240" w:lineRule="auto"/>
              <w:rPr>
                <w:rFonts w:ascii="仿宋" w:hAnsi="仿宋" w:cs="仿宋"/>
                <w:sz w:val="21"/>
                <w:szCs w:val="21"/>
              </w:rPr>
            </w:pPr>
          </w:p>
        </w:tc>
        <w:tc>
          <w:tcPr>
            <w:tcW w:w="962" w:type="dxa"/>
          </w:tcPr>
          <w:p>
            <w:pPr>
              <w:pStyle w:val="3"/>
              <w:adjustRightInd w:val="0"/>
              <w:snapToGrid w:val="0"/>
              <w:spacing w:before="0" w:after="0" w:line="240" w:lineRule="auto"/>
              <w:rPr>
                <w:rFonts w:ascii="仿宋" w:hAnsi="仿宋" w:cs="仿宋"/>
                <w:sz w:val="21"/>
                <w:szCs w:val="21"/>
              </w:rPr>
            </w:pPr>
          </w:p>
        </w:tc>
        <w:tc>
          <w:tcPr>
            <w:tcW w:w="888" w:type="dxa"/>
          </w:tcPr>
          <w:p>
            <w:pPr>
              <w:pStyle w:val="3"/>
              <w:adjustRightInd w:val="0"/>
              <w:snapToGrid w:val="0"/>
              <w:spacing w:before="0" w:after="0" w:line="240" w:lineRule="auto"/>
              <w:rPr>
                <w:rFonts w:ascii="仿宋" w:hAnsi="仿宋" w:cs="仿宋"/>
                <w:sz w:val="21"/>
                <w:szCs w:val="21"/>
              </w:rPr>
            </w:pPr>
          </w:p>
        </w:tc>
      </w:tr>
    </w:tbl>
    <w:p>
      <w:pPr>
        <w:snapToGrid w:val="0"/>
        <w:rPr>
          <w:rFonts w:ascii="仿宋" w:hAnsi="仿宋" w:cs="仿宋"/>
        </w:rPr>
      </w:pPr>
      <w:r>
        <w:rPr>
          <w:rFonts w:hint="eastAsia" w:ascii="仿宋" w:hAnsi="仿宋" w:cs="仿宋"/>
        </w:rPr>
        <w:t>填表说明：1、每项内容审查合格，在表中填写“√”；不合格填写“×”</w:t>
      </w:r>
    </w:p>
    <w:p>
      <w:pPr>
        <w:snapToGrid w:val="0"/>
        <w:rPr>
          <w:rFonts w:ascii="仿宋" w:hAnsi="仿宋" w:cs="仿宋"/>
        </w:rPr>
      </w:pPr>
      <w:r>
        <w:rPr>
          <w:rFonts w:hint="eastAsia" w:ascii="仿宋" w:hAnsi="仿宋" w:cs="仿宋"/>
        </w:rPr>
        <w:t xml:space="preserve">          2、审查结论填写“通过”或“不通过”</w:t>
      </w:r>
    </w:p>
    <w:p>
      <w:pPr>
        <w:rPr>
          <w:rFonts w:ascii="仿宋" w:hAnsi="仿宋" w:cs="仿宋"/>
        </w:rPr>
      </w:pPr>
    </w:p>
    <w:p>
      <w:pPr>
        <w:pStyle w:val="19"/>
        <w:widowControl w:val="0"/>
        <w:snapToGrid w:val="0"/>
        <w:spacing w:before="0" w:beforeAutospacing="0" w:after="0" w:afterAutospacing="0" w:line="480" w:lineRule="auto"/>
        <w:jc w:val="both"/>
        <w:rPr>
          <w:rFonts w:ascii="仿宋" w:hAnsi="仿宋" w:eastAsia="仿宋" w:cs="仿宋"/>
          <w:sz w:val="21"/>
          <w:szCs w:val="21"/>
        </w:rPr>
      </w:pPr>
      <w:r>
        <w:rPr>
          <w:rFonts w:hint="eastAsia" w:ascii="仿宋" w:hAnsi="仿宋" w:eastAsia="仿宋" w:cs="仿宋"/>
          <w:sz w:val="21"/>
          <w:szCs w:val="21"/>
        </w:rPr>
        <w:t>审查人签字：</w:t>
      </w:r>
    </w:p>
    <w:p>
      <w:pPr>
        <w:pStyle w:val="19"/>
        <w:widowControl w:val="0"/>
        <w:snapToGrid w:val="0"/>
        <w:spacing w:before="0" w:beforeAutospacing="0" w:after="0" w:afterAutospacing="0" w:line="480" w:lineRule="auto"/>
        <w:jc w:val="both"/>
        <w:rPr>
          <w:rFonts w:ascii="仿宋" w:hAnsi="仿宋" w:eastAsia="仿宋" w:cs="仿宋"/>
          <w:b/>
          <w:sz w:val="21"/>
          <w:szCs w:val="21"/>
        </w:rPr>
      </w:pPr>
      <w:r>
        <w:rPr>
          <w:rFonts w:hint="eastAsia" w:ascii="仿宋" w:hAnsi="仿宋" w:eastAsia="仿宋" w:cs="仿宋"/>
          <w:bCs/>
          <w:sz w:val="21"/>
          <w:szCs w:val="21"/>
        </w:rPr>
        <w:t>日      期：</w:t>
      </w:r>
    </w:p>
    <w:p>
      <w:pPr>
        <w:rPr>
          <w:rFonts w:ascii="仿宋" w:hAnsi="仿宋" w:cs="仿宋"/>
        </w:rPr>
      </w:pPr>
      <w:bookmarkStart w:id="128" w:name="_Toc11558_WPSOffice_Level2"/>
    </w:p>
    <w:p>
      <w:pPr>
        <w:rPr>
          <w:rFonts w:ascii="仿宋" w:hAnsi="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3"/>
        <w:adjustRightInd w:val="0"/>
        <w:snapToGrid w:val="0"/>
        <w:spacing w:before="0" w:after="0" w:line="240" w:lineRule="auto"/>
        <w:jc w:val="left"/>
        <w:rPr>
          <w:rFonts w:ascii="仿宋" w:hAnsi="仿宋" w:cs="仿宋"/>
          <w:szCs w:val="28"/>
        </w:rPr>
      </w:pPr>
      <w:r>
        <w:rPr>
          <w:rFonts w:hint="eastAsia" w:ascii="仿宋" w:hAnsi="仿宋" w:cs="仿宋"/>
          <w:szCs w:val="28"/>
        </w:rPr>
        <w:t xml:space="preserve">附件2                  </w:t>
      </w:r>
    </w:p>
    <w:p>
      <w:pPr>
        <w:jc w:val="center"/>
        <w:rPr>
          <w:rFonts w:ascii="仿宋" w:hAnsi="仿宋" w:cs="仿宋"/>
          <w:b/>
          <w:sz w:val="32"/>
          <w:szCs w:val="32"/>
        </w:rPr>
      </w:pPr>
      <w:r>
        <w:rPr>
          <w:rFonts w:hint="eastAsia" w:ascii="仿宋" w:hAnsi="仿宋" w:cs="仿宋"/>
          <w:b/>
          <w:sz w:val="32"/>
          <w:szCs w:val="32"/>
        </w:rPr>
        <w:t>符合性审查表</w:t>
      </w:r>
      <w:bookmarkEnd w:id="128"/>
    </w:p>
    <w:tbl>
      <w:tblPr>
        <w:tblStyle w:val="2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627"/>
        <w:gridCol w:w="3028"/>
        <w:gridCol w:w="1104"/>
        <w:gridCol w:w="993"/>
        <w:gridCol w:w="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3" w:type="dxa"/>
            <w:vMerge w:val="restart"/>
            <w:vAlign w:val="center"/>
          </w:tcPr>
          <w:p>
            <w:pPr>
              <w:ind w:left="-84" w:leftChars="-40" w:right="-76" w:rightChars="-36"/>
              <w:jc w:val="center"/>
              <w:rPr>
                <w:rFonts w:ascii="仿宋" w:hAnsi="仿宋" w:cs="仿宋"/>
              </w:rPr>
            </w:pPr>
            <w:r>
              <w:rPr>
                <w:rFonts w:hint="eastAsia" w:ascii="仿宋" w:hAnsi="仿宋" w:cs="仿宋"/>
              </w:rPr>
              <w:t>序号</w:t>
            </w:r>
          </w:p>
        </w:tc>
        <w:tc>
          <w:tcPr>
            <w:tcW w:w="2627" w:type="dxa"/>
            <w:vMerge w:val="restart"/>
            <w:vAlign w:val="center"/>
          </w:tcPr>
          <w:p>
            <w:pPr>
              <w:ind w:left="-84" w:leftChars="-40" w:right="-76" w:rightChars="-36"/>
              <w:jc w:val="center"/>
              <w:rPr>
                <w:rFonts w:ascii="仿宋" w:hAnsi="仿宋" w:cs="仿宋"/>
              </w:rPr>
            </w:pPr>
            <w:r>
              <w:rPr>
                <w:rFonts w:hint="eastAsia" w:ascii="仿宋" w:hAnsi="仿宋" w:cs="仿宋"/>
              </w:rPr>
              <w:t>审查项目</w:t>
            </w:r>
          </w:p>
        </w:tc>
        <w:tc>
          <w:tcPr>
            <w:tcW w:w="3028" w:type="dxa"/>
            <w:vMerge w:val="restart"/>
            <w:vAlign w:val="center"/>
          </w:tcPr>
          <w:p>
            <w:pPr>
              <w:ind w:left="-84" w:leftChars="-40" w:right="-76" w:rightChars="-36"/>
              <w:jc w:val="center"/>
              <w:rPr>
                <w:rFonts w:ascii="仿宋" w:hAnsi="仿宋" w:cs="仿宋"/>
              </w:rPr>
            </w:pPr>
            <w:r>
              <w:rPr>
                <w:rFonts w:hint="eastAsia" w:ascii="仿宋" w:hAnsi="仿宋" w:cs="仿宋"/>
              </w:rPr>
              <w:t>审查标准</w:t>
            </w:r>
          </w:p>
        </w:tc>
        <w:tc>
          <w:tcPr>
            <w:tcW w:w="3016" w:type="dxa"/>
            <w:gridSpan w:val="3"/>
            <w:vAlign w:val="center"/>
          </w:tcPr>
          <w:p>
            <w:pPr>
              <w:ind w:left="-84" w:leftChars="-40" w:right="-76" w:rightChars="-36"/>
              <w:jc w:val="center"/>
              <w:rPr>
                <w:rFonts w:ascii="仿宋" w:hAnsi="仿宋" w:cs="仿宋"/>
              </w:rPr>
            </w:pPr>
            <w:r>
              <w:rPr>
                <w:rFonts w:hint="eastAsia" w:ascii="仿宋" w:hAnsi="仿宋" w:cs="仿宋"/>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3" w:type="dxa"/>
            <w:vMerge w:val="continue"/>
            <w:vAlign w:val="center"/>
          </w:tcPr>
          <w:p>
            <w:pPr>
              <w:pStyle w:val="3"/>
              <w:adjustRightInd w:val="0"/>
              <w:snapToGrid w:val="0"/>
              <w:spacing w:before="0" w:after="0" w:line="240" w:lineRule="auto"/>
              <w:rPr>
                <w:rFonts w:ascii="仿宋" w:hAnsi="仿宋" w:cs="仿宋"/>
              </w:rPr>
            </w:pPr>
          </w:p>
        </w:tc>
        <w:tc>
          <w:tcPr>
            <w:tcW w:w="2627" w:type="dxa"/>
            <w:vMerge w:val="continue"/>
            <w:vAlign w:val="center"/>
          </w:tcPr>
          <w:p>
            <w:pPr>
              <w:pStyle w:val="3"/>
              <w:adjustRightInd w:val="0"/>
              <w:snapToGrid w:val="0"/>
              <w:spacing w:before="0" w:after="0" w:line="240" w:lineRule="auto"/>
              <w:rPr>
                <w:rFonts w:ascii="仿宋" w:hAnsi="仿宋" w:cs="仿宋"/>
                <w:sz w:val="21"/>
                <w:szCs w:val="21"/>
              </w:rPr>
            </w:pPr>
          </w:p>
        </w:tc>
        <w:tc>
          <w:tcPr>
            <w:tcW w:w="3028" w:type="dxa"/>
            <w:vMerge w:val="continue"/>
            <w:vAlign w:val="center"/>
          </w:tcPr>
          <w:p>
            <w:pPr>
              <w:pStyle w:val="3"/>
              <w:adjustRightInd w:val="0"/>
              <w:snapToGrid w:val="0"/>
              <w:spacing w:before="0" w:after="0" w:line="240" w:lineRule="auto"/>
              <w:rPr>
                <w:rFonts w:ascii="仿宋" w:hAnsi="仿宋" w:cs="仿宋"/>
                <w:sz w:val="21"/>
                <w:szCs w:val="21"/>
              </w:rPr>
            </w:pPr>
          </w:p>
        </w:tc>
        <w:tc>
          <w:tcPr>
            <w:tcW w:w="1104" w:type="dxa"/>
            <w:vAlign w:val="center"/>
          </w:tcPr>
          <w:p>
            <w:pPr>
              <w:pStyle w:val="3"/>
              <w:adjustRightInd w:val="0"/>
              <w:snapToGrid w:val="0"/>
              <w:spacing w:before="0" w:after="0" w:line="240" w:lineRule="auto"/>
              <w:rPr>
                <w:rFonts w:ascii="仿宋" w:hAnsi="仿宋" w:cs="仿宋"/>
                <w:sz w:val="21"/>
                <w:szCs w:val="21"/>
              </w:rPr>
            </w:pPr>
          </w:p>
        </w:tc>
        <w:tc>
          <w:tcPr>
            <w:tcW w:w="993" w:type="dxa"/>
            <w:vAlign w:val="center"/>
          </w:tcPr>
          <w:p>
            <w:pPr>
              <w:pStyle w:val="3"/>
              <w:adjustRightInd w:val="0"/>
              <w:snapToGrid w:val="0"/>
              <w:spacing w:before="0" w:after="0" w:line="240" w:lineRule="auto"/>
              <w:rPr>
                <w:rFonts w:ascii="仿宋" w:hAnsi="仿宋" w:cs="仿宋"/>
                <w:sz w:val="21"/>
                <w:szCs w:val="21"/>
              </w:rPr>
            </w:pPr>
          </w:p>
        </w:tc>
        <w:tc>
          <w:tcPr>
            <w:tcW w:w="919"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vAlign w:val="center"/>
          </w:tcPr>
          <w:p>
            <w:pPr>
              <w:jc w:val="center"/>
              <w:rPr>
                <w:rFonts w:ascii="仿宋" w:hAnsi="仿宋" w:cs="仿宋"/>
              </w:rPr>
            </w:pPr>
            <w:r>
              <w:rPr>
                <w:rFonts w:hint="eastAsia" w:ascii="仿宋" w:hAnsi="仿宋" w:cs="仿宋"/>
                <w:kern w:val="0"/>
                <w:sz w:val="20"/>
                <w:szCs w:val="21"/>
              </w:rPr>
              <w:t>1</w:t>
            </w:r>
          </w:p>
        </w:tc>
        <w:tc>
          <w:tcPr>
            <w:tcW w:w="2627" w:type="dxa"/>
            <w:vAlign w:val="center"/>
          </w:tcPr>
          <w:p>
            <w:pPr>
              <w:rPr>
                <w:rFonts w:ascii="仿宋" w:hAnsi="仿宋" w:cs="仿宋"/>
                <w:b/>
                <w:szCs w:val="21"/>
              </w:rPr>
            </w:pPr>
            <w:r>
              <w:rPr>
                <w:rFonts w:hint="eastAsia" w:ascii="仿宋" w:hAnsi="仿宋" w:cs="仿宋"/>
                <w:kern w:val="0"/>
                <w:szCs w:val="21"/>
              </w:rPr>
              <w:t>投标函</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vAlign w:val="center"/>
          </w:tcPr>
          <w:p>
            <w:pPr>
              <w:pStyle w:val="3"/>
              <w:adjustRightInd w:val="0"/>
              <w:snapToGrid w:val="0"/>
              <w:spacing w:before="0" w:after="0" w:line="240" w:lineRule="auto"/>
              <w:rPr>
                <w:rFonts w:ascii="仿宋" w:hAnsi="仿宋" w:cs="仿宋"/>
                <w:sz w:val="21"/>
                <w:szCs w:val="21"/>
              </w:rPr>
            </w:pPr>
          </w:p>
        </w:tc>
        <w:tc>
          <w:tcPr>
            <w:tcW w:w="993" w:type="dxa"/>
            <w:vAlign w:val="center"/>
          </w:tcPr>
          <w:p>
            <w:pPr>
              <w:pStyle w:val="3"/>
              <w:adjustRightInd w:val="0"/>
              <w:snapToGrid w:val="0"/>
              <w:spacing w:before="0" w:after="0" w:line="240" w:lineRule="auto"/>
              <w:rPr>
                <w:rFonts w:ascii="仿宋" w:hAnsi="仿宋" w:cs="仿宋"/>
                <w:sz w:val="21"/>
                <w:szCs w:val="21"/>
              </w:rPr>
            </w:pPr>
          </w:p>
        </w:tc>
        <w:tc>
          <w:tcPr>
            <w:tcW w:w="919" w:type="dxa"/>
            <w:vAlign w:val="center"/>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653" w:type="dxa"/>
            <w:vAlign w:val="center"/>
          </w:tcPr>
          <w:p>
            <w:pPr>
              <w:jc w:val="center"/>
              <w:rPr>
                <w:rFonts w:ascii="仿宋" w:hAnsi="仿宋" w:cs="仿宋"/>
              </w:rPr>
            </w:pPr>
            <w:r>
              <w:rPr>
                <w:rFonts w:hint="eastAsia" w:ascii="仿宋" w:hAnsi="仿宋" w:cs="仿宋"/>
              </w:rPr>
              <w:t>2</w:t>
            </w:r>
          </w:p>
        </w:tc>
        <w:tc>
          <w:tcPr>
            <w:tcW w:w="2627" w:type="dxa"/>
            <w:vAlign w:val="center"/>
          </w:tcPr>
          <w:p>
            <w:pPr>
              <w:rPr>
                <w:rFonts w:ascii="仿宋" w:hAnsi="仿宋" w:cs="仿宋"/>
                <w:b/>
                <w:szCs w:val="21"/>
              </w:rPr>
            </w:pPr>
            <w:r>
              <w:rPr>
                <w:rFonts w:hint="eastAsia" w:ascii="仿宋" w:hAnsi="仿宋" w:cs="仿宋"/>
                <w:kern w:val="0"/>
                <w:szCs w:val="21"/>
              </w:rPr>
              <w:t>开标一览表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vAlign w:val="center"/>
          </w:tcPr>
          <w:p>
            <w:pPr>
              <w:jc w:val="center"/>
              <w:rPr>
                <w:rFonts w:ascii="仿宋" w:hAnsi="仿宋" w:cs="仿宋"/>
              </w:rPr>
            </w:pPr>
            <w:r>
              <w:rPr>
                <w:rFonts w:hint="eastAsia" w:ascii="仿宋" w:hAnsi="仿宋" w:cs="仿宋"/>
              </w:rPr>
              <w:t>3</w:t>
            </w:r>
          </w:p>
        </w:tc>
        <w:tc>
          <w:tcPr>
            <w:tcW w:w="2627" w:type="dxa"/>
            <w:vAlign w:val="center"/>
          </w:tcPr>
          <w:p>
            <w:pPr>
              <w:rPr>
                <w:rFonts w:ascii="仿宋" w:hAnsi="仿宋" w:cs="仿宋"/>
                <w:b/>
                <w:szCs w:val="21"/>
              </w:rPr>
            </w:pPr>
            <w:r>
              <w:rPr>
                <w:rFonts w:hint="eastAsia" w:ascii="仿宋" w:hAnsi="仿宋" w:cs="仿宋"/>
                <w:kern w:val="0"/>
                <w:szCs w:val="21"/>
              </w:rPr>
              <w:t>分项报价表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1.按给定格式填写，信息完整</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3" w:type="dxa"/>
            <w:vAlign w:val="center"/>
          </w:tcPr>
          <w:p>
            <w:pPr>
              <w:jc w:val="center"/>
              <w:rPr>
                <w:rFonts w:ascii="仿宋" w:hAnsi="仿宋" w:cs="仿宋"/>
              </w:rPr>
            </w:pPr>
            <w:r>
              <w:rPr>
                <w:rFonts w:hint="eastAsia" w:ascii="仿宋" w:hAnsi="仿宋" w:cs="仿宋"/>
              </w:rPr>
              <w:t>4</w:t>
            </w:r>
          </w:p>
        </w:tc>
        <w:tc>
          <w:tcPr>
            <w:tcW w:w="2627" w:type="dxa"/>
            <w:vAlign w:val="center"/>
          </w:tcPr>
          <w:p>
            <w:pPr>
              <w:rPr>
                <w:rFonts w:ascii="仿宋" w:hAnsi="仿宋" w:cs="仿宋"/>
                <w:b/>
                <w:szCs w:val="21"/>
              </w:rPr>
            </w:pPr>
            <w:r>
              <w:rPr>
                <w:rFonts w:hint="eastAsia" w:ascii="仿宋" w:hAnsi="仿宋" w:cs="仿宋"/>
                <w:kern w:val="0"/>
                <w:szCs w:val="21"/>
              </w:rPr>
              <w:t>技术规格偏离表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1.按给定格式及填表要求填写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3" w:type="dxa"/>
            <w:vAlign w:val="center"/>
          </w:tcPr>
          <w:p>
            <w:pPr>
              <w:jc w:val="center"/>
              <w:rPr>
                <w:rFonts w:ascii="仿宋" w:hAnsi="仿宋" w:cs="仿宋"/>
              </w:rPr>
            </w:pPr>
            <w:r>
              <w:rPr>
                <w:rFonts w:hint="eastAsia" w:ascii="仿宋" w:hAnsi="仿宋" w:cs="仿宋"/>
              </w:rPr>
              <w:t>5</w:t>
            </w:r>
          </w:p>
        </w:tc>
        <w:tc>
          <w:tcPr>
            <w:tcW w:w="2627" w:type="dxa"/>
            <w:vAlign w:val="center"/>
          </w:tcPr>
          <w:p>
            <w:pPr>
              <w:rPr>
                <w:rFonts w:ascii="仿宋" w:hAnsi="仿宋" w:cs="仿宋"/>
                <w:b/>
                <w:szCs w:val="21"/>
              </w:rPr>
            </w:pPr>
            <w:r>
              <w:rPr>
                <w:rFonts w:hint="eastAsia" w:ascii="仿宋" w:hAnsi="仿宋" w:cs="仿宋"/>
                <w:kern w:val="0"/>
                <w:szCs w:val="21"/>
              </w:rPr>
              <w:t>商务条款偏离表</w:t>
            </w:r>
          </w:p>
        </w:tc>
        <w:tc>
          <w:tcPr>
            <w:tcW w:w="3028" w:type="dxa"/>
          </w:tcPr>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1.按给定格式及填表要求填写</w:t>
            </w:r>
          </w:p>
          <w:p>
            <w:pPr>
              <w:jc w:val="left"/>
              <w:rPr>
                <w:rFonts w:ascii="仿宋" w:hAnsi="仿宋" w:cs="仿宋"/>
                <w:szCs w:val="21"/>
              </w:rPr>
            </w:pPr>
            <w:r>
              <w:rPr>
                <w:rFonts w:hint="eastAsia" w:ascii="仿宋" w:hAnsi="仿宋" w:cs="仿宋"/>
                <w:szCs w:val="21"/>
              </w:rPr>
              <w:t>2.响应招标文件实质性要求</w:t>
            </w:r>
          </w:p>
          <w:p>
            <w:pPr>
              <w:pStyle w:val="3"/>
              <w:adjustRightInd w:val="0"/>
              <w:snapToGrid w:val="0"/>
              <w:spacing w:before="0" w:after="0" w:line="240" w:lineRule="auto"/>
              <w:jc w:val="left"/>
              <w:rPr>
                <w:rFonts w:ascii="仿宋" w:hAnsi="仿宋" w:cs="仿宋"/>
                <w:b w:val="0"/>
                <w:sz w:val="21"/>
                <w:szCs w:val="21"/>
              </w:rPr>
            </w:pPr>
            <w:r>
              <w:rPr>
                <w:rFonts w:hint="eastAsia" w:ascii="仿宋" w:hAnsi="仿宋" w:cs="仿宋"/>
                <w:b w:val="0"/>
                <w:sz w:val="21"/>
                <w:szCs w:val="21"/>
              </w:rPr>
              <w:t>3.按规定签章</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653" w:type="dxa"/>
            <w:vAlign w:val="center"/>
          </w:tcPr>
          <w:p>
            <w:pPr>
              <w:jc w:val="center"/>
              <w:rPr>
                <w:rFonts w:ascii="仿宋" w:hAnsi="仿宋" w:cs="仿宋"/>
              </w:rPr>
            </w:pPr>
            <w:r>
              <w:rPr>
                <w:rFonts w:hint="eastAsia" w:ascii="仿宋" w:hAnsi="仿宋" w:cs="仿宋"/>
              </w:rPr>
              <w:t>6</w:t>
            </w:r>
          </w:p>
        </w:tc>
        <w:tc>
          <w:tcPr>
            <w:tcW w:w="2627" w:type="dxa"/>
            <w:vAlign w:val="center"/>
          </w:tcPr>
          <w:p>
            <w:pPr>
              <w:rPr>
                <w:rFonts w:ascii="仿宋" w:hAnsi="仿宋" w:cs="仿宋"/>
                <w:b/>
                <w:szCs w:val="21"/>
              </w:rPr>
            </w:pPr>
            <w:r>
              <w:rPr>
                <w:rFonts w:hint="eastAsia" w:ascii="仿宋" w:hAnsi="仿宋" w:cs="仿宋"/>
                <w:kern w:val="0"/>
                <w:szCs w:val="21"/>
              </w:rPr>
              <w:t>供应商关联单位说明</w:t>
            </w:r>
          </w:p>
        </w:tc>
        <w:tc>
          <w:tcPr>
            <w:tcW w:w="3028"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无投标须知1.5所述情形</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53" w:type="dxa"/>
            <w:vAlign w:val="center"/>
          </w:tcPr>
          <w:p>
            <w:pPr>
              <w:snapToGrid w:val="0"/>
              <w:jc w:val="center"/>
              <w:rPr>
                <w:rFonts w:ascii="仿宋" w:hAnsi="仿宋" w:cs="仿宋"/>
              </w:rPr>
            </w:pPr>
            <w:r>
              <w:rPr>
                <w:rFonts w:hint="eastAsia" w:ascii="仿宋" w:hAnsi="仿宋" w:cs="仿宋"/>
              </w:rPr>
              <w:t>7</w:t>
            </w:r>
          </w:p>
        </w:tc>
        <w:tc>
          <w:tcPr>
            <w:tcW w:w="2627" w:type="dxa"/>
            <w:vAlign w:val="center"/>
          </w:tcPr>
          <w:p>
            <w:pPr>
              <w:snapToGrid w:val="0"/>
              <w:jc w:val="left"/>
              <w:rPr>
                <w:rFonts w:ascii="仿宋" w:hAnsi="仿宋" w:cs="仿宋"/>
                <w:szCs w:val="21"/>
              </w:rPr>
            </w:pPr>
            <w:r>
              <w:rPr>
                <w:rFonts w:hint="eastAsia" w:ascii="仿宋" w:hAnsi="仿宋" w:cs="仿宋"/>
                <w:szCs w:val="21"/>
              </w:rPr>
              <w:t>投标报价</w:t>
            </w:r>
          </w:p>
        </w:tc>
        <w:tc>
          <w:tcPr>
            <w:tcW w:w="3028" w:type="dxa"/>
            <w:vAlign w:val="center"/>
          </w:tcPr>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1.响应招标文件实质性要求</w:t>
            </w:r>
          </w:p>
          <w:p>
            <w:pPr>
              <w:pStyle w:val="3"/>
              <w:adjustRightInd w:val="0"/>
              <w:snapToGrid w:val="0"/>
              <w:spacing w:before="0" w:after="0" w:line="240" w:lineRule="auto"/>
              <w:jc w:val="both"/>
              <w:rPr>
                <w:rFonts w:ascii="仿宋" w:hAnsi="仿宋" w:cs="仿宋"/>
                <w:b w:val="0"/>
                <w:sz w:val="21"/>
                <w:szCs w:val="21"/>
              </w:rPr>
            </w:pPr>
            <w:r>
              <w:rPr>
                <w:rFonts w:hint="eastAsia" w:ascii="仿宋" w:hAnsi="仿宋" w:cs="仿宋"/>
                <w:b w:val="0"/>
                <w:sz w:val="21"/>
                <w:szCs w:val="21"/>
              </w:rPr>
              <w:t>2.无投标须知26.2所述情形</w:t>
            </w: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653" w:type="dxa"/>
            <w:vAlign w:val="center"/>
          </w:tcPr>
          <w:p>
            <w:pPr>
              <w:snapToGrid w:val="0"/>
              <w:jc w:val="center"/>
              <w:rPr>
                <w:rFonts w:ascii="仿宋" w:hAnsi="仿宋" w:cs="仿宋"/>
              </w:rPr>
            </w:pPr>
          </w:p>
        </w:tc>
        <w:tc>
          <w:tcPr>
            <w:tcW w:w="2627" w:type="dxa"/>
            <w:vAlign w:val="center"/>
          </w:tcPr>
          <w:p>
            <w:pPr>
              <w:snapToGrid w:val="0"/>
              <w:jc w:val="center"/>
              <w:rPr>
                <w:rFonts w:ascii="仿宋" w:hAnsi="仿宋" w:cs="仿宋"/>
                <w:szCs w:val="21"/>
              </w:rPr>
            </w:pPr>
            <w:r>
              <w:rPr>
                <w:rFonts w:hint="eastAsia" w:ascii="仿宋" w:hAnsi="仿宋" w:cs="仿宋"/>
                <w:szCs w:val="21"/>
              </w:rPr>
              <w:t>结论</w:t>
            </w:r>
          </w:p>
        </w:tc>
        <w:tc>
          <w:tcPr>
            <w:tcW w:w="3028" w:type="dxa"/>
          </w:tcPr>
          <w:p>
            <w:pPr>
              <w:pStyle w:val="3"/>
              <w:adjustRightInd w:val="0"/>
              <w:snapToGrid w:val="0"/>
              <w:spacing w:before="0" w:after="0" w:line="240" w:lineRule="auto"/>
              <w:rPr>
                <w:rFonts w:ascii="仿宋" w:hAnsi="仿宋" w:cs="仿宋"/>
                <w:sz w:val="21"/>
                <w:szCs w:val="21"/>
              </w:rPr>
            </w:pPr>
          </w:p>
        </w:tc>
        <w:tc>
          <w:tcPr>
            <w:tcW w:w="1104" w:type="dxa"/>
          </w:tcPr>
          <w:p>
            <w:pPr>
              <w:pStyle w:val="3"/>
              <w:adjustRightInd w:val="0"/>
              <w:snapToGrid w:val="0"/>
              <w:spacing w:before="0" w:after="0" w:line="240" w:lineRule="auto"/>
              <w:rPr>
                <w:rFonts w:ascii="仿宋" w:hAnsi="仿宋" w:cs="仿宋"/>
                <w:sz w:val="21"/>
                <w:szCs w:val="21"/>
              </w:rPr>
            </w:pPr>
          </w:p>
        </w:tc>
        <w:tc>
          <w:tcPr>
            <w:tcW w:w="993" w:type="dxa"/>
          </w:tcPr>
          <w:p>
            <w:pPr>
              <w:pStyle w:val="3"/>
              <w:adjustRightInd w:val="0"/>
              <w:snapToGrid w:val="0"/>
              <w:spacing w:before="0" w:after="0" w:line="240" w:lineRule="auto"/>
              <w:rPr>
                <w:rFonts w:ascii="仿宋" w:hAnsi="仿宋" w:cs="仿宋"/>
                <w:sz w:val="21"/>
                <w:szCs w:val="21"/>
              </w:rPr>
            </w:pPr>
          </w:p>
        </w:tc>
        <w:tc>
          <w:tcPr>
            <w:tcW w:w="919" w:type="dxa"/>
          </w:tcPr>
          <w:p>
            <w:pPr>
              <w:pStyle w:val="3"/>
              <w:adjustRightInd w:val="0"/>
              <w:snapToGrid w:val="0"/>
              <w:spacing w:before="0" w:after="0" w:line="240" w:lineRule="auto"/>
              <w:rPr>
                <w:rFonts w:ascii="仿宋" w:hAnsi="仿宋" w:cs="仿宋"/>
                <w:sz w:val="21"/>
                <w:szCs w:val="21"/>
              </w:rPr>
            </w:pPr>
          </w:p>
        </w:tc>
      </w:tr>
    </w:tbl>
    <w:p>
      <w:pPr>
        <w:ind w:firstLine="323"/>
        <w:rPr>
          <w:rFonts w:ascii="仿宋" w:hAnsi="仿宋" w:cs="仿宋"/>
        </w:rPr>
      </w:pPr>
    </w:p>
    <w:p>
      <w:pPr>
        <w:rPr>
          <w:rFonts w:ascii="仿宋" w:hAnsi="仿宋" w:cs="仿宋"/>
        </w:rPr>
      </w:pPr>
      <w:r>
        <w:rPr>
          <w:rFonts w:hint="eastAsia" w:ascii="仿宋" w:hAnsi="仿宋" w:cs="仿宋"/>
        </w:rPr>
        <w:t>填表说明：1、每项内容审查合格，在表中填写“√”；不合格填写“×”</w:t>
      </w:r>
    </w:p>
    <w:p>
      <w:pPr>
        <w:rPr>
          <w:rFonts w:ascii="仿宋" w:hAnsi="仿宋" w:cs="仿宋"/>
        </w:rPr>
      </w:pPr>
      <w:r>
        <w:rPr>
          <w:rFonts w:hint="eastAsia" w:ascii="仿宋" w:hAnsi="仿宋" w:cs="仿宋"/>
        </w:rPr>
        <w:t xml:space="preserve">          2、审查结论填写“通过”或“不通过”</w:t>
      </w:r>
    </w:p>
    <w:p>
      <w:pPr>
        <w:pStyle w:val="19"/>
        <w:widowControl w:val="0"/>
        <w:snapToGrid w:val="0"/>
        <w:spacing w:before="0" w:beforeAutospacing="0" w:after="0" w:afterAutospacing="0" w:line="480" w:lineRule="auto"/>
        <w:ind w:left="5880" w:hanging="5880" w:hangingChars="2800"/>
        <w:rPr>
          <w:rFonts w:ascii="仿宋" w:hAnsi="仿宋" w:eastAsia="仿宋" w:cs="仿宋"/>
          <w:sz w:val="21"/>
          <w:szCs w:val="21"/>
        </w:rPr>
      </w:pPr>
      <w:r>
        <w:rPr>
          <w:rFonts w:hint="eastAsia" w:ascii="仿宋" w:hAnsi="仿宋" w:eastAsia="仿宋" w:cs="仿宋"/>
          <w:sz w:val="21"/>
          <w:szCs w:val="21"/>
        </w:rPr>
        <w:t xml:space="preserve">审查人签字： </w:t>
      </w:r>
    </w:p>
    <w:p>
      <w:pPr>
        <w:pStyle w:val="19"/>
        <w:widowControl w:val="0"/>
        <w:snapToGrid w:val="0"/>
        <w:spacing w:before="0" w:beforeAutospacing="0" w:after="0" w:afterAutospacing="0" w:line="480" w:lineRule="auto"/>
        <w:ind w:left="5880" w:hanging="5880" w:hangingChars="2800"/>
        <w:rPr>
          <w:rFonts w:ascii="仿宋" w:hAnsi="仿宋" w:eastAsia="仿宋" w:cs="仿宋"/>
          <w:b/>
          <w:sz w:val="21"/>
          <w:szCs w:val="21"/>
        </w:rPr>
      </w:pPr>
      <w:r>
        <w:rPr>
          <w:rFonts w:hint="eastAsia" w:ascii="仿宋" w:hAnsi="仿宋" w:eastAsia="仿宋" w:cs="仿宋"/>
          <w:bCs/>
          <w:sz w:val="21"/>
          <w:szCs w:val="21"/>
        </w:rPr>
        <w:t>日      期：</w:t>
      </w:r>
      <w:r>
        <w:rPr>
          <w:rFonts w:hint="eastAsia" w:ascii="仿宋" w:hAnsi="仿宋" w:eastAsia="仿宋" w:cs="仿宋"/>
          <w:b/>
          <w:sz w:val="21"/>
          <w:szCs w:val="21"/>
        </w:rPr>
        <w:t xml:space="preserve"> </w:t>
      </w:r>
    </w:p>
    <w:p>
      <w:pPr>
        <w:rPr>
          <w:rFonts w:ascii="仿宋" w:hAnsi="仿宋" w:cs="仿宋"/>
        </w:rPr>
      </w:pPr>
      <w:bookmarkStart w:id="129" w:name="_Toc17433_WPSOffice_Level2"/>
    </w:p>
    <w:p>
      <w:pPr>
        <w:rPr>
          <w:rFonts w:ascii="仿宋" w:hAnsi="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40"/>
        <w:rPr>
          <w:rFonts w:ascii="仿宋" w:hAnsi="仿宋" w:eastAsia="仿宋" w:cs="仿宋"/>
        </w:rPr>
      </w:pPr>
    </w:p>
    <w:p>
      <w:pPr>
        <w:pStyle w:val="3"/>
        <w:adjustRightInd w:val="0"/>
        <w:snapToGrid w:val="0"/>
        <w:spacing w:before="0" w:after="0" w:line="240" w:lineRule="auto"/>
        <w:jc w:val="left"/>
        <w:rPr>
          <w:rFonts w:ascii="仿宋" w:hAnsi="仿宋" w:cs="仿宋"/>
          <w:sz w:val="32"/>
          <w:szCs w:val="32"/>
        </w:rPr>
      </w:pPr>
      <w:r>
        <w:rPr>
          <w:rFonts w:hint="eastAsia" w:ascii="仿宋" w:hAnsi="仿宋" w:cs="仿宋"/>
          <w:szCs w:val="28"/>
        </w:rPr>
        <w:t xml:space="preserve">附件3                   </w:t>
      </w:r>
      <w:r>
        <w:rPr>
          <w:rFonts w:hint="eastAsia" w:ascii="仿宋" w:hAnsi="仿宋" w:cs="仿宋"/>
          <w:sz w:val="32"/>
          <w:szCs w:val="32"/>
        </w:rPr>
        <w:t xml:space="preserve"> </w:t>
      </w:r>
    </w:p>
    <w:p>
      <w:pPr>
        <w:jc w:val="center"/>
        <w:rPr>
          <w:rFonts w:ascii="仿宋" w:hAnsi="仿宋" w:cs="仿宋"/>
          <w:b/>
          <w:sz w:val="32"/>
          <w:szCs w:val="32"/>
        </w:rPr>
      </w:pPr>
      <w:r>
        <w:rPr>
          <w:rFonts w:hint="eastAsia" w:ascii="仿宋" w:hAnsi="仿宋" w:cs="仿宋"/>
          <w:b/>
          <w:sz w:val="32"/>
          <w:szCs w:val="32"/>
        </w:rPr>
        <w:t>评分细则</w:t>
      </w:r>
      <w:bookmarkEnd w:id="129"/>
    </w:p>
    <w:p>
      <w:pPr>
        <w:rPr>
          <w:rFonts w:ascii="仿宋" w:hAnsi="仿宋" w:cs="仿宋"/>
          <w:b/>
          <w:sz w:val="32"/>
          <w:szCs w:val="32"/>
        </w:rPr>
      </w:pPr>
      <w:r>
        <w:rPr>
          <w:rFonts w:hint="eastAsia" w:ascii="仿宋" w:hAnsi="仿宋" w:cs="仿宋"/>
          <w:b/>
          <w:szCs w:val="21"/>
        </w:rPr>
        <w:t>（一）基本评分标准</w:t>
      </w:r>
    </w:p>
    <w:tbl>
      <w:tblPr>
        <w:tblStyle w:val="23"/>
        <w:tblW w:w="50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4"/>
        <w:gridCol w:w="1055"/>
        <w:gridCol w:w="5611"/>
        <w:gridCol w:w="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9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包号</w:t>
            </w:r>
          </w:p>
        </w:tc>
        <w:tc>
          <w:tcPr>
            <w:tcW w:w="4301" w:type="pct"/>
            <w:gridSpan w:val="3"/>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001包（●80条）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9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项目</w:t>
            </w:r>
          </w:p>
        </w:tc>
        <w:tc>
          <w:tcPr>
            <w:tcW w:w="616"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仿宋" w:hAnsi="仿宋" w:cs="仿宋"/>
                <w:szCs w:val="21"/>
              </w:rPr>
            </w:pPr>
            <w:r>
              <w:rPr>
                <w:rFonts w:hint="eastAsia" w:ascii="仿宋" w:hAnsi="仿宋" w:cs="仿宋"/>
                <w:szCs w:val="21"/>
              </w:rPr>
              <w:t>分项</w:t>
            </w:r>
          </w:p>
          <w:p>
            <w:pPr>
              <w:widowControl/>
              <w:snapToGrid w:val="0"/>
              <w:jc w:val="center"/>
              <w:rPr>
                <w:rFonts w:ascii="仿宋" w:hAnsi="仿宋" w:cs="仿宋"/>
                <w:szCs w:val="21"/>
              </w:rPr>
            </w:pPr>
            <w:r>
              <w:rPr>
                <w:rFonts w:hint="eastAsia" w:ascii="仿宋" w:hAnsi="仿宋" w:cs="仿宋"/>
                <w:szCs w:val="21"/>
              </w:rPr>
              <w:t>名称</w:t>
            </w:r>
          </w:p>
        </w:tc>
        <w:tc>
          <w:tcPr>
            <w:tcW w:w="3277"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评分标准</w:t>
            </w: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698"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价格部分</w:t>
            </w:r>
          </w:p>
        </w:tc>
        <w:tc>
          <w:tcPr>
            <w:tcW w:w="61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报价</w:t>
            </w:r>
          </w:p>
        </w:tc>
        <w:tc>
          <w:tcPr>
            <w:tcW w:w="3277" w:type="pct"/>
            <w:tcBorders>
              <w:top w:val="single" w:color="auto" w:sz="4" w:space="0"/>
              <w:left w:val="single" w:color="auto" w:sz="4" w:space="0"/>
              <w:bottom w:val="single" w:color="auto" w:sz="4" w:space="0"/>
              <w:right w:val="single" w:color="auto" w:sz="4" w:space="0"/>
            </w:tcBorders>
            <w:vAlign w:val="center"/>
          </w:tcPr>
          <w:p>
            <w:pPr>
              <w:widowControl/>
              <w:rPr>
                <w:rFonts w:ascii="仿宋" w:hAnsi="仿宋" w:cs="仿宋"/>
                <w:szCs w:val="21"/>
              </w:rPr>
            </w:pPr>
            <w:r>
              <w:rPr>
                <w:rFonts w:hint="eastAsia" w:ascii="仿宋" w:hAnsi="仿宋" w:cs="仿宋"/>
                <w:szCs w:val="21"/>
              </w:rPr>
              <w:t>计算公式为：(Cmin/C)*30。其中，Cmin为所有有效供应商中的最低投标价格，C为供应商的投标价格。（得分按四舍五入的方式保留小数点后二位）</w:t>
            </w: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3" w:hRule="atLeast"/>
        </w:trPr>
        <w:tc>
          <w:tcPr>
            <w:tcW w:w="698"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技术部分</w:t>
            </w:r>
          </w:p>
        </w:tc>
        <w:tc>
          <w:tcPr>
            <w:tcW w:w="61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技术点对点响应</w:t>
            </w:r>
          </w:p>
        </w:tc>
        <w:tc>
          <w:tcPr>
            <w:tcW w:w="3277" w:type="pct"/>
            <w:tcBorders>
              <w:top w:val="single" w:color="auto" w:sz="4" w:space="0"/>
              <w:left w:val="single" w:color="auto" w:sz="4" w:space="0"/>
              <w:bottom w:val="single" w:color="auto" w:sz="4" w:space="0"/>
              <w:right w:val="single" w:color="auto" w:sz="4" w:space="0"/>
            </w:tcBorders>
            <w:vAlign w:val="center"/>
          </w:tcPr>
          <w:p>
            <w:pPr>
              <w:rPr>
                <w:rFonts w:ascii="仿宋" w:hAnsi="仿宋" w:cs="仿宋"/>
                <w:szCs w:val="21"/>
              </w:rPr>
            </w:pPr>
            <w:r>
              <w:rPr>
                <w:rFonts w:hint="eastAsia" w:ascii="仿宋" w:hAnsi="仿宋" w:cs="仿宋"/>
                <w:szCs w:val="21"/>
              </w:rPr>
              <w:t>项目采购需求中实质性要求用★标注，★标注项不得负偏离，如果负偏离，则投标文件无效。标注“●”号项参数为一般技术参数，共计80项，每项以国家级检测报告证明得0.5分，以其他检测报告、厂家公开发布的印刷资料、产品彩页、产品说明书或官网截图等为技术证明材料得0.25分，最多得40分。【需标明证明材料所在页（原件扫描复印件），凡不符合本条要求的，视为无效技术支持资料，若投标文件中技术支持资料参数与技术规格偏离表应答不符或无支持资料应答，而供应商又未在投标文件中作出说明和解释的，视为不响应该条技术参数要求。】</w:t>
            </w: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8" w:type="pct"/>
            <w:vMerge w:val="continue"/>
            <w:tcBorders>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p>
        </w:tc>
        <w:tc>
          <w:tcPr>
            <w:tcW w:w="616"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仿宋" w:hAnsi="仿宋" w:cs="仿宋"/>
                <w:szCs w:val="21"/>
              </w:rPr>
            </w:pPr>
            <w:r>
              <w:rPr>
                <w:rFonts w:hint="eastAsia" w:ascii="仿宋" w:hAnsi="仿宋" w:cs="仿宋"/>
                <w:szCs w:val="21"/>
              </w:rPr>
              <w:t>样品</w:t>
            </w:r>
          </w:p>
          <w:p>
            <w:pPr>
              <w:widowControl/>
              <w:snapToGrid w:val="0"/>
              <w:jc w:val="center"/>
              <w:rPr>
                <w:rFonts w:ascii="仿宋" w:hAnsi="仿宋" w:cs="仿宋"/>
                <w:szCs w:val="21"/>
              </w:rPr>
            </w:pPr>
            <w:r>
              <w:rPr>
                <w:rFonts w:hint="eastAsia" w:ascii="仿宋" w:hAnsi="仿宋" w:cs="仿宋"/>
                <w:szCs w:val="21"/>
              </w:rPr>
              <w:t>评测</w:t>
            </w:r>
          </w:p>
        </w:tc>
        <w:tc>
          <w:tcPr>
            <w:tcW w:w="3277" w:type="pct"/>
            <w:tcBorders>
              <w:top w:val="single" w:color="auto" w:sz="4" w:space="0"/>
              <w:left w:val="single" w:color="auto" w:sz="4" w:space="0"/>
              <w:bottom w:val="single" w:color="auto" w:sz="4" w:space="0"/>
              <w:right w:val="single" w:color="auto" w:sz="4" w:space="0"/>
            </w:tcBorders>
            <w:vAlign w:val="center"/>
          </w:tcPr>
          <w:p>
            <w:pPr>
              <w:jc w:val="left"/>
              <w:rPr>
                <w:rFonts w:ascii="仿宋" w:hAnsi="仿宋" w:cs="仿宋"/>
                <w:szCs w:val="21"/>
                <w:lang w:bidi="ar"/>
              </w:rPr>
            </w:pPr>
            <w:r>
              <w:rPr>
                <w:rFonts w:hint="eastAsia" w:ascii="仿宋" w:hAnsi="仿宋" w:cs="仿宋"/>
                <w:szCs w:val="21"/>
                <w:lang w:bidi="ar"/>
              </w:rPr>
              <w:t>投标人对所提供的潜水全面罩、冰域呼吸器组件样品进行功能展示。评审现场评标委员会核查样品每个产品部件是否齐全，并充气检测整套组件的相互兼容性，检测产品的安全防护性能。具体评审标准如下：</w:t>
            </w:r>
          </w:p>
          <w:p>
            <w:pPr>
              <w:pStyle w:val="44"/>
              <w:widowControl/>
              <w:ind w:firstLine="0" w:firstLineChars="0"/>
              <w:rPr>
                <w:rFonts w:ascii="仿宋" w:hAnsi="仿宋" w:cs="仿宋"/>
                <w:szCs w:val="21"/>
                <w:lang w:bidi="ar"/>
              </w:rPr>
            </w:pPr>
            <w:r>
              <w:rPr>
                <w:rFonts w:hint="eastAsia" w:ascii="仿宋" w:hAnsi="仿宋" w:cs="仿宋"/>
                <w:szCs w:val="21"/>
                <w:lang w:bidi="ar"/>
              </w:rPr>
              <w:t>（1）现场测试潜水全面罩操作，面部贴合、舒适度高、视野清晰，全面罩上呼吸阀的呼吸阻抗低，全面罩带外围边框，完全符合或优于采购需求指标要求得6分；面部贴合、相对舒适、视野清晰，全面罩上呼吸阀的呼吸阻抗略高，全面罩带外围边框，基本符合采购需求指标要求得3分；其余得0分。</w:t>
            </w:r>
          </w:p>
          <w:p>
            <w:pPr>
              <w:pStyle w:val="44"/>
              <w:widowControl/>
              <w:ind w:firstLine="0" w:firstLineChars="0"/>
              <w:rPr>
                <w:rFonts w:ascii="仿宋" w:hAnsi="仿宋" w:cs="仿宋"/>
                <w:szCs w:val="21"/>
                <w:lang w:bidi="ar"/>
              </w:rPr>
            </w:pPr>
            <w:r>
              <w:rPr>
                <w:rFonts w:hint="eastAsia" w:ascii="仿宋" w:hAnsi="仿宋" w:cs="仿宋"/>
                <w:szCs w:val="21"/>
              </w:rPr>
              <w:t>（2）</w:t>
            </w:r>
            <w:r>
              <w:rPr>
                <w:rFonts w:hint="eastAsia" w:ascii="仿宋" w:hAnsi="仿宋" w:cs="仿宋"/>
                <w:szCs w:val="21"/>
                <w:lang w:bidi="ar"/>
              </w:rPr>
              <w:t>冰域呼吸器组件外观无瑕疵、材质耐用、稳定性强、安全，整套配件颜色区分醒目，完全符合或优于采购需求指标要求得6分；冰域呼吸器组件外观略有瑕疵、材质耐用、实用、相对稳定、安全，整套配件颜色区分不醒目，基本符合采购需求指标要求得3分；其余得0分。</w:t>
            </w:r>
          </w:p>
          <w:p>
            <w:pPr>
              <w:widowControl/>
              <w:snapToGrid w:val="0"/>
              <w:jc w:val="left"/>
              <w:rPr>
                <w:rFonts w:ascii="仿宋" w:hAnsi="仿宋" w:cs="仿宋"/>
                <w:szCs w:val="21"/>
              </w:rPr>
            </w:pPr>
            <w:r>
              <w:rPr>
                <w:rFonts w:hint="eastAsia" w:ascii="仿宋" w:hAnsi="仿宋" w:cs="仿宋"/>
                <w:szCs w:val="21"/>
              </w:rPr>
              <w:t>投标人根据提交样品现场进行功能讲解展示。</w:t>
            </w:r>
          </w:p>
          <w:p>
            <w:pPr>
              <w:widowControl/>
              <w:snapToGrid w:val="0"/>
              <w:jc w:val="left"/>
              <w:rPr>
                <w:rFonts w:ascii="仿宋" w:hAnsi="仿宋" w:cs="仿宋"/>
                <w:szCs w:val="21"/>
              </w:rPr>
            </w:pPr>
            <w:r>
              <w:rPr>
                <w:rFonts w:hint="eastAsia" w:ascii="仿宋" w:hAnsi="仿宋" w:cs="仿宋"/>
                <w:szCs w:val="21"/>
              </w:rPr>
              <w:t>样品不带或少带，此项整体得0分。</w:t>
            </w: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98" w:type="pct"/>
            <w:vMerge w:val="restar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商务部分</w:t>
            </w:r>
          </w:p>
        </w:tc>
        <w:tc>
          <w:tcPr>
            <w:tcW w:w="616" w:type="pct"/>
            <w:tcBorders>
              <w:top w:val="single" w:color="auto" w:sz="4" w:space="0"/>
              <w:left w:val="single" w:color="auto" w:sz="4" w:space="0"/>
              <w:right w:val="single" w:color="auto" w:sz="4" w:space="0"/>
            </w:tcBorders>
            <w:vAlign w:val="center"/>
          </w:tcPr>
          <w:p>
            <w:pPr>
              <w:widowControl/>
              <w:snapToGrid w:val="0"/>
              <w:jc w:val="center"/>
              <w:rPr>
                <w:rFonts w:ascii="仿宋" w:hAnsi="仿宋" w:cs="仿宋"/>
                <w:szCs w:val="21"/>
              </w:rPr>
            </w:pPr>
            <w:r>
              <w:rPr>
                <w:rFonts w:hint="eastAsia" w:ascii="仿宋" w:hAnsi="仿宋" w:cs="仿宋"/>
                <w:szCs w:val="21"/>
              </w:rPr>
              <w:t>业绩</w:t>
            </w:r>
          </w:p>
          <w:p>
            <w:pPr>
              <w:widowControl/>
              <w:snapToGrid w:val="0"/>
              <w:jc w:val="center"/>
              <w:rPr>
                <w:rFonts w:ascii="仿宋" w:hAnsi="仿宋" w:cs="仿宋"/>
                <w:szCs w:val="21"/>
              </w:rPr>
            </w:pPr>
            <w:r>
              <w:rPr>
                <w:rFonts w:hint="eastAsia" w:ascii="仿宋" w:hAnsi="仿宋" w:cs="仿宋"/>
                <w:szCs w:val="21"/>
              </w:rPr>
              <w:t>情况</w:t>
            </w:r>
          </w:p>
        </w:tc>
        <w:tc>
          <w:tcPr>
            <w:tcW w:w="327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供应商或产品制造商提供所投类似项目销售业绩（2021年1月1日至今，以签订合同时间为准），每有1个业绩得1分，最多得3分。供应商须提供每份业绩合同关键页（包括封皮、产品明细页和签字盖章页）、对应的发票及验收证明的复印件并加盖供应商公章，未提供或提供不全不得分。</w:t>
            </w:r>
          </w:p>
        </w:tc>
        <w:tc>
          <w:tcPr>
            <w:tcW w:w="406" w:type="pct"/>
            <w:tcBorders>
              <w:top w:val="single" w:color="auto" w:sz="4" w:space="0"/>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98"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ascii="仿宋" w:hAnsi="仿宋" w:cs="仿宋"/>
                <w:szCs w:val="21"/>
              </w:rPr>
            </w:pPr>
          </w:p>
        </w:tc>
        <w:tc>
          <w:tcPr>
            <w:tcW w:w="616"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供货</w:t>
            </w:r>
          </w:p>
          <w:p>
            <w:pPr>
              <w:jc w:val="center"/>
              <w:rPr>
                <w:rFonts w:ascii="仿宋" w:hAnsi="仿宋" w:cs="仿宋"/>
                <w:szCs w:val="21"/>
              </w:rPr>
            </w:pPr>
            <w:r>
              <w:rPr>
                <w:rFonts w:hint="eastAsia" w:ascii="仿宋" w:hAnsi="仿宋" w:cs="仿宋"/>
                <w:szCs w:val="21"/>
              </w:rPr>
              <w:t>方案</w:t>
            </w:r>
          </w:p>
        </w:tc>
        <w:tc>
          <w:tcPr>
            <w:tcW w:w="327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一、供货方案内容包含但不限于调试（安装）、验收、货物运输安全方面、项目实施进度计划、供货期保障措施等内容。</w:t>
            </w:r>
          </w:p>
          <w:p>
            <w:pPr>
              <w:jc w:val="left"/>
              <w:rPr>
                <w:rFonts w:ascii="仿宋" w:hAnsi="仿宋" w:cs="仿宋"/>
                <w:szCs w:val="21"/>
              </w:rPr>
            </w:pPr>
            <w:r>
              <w:rPr>
                <w:rFonts w:hint="eastAsia" w:ascii="仿宋" w:hAnsi="仿宋" w:cs="仿宋"/>
                <w:szCs w:val="21"/>
              </w:rPr>
              <w:t>（1）供货方案全面完整包含上述方案全部内容，针对本项目增加采购单位未提供需求而供应商认为需说明及补充的其他供货方案内容且合理，全面响应项目实际需求；调试（安装）、验收、货物运输安全方面等内容科学合理，项目实施进度计划、供货期保障措施贴合实际并且具有很高的可操作性得3分。</w:t>
            </w:r>
          </w:p>
          <w:p>
            <w:pPr>
              <w:jc w:val="left"/>
              <w:rPr>
                <w:rFonts w:ascii="仿宋" w:hAnsi="仿宋" w:cs="仿宋"/>
                <w:szCs w:val="21"/>
              </w:rPr>
            </w:pPr>
            <w:r>
              <w:rPr>
                <w:rFonts w:hint="eastAsia" w:ascii="仿宋" w:hAnsi="仿宋" w:cs="仿宋"/>
                <w:szCs w:val="21"/>
              </w:rPr>
              <w:t>（2）供货方案完整包含上述方案全部内容，响应项目实际需求；调试（安装）、验收、货物运输安全方面等内容合理；项目实施进度计划、供货期保障措施具有可操作性得2分。</w:t>
            </w:r>
          </w:p>
          <w:p>
            <w:pPr>
              <w:jc w:val="left"/>
              <w:rPr>
                <w:rFonts w:ascii="仿宋" w:hAnsi="仿宋" w:cs="仿宋"/>
                <w:szCs w:val="21"/>
              </w:rPr>
            </w:pPr>
            <w:r>
              <w:rPr>
                <w:rFonts w:hint="eastAsia" w:ascii="仿宋" w:hAnsi="仿宋" w:cs="仿宋"/>
                <w:szCs w:val="21"/>
              </w:rPr>
              <w:t>（3）供货方案不完整，基本响应项目实际需求；相关方案内容缺乏合理性，实际操作存在一定难度得1分。</w:t>
            </w:r>
          </w:p>
          <w:p>
            <w:pPr>
              <w:jc w:val="left"/>
              <w:rPr>
                <w:rFonts w:ascii="仿宋" w:hAnsi="仿宋" w:cs="仿宋"/>
                <w:szCs w:val="21"/>
              </w:rPr>
            </w:pPr>
            <w:r>
              <w:rPr>
                <w:rFonts w:hint="eastAsia" w:ascii="仿宋" w:hAnsi="仿宋" w:cs="仿宋"/>
                <w:szCs w:val="21"/>
              </w:rPr>
              <w:t>（4）未提供供货方案或提供方案相关内容不实的、与实际情况不符、或未能满足项目实际需求的0分。</w:t>
            </w:r>
          </w:p>
          <w:p>
            <w:pPr>
              <w:jc w:val="left"/>
              <w:rPr>
                <w:rFonts w:ascii="仿宋" w:hAnsi="仿宋" w:cs="仿宋"/>
                <w:szCs w:val="21"/>
              </w:rPr>
            </w:pPr>
            <w:r>
              <w:rPr>
                <w:rFonts w:hint="eastAsia" w:ascii="仿宋" w:hAnsi="仿宋" w:cs="仿宋"/>
                <w:szCs w:val="21"/>
              </w:rPr>
              <w:t>二、供应商在交货期 60日的基础上，每提前10日交货得1分，最高得2分，提供承诺函并加盖供应商公章，未提供不得分。</w:t>
            </w: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6" w:hRule="atLeast"/>
        </w:trPr>
        <w:tc>
          <w:tcPr>
            <w:tcW w:w="698"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ascii="仿宋" w:hAnsi="仿宋" w:cs="仿宋"/>
                <w:szCs w:val="21"/>
              </w:rPr>
            </w:pPr>
          </w:p>
        </w:tc>
        <w:tc>
          <w:tcPr>
            <w:tcW w:w="616"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产品质量控制保障措施</w:t>
            </w:r>
          </w:p>
        </w:tc>
        <w:tc>
          <w:tcPr>
            <w:tcW w:w="327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产品质量控制保障措施内容包含但不限于产品质量检查、检查人员配备、检测设备配备、检查流程、质量控制管理制度等内容。</w:t>
            </w:r>
          </w:p>
          <w:p>
            <w:pPr>
              <w:jc w:val="left"/>
              <w:rPr>
                <w:rFonts w:ascii="仿宋" w:hAnsi="仿宋" w:cs="仿宋"/>
                <w:szCs w:val="21"/>
              </w:rPr>
            </w:pPr>
            <w:r>
              <w:rPr>
                <w:rFonts w:hint="eastAsia" w:ascii="仿宋" w:hAnsi="仿宋" w:cs="仿宋"/>
                <w:szCs w:val="21"/>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3分。</w:t>
            </w:r>
          </w:p>
          <w:p>
            <w:pPr>
              <w:jc w:val="left"/>
              <w:rPr>
                <w:rFonts w:ascii="仿宋" w:hAnsi="仿宋" w:cs="仿宋"/>
                <w:szCs w:val="21"/>
              </w:rPr>
            </w:pPr>
            <w:r>
              <w:rPr>
                <w:rFonts w:hint="eastAsia" w:ascii="仿宋" w:hAnsi="仿宋" w:cs="仿宋"/>
                <w:szCs w:val="21"/>
              </w:rPr>
              <w:t>（2）产品质量控制保障措施完整包含上述方案全部内容，响应项目实际需求，产品质量检查等内容合理，检查人员配备基本齐全且职责明确、检测设备齐全、检查流程具有可操作性；质量控制管理制度规范且基本全面得2分。</w:t>
            </w:r>
          </w:p>
          <w:p>
            <w:pPr>
              <w:jc w:val="left"/>
              <w:rPr>
                <w:rFonts w:ascii="仿宋" w:hAnsi="仿宋" w:cs="仿宋"/>
                <w:szCs w:val="21"/>
              </w:rPr>
            </w:pPr>
            <w:r>
              <w:rPr>
                <w:rFonts w:hint="eastAsia" w:ascii="仿宋" w:hAnsi="仿宋" w:cs="仿宋"/>
                <w:szCs w:val="21"/>
              </w:rPr>
              <w:t>（3）产品质量控制保障措施不完整，基本响应项目实际需求；相关方案内容缺乏合理性，检查人员及检测设备配备不齐全，实际操作存在一定难度得1分。</w:t>
            </w:r>
          </w:p>
          <w:p>
            <w:pPr>
              <w:jc w:val="left"/>
              <w:rPr>
                <w:rFonts w:ascii="仿宋" w:hAnsi="仿宋" w:cs="仿宋"/>
                <w:szCs w:val="21"/>
              </w:rPr>
            </w:pPr>
            <w:r>
              <w:rPr>
                <w:rFonts w:hint="eastAsia" w:ascii="仿宋" w:hAnsi="仿宋" w:cs="仿宋"/>
                <w:szCs w:val="21"/>
              </w:rPr>
              <w:t>（4）未提供产品质量控制保障措施或提供措施相关内容不实的、与实际情况不符、或未能满足项目实际需求的0分。</w:t>
            </w: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7" w:hRule="atLeast"/>
        </w:trPr>
        <w:tc>
          <w:tcPr>
            <w:tcW w:w="698" w:type="pct"/>
            <w:vMerge w:val="continue"/>
            <w:tcBorders>
              <w:left w:val="single" w:color="auto" w:sz="4" w:space="0"/>
              <w:right w:val="single" w:color="auto" w:sz="4" w:space="0"/>
            </w:tcBorders>
            <w:vAlign w:val="center"/>
          </w:tcPr>
          <w:p>
            <w:pPr>
              <w:tabs>
                <w:tab w:val="left" w:pos="709"/>
              </w:tabs>
              <w:adjustRightInd w:val="0"/>
              <w:snapToGrid w:val="0"/>
              <w:ind w:left="709" w:hanging="709"/>
              <w:textAlignment w:val="baseline"/>
              <w:rPr>
                <w:rFonts w:ascii="仿宋" w:hAnsi="仿宋" w:cs="仿宋"/>
                <w:szCs w:val="21"/>
              </w:rPr>
            </w:pPr>
          </w:p>
        </w:tc>
        <w:tc>
          <w:tcPr>
            <w:tcW w:w="616"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售后服务方案</w:t>
            </w:r>
          </w:p>
        </w:tc>
        <w:tc>
          <w:tcPr>
            <w:tcW w:w="3277" w:type="pct"/>
            <w:tcBorders>
              <w:top w:val="single" w:color="auto" w:sz="4" w:space="0"/>
              <w:left w:val="single" w:color="auto" w:sz="4" w:space="0"/>
              <w:right w:val="single" w:color="auto" w:sz="4" w:space="0"/>
            </w:tcBorders>
            <w:vAlign w:val="center"/>
          </w:tcPr>
          <w:p>
            <w:pPr>
              <w:jc w:val="left"/>
              <w:rPr>
                <w:rFonts w:ascii="仿宋" w:hAnsi="仿宋" w:cs="仿宋"/>
                <w:szCs w:val="21"/>
              </w:rPr>
            </w:pPr>
            <w:r>
              <w:rPr>
                <w:rFonts w:hint="eastAsia" w:ascii="仿宋" w:hAnsi="仿宋" w:cs="仿宋"/>
                <w:szCs w:val="21"/>
              </w:rPr>
              <w:t>一、售后服务方案内容包含但不限于服务人员配备、人员岗位职责、服务响应时间、售后服务人员的管理制度、常用备品备件的准备、巡检巡修的方式、频率、巡检保养情况档案记录整理、产品技术培训等内容。</w:t>
            </w:r>
          </w:p>
          <w:p>
            <w:pPr>
              <w:jc w:val="left"/>
              <w:rPr>
                <w:rFonts w:ascii="仿宋" w:hAnsi="仿宋" w:cs="仿宋"/>
                <w:szCs w:val="21"/>
              </w:rPr>
            </w:pPr>
            <w:r>
              <w:rPr>
                <w:rFonts w:hint="eastAsia" w:ascii="仿宋" w:hAnsi="仿宋" w:cs="仿宋"/>
                <w:szCs w:val="21"/>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4分。</w:t>
            </w:r>
          </w:p>
          <w:p>
            <w:pPr>
              <w:jc w:val="left"/>
              <w:rPr>
                <w:rFonts w:ascii="仿宋" w:hAnsi="仿宋" w:cs="仿宋"/>
                <w:szCs w:val="21"/>
              </w:rPr>
            </w:pPr>
            <w:r>
              <w:rPr>
                <w:rFonts w:hint="eastAsia" w:ascii="仿宋" w:hAnsi="仿宋" w:cs="仿宋"/>
                <w:szCs w:val="21"/>
              </w:rPr>
              <w:t>（2）售后服务方案全面完整包含上述方案全部内容，响应项目实际需求；服务人员配备齐全、人员岗位职责明确、服务响应时间及时、售后服务人员的管理制度规范、常用备品备件的准备基本齐全、巡检巡修方式合理、巡检保养情况档案记录整理完备、产品技术培训人员能力基本满足项目需求、培训周期基本满足项目需求、培训内容基本全面、培训计划合理且具有可操作性得2分。</w:t>
            </w:r>
          </w:p>
          <w:p>
            <w:pPr>
              <w:jc w:val="left"/>
              <w:rPr>
                <w:rFonts w:ascii="仿宋" w:hAnsi="仿宋" w:cs="仿宋"/>
                <w:szCs w:val="21"/>
              </w:rPr>
            </w:pPr>
            <w:r>
              <w:rPr>
                <w:rFonts w:hint="eastAsia" w:ascii="仿宋" w:hAnsi="仿宋" w:cs="仿宋"/>
                <w:szCs w:val="21"/>
              </w:rPr>
              <w:t>（3）售后服务方案不完整，基本响应项目实际需求；相关方案内容缺乏合理性，服务人员配备不齐全，产品技术培训实际操作存在一定难度得1分。</w:t>
            </w:r>
          </w:p>
          <w:p>
            <w:pPr>
              <w:jc w:val="left"/>
              <w:rPr>
                <w:rFonts w:ascii="仿宋" w:hAnsi="仿宋" w:cs="仿宋"/>
                <w:szCs w:val="21"/>
              </w:rPr>
            </w:pPr>
            <w:r>
              <w:rPr>
                <w:rFonts w:hint="eastAsia" w:ascii="仿宋" w:hAnsi="仿宋" w:cs="仿宋"/>
                <w:szCs w:val="21"/>
              </w:rPr>
              <w:t>（4）未提供售后服务方案或提供方案相关内容不实的、与实际情况不符、或未能满足项目实际需求的0分。</w:t>
            </w:r>
          </w:p>
          <w:p>
            <w:pPr>
              <w:jc w:val="left"/>
              <w:rPr>
                <w:rFonts w:ascii="仿宋" w:hAnsi="仿宋" w:cs="仿宋"/>
                <w:szCs w:val="21"/>
              </w:rPr>
            </w:pPr>
            <w:r>
              <w:rPr>
                <w:rFonts w:hint="eastAsia" w:ascii="仿宋" w:hAnsi="仿宋" w:cs="仿宋"/>
                <w:szCs w:val="21"/>
              </w:rPr>
              <w:t>二、供应商在质量保证期3年的基础上，每增加1年质量保证期得0.5分，最高得2分，提供承诺函并加盖供应商公章，未提供不得分。</w:t>
            </w:r>
          </w:p>
          <w:p>
            <w:pPr>
              <w:pStyle w:val="22"/>
              <w:spacing w:line="240" w:lineRule="auto"/>
              <w:ind w:firstLine="0" w:firstLineChars="0"/>
              <w:rPr>
                <w:rFonts w:ascii="仿宋" w:hAnsi="仿宋" w:eastAsia="仿宋" w:cs="仿宋"/>
                <w:sz w:val="21"/>
                <w:szCs w:val="21"/>
              </w:rPr>
            </w:pPr>
            <w:r>
              <w:rPr>
                <w:rFonts w:hint="eastAsia" w:ascii="仿宋" w:hAnsi="仿宋" w:eastAsia="仿宋" w:cs="仿宋"/>
                <w:sz w:val="21"/>
                <w:szCs w:val="21"/>
              </w:rPr>
              <w:t>三、质保期外，如设备损坏需要更换配件，只收取配件成本费用的或所有费用均免费的，得1分；只收取配件成本费用和工程师维修费的得0.5分。需提供承诺函并加盖供应商公章。本项满分得1分。未提供不得分。</w:t>
            </w: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8" w:type="pct"/>
            <w:tcBorders>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合  计</w:t>
            </w:r>
          </w:p>
        </w:tc>
        <w:tc>
          <w:tcPr>
            <w:tcW w:w="616" w:type="pct"/>
            <w:tcBorders>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w:t>
            </w:r>
          </w:p>
        </w:tc>
        <w:tc>
          <w:tcPr>
            <w:tcW w:w="3277" w:type="pct"/>
            <w:tcBorders>
              <w:left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p>
        </w:tc>
        <w:tc>
          <w:tcPr>
            <w:tcW w:w="406" w:type="pct"/>
            <w:tcBorders>
              <w:top w:val="single" w:color="auto" w:sz="4" w:space="0"/>
              <w:left w:val="single" w:color="auto" w:sz="4" w:space="0"/>
              <w:bottom w:val="single" w:color="auto" w:sz="4" w:space="0"/>
              <w:right w:val="single" w:color="auto" w:sz="4" w:space="0"/>
            </w:tcBorders>
            <w:vAlign w:val="center"/>
          </w:tcPr>
          <w:p>
            <w:pPr>
              <w:widowControl/>
              <w:snapToGrid w:val="0"/>
              <w:spacing w:before="100" w:beforeAutospacing="1" w:after="100" w:afterAutospacing="1"/>
              <w:jc w:val="center"/>
              <w:rPr>
                <w:rFonts w:ascii="仿宋" w:hAnsi="仿宋" w:cs="仿宋"/>
                <w:szCs w:val="21"/>
              </w:rPr>
            </w:pPr>
            <w:r>
              <w:rPr>
                <w:rFonts w:hint="eastAsia" w:ascii="仿宋" w:hAnsi="仿宋" w:cs="仿宋"/>
                <w:szCs w:val="21"/>
              </w:rPr>
              <w:t>100</w:t>
            </w:r>
          </w:p>
        </w:tc>
      </w:tr>
    </w:tbl>
    <w:p>
      <w:pPr>
        <w:rPr>
          <w:rFonts w:ascii="仿宋" w:hAnsi="仿宋" w:cs="仿宋"/>
          <w:b/>
          <w:sz w:val="28"/>
          <w:szCs w:val="28"/>
        </w:rPr>
      </w:pPr>
      <w:r>
        <w:rPr>
          <w:rFonts w:hint="eastAsia" w:ascii="仿宋" w:hAnsi="仿宋" w:cs="仿宋"/>
          <w:b/>
          <w:bCs/>
        </w:rPr>
        <w:t>注：证明材料需根据评标办法要求提供，如发现不一致的地方以评标办法为准。</w:t>
      </w:r>
    </w:p>
    <w:p>
      <w:pPr>
        <w:rPr>
          <w:rFonts w:ascii="仿宋" w:hAnsi="仿宋" w:cs="仿宋"/>
          <w:b/>
          <w:szCs w:val="21"/>
        </w:rPr>
      </w:pPr>
    </w:p>
    <w:p>
      <w:pPr>
        <w:rPr>
          <w:rFonts w:ascii="仿宋" w:hAnsi="仿宋" w:cs="仿宋"/>
          <w:b/>
          <w:szCs w:val="21"/>
        </w:rPr>
      </w:pPr>
      <w:r>
        <w:rPr>
          <w:rFonts w:hint="eastAsia" w:ascii="仿宋" w:hAnsi="仿宋" w:cs="仿宋"/>
          <w:b/>
          <w:szCs w:val="21"/>
        </w:rPr>
        <w:t>（二）加分项评分标准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1"/>
        <w:gridCol w:w="6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加分</w:t>
            </w:r>
          </w:p>
          <w:p>
            <w:pPr>
              <w:jc w:val="center"/>
              <w:rPr>
                <w:rFonts w:ascii="仿宋" w:hAnsi="仿宋" w:cs="仿宋"/>
                <w:szCs w:val="21"/>
              </w:rPr>
            </w:pPr>
            <w:r>
              <w:rPr>
                <w:rFonts w:hint="eastAsia" w:ascii="仿宋" w:hAnsi="仿宋" w:cs="仿宋"/>
                <w:szCs w:val="21"/>
              </w:rPr>
              <w:t>因素</w:t>
            </w:r>
          </w:p>
        </w:tc>
        <w:tc>
          <w:tcPr>
            <w:tcW w:w="6513"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节能</w:t>
            </w:r>
          </w:p>
          <w:p>
            <w:pPr>
              <w:jc w:val="center"/>
              <w:rPr>
                <w:rFonts w:ascii="仿宋" w:hAnsi="仿宋" w:cs="仿宋"/>
                <w:szCs w:val="21"/>
              </w:rPr>
            </w:pPr>
            <w:r>
              <w:rPr>
                <w:rFonts w:hint="eastAsia" w:ascii="仿宋" w:hAnsi="仿宋" w:cs="仿宋"/>
                <w:szCs w:val="21"/>
              </w:rPr>
              <w:t>产品</w:t>
            </w:r>
          </w:p>
        </w:tc>
        <w:tc>
          <w:tcPr>
            <w:tcW w:w="6513"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szCs w:val="21"/>
              </w:rPr>
            </w:pPr>
            <w:r>
              <w:rPr>
                <w:rFonts w:hint="eastAsia" w:ascii="仿宋" w:hAnsi="仿宋" w:cs="仿宋"/>
                <w:szCs w:val="21"/>
              </w:rPr>
              <w:t>对于清单中的投标产品价格给予价格部分总分值</w:t>
            </w:r>
            <w:r>
              <w:rPr>
                <w:rFonts w:hint="eastAsia" w:ascii="仿宋" w:hAnsi="仿宋" w:cs="仿宋"/>
                <w:kern w:val="0"/>
                <w:szCs w:val="21"/>
                <w:u w:val="single"/>
              </w:rPr>
              <w:t>3</w:t>
            </w:r>
            <w:r>
              <w:rPr>
                <w:rFonts w:hint="eastAsia" w:ascii="仿宋" w:hAnsi="仿宋" w:cs="仿宋"/>
                <w:kern w:val="0"/>
                <w:szCs w:val="21"/>
              </w:rPr>
              <w:t>%</w:t>
            </w:r>
            <w:r>
              <w:rPr>
                <w:rFonts w:hint="eastAsia" w:ascii="仿宋" w:hAnsi="仿宋" w:cs="仿宋"/>
                <w:szCs w:val="21"/>
              </w:rPr>
              <w:t>的加分，计算公式如下：</w:t>
            </w:r>
          </w:p>
          <w:p>
            <w:pPr>
              <w:rPr>
                <w:rFonts w:ascii="仿宋" w:hAnsi="仿宋" w:cs="仿宋"/>
                <w:szCs w:val="21"/>
              </w:rPr>
            </w:pPr>
            <w:r>
              <w:rPr>
                <w:rFonts w:hint="eastAsia" w:ascii="仿宋" w:hAnsi="仿宋" w:cs="仿宋"/>
                <w:szCs w:val="21"/>
              </w:rPr>
              <w:t>节能产品加分＝（节能产品投标报价之和/投标总价）×价格部分总分值</w:t>
            </w:r>
            <w:r>
              <w:rPr>
                <w:rFonts w:hint="eastAsia" w:ascii="仿宋" w:hAnsi="仿宋" w:cs="仿宋"/>
                <w:szCs w:val="21"/>
                <w:u w:val="single"/>
              </w:rPr>
              <w:t>30</w:t>
            </w:r>
            <w:r>
              <w:rPr>
                <w:rFonts w:hint="eastAsia" w:ascii="仿宋" w:hAnsi="仿宋" w:cs="仿宋"/>
                <w:szCs w:val="21"/>
              </w:rPr>
              <w:t>×</w:t>
            </w:r>
            <w:r>
              <w:rPr>
                <w:rFonts w:hint="eastAsia" w:ascii="仿宋" w:hAnsi="仿宋" w:cs="仿宋"/>
                <w:szCs w:val="21"/>
                <w:u w:val="single"/>
              </w:rPr>
              <w:t>3</w:t>
            </w:r>
            <w:r>
              <w:rPr>
                <w:rFonts w:hint="eastAsia" w:ascii="仿宋" w:hAnsi="仿宋" w:cs="仿宋"/>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225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cs="仿宋"/>
                <w:szCs w:val="21"/>
              </w:rPr>
            </w:pPr>
            <w:r>
              <w:rPr>
                <w:rFonts w:hint="eastAsia" w:ascii="仿宋" w:hAnsi="仿宋" w:cs="仿宋"/>
                <w:szCs w:val="21"/>
              </w:rPr>
              <w:t>环保</w:t>
            </w:r>
          </w:p>
          <w:p>
            <w:pPr>
              <w:jc w:val="center"/>
              <w:rPr>
                <w:rFonts w:ascii="仿宋" w:hAnsi="仿宋" w:cs="仿宋"/>
                <w:szCs w:val="21"/>
              </w:rPr>
            </w:pPr>
            <w:r>
              <w:rPr>
                <w:rFonts w:hint="eastAsia" w:ascii="仿宋" w:hAnsi="仿宋" w:cs="仿宋"/>
                <w:szCs w:val="21"/>
              </w:rPr>
              <w:t>产品</w:t>
            </w:r>
          </w:p>
        </w:tc>
        <w:tc>
          <w:tcPr>
            <w:tcW w:w="6513" w:type="dxa"/>
            <w:tcBorders>
              <w:top w:val="single" w:color="auto" w:sz="4" w:space="0"/>
              <w:left w:val="single" w:color="auto" w:sz="4" w:space="0"/>
              <w:bottom w:val="single" w:color="auto" w:sz="4" w:space="0"/>
              <w:right w:val="single" w:color="auto" w:sz="4" w:space="0"/>
            </w:tcBorders>
            <w:vAlign w:val="center"/>
          </w:tcPr>
          <w:p>
            <w:pPr>
              <w:rPr>
                <w:rFonts w:ascii="仿宋" w:hAnsi="仿宋" w:cs="仿宋"/>
                <w:szCs w:val="21"/>
              </w:rPr>
            </w:pPr>
            <w:r>
              <w:rPr>
                <w:rFonts w:hint="eastAsia" w:ascii="仿宋" w:hAnsi="仿宋" w:cs="仿宋"/>
                <w:szCs w:val="21"/>
              </w:rPr>
              <w:t>对于清单中的投标产品价格给予价格部分总分值</w:t>
            </w:r>
            <w:r>
              <w:rPr>
                <w:rFonts w:hint="eastAsia" w:ascii="仿宋" w:hAnsi="仿宋" w:cs="仿宋"/>
                <w:szCs w:val="21"/>
                <w:u w:val="single"/>
              </w:rPr>
              <w:t>3</w:t>
            </w:r>
            <w:r>
              <w:rPr>
                <w:rFonts w:hint="eastAsia" w:ascii="仿宋" w:hAnsi="仿宋" w:cs="仿宋"/>
                <w:szCs w:val="21"/>
              </w:rPr>
              <w:t>%的加分，计算公式如下：</w:t>
            </w:r>
          </w:p>
          <w:p>
            <w:pPr>
              <w:rPr>
                <w:rFonts w:ascii="仿宋" w:hAnsi="仿宋" w:cs="仿宋"/>
                <w:szCs w:val="21"/>
              </w:rPr>
            </w:pPr>
            <w:r>
              <w:rPr>
                <w:rFonts w:hint="eastAsia" w:ascii="仿宋" w:hAnsi="仿宋" w:cs="仿宋"/>
                <w:szCs w:val="21"/>
              </w:rPr>
              <w:t>环保产品加分＝（环保产品投标报价之和/投标总价）×价格部分总分值</w:t>
            </w:r>
            <w:r>
              <w:rPr>
                <w:rFonts w:hint="eastAsia" w:ascii="仿宋" w:hAnsi="仿宋" w:cs="仿宋"/>
                <w:szCs w:val="21"/>
                <w:u w:val="single"/>
              </w:rPr>
              <w:t>30</w:t>
            </w:r>
            <w:r>
              <w:rPr>
                <w:rFonts w:hint="eastAsia" w:ascii="仿宋" w:hAnsi="仿宋" w:cs="仿宋"/>
                <w:szCs w:val="21"/>
              </w:rPr>
              <w:t>×</w:t>
            </w:r>
            <w:r>
              <w:rPr>
                <w:rFonts w:hint="eastAsia" w:ascii="仿宋" w:hAnsi="仿宋" w:cs="仿宋"/>
                <w:szCs w:val="21"/>
                <w:u w:val="single"/>
              </w:rPr>
              <w:t>3</w:t>
            </w:r>
            <w:r>
              <w:rPr>
                <w:rFonts w:hint="eastAsia" w:ascii="仿宋" w:hAnsi="仿宋" w:cs="仿宋"/>
                <w:szCs w:val="21"/>
              </w:rPr>
              <w:t>%。</w:t>
            </w:r>
          </w:p>
        </w:tc>
      </w:tr>
    </w:tbl>
    <w:p>
      <w:pPr>
        <w:wordWrap w:val="0"/>
        <w:adjustRightInd w:val="0"/>
        <w:snapToGrid w:val="0"/>
        <w:spacing w:line="360" w:lineRule="auto"/>
        <w:jc w:val="right"/>
        <w:rPr>
          <w:rFonts w:ascii="仿宋" w:hAnsi="仿宋" w:cs="仿宋"/>
          <w:szCs w:val="21"/>
        </w:rPr>
      </w:pPr>
    </w:p>
    <w:p>
      <w:pPr>
        <w:wordWrap w:val="0"/>
        <w:adjustRightInd w:val="0"/>
        <w:snapToGrid w:val="0"/>
        <w:spacing w:line="360" w:lineRule="auto"/>
        <w:jc w:val="right"/>
        <w:rPr>
          <w:rFonts w:ascii="仿宋" w:hAnsi="仿宋" w:cs="仿宋"/>
          <w:szCs w:val="21"/>
        </w:rPr>
      </w:pPr>
    </w:p>
    <w:p>
      <w:pPr>
        <w:rPr>
          <w:rFonts w:ascii="仿宋" w:hAnsi="仿宋" w:cs="仿宋"/>
        </w:rPr>
      </w:pPr>
      <w:bookmarkStart w:id="130" w:name="_Toc25922_WPSOffice_Level1"/>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rPr>
          <w:rFonts w:ascii="仿宋" w:hAnsi="仿宋" w:cs="仿宋"/>
        </w:rPr>
      </w:pPr>
    </w:p>
    <w:p>
      <w:pPr>
        <w:pStyle w:val="2"/>
        <w:numPr>
          <w:ilvl w:val="0"/>
          <w:numId w:val="8"/>
        </w:numPr>
        <w:adjustRightInd w:val="0"/>
        <w:snapToGrid w:val="0"/>
        <w:spacing w:before="312" w:beforeLines="100" w:after="312" w:afterLines="100"/>
        <w:rPr>
          <w:rFonts w:ascii="仿宋" w:hAnsi="仿宋" w:cs="仿宋"/>
        </w:rPr>
      </w:pPr>
      <w:bookmarkStart w:id="131" w:name="_Toc19588"/>
      <w:r>
        <w:rPr>
          <w:rFonts w:hint="eastAsia" w:ascii="仿宋" w:hAnsi="仿宋" w:cs="仿宋"/>
        </w:rPr>
        <w:t>政府采购合同条款</w:t>
      </w:r>
      <w:bookmarkEnd w:id="130"/>
      <w:r>
        <w:rPr>
          <w:rFonts w:hint="eastAsia" w:ascii="仿宋" w:hAnsi="仿宋" w:cs="仿宋"/>
        </w:rPr>
        <w:t>及格式</w:t>
      </w:r>
      <w:bookmarkEnd w:id="131"/>
    </w:p>
    <w:p>
      <w:pPr>
        <w:rPr>
          <w:rFonts w:ascii="仿宋" w:hAnsi="仿宋" w:cs="仿宋"/>
        </w:rPr>
      </w:pPr>
    </w:p>
    <w:p>
      <w:pPr>
        <w:pStyle w:val="29"/>
        <w:spacing w:line="360" w:lineRule="auto"/>
        <w:ind w:right="-1"/>
        <w:jc w:val="right"/>
        <w:outlineLvl w:val="0"/>
        <w:rPr>
          <w:rFonts w:ascii="仿宋" w:hAnsi="仿宋" w:eastAsia="仿宋" w:cs="仿宋"/>
          <w:color w:val="auto"/>
          <w:sz w:val="36"/>
          <w:szCs w:val="36"/>
        </w:rPr>
      </w:pPr>
      <w:bookmarkStart w:id="132" w:name="_Toc23704_WPSOffice_Level1"/>
      <w:r>
        <w:rPr>
          <w:rFonts w:hint="eastAsia" w:ascii="仿宋" w:hAnsi="仿宋" w:eastAsia="仿宋" w:cs="仿宋"/>
          <w:color w:val="auto"/>
          <w:szCs w:val="28"/>
        </w:rPr>
        <w:br w:type="page"/>
      </w:r>
      <w:bookmarkEnd w:id="132"/>
      <w:r>
        <w:rPr>
          <w:rFonts w:hint="eastAsia" w:ascii="仿宋" w:hAnsi="仿宋" w:eastAsia="仿宋" w:cs="仿宋"/>
          <w:color w:val="auto"/>
          <w:sz w:val="28"/>
          <w:szCs w:val="28"/>
        </w:rPr>
        <w:t>合同编号：xxx</w:t>
      </w:r>
    </w:p>
    <w:p>
      <w:pPr>
        <w:pStyle w:val="29"/>
        <w:spacing w:line="600" w:lineRule="auto"/>
        <w:ind w:right="-1"/>
        <w:jc w:val="center"/>
        <w:rPr>
          <w:rFonts w:ascii="仿宋" w:hAnsi="仿宋" w:eastAsia="仿宋" w:cs="仿宋"/>
          <w:b/>
          <w:bCs/>
          <w:color w:val="auto"/>
          <w:sz w:val="40"/>
          <w:szCs w:val="40"/>
        </w:rPr>
      </w:pPr>
    </w:p>
    <w:p>
      <w:pPr>
        <w:pStyle w:val="29"/>
        <w:spacing w:line="600" w:lineRule="auto"/>
        <w:ind w:right="-1"/>
        <w:jc w:val="center"/>
        <w:outlineLvl w:val="0"/>
        <w:rPr>
          <w:rFonts w:ascii="仿宋" w:hAnsi="仿宋" w:eastAsia="仿宋" w:cs="仿宋"/>
          <w:b/>
          <w:bCs/>
          <w:color w:val="auto"/>
          <w:sz w:val="36"/>
          <w:szCs w:val="36"/>
        </w:rPr>
      </w:pPr>
      <w:r>
        <w:rPr>
          <w:rFonts w:hint="eastAsia" w:ascii="仿宋" w:hAnsi="仿宋" w:eastAsia="仿宋" w:cs="仿宋"/>
          <w:b/>
          <w:bCs/>
          <w:color w:val="auto"/>
          <w:sz w:val="36"/>
          <w:szCs w:val="36"/>
        </w:rPr>
        <w:t>沈阳市消防救援支队自然灾害应急能力提升工程</w:t>
      </w:r>
    </w:p>
    <w:p>
      <w:pPr>
        <w:pStyle w:val="29"/>
        <w:spacing w:line="600" w:lineRule="auto"/>
        <w:ind w:right="-1"/>
        <w:jc w:val="center"/>
        <w:outlineLvl w:val="0"/>
        <w:rPr>
          <w:rFonts w:ascii="仿宋" w:hAnsi="仿宋" w:eastAsia="仿宋" w:cs="仿宋"/>
          <w:b/>
          <w:bCs/>
          <w:color w:val="auto"/>
          <w:sz w:val="36"/>
          <w:szCs w:val="36"/>
        </w:rPr>
      </w:pPr>
      <w:r>
        <w:rPr>
          <w:rFonts w:hint="eastAsia" w:ascii="仿宋" w:hAnsi="仿宋" w:eastAsia="仿宋" w:cs="仿宋"/>
          <w:b/>
          <w:bCs/>
          <w:color w:val="auto"/>
          <w:sz w:val="36"/>
          <w:szCs w:val="36"/>
        </w:rPr>
        <w:t>沈阳支队装备建设项目（xxx）</w:t>
      </w:r>
    </w:p>
    <w:p>
      <w:pPr>
        <w:pStyle w:val="29"/>
        <w:spacing w:line="600" w:lineRule="auto"/>
        <w:ind w:right="-1"/>
        <w:jc w:val="center"/>
        <w:outlineLvl w:val="0"/>
        <w:rPr>
          <w:rFonts w:ascii="仿宋" w:hAnsi="仿宋" w:eastAsia="仿宋" w:cs="仿宋"/>
          <w:b/>
          <w:bCs/>
          <w:color w:val="auto"/>
          <w:sz w:val="36"/>
          <w:szCs w:val="36"/>
        </w:rPr>
      </w:pPr>
      <w:r>
        <w:rPr>
          <w:rFonts w:hint="eastAsia" w:ascii="仿宋" w:hAnsi="仿宋" w:eastAsia="仿宋" w:cs="仿宋"/>
          <w:b/>
          <w:bCs/>
          <w:color w:val="auto"/>
          <w:sz w:val="36"/>
          <w:szCs w:val="36"/>
        </w:rPr>
        <w:t>第</w:t>
      </w:r>
      <w:r>
        <w:rPr>
          <w:rFonts w:hint="eastAsia" w:ascii="仿宋" w:hAnsi="仿宋" w:eastAsia="仿宋" w:cs="仿宋"/>
          <w:b/>
          <w:bCs/>
          <w:color w:val="auto"/>
          <w:sz w:val="36"/>
          <w:szCs w:val="36"/>
          <w:u w:val="single"/>
        </w:rPr>
        <w:t>xxx</w:t>
      </w:r>
      <w:r>
        <w:rPr>
          <w:rFonts w:hint="eastAsia" w:ascii="仿宋" w:hAnsi="仿宋" w:eastAsia="仿宋" w:cs="仿宋"/>
          <w:b/>
          <w:bCs/>
          <w:color w:val="auto"/>
          <w:sz w:val="36"/>
          <w:szCs w:val="36"/>
        </w:rPr>
        <w:t>包</w:t>
      </w:r>
    </w:p>
    <w:p>
      <w:pPr>
        <w:widowControl/>
        <w:spacing w:line="360" w:lineRule="auto"/>
        <w:jc w:val="center"/>
        <w:rPr>
          <w:rFonts w:ascii="仿宋" w:hAnsi="仿宋" w:cs="仿宋"/>
          <w:b/>
          <w:kern w:val="0"/>
          <w:sz w:val="24"/>
        </w:rPr>
      </w:pPr>
    </w:p>
    <w:p>
      <w:pPr>
        <w:pStyle w:val="6"/>
        <w:ind w:firstLine="560"/>
        <w:rPr>
          <w:rFonts w:ascii="仿宋" w:hAnsi="仿宋" w:cs="仿宋"/>
        </w:rPr>
      </w:pPr>
    </w:p>
    <w:p>
      <w:pPr>
        <w:pStyle w:val="6"/>
        <w:tabs>
          <w:tab w:val="left" w:pos="7341"/>
        </w:tabs>
        <w:ind w:firstLine="560"/>
        <w:rPr>
          <w:rFonts w:ascii="仿宋" w:hAnsi="仿宋" w:cs="仿宋"/>
        </w:rPr>
      </w:pPr>
      <w:r>
        <w:rPr>
          <w:rFonts w:hint="eastAsia" w:ascii="仿宋" w:hAnsi="仿宋" w:cs="仿宋"/>
        </w:rPr>
        <w:tab/>
      </w:r>
    </w:p>
    <w:p>
      <w:pPr>
        <w:pStyle w:val="6"/>
        <w:ind w:firstLine="560"/>
        <w:rPr>
          <w:rFonts w:ascii="仿宋" w:hAnsi="仿宋" w:cs="仿宋"/>
        </w:rPr>
      </w:pPr>
    </w:p>
    <w:p>
      <w:pPr>
        <w:widowControl/>
        <w:spacing w:line="360" w:lineRule="auto"/>
        <w:jc w:val="center"/>
        <w:rPr>
          <w:rFonts w:ascii="仿宋" w:hAnsi="仿宋" w:cs="仿宋"/>
          <w:b/>
          <w:kern w:val="0"/>
          <w:sz w:val="72"/>
          <w:szCs w:val="72"/>
        </w:rPr>
      </w:pPr>
      <w:r>
        <w:rPr>
          <w:rFonts w:hint="eastAsia" w:ascii="仿宋" w:hAnsi="仿宋" w:cs="仿宋"/>
          <w:b/>
          <w:kern w:val="0"/>
          <w:sz w:val="72"/>
          <w:szCs w:val="72"/>
        </w:rPr>
        <w:t>采购合同</w:t>
      </w:r>
    </w:p>
    <w:p>
      <w:pPr>
        <w:pStyle w:val="29"/>
        <w:spacing w:line="360" w:lineRule="auto"/>
        <w:ind w:right="958"/>
        <w:jc w:val="center"/>
        <w:rPr>
          <w:rFonts w:ascii="仿宋" w:hAnsi="仿宋" w:eastAsia="仿宋" w:cs="仿宋"/>
          <w:b/>
          <w:bCs/>
          <w:color w:val="auto"/>
          <w:sz w:val="52"/>
          <w:szCs w:val="52"/>
        </w:rPr>
      </w:pPr>
    </w:p>
    <w:p>
      <w:pPr>
        <w:pStyle w:val="29"/>
        <w:spacing w:line="360" w:lineRule="auto"/>
        <w:ind w:right="958"/>
        <w:rPr>
          <w:rFonts w:ascii="仿宋" w:hAnsi="仿宋" w:eastAsia="仿宋" w:cs="仿宋"/>
          <w:b/>
          <w:bCs/>
          <w:color w:val="auto"/>
          <w:sz w:val="52"/>
          <w:szCs w:val="52"/>
        </w:rPr>
      </w:pPr>
    </w:p>
    <w:p>
      <w:pPr>
        <w:pStyle w:val="29"/>
        <w:spacing w:line="360" w:lineRule="auto"/>
        <w:ind w:right="958"/>
        <w:rPr>
          <w:rFonts w:ascii="仿宋" w:hAnsi="仿宋" w:eastAsia="仿宋" w:cs="仿宋"/>
          <w:b/>
          <w:bCs/>
          <w:color w:val="auto"/>
          <w:sz w:val="52"/>
          <w:szCs w:val="52"/>
        </w:rPr>
      </w:pPr>
    </w:p>
    <w:p>
      <w:pPr>
        <w:pStyle w:val="29"/>
        <w:spacing w:line="360" w:lineRule="auto"/>
        <w:ind w:right="958"/>
        <w:rPr>
          <w:rFonts w:ascii="仿宋" w:hAnsi="仿宋" w:eastAsia="仿宋" w:cs="仿宋"/>
          <w:b/>
          <w:bCs/>
          <w:color w:val="auto"/>
          <w:sz w:val="30"/>
          <w:szCs w:val="30"/>
        </w:rPr>
      </w:pPr>
    </w:p>
    <w:p>
      <w:pPr>
        <w:pStyle w:val="29"/>
        <w:spacing w:line="360" w:lineRule="auto"/>
        <w:ind w:right="958" w:firstLine="301" w:firstLineChars="100"/>
        <w:rPr>
          <w:rFonts w:ascii="仿宋" w:hAnsi="仿宋" w:eastAsia="仿宋" w:cs="仿宋"/>
          <w:b/>
          <w:color w:val="auto"/>
          <w:sz w:val="30"/>
          <w:szCs w:val="30"/>
          <w:u w:val="single"/>
        </w:rPr>
      </w:pPr>
      <w:r>
        <w:rPr>
          <w:rFonts w:hint="eastAsia" w:ascii="仿宋" w:hAnsi="仿宋" w:eastAsia="仿宋" w:cs="仿宋"/>
          <w:b/>
          <w:color w:val="auto"/>
          <w:sz w:val="30"/>
          <w:szCs w:val="30"/>
        </w:rPr>
        <w:t>甲方（采购人）：沈阳市消防救援支队</w:t>
      </w:r>
    </w:p>
    <w:p>
      <w:pPr>
        <w:pStyle w:val="29"/>
        <w:spacing w:line="360" w:lineRule="auto"/>
        <w:ind w:right="958" w:firstLine="301" w:firstLineChars="100"/>
        <w:rPr>
          <w:rFonts w:ascii="仿宋" w:hAnsi="仿宋" w:eastAsia="仿宋" w:cs="仿宋"/>
          <w:b/>
          <w:color w:val="auto"/>
          <w:sz w:val="30"/>
          <w:szCs w:val="30"/>
        </w:rPr>
      </w:pPr>
      <w:r>
        <w:rPr>
          <w:rFonts w:hint="eastAsia" w:ascii="仿宋" w:hAnsi="仿宋" w:eastAsia="仿宋" w:cs="仿宋"/>
          <w:b/>
          <w:color w:val="auto"/>
          <w:sz w:val="30"/>
          <w:szCs w:val="30"/>
        </w:rPr>
        <w:t>乙方（中标人）：xxx</w:t>
      </w:r>
    </w:p>
    <w:p>
      <w:pPr>
        <w:pStyle w:val="29"/>
        <w:spacing w:line="360" w:lineRule="auto"/>
        <w:ind w:right="958" w:firstLine="300" w:firstLineChars="100"/>
        <w:rPr>
          <w:rFonts w:ascii="仿宋" w:hAnsi="仿宋" w:eastAsia="仿宋" w:cs="仿宋"/>
          <w:bCs/>
          <w:color w:val="auto"/>
          <w:sz w:val="30"/>
          <w:szCs w:val="30"/>
          <w:u w:val="single"/>
        </w:rPr>
      </w:pPr>
    </w:p>
    <w:p>
      <w:pPr>
        <w:pStyle w:val="29"/>
        <w:spacing w:line="360" w:lineRule="auto"/>
        <w:ind w:right="958"/>
        <w:jc w:val="center"/>
        <w:rPr>
          <w:rFonts w:ascii="仿宋" w:hAnsi="仿宋" w:eastAsia="仿宋" w:cs="仿宋"/>
          <w:b/>
          <w:color w:val="auto"/>
          <w:sz w:val="30"/>
          <w:szCs w:val="30"/>
        </w:rPr>
      </w:pPr>
      <w:r>
        <w:rPr>
          <w:rFonts w:hint="eastAsia" w:ascii="仿宋" w:hAnsi="仿宋" w:eastAsia="仿宋" w:cs="仿宋"/>
          <w:b/>
          <w:color w:val="auto"/>
          <w:sz w:val="30"/>
          <w:szCs w:val="30"/>
        </w:rPr>
        <w:t>二〇二四年</w:t>
      </w:r>
    </w:p>
    <w:p>
      <w:pPr>
        <w:tabs>
          <w:tab w:val="left" w:pos="3600"/>
          <w:tab w:val="left" w:pos="3780"/>
          <w:tab w:val="left" w:pos="5220"/>
        </w:tabs>
        <w:spacing w:line="360" w:lineRule="auto"/>
        <w:jc w:val="left"/>
        <w:rPr>
          <w:rFonts w:ascii="仿宋" w:hAnsi="仿宋" w:cs="仿宋"/>
          <w:bCs/>
          <w:kern w:val="0"/>
          <w:sz w:val="30"/>
          <w:szCs w:val="30"/>
        </w:rPr>
      </w:pPr>
      <w:r>
        <w:rPr>
          <w:rFonts w:hint="eastAsia" w:ascii="仿宋" w:hAnsi="仿宋" w:cs="仿宋"/>
          <w:bCs/>
          <w:kern w:val="0"/>
          <w:sz w:val="30"/>
          <w:szCs w:val="30"/>
        </w:rPr>
        <w:tab/>
      </w:r>
      <w:r>
        <w:rPr>
          <w:rFonts w:hint="eastAsia" w:ascii="仿宋" w:hAnsi="仿宋" w:cs="仿宋"/>
          <w:bCs/>
          <w:kern w:val="0"/>
          <w:sz w:val="30"/>
          <w:szCs w:val="30"/>
        </w:rPr>
        <w:tab/>
      </w:r>
      <w:r>
        <w:rPr>
          <w:rFonts w:hint="eastAsia" w:ascii="仿宋" w:hAnsi="仿宋" w:cs="仿宋"/>
          <w:bCs/>
          <w:kern w:val="0"/>
          <w:sz w:val="30"/>
          <w:szCs w:val="30"/>
        </w:rPr>
        <w:tab/>
      </w:r>
    </w:p>
    <w:p>
      <w:pPr>
        <w:rPr>
          <w:rFonts w:ascii="仿宋" w:hAnsi="仿宋" w:cs="仿宋"/>
          <w:sz w:val="36"/>
          <w:szCs w:val="36"/>
        </w:rPr>
        <w:sectPr>
          <w:footerReference r:id="rId6" w:type="first"/>
          <w:footerReference r:id="rId5" w:type="default"/>
          <w:pgSz w:w="11906" w:h="16838"/>
          <w:pgMar w:top="1440" w:right="1797" w:bottom="1440" w:left="1797" w:header="851" w:footer="992" w:gutter="0"/>
          <w:cols w:space="720" w:num="1"/>
          <w:docGrid w:type="lines" w:linePitch="312" w:charSpace="0"/>
        </w:sectPr>
      </w:pP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沈阳市消防救援支队自然灾害应急能力提升工程</w:t>
      </w: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沈阳支队装备建设项目（xxx）</w:t>
      </w:r>
    </w:p>
    <w:p>
      <w:pPr>
        <w:tabs>
          <w:tab w:val="left" w:pos="3600"/>
          <w:tab w:val="left" w:pos="3780"/>
          <w:tab w:val="left" w:pos="3960"/>
        </w:tabs>
        <w:spacing w:line="360" w:lineRule="auto"/>
        <w:jc w:val="center"/>
        <w:rPr>
          <w:rFonts w:ascii="仿宋" w:hAnsi="仿宋" w:cs="仿宋"/>
          <w:b/>
          <w:bCs/>
          <w:spacing w:val="-4"/>
          <w:sz w:val="36"/>
          <w:szCs w:val="36"/>
        </w:rPr>
      </w:pPr>
      <w:r>
        <w:rPr>
          <w:rFonts w:hint="eastAsia" w:ascii="仿宋" w:hAnsi="仿宋" w:cs="仿宋"/>
          <w:b/>
          <w:bCs/>
          <w:spacing w:val="-4"/>
          <w:sz w:val="36"/>
          <w:szCs w:val="36"/>
        </w:rPr>
        <w:t>第</w:t>
      </w:r>
      <w:r>
        <w:rPr>
          <w:rFonts w:hint="eastAsia" w:ascii="仿宋" w:hAnsi="仿宋" w:cs="仿宋"/>
          <w:b/>
          <w:bCs/>
          <w:sz w:val="40"/>
          <w:szCs w:val="40"/>
          <w:u w:val="single"/>
        </w:rPr>
        <w:t>xxx</w:t>
      </w:r>
      <w:r>
        <w:rPr>
          <w:rFonts w:hint="eastAsia" w:ascii="仿宋" w:hAnsi="仿宋" w:cs="仿宋"/>
          <w:b/>
          <w:bCs/>
          <w:spacing w:val="-4"/>
          <w:sz w:val="36"/>
          <w:szCs w:val="36"/>
        </w:rPr>
        <w:t>包</w:t>
      </w:r>
    </w:p>
    <w:p>
      <w:pPr>
        <w:tabs>
          <w:tab w:val="left" w:pos="3600"/>
          <w:tab w:val="left" w:pos="3780"/>
          <w:tab w:val="left" w:pos="3960"/>
        </w:tabs>
        <w:spacing w:line="360" w:lineRule="auto"/>
        <w:jc w:val="center"/>
        <w:outlineLvl w:val="0"/>
        <w:rPr>
          <w:rFonts w:ascii="仿宋" w:hAnsi="仿宋" w:cs="仿宋"/>
          <w:bCs/>
          <w:spacing w:val="-4"/>
          <w:sz w:val="36"/>
          <w:szCs w:val="36"/>
        </w:rPr>
      </w:pPr>
      <w:r>
        <w:rPr>
          <w:rFonts w:hint="eastAsia" w:ascii="仿宋" w:hAnsi="仿宋" w:cs="仿宋"/>
          <w:b/>
          <w:bCs/>
          <w:spacing w:val="-4"/>
          <w:sz w:val="36"/>
          <w:szCs w:val="36"/>
        </w:rPr>
        <w:t>采购合同</w:t>
      </w:r>
    </w:p>
    <w:p>
      <w:pPr>
        <w:widowControl/>
        <w:adjustRightInd w:val="0"/>
        <w:spacing w:line="360" w:lineRule="auto"/>
        <w:ind w:firstLine="480" w:firstLineChars="200"/>
        <w:rPr>
          <w:rFonts w:ascii="仿宋" w:hAnsi="仿宋" w:cs="仿宋"/>
          <w:kern w:val="0"/>
          <w:sz w:val="24"/>
        </w:rPr>
      </w:pPr>
    </w:p>
    <w:p>
      <w:pPr>
        <w:spacing w:line="360" w:lineRule="auto"/>
        <w:jc w:val="left"/>
        <w:rPr>
          <w:rFonts w:ascii="仿宋" w:hAnsi="仿宋" w:cs="仿宋"/>
          <w:b/>
          <w:sz w:val="24"/>
        </w:rPr>
      </w:pPr>
      <w:r>
        <w:rPr>
          <w:rFonts w:hint="eastAsia" w:ascii="仿宋" w:hAnsi="仿宋" w:cs="仿宋"/>
          <w:b/>
          <w:sz w:val="24"/>
        </w:rPr>
        <w:t xml:space="preserve">甲方（采购人）：沈阳市消防救援支队 </w:t>
      </w:r>
    </w:p>
    <w:p>
      <w:pPr>
        <w:spacing w:after="100" w:line="360" w:lineRule="auto"/>
        <w:jc w:val="left"/>
        <w:rPr>
          <w:rFonts w:ascii="仿宋" w:hAnsi="仿宋" w:cs="仿宋"/>
          <w:kern w:val="0"/>
          <w:sz w:val="24"/>
        </w:rPr>
      </w:pPr>
      <w:r>
        <w:rPr>
          <w:rFonts w:hint="eastAsia" w:ascii="仿宋" w:hAnsi="仿宋" w:cs="仿宋"/>
          <w:b/>
          <w:sz w:val="24"/>
        </w:rPr>
        <w:t>乙方（中标人）：xxxx</w:t>
      </w:r>
    </w:p>
    <w:p>
      <w:pPr>
        <w:widowControl/>
        <w:adjustRightInd w:val="0"/>
        <w:spacing w:line="360" w:lineRule="auto"/>
        <w:ind w:firstLine="420" w:firstLineChars="200"/>
        <w:rPr>
          <w:rFonts w:ascii="仿宋" w:hAnsi="仿宋" w:cs="仿宋"/>
          <w:kern w:val="0"/>
          <w:sz w:val="24"/>
        </w:rPr>
      </w:pPr>
      <w:r>
        <w:rPr>
          <w:rFonts w:hint="eastAsia" w:ascii="仿宋" w:hAnsi="仿宋" w:cs="仿宋"/>
          <w:szCs w:val="21"/>
          <w:u w:val="single"/>
        </w:rPr>
        <w:t>沈阳市消防救援支队</w:t>
      </w:r>
      <w:r>
        <w:rPr>
          <w:rFonts w:hint="eastAsia" w:ascii="仿宋" w:hAnsi="仿宋" w:cs="仿宋"/>
          <w:szCs w:val="21"/>
        </w:rPr>
        <w:t>和</w:t>
      </w:r>
      <w:r>
        <w:rPr>
          <w:rFonts w:hint="eastAsia" w:ascii="仿宋" w:hAnsi="仿宋" w:cs="仿宋"/>
          <w:szCs w:val="21"/>
          <w:u w:val="single"/>
        </w:rPr>
        <w:t xml:space="preserve">   (乙方名称)    </w:t>
      </w:r>
      <w:r>
        <w:rPr>
          <w:rFonts w:hint="eastAsia" w:ascii="仿宋" w:hAnsi="仿宋" w:cs="仿宋"/>
          <w:szCs w:val="21"/>
        </w:rPr>
        <w:t xml:space="preserve"> </w:t>
      </w:r>
      <w:r>
        <w:rPr>
          <w:rFonts w:hint="eastAsia" w:ascii="仿宋" w:hAnsi="仿宋" w:cs="仿宋"/>
          <w:kern w:val="0"/>
          <w:sz w:val="24"/>
        </w:rPr>
        <w:t>，根据《中华人民共和国民法典》和有关法律法规，遵循平等、自愿、公平和诚实信用原则，本着质量可靠、价格合理、服务周到、交货按时的原则，就乙方向甲方生产供应货物事宜，共同签订本合同。本合同所列明的各项条款，甲乙双方应共同遵守执行。</w:t>
      </w:r>
    </w:p>
    <w:p>
      <w:pPr>
        <w:widowControl/>
        <w:adjustRightInd w:val="0"/>
        <w:spacing w:line="360" w:lineRule="auto"/>
        <w:ind w:firstLine="480" w:firstLineChars="200"/>
        <w:outlineLvl w:val="0"/>
        <w:rPr>
          <w:rFonts w:ascii="仿宋" w:hAnsi="仿宋" w:cs="仿宋"/>
          <w:b/>
          <w:kern w:val="0"/>
          <w:sz w:val="24"/>
        </w:rPr>
      </w:pPr>
      <w:bookmarkStart w:id="133" w:name="_Toc13230_WPSOffice_Level2"/>
      <w:r>
        <w:rPr>
          <w:rFonts w:hint="eastAsia" w:ascii="仿宋" w:hAnsi="仿宋" w:cs="仿宋"/>
          <w:b/>
          <w:kern w:val="0"/>
          <w:sz w:val="24"/>
        </w:rPr>
        <w:t>一、政府采购合同文件</w:t>
      </w:r>
      <w:bookmarkEnd w:id="133"/>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本政府采购合同所附下列文件是构成本政府采购合同不可分割的部分：</w:t>
      </w:r>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1.招标文件（招标文件编号）；</w:t>
      </w:r>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2.招标文件的更正公告；</w:t>
      </w:r>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3.中标人提交的投标文件；</w:t>
      </w:r>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4.中标通知书；</w:t>
      </w:r>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5.政府采购合同的其它附件。</w:t>
      </w:r>
    </w:p>
    <w:p>
      <w:pPr>
        <w:widowControl/>
        <w:adjustRightInd w:val="0"/>
        <w:spacing w:line="360" w:lineRule="auto"/>
        <w:ind w:firstLine="480" w:firstLineChars="200"/>
        <w:outlineLvl w:val="0"/>
        <w:rPr>
          <w:rFonts w:ascii="仿宋" w:hAnsi="仿宋" w:cs="仿宋"/>
          <w:b/>
          <w:kern w:val="0"/>
          <w:sz w:val="24"/>
        </w:rPr>
      </w:pPr>
      <w:bookmarkStart w:id="134" w:name="_Toc19527_WPSOffice_Level2"/>
      <w:r>
        <w:rPr>
          <w:rFonts w:hint="eastAsia" w:ascii="仿宋" w:hAnsi="仿宋" w:cs="仿宋"/>
          <w:b/>
          <w:kern w:val="0"/>
          <w:sz w:val="24"/>
        </w:rPr>
        <w:t>二、政府采购合同范围和条件</w:t>
      </w:r>
      <w:bookmarkEnd w:id="134"/>
    </w:p>
    <w:p>
      <w:pPr>
        <w:widowControl/>
        <w:adjustRightInd w:val="0"/>
        <w:spacing w:line="360" w:lineRule="auto"/>
        <w:ind w:firstLine="420" w:firstLineChars="200"/>
        <w:rPr>
          <w:rFonts w:ascii="仿宋" w:hAnsi="仿宋" w:cs="仿宋"/>
          <w:kern w:val="0"/>
          <w:sz w:val="24"/>
        </w:rPr>
      </w:pPr>
      <w:r>
        <w:rPr>
          <w:rFonts w:hint="eastAsia" w:ascii="仿宋" w:hAnsi="仿宋" w:cs="仿宋"/>
          <w:szCs w:val="21"/>
        </w:rPr>
        <w:t xml:space="preserve"> </w:t>
      </w:r>
      <w:r>
        <w:rPr>
          <w:rFonts w:hint="eastAsia" w:ascii="仿宋" w:hAnsi="仿宋" w:cs="仿宋"/>
          <w:kern w:val="0"/>
          <w:sz w:val="24"/>
        </w:rPr>
        <w:t>本政府采购合同的范围和条件与上述政府采购合同文件的规定相一致。</w:t>
      </w:r>
    </w:p>
    <w:p>
      <w:pPr>
        <w:widowControl/>
        <w:adjustRightInd w:val="0"/>
        <w:spacing w:line="360" w:lineRule="auto"/>
        <w:ind w:firstLine="480" w:firstLineChars="200"/>
        <w:outlineLvl w:val="0"/>
        <w:rPr>
          <w:rFonts w:ascii="仿宋" w:hAnsi="仿宋" w:cs="仿宋"/>
          <w:b/>
          <w:kern w:val="0"/>
          <w:sz w:val="24"/>
        </w:rPr>
      </w:pPr>
      <w:bookmarkStart w:id="135" w:name="_Toc18050_WPSOffice_Level2"/>
      <w:r>
        <w:rPr>
          <w:rFonts w:hint="eastAsia" w:ascii="仿宋" w:hAnsi="仿宋" w:cs="仿宋"/>
          <w:b/>
          <w:kern w:val="0"/>
          <w:sz w:val="24"/>
        </w:rPr>
        <w:t>三、政府采购合同标的</w:t>
      </w:r>
      <w:bookmarkEnd w:id="135"/>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 xml:space="preserve"> 本政府采购合同的标的为招标文件中所列货物及相关服务，乙方货物及相关服务应符合招标文件数量和质量要求，并符合投标文件承诺数量和质量标准。</w:t>
      </w:r>
    </w:p>
    <w:p>
      <w:pPr>
        <w:widowControl/>
        <w:adjustRightInd w:val="0"/>
        <w:spacing w:line="360" w:lineRule="auto"/>
        <w:ind w:firstLine="480" w:firstLineChars="200"/>
        <w:outlineLvl w:val="0"/>
        <w:rPr>
          <w:rFonts w:ascii="仿宋" w:hAnsi="仿宋" w:cs="仿宋"/>
          <w:b/>
          <w:kern w:val="0"/>
          <w:sz w:val="24"/>
        </w:rPr>
      </w:pPr>
      <w:r>
        <w:rPr>
          <w:rFonts w:hint="eastAsia" w:ascii="仿宋" w:hAnsi="仿宋" w:cs="仿宋"/>
          <w:b/>
          <w:kern w:val="0"/>
          <w:sz w:val="24"/>
        </w:rPr>
        <w:t>四、政府采购合同金额</w:t>
      </w:r>
    </w:p>
    <w:p>
      <w:pPr>
        <w:widowControl/>
        <w:adjustRightInd w:val="0"/>
        <w:spacing w:line="360" w:lineRule="auto"/>
        <w:ind w:firstLine="480" w:firstLineChars="200"/>
        <w:rPr>
          <w:rFonts w:ascii="仿宋" w:hAnsi="仿宋" w:cs="仿宋"/>
          <w:kern w:val="0"/>
          <w:sz w:val="24"/>
        </w:rPr>
      </w:pPr>
      <w:r>
        <w:rPr>
          <w:rFonts w:hint="eastAsia" w:ascii="仿宋" w:hAnsi="仿宋" w:cs="仿宋"/>
          <w:kern w:val="0"/>
          <w:sz w:val="24"/>
        </w:rPr>
        <w:t xml:space="preserve"> 根据上述政府采购合同文件要求，政府采购合同的总金额为人民币XX</w:t>
      </w:r>
      <w:r>
        <w:rPr>
          <w:rFonts w:hint="eastAsia" w:ascii="仿宋" w:hAnsi="仿宋" w:cs="仿宋"/>
          <w:kern w:val="0"/>
          <w:sz w:val="24"/>
          <w:u w:val="single"/>
        </w:rPr>
        <w:t>元整</w:t>
      </w:r>
      <w:r>
        <w:rPr>
          <w:rFonts w:hint="eastAsia" w:ascii="仿宋" w:hAnsi="仿宋" w:cs="仿宋"/>
          <w:kern w:val="0"/>
          <w:sz w:val="24"/>
        </w:rPr>
        <w:t>，小写¥XX元（含税价）。如国家政策导致税率调整，不含税价格不变，税金依据政策进行相应调整。</w:t>
      </w:r>
    </w:p>
    <w:tbl>
      <w:tblPr>
        <w:tblStyle w:val="23"/>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993"/>
        <w:gridCol w:w="934"/>
        <w:gridCol w:w="785"/>
        <w:gridCol w:w="469"/>
        <w:gridCol w:w="735"/>
        <w:gridCol w:w="780"/>
        <w:gridCol w:w="930"/>
        <w:gridCol w:w="1110"/>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序号</w:t>
            </w:r>
          </w:p>
        </w:tc>
        <w:tc>
          <w:tcPr>
            <w:tcW w:w="993"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货物品类名称</w:t>
            </w:r>
          </w:p>
        </w:tc>
        <w:tc>
          <w:tcPr>
            <w:tcW w:w="934"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品牌</w:t>
            </w:r>
          </w:p>
        </w:tc>
        <w:tc>
          <w:tcPr>
            <w:tcW w:w="785"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型号</w:t>
            </w:r>
          </w:p>
          <w:p>
            <w:pPr>
              <w:adjustRightInd w:val="0"/>
              <w:snapToGrid w:val="0"/>
              <w:ind w:left="-96" w:leftChars="-46" w:right="-63" w:rightChars="-30"/>
              <w:jc w:val="center"/>
              <w:rPr>
                <w:rFonts w:ascii="仿宋" w:hAnsi="仿宋" w:cs="仿宋"/>
                <w:szCs w:val="21"/>
              </w:rPr>
            </w:pPr>
            <w:r>
              <w:rPr>
                <w:rFonts w:hint="eastAsia" w:ascii="仿宋" w:hAnsi="仿宋" w:cs="仿宋"/>
                <w:szCs w:val="21"/>
              </w:rPr>
              <w:t>规格</w:t>
            </w:r>
          </w:p>
        </w:tc>
        <w:tc>
          <w:tcPr>
            <w:tcW w:w="469"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数量</w:t>
            </w:r>
          </w:p>
        </w:tc>
        <w:tc>
          <w:tcPr>
            <w:tcW w:w="735"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原产地</w:t>
            </w:r>
          </w:p>
        </w:tc>
        <w:tc>
          <w:tcPr>
            <w:tcW w:w="78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制造商名称</w:t>
            </w:r>
          </w:p>
        </w:tc>
        <w:tc>
          <w:tcPr>
            <w:tcW w:w="93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单价</w:t>
            </w:r>
          </w:p>
        </w:tc>
        <w:tc>
          <w:tcPr>
            <w:tcW w:w="111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总价</w:t>
            </w:r>
          </w:p>
        </w:tc>
        <w:tc>
          <w:tcPr>
            <w:tcW w:w="639"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1</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2</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3</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4</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5</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6</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7</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8</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9</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10</w:t>
            </w:r>
          </w:p>
        </w:tc>
        <w:tc>
          <w:tcPr>
            <w:tcW w:w="993" w:type="dxa"/>
            <w:vAlign w:val="center"/>
          </w:tcPr>
          <w:p>
            <w:pPr>
              <w:adjustRightInd w:val="0"/>
              <w:snapToGrid w:val="0"/>
              <w:ind w:left="-96" w:leftChars="-46" w:right="-63" w:rightChars="-30"/>
              <w:jc w:val="center"/>
              <w:rPr>
                <w:rFonts w:ascii="仿宋" w:hAnsi="仿宋" w:cs="仿宋"/>
                <w:szCs w:val="21"/>
              </w:rPr>
            </w:pPr>
          </w:p>
        </w:tc>
        <w:tc>
          <w:tcPr>
            <w:tcW w:w="934" w:type="dxa"/>
            <w:vAlign w:val="center"/>
          </w:tcPr>
          <w:p>
            <w:pPr>
              <w:adjustRightInd w:val="0"/>
              <w:snapToGrid w:val="0"/>
              <w:ind w:left="-96" w:leftChars="-46" w:right="-63" w:rightChars="-30"/>
              <w:jc w:val="center"/>
              <w:rPr>
                <w:rFonts w:ascii="仿宋" w:hAnsi="仿宋" w:cs="仿宋"/>
                <w:szCs w:val="21"/>
              </w:rPr>
            </w:pPr>
          </w:p>
        </w:tc>
        <w:tc>
          <w:tcPr>
            <w:tcW w:w="785" w:type="dxa"/>
            <w:vAlign w:val="center"/>
          </w:tcPr>
          <w:p>
            <w:pPr>
              <w:adjustRightInd w:val="0"/>
              <w:snapToGrid w:val="0"/>
              <w:ind w:left="-96" w:leftChars="-46" w:right="-63" w:rightChars="-30"/>
              <w:jc w:val="center"/>
              <w:rPr>
                <w:rFonts w:ascii="仿宋" w:hAnsi="仿宋" w:cs="仿宋"/>
                <w:szCs w:val="21"/>
              </w:rPr>
            </w:pPr>
          </w:p>
        </w:tc>
        <w:tc>
          <w:tcPr>
            <w:tcW w:w="469" w:type="dxa"/>
            <w:vAlign w:val="center"/>
          </w:tcPr>
          <w:p>
            <w:pPr>
              <w:adjustRightInd w:val="0"/>
              <w:snapToGrid w:val="0"/>
              <w:ind w:left="-96" w:leftChars="-46" w:right="-63" w:rightChars="-30"/>
              <w:jc w:val="center"/>
              <w:rPr>
                <w:rFonts w:ascii="仿宋" w:hAnsi="仿宋" w:cs="仿宋"/>
                <w:szCs w:val="21"/>
              </w:rPr>
            </w:pPr>
          </w:p>
        </w:tc>
        <w:tc>
          <w:tcPr>
            <w:tcW w:w="735" w:type="dxa"/>
            <w:vAlign w:val="center"/>
          </w:tcPr>
          <w:p>
            <w:pPr>
              <w:adjustRightInd w:val="0"/>
              <w:snapToGrid w:val="0"/>
              <w:ind w:left="-96" w:leftChars="-46" w:right="-63" w:rightChars="-30"/>
              <w:jc w:val="center"/>
              <w:rPr>
                <w:rFonts w:ascii="仿宋" w:hAnsi="仿宋" w:cs="仿宋"/>
                <w:szCs w:val="21"/>
              </w:rPr>
            </w:pPr>
          </w:p>
        </w:tc>
        <w:tc>
          <w:tcPr>
            <w:tcW w:w="780" w:type="dxa"/>
            <w:vAlign w:val="center"/>
          </w:tcPr>
          <w:p>
            <w:pPr>
              <w:adjustRightInd w:val="0"/>
              <w:snapToGrid w:val="0"/>
              <w:ind w:left="-96" w:leftChars="-46" w:right="-63" w:rightChars="-30"/>
              <w:jc w:val="center"/>
              <w:rPr>
                <w:rFonts w:ascii="仿宋" w:hAnsi="仿宋" w:cs="仿宋"/>
                <w:szCs w:val="21"/>
              </w:rPr>
            </w:pPr>
          </w:p>
        </w:tc>
        <w:tc>
          <w:tcPr>
            <w:tcW w:w="930" w:type="dxa"/>
            <w:vAlign w:val="center"/>
          </w:tcPr>
          <w:p>
            <w:pPr>
              <w:adjustRightInd w:val="0"/>
              <w:snapToGrid w:val="0"/>
              <w:ind w:left="-96" w:leftChars="-46" w:right="-63" w:rightChars="-30"/>
              <w:jc w:val="center"/>
              <w:rPr>
                <w:rFonts w:ascii="仿宋" w:hAnsi="仿宋" w:cs="仿宋"/>
                <w:szCs w:val="21"/>
              </w:rPr>
            </w:pPr>
          </w:p>
        </w:tc>
        <w:tc>
          <w:tcPr>
            <w:tcW w:w="1110" w:type="dxa"/>
            <w:vAlign w:val="center"/>
          </w:tcPr>
          <w:p>
            <w:pPr>
              <w:adjustRightInd w:val="0"/>
              <w:snapToGrid w:val="0"/>
              <w:ind w:left="-96" w:leftChars="-46" w:right="-63" w:rightChars="-30"/>
              <w:jc w:val="center"/>
              <w:rPr>
                <w:rFonts w:ascii="仿宋" w:hAnsi="仿宋" w:cs="仿宋"/>
                <w:szCs w:val="21"/>
              </w:rPr>
            </w:pPr>
          </w:p>
        </w:tc>
        <w:tc>
          <w:tcPr>
            <w:tcW w:w="639" w:type="dxa"/>
            <w:vAlign w:val="center"/>
          </w:tcPr>
          <w:p>
            <w:pPr>
              <w:adjustRightInd w:val="0"/>
              <w:snapToGrid w:val="0"/>
              <w:ind w:left="-96" w:leftChars="-46" w:right="-63" w:rightChars="-30"/>
              <w:jc w:val="center"/>
              <w:rPr>
                <w:rFonts w:ascii="仿宋" w:hAnsi="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60" w:type="dxa"/>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总价</w:t>
            </w:r>
          </w:p>
        </w:tc>
        <w:tc>
          <w:tcPr>
            <w:tcW w:w="7375" w:type="dxa"/>
            <w:gridSpan w:val="9"/>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大写：人民币XX元整，小写：￥XX元整（含税价）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8135" w:type="dxa"/>
            <w:gridSpan w:val="10"/>
            <w:vAlign w:val="center"/>
          </w:tcPr>
          <w:p>
            <w:pPr>
              <w:adjustRightInd w:val="0"/>
              <w:snapToGrid w:val="0"/>
              <w:ind w:left="-96" w:leftChars="-46" w:right="-63" w:rightChars="-30"/>
              <w:jc w:val="center"/>
              <w:rPr>
                <w:rFonts w:ascii="仿宋" w:hAnsi="仿宋" w:cs="仿宋"/>
                <w:szCs w:val="21"/>
              </w:rPr>
            </w:pPr>
            <w:r>
              <w:rPr>
                <w:rFonts w:hint="eastAsia" w:ascii="仿宋" w:hAnsi="仿宋" w:cs="仿宋"/>
                <w:szCs w:val="21"/>
              </w:rPr>
              <w:t>（本表格中所述总价为甲方所有用户自乙方处采购货物或接受服务所需支出的全部费用，包括但不限于：原材料、生产、包装、运输费、装卸费、保险费、检测费用、验收费用、国家征收的所有相关税费）</w:t>
            </w:r>
          </w:p>
        </w:tc>
      </w:tr>
    </w:tbl>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五、交货时间及交货地点</w:t>
      </w:r>
    </w:p>
    <w:p>
      <w:pPr>
        <w:spacing w:line="360" w:lineRule="auto"/>
        <w:ind w:firstLine="480" w:firstLineChars="200"/>
        <w:rPr>
          <w:rFonts w:ascii="仿宋" w:hAnsi="仿宋" w:cs="仿宋"/>
          <w:sz w:val="24"/>
        </w:rPr>
      </w:pPr>
      <w:r>
        <w:rPr>
          <w:rFonts w:hint="eastAsia" w:ascii="仿宋" w:hAnsi="仿宋" w:cs="仿宋"/>
          <w:sz w:val="24"/>
        </w:rPr>
        <w:t xml:space="preserve">1.交货时间：乙方应于签订之日起 </w:t>
      </w:r>
      <w:r>
        <w:rPr>
          <w:rFonts w:hint="eastAsia" w:ascii="仿宋" w:hAnsi="仿宋" w:cs="仿宋"/>
          <w:kern w:val="0"/>
          <w:sz w:val="24"/>
        </w:rPr>
        <w:t>XX</w:t>
      </w:r>
      <w:r>
        <w:rPr>
          <w:rFonts w:hint="eastAsia" w:ascii="仿宋" w:hAnsi="仿宋" w:cs="仿宋"/>
          <w:kern w:val="0"/>
          <w:sz w:val="24"/>
          <w:u w:val="single"/>
        </w:rPr>
        <w:t>日</w:t>
      </w:r>
      <w:r>
        <w:rPr>
          <w:rFonts w:hint="eastAsia" w:ascii="仿宋" w:hAnsi="仿宋" w:cs="仿宋"/>
          <w:kern w:val="0"/>
          <w:sz w:val="24"/>
        </w:rPr>
        <w:t>内</w:t>
      </w:r>
      <w:r>
        <w:rPr>
          <w:rFonts w:hint="eastAsia" w:ascii="仿宋" w:hAnsi="仿宋" w:cs="仿宋"/>
          <w:sz w:val="24"/>
        </w:rPr>
        <w:t>向甲方交付全部货物且完成终验收并交付使用。(中标文件交货期限与本条款不一致的，以中标文件相应承诺期限为准)</w:t>
      </w:r>
    </w:p>
    <w:p>
      <w:pPr>
        <w:spacing w:line="360" w:lineRule="auto"/>
        <w:ind w:firstLine="480" w:firstLineChars="200"/>
        <w:rPr>
          <w:rFonts w:ascii="仿宋" w:hAnsi="仿宋" w:cs="仿宋"/>
          <w:sz w:val="24"/>
        </w:rPr>
      </w:pPr>
      <w:r>
        <w:rPr>
          <w:rFonts w:hint="eastAsia" w:ascii="仿宋" w:hAnsi="仿宋" w:cs="仿宋"/>
          <w:sz w:val="24"/>
        </w:rPr>
        <w:t>2.交货地点：沈阳市消防救援支队。</w:t>
      </w:r>
    </w:p>
    <w:p>
      <w:pPr>
        <w:spacing w:line="360" w:lineRule="auto"/>
        <w:ind w:firstLine="480" w:firstLineChars="200"/>
        <w:jc w:val="left"/>
        <w:rPr>
          <w:rFonts w:ascii="仿宋" w:hAnsi="仿宋" w:cs="仿宋"/>
          <w:b/>
          <w:bCs/>
          <w:sz w:val="24"/>
        </w:rPr>
      </w:pPr>
      <w:r>
        <w:rPr>
          <w:rFonts w:hint="eastAsia" w:ascii="仿宋" w:hAnsi="仿宋" w:cs="仿宋"/>
          <w:b/>
          <w:bCs/>
          <w:sz w:val="24"/>
        </w:rPr>
        <w:t>六、货物发货</w:t>
      </w:r>
    </w:p>
    <w:p>
      <w:pPr>
        <w:spacing w:line="360" w:lineRule="auto"/>
        <w:ind w:firstLine="480" w:firstLineChars="200"/>
        <w:jc w:val="left"/>
        <w:rPr>
          <w:rFonts w:ascii="仿宋" w:hAnsi="仿宋" w:cs="仿宋"/>
          <w:sz w:val="24"/>
        </w:rPr>
      </w:pPr>
      <w:r>
        <w:rPr>
          <w:rFonts w:hint="eastAsia" w:ascii="仿宋" w:hAnsi="仿宋" w:cs="仿宋"/>
          <w:sz w:val="24"/>
        </w:rPr>
        <w:t>1.货物发运可以根据甲方需要一次性或分批次发货，并在货物发运前向甲方报送发货清单。乙方应将全部货物发运至交货清单中指定地址，待甲方验收合格后，交付至甲方。货物交付前，一切数量缺失、产品损坏等风险均由乙方承担。</w:t>
      </w:r>
    </w:p>
    <w:p>
      <w:pPr>
        <w:spacing w:line="360" w:lineRule="auto"/>
        <w:ind w:firstLine="480" w:firstLineChars="200"/>
        <w:jc w:val="left"/>
        <w:rPr>
          <w:rFonts w:ascii="仿宋" w:hAnsi="仿宋" w:cs="仿宋"/>
          <w:sz w:val="24"/>
        </w:rPr>
      </w:pPr>
      <w:r>
        <w:rPr>
          <w:rFonts w:hint="eastAsia" w:ascii="仿宋" w:hAnsi="仿宋" w:cs="仿宋"/>
          <w:sz w:val="24"/>
        </w:rPr>
        <w:t>2.本合同签订后在投标文件承诺的交货期之内向甲方交付完毕全部货物。</w:t>
      </w:r>
    </w:p>
    <w:p>
      <w:pPr>
        <w:spacing w:line="360" w:lineRule="auto"/>
        <w:ind w:firstLine="480" w:firstLineChars="200"/>
        <w:rPr>
          <w:rFonts w:ascii="仿宋" w:hAnsi="仿宋" w:cs="仿宋"/>
        </w:rPr>
      </w:pPr>
      <w:r>
        <w:rPr>
          <w:rFonts w:hint="eastAsia" w:ascii="仿宋" w:hAnsi="仿宋" w:cs="仿宋"/>
          <w:sz w:val="24"/>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pPr>
        <w:spacing w:line="360" w:lineRule="auto"/>
        <w:ind w:firstLine="480" w:firstLineChars="200"/>
        <w:rPr>
          <w:rFonts w:ascii="仿宋" w:hAnsi="仿宋" w:cs="仿宋"/>
          <w:b/>
          <w:bCs/>
          <w:sz w:val="24"/>
        </w:rPr>
      </w:pPr>
      <w:r>
        <w:rPr>
          <w:rFonts w:hint="eastAsia" w:ascii="仿宋" w:hAnsi="仿宋" w:cs="仿宋"/>
          <w:b/>
          <w:bCs/>
          <w:sz w:val="24"/>
        </w:rPr>
        <w:t>七、付款方式及条件</w:t>
      </w:r>
    </w:p>
    <w:p>
      <w:pPr>
        <w:spacing w:line="360" w:lineRule="auto"/>
        <w:ind w:firstLine="480" w:firstLineChars="200"/>
        <w:rPr>
          <w:rFonts w:ascii="仿宋" w:hAnsi="仿宋" w:cs="仿宋"/>
          <w:sz w:val="24"/>
        </w:rPr>
      </w:pPr>
      <w:r>
        <w:rPr>
          <w:rFonts w:hint="eastAsia" w:ascii="仿宋" w:hAnsi="仿宋" w:cs="仿宋"/>
          <w:sz w:val="24"/>
        </w:rPr>
        <w:t>1.本项目分两次结算，合同签订后乙方开具等额收据后，甲方付20%定金，货到经甲方验收通过后，乙方需按甲方要求开具合同金额的正规发票。甲方在收到发票经验收合格后支付乙方剩余80%尾款</w:t>
      </w:r>
    </w:p>
    <w:p>
      <w:pPr>
        <w:spacing w:line="360" w:lineRule="auto"/>
        <w:ind w:firstLine="480" w:firstLineChars="200"/>
        <w:rPr>
          <w:rFonts w:ascii="仿宋" w:hAnsi="仿宋" w:cs="仿宋"/>
          <w:sz w:val="24"/>
        </w:rPr>
      </w:pPr>
      <w:r>
        <w:rPr>
          <w:rFonts w:hint="eastAsia" w:ascii="仿宋" w:hAnsi="仿宋" w:cs="仿宋"/>
          <w:sz w:val="24"/>
        </w:rPr>
        <w:t>注：乙方需具备随时开具不可撤销、不可转让的见索即付的独立保函的能力，如项目进度需要，乙方需按照甲方要求开具不可撤销、不可转让的见索即付的独立等额保函。开具保函的银行需选择：中国工商银行、中国农业银行、中国银行、中国建设银行、交通银行、中国光大银行、中信银行、招商银行、中国邮政储蓄银行、中国民生银行、浦发银行、兴业银行、广发银行（保函有效期不低于12个月）。</w:t>
      </w:r>
    </w:p>
    <w:p>
      <w:pPr>
        <w:spacing w:line="360" w:lineRule="auto"/>
        <w:ind w:firstLine="480" w:firstLineChars="200"/>
        <w:rPr>
          <w:rFonts w:ascii="仿宋" w:hAnsi="仿宋" w:cs="仿宋"/>
          <w:sz w:val="24"/>
        </w:rPr>
      </w:pPr>
      <w:r>
        <w:rPr>
          <w:rFonts w:hint="eastAsia" w:ascii="仿宋" w:hAnsi="仿宋" w:cs="仿宋"/>
          <w:sz w:val="24"/>
        </w:rPr>
        <w:t>2.如因乙方未提供符合要求的发票导致甲方未按约定付款的，甲方不承担违约责任。</w:t>
      </w:r>
    </w:p>
    <w:p>
      <w:pPr>
        <w:spacing w:line="360" w:lineRule="auto"/>
        <w:ind w:firstLine="480" w:firstLineChars="200"/>
        <w:rPr>
          <w:rFonts w:ascii="仿宋" w:hAnsi="仿宋" w:cs="仿宋"/>
          <w:sz w:val="24"/>
        </w:rPr>
      </w:pPr>
      <w:r>
        <w:rPr>
          <w:rFonts w:hint="eastAsia" w:ascii="仿宋" w:hAnsi="仿宋" w:cs="仿宋"/>
          <w:sz w:val="24"/>
        </w:rPr>
        <w:t>3.本合同以人民币结算，付款方式：银行转账。</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八、验收要求</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1.严格按照政府采购相关法律法规以及行业管理规定和《</w:t>
      </w:r>
      <w:r>
        <w:rPr>
          <w:rFonts w:hint="eastAsia" w:ascii="仿宋" w:hAnsi="仿宋" w:cs="仿宋"/>
          <w:kern w:val="0"/>
          <w:sz w:val="24"/>
          <w:lang w:eastAsia="zh-CN"/>
        </w:rPr>
        <w:t>辽宁省消防救援总队自然灾害应急能力提升工程沈阳支队装备建设项目验收方案</w:t>
      </w:r>
      <w:r>
        <w:rPr>
          <w:rFonts w:hint="eastAsia" w:ascii="仿宋" w:hAnsi="仿宋" w:cs="仿宋"/>
          <w:kern w:val="0"/>
          <w:sz w:val="24"/>
        </w:rPr>
        <w:t>》（详见附件）的要求进行验收。</w:t>
      </w:r>
    </w:p>
    <w:p>
      <w:pPr>
        <w:spacing w:line="360" w:lineRule="auto"/>
        <w:ind w:firstLine="480" w:firstLineChars="200"/>
        <w:rPr>
          <w:rFonts w:ascii="仿宋" w:hAnsi="仿宋" w:cs="仿宋"/>
          <w:sz w:val="24"/>
        </w:rPr>
      </w:pPr>
      <w:r>
        <w:rPr>
          <w:rFonts w:hint="eastAsia" w:ascii="仿宋" w:hAnsi="仿宋" w:cs="仿宋"/>
          <w:kern w:val="0"/>
          <w:sz w:val="24"/>
        </w:rPr>
        <w:t>2.</w:t>
      </w:r>
      <w:r>
        <w:rPr>
          <w:rFonts w:hint="eastAsia" w:ascii="仿宋" w:hAnsi="仿宋" w:cs="仿宋"/>
          <w:sz w:val="24"/>
        </w:rPr>
        <w:t>乙方完全履行合同义务后，甲方所有用户按照上述列明的标准进行验收。</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验收过程中对验收结果存在争议时，甲方有权将货物送第三方检验机构进行检验。检测费用由乙方支付。如第三方检验机构出具的检验报告合格，则视为乙方交付货物通过了甲方组织的送检。如第三方检验机构出具的检验报告不合格，则视为乙方交付货物未通过甲方组织的送检。甲方有权按采购合同约定，要求乙方无条件更换货物，并有权要求乙方支付违约金。甲方收到更换货物后，向乙方退还不合格产品。如货物已使用，甲方无需退还，也无需向乙方支付任何费用。</w:t>
      </w:r>
    </w:p>
    <w:p>
      <w:pPr>
        <w:spacing w:line="360" w:lineRule="auto"/>
        <w:ind w:firstLine="480" w:firstLineChars="200"/>
        <w:rPr>
          <w:rFonts w:ascii="仿宋" w:hAnsi="仿宋" w:cs="仿宋"/>
          <w:sz w:val="24"/>
        </w:rPr>
      </w:pPr>
      <w:r>
        <w:rPr>
          <w:rFonts w:hint="eastAsia" w:ascii="仿宋" w:hAnsi="仿宋" w:cs="仿宋"/>
          <w:sz w:val="24"/>
        </w:rPr>
        <w:t>3.验收不合格的，乙方需按照本合同及与甲方的约定承担相应违约责任。</w:t>
      </w:r>
    </w:p>
    <w:p>
      <w:pPr>
        <w:snapToGrid w:val="0"/>
        <w:spacing w:line="360" w:lineRule="auto"/>
        <w:ind w:firstLine="470" w:firstLineChars="196"/>
        <w:rPr>
          <w:rFonts w:ascii="仿宋" w:hAnsi="仿宋" w:cs="仿宋"/>
          <w:kern w:val="0"/>
          <w:sz w:val="24"/>
        </w:rPr>
      </w:pPr>
      <w:r>
        <w:rPr>
          <w:rFonts w:hint="eastAsia" w:ascii="仿宋" w:hAnsi="仿宋" w:cs="仿宋"/>
          <w:sz w:val="24"/>
        </w:rPr>
        <w:t>4.</w:t>
      </w:r>
      <w:r>
        <w:rPr>
          <w:rFonts w:hint="eastAsia" w:ascii="仿宋" w:hAnsi="仿宋" w:cs="仿宋"/>
          <w:kern w:val="0"/>
          <w:sz w:val="24"/>
        </w:rPr>
        <w:t>验收合格后，甲方出具验收合格书。验收合格并不能免除乙方的瑕疵担保责任，货物是否合格以安装调试完毕甲方能正常投入使用为准。</w:t>
      </w:r>
    </w:p>
    <w:p>
      <w:pPr>
        <w:snapToGrid w:val="0"/>
        <w:spacing w:line="360" w:lineRule="auto"/>
        <w:ind w:firstLine="470" w:firstLineChars="196"/>
        <w:rPr>
          <w:rFonts w:ascii="仿宋" w:hAnsi="仿宋" w:cs="仿宋"/>
          <w:kern w:val="0"/>
          <w:sz w:val="24"/>
        </w:rPr>
      </w:pPr>
      <w:r>
        <w:rPr>
          <w:rFonts w:hint="eastAsia" w:ascii="仿宋" w:hAnsi="仿宋" w:cs="仿宋"/>
          <w:kern w:val="0"/>
          <w:sz w:val="24"/>
        </w:rPr>
        <w:t>5.货物验收不合格的，乙方需根据验收结论整改，并重新参加验收。如在甲方规定期限内不能够完成整改的，甲方有权解除本合同，乙方应向甲方退还全部已收款项,并要求乙方支付合同总金额20%的违约金。甲方有权向市场监督管理等行政部门反映，由相关行政部门对其违法行为进行查处。</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九、违约责任</w:t>
      </w:r>
    </w:p>
    <w:p>
      <w:pPr>
        <w:widowControl/>
        <w:adjustRightInd w:val="0"/>
        <w:spacing w:line="360" w:lineRule="auto"/>
        <w:ind w:firstLine="480" w:firstLineChars="200"/>
        <w:jc w:val="left"/>
        <w:outlineLvl w:val="1"/>
        <w:rPr>
          <w:rFonts w:ascii="仿宋" w:hAnsi="仿宋" w:cs="仿宋"/>
          <w:kern w:val="0"/>
          <w:sz w:val="24"/>
        </w:rPr>
      </w:pPr>
      <w:r>
        <w:rPr>
          <w:rFonts w:hint="eastAsia" w:ascii="仿宋" w:hAnsi="仿宋" w:cs="仿宋"/>
          <w:kern w:val="0"/>
          <w:sz w:val="24"/>
        </w:rPr>
        <w:t>（一）产品质量问题</w:t>
      </w:r>
    </w:p>
    <w:p>
      <w:pPr>
        <w:widowControl/>
        <w:adjustRightInd w:val="0"/>
        <w:spacing w:line="360" w:lineRule="auto"/>
        <w:ind w:firstLine="480" w:firstLineChars="200"/>
        <w:jc w:val="left"/>
        <w:rPr>
          <w:rFonts w:ascii="仿宋" w:hAnsi="仿宋" w:cs="仿宋"/>
        </w:rPr>
      </w:pPr>
      <w:r>
        <w:rPr>
          <w:rFonts w:hint="eastAsia" w:ascii="仿宋" w:hAnsi="仿宋" w:cs="仿宋"/>
          <w:kern w:val="0"/>
          <w:sz w:val="24"/>
        </w:rPr>
        <w:t>1.如甲方在货物使用过程中发现乙方提供的货物品类中有任何一项不符合本合同约定的，则视为乙方违约，甲方有权要求乙方支付合同总金额5%的违约金。同时甲方有权要求乙方采取补发、修复、更换或退货等措施，乙方应自甲方发出异议后5日内采取相应补救措施，如因此而造成迟延履行，乙方应按本条第（三）款承担违约责任。如乙方拒绝更换货物，或超过5日未及时采取补救措施，甲方有权解除本合同，要求乙方返还全部已收合同价款并支付合同总金额20%的违约金。</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2.如乙方提供的货物存在影响功能使用的问题，乙方应无条件更换存在问题的货物，且如每存在一处问题，甲方有权要求乙方支付合同总金额1%的违约金，但该等违约金总金额不得超过合同总金额的5%。</w:t>
      </w:r>
    </w:p>
    <w:p>
      <w:pPr>
        <w:pStyle w:val="22"/>
        <w:ind w:firstLineChars="175"/>
        <w:outlineLvl w:val="1"/>
        <w:rPr>
          <w:rFonts w:ascii="仿宋" w:hAnsi="仿宋" w:eastAsia="仿宋" w:cs="仿宋"/>
          <w:kern w:val="0"/>
          <w:szCs w:val="24"/>
        </w:rPr>
      </w:pPr>
      <w:r>
        <w:rPr>
          <w:rFonts w:hint="eastAsia" w:ascii="仿宋" w:hAnsi="仿宋" w:eastAsia="仿宋" w:cs="仿宋"/>
          <w:kern w:val="0"/>
          <w:szCs w:val="24"/>
        </w:rPr>
        <w:t>（二）产品数量问题</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如乙方未在约定供货时间按约定数量向甲方交货，则甲方有权要求乙方补充货物数量，由此产生的延迟交货后果，乙方应按本条第（三）款承担违约责任；货物数量缺失超过合同总供货数量10%的，甲方亦有权选择解除本合同，要求乙方返还全部已收合同价款并支付合同总金额20%的违约金。</w:t>
      </w:r>
    </w:p>
    <w:p>
      <w:pPr>
        <w:widowControl/>
        <w:adjustRightInd w:val="0"/>
        <w:spacing w:line="360" w:lineRule="auto"/>
        <w:ind w:firstLine="480" w:firstLineChars="200"/>
        <w:jc w:val="left"/>
        <w:outlineLvl w:val="1"/>
        <w:rPr>
          <w:rFonts w:ascii="仿宋" w:hAnsi="仿宋" w:cs="仿宋"/>
          <w:kern w:val="0"/>
          <w:sz w:val="24"/>
        </w:rPr>
      </w:pPr>
      <w:r>
        <w:rPr>
          <w:rFonts w:hint="eastAsia" w:ascii="仿宋" w:hAnsi="仿宋" w:cs="仿宋"/>
          <w:kern w:val="0"/>
          <w:sz w:val="24"/>
        </w:rPr>
        <w:t>（三）延期交货问题</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乙方延迟交货10天以上的，甲方有权追究乙方责任，并由第11天起，乙方每延迟一天向甲方支付合同总金额千分之二的违约金，最高收取合同总金额20%的违约金。甲方亦有权解除合同，乙方返还20%定金，并收取与定金等额的违约金。</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（四）保密责任违约</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本合同内容以及乙方因签订、履行本合同所获悉的甲方、关联单位及合作单位的相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（五）其他违约</w:t>
      </w:r>
    </w:p>
    <w:p>
      <w:pPr>
        <w:spacing w:line="360" w:lineRule="auto"/>
        <w:ind w:firstLine="480" w:firstLineChars="200"/>
        <w:rPr>
          <w:rFonts w:ascii="仿宋" w:hAnsi="仿宋" w:cs="仿宋"/>
          <w:kern w:val="0"/>
          <w:sz w:val="24"/>
        </w:rPr>
      </w:pPr>
      <w:r>
        <w:rPr>
          <w:rFonts w:hint="eastAsia" w:ascii="仿宋" w:hAnsi="仿宋" w:cs="仿宋"/>
          <w:kern w:val="0"/>
          <w:sz w:val="24"/>
        </w:rPr>
        <w:t>1.乙方应严格按照本合同约定的期限及要求与各用户签订采购合同，否则，甲方有权取消乙方的中标资格，有权解除本合同，并要求乙方支付中标金额5%的违约金。</w:t>
      </w:r>
    </w:p>
    <w:p>
      <w:pPr>
        <w:spacing w:line="360" w:lineRule="auto"/>
        <w:ind w:firstLine="480" w:firstLineChars="200"/>
        <w:rPr>
          <w:rFonts w:ascii="仿宋" w:hAnsi="仿宋" w:cs="仿宋"/>
          <w:kern w:val="0"/>
          <w:sz w:val="24"/>
        </w:rPr>
      </w:pPr>
      <w:r>
        <w:rPr>
          <w:rFonts w:hint="eastAsia" w:ascii="仿宋" w:hAnsi="仿宋" w:cs="仿宋"/>
          <w:kern w:val="0"/>
          <w:sz w:val="24"/>
        </w:rPr>
        <w:t>2.如果乙方存在分包、转包行为或未在向甲方提交的生产厂家或货物生产地址生产货物的，甲方有权解除本合同并要求乙方支付中标金额5％的违约金，并且甲方有权向有管辖权的行政机关反映，由有管辖权的行政机关予以处理。甲方亦有权解除与乙方签订的采购合同并有权要求乙方退还已收全部合同价款。</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期限内完成整改的，甲方有权解除本合同并要求乙方支付合同总金额20%的违约金。</w:t>
      </w:r>
    </w:p>
    <w:p>
      <w:pPr>
        <w:widowControl/>
        <w:adjustRightInd w:val="0"/>
        <w:spacing w:line="360" w:lineRule="auto"/>
        <w:ind w:firstLine="480" w:firstLineChars="200"/>
        <w:jc w:val="left"/>
        <w:rPr>
          <w:rFonts w:ascii="仿宋" w:hAnsi="仿宋" w:cs="仿宋"/>
          <w:b/>
          <w:kern w:val="0"/>
          <w:sz w:val="24"/>
        </w:rPr>
      </w:pPr>
      <w:r>
        <w:rPr>
          <w:rFonts w:hint="eastAsia" w:ascii="仿宋" w:hAnsi="仿宋" w:cs="仿宋"/>
          <w:b/>
          <w:kern w:val="0"/>
          <w:sz w:val="24"/>
        </w:rPr>
        <w:t>十、合同转让和分包</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除甲方事先书面同意外，乙方不得部分或全部转让、分包本采购合同义务。</w:t>
      </w:r>
    </w:p>
    <w:p>
      <w:pPr>
        <w:widowControl/>
        <w:adjustRightInd w:val="0"/>
        <w:spacing w:line="360" w:lineRule="auto"/>
        <w:ind w:firstLine="480" w:firstLineChars="200"/>
        <w:jc w:val="left"/>
        <w:rPr>
          <w:rFonts w:ascii="仿宋" w:hAnsi="仿宋" w:cs="仿宋"/>
          <w:b/>
          <w:kern w:val="0"/>
          <w:sz w:val="24"/>
        </w:rPr>
      </w:pPr>
      <w:r>
        <w:rPr>
          <w:rFonts w:hint="eastAsia" w:ascii="仿宋" w:hAnsi="仿宋" w:cs="仿宋"/>
          <w:b/>
          <w:kern w:val="0"/>
          <w:sz w:val="24"/>
        </w:rPr>
        <w:t>十一、知识产权</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pPr>
        <w:widowControl/>
        <w:adjustRightInd w:val="0"/>
        <w:spacing w:line="360" w:lineRule="auto"/>
        <w:ind w:firstLine="480" w:firstLineChars="200"/>
        <w:jc w:val="left"/>
        <w:outlineLvl w:val="0"/>
        <w:rPr>
          <w:rFonts w:ascii="仿宋" w:hAnsi="仿宋" w:cs="仿宋"/>
          <w:b/>
          <w:kern w:val="0"/>
          <w:sz w:val="24"/>
        </w:rPr>
      </w:pPr>
      <w:r>
        <w:rPr>
          <w:rFonts w:hint="eastAsia" w:ascii="仿宋" w:hAnsi="仿宋" w:cs="仿宋"/>
          <w:b/>
          <w:kern w:val="0"/>
          <w:sz w:val="24"/>
        </w:rPr>
        <w:t>十二、质量保证期</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1.</w:t>
      </w:r>
      <w:r>
        <w:rPr>
          <w:rFonts w:hint="eastAsia" w:ascii="仿宋" w:hAnsi="仿宋" w:cs="仿宋"/>
          <w:sz w:val="24"/>
        </w:rPr>
        <w:t>质量保证期为验收合格之日起</w:t>
      </w:r>
      <w:r>
        <w:rPr>
          <w:rFonts w:hint="eastAsia" w:ascii="仿宋" w:hAnsi="仿宋" w:cs="仿宋"/>
          <w:kern w:val="0"/>
          <w:sz w:val="24"/>
        </w:rPr>
        <w:t>XX</w:t>
      </w:r>
      <w:r>
        <w:rPr>
          <w:rFonts w:hint="eastAsia" w:ascii="仿宋" w:hAnsi="仿宋" w:cs="仿宋"/>
          <w:sz w:val="24"/>
          <w:u w:val="single"/>
        </w:rPr>
        <w:t>月</w:t>
      </w:r>
      <w:r>
        <w:rPr>
          <w:rFonts w:hint="eastAsia" w:ascii="仿宋" w:hAnsi="仿宋" w:cs="仿宋"/>
          <w:sz w:val="24"/>
        </w:rPr>
        <w:t>。质量保证期内乙方不收取任何维修费用，质保期后我公司对质保期后易损件收费低于市场价且合理，不收取人工费。</w:t>
      </w:r>
    </w:p>
    <w:p>
      <w:pPr>
        <w:widowControl/>
        <w:spacing w:line="360" w:lineRule="auto"/>
        <w:ind w:firstLine="480" w:firstLineChars="200"/>
        <w:jc w:val="left"/>
        <w:rPr>
          <w:rFonts w:ascii="仿宋" w:hAnsi="仿宋" w:cs="仿宋"/>
          <w:sz w:val="24"/>
        </w:rPr>
      </w:pPr>
      <w:r>
        <w:rPr>
          <w:rFonts w:hint="eastAsia" w:ascii="仿宋" w:hAnsi="仿宋" w:cs="仿宋"/>
          <w:kern w:val="0"/>
          <w:sz w:val="24"/>
        </w:rPr>
        <w:t>2.质量保证期的定义：指库存货物可以正常使用且不会导致人身或财产损害的期限。</w:t>
      </w:r>
      <w:r>
        <w:rPr>
          <w:rFonts w:hint="eastAsia" w:ascii="仿宋" w:hAnsi="仿宋" w:cs="仿宋"/>
          <w:sz w:val="24"/>
        </w:rPr>
        <w:t>本条所述质量保证期系指库存货物可以正常使用且不会因质量问题导致人身或财产损害的期限。如用户在质量保证期中发现货物无法正常使用或导致人身或财产损害，则乙方除向受害第三方承担赔偿责任外还应向用户承担违约责任。</w:t>
      </w:r>
    </w:p>
    <w:p>
      <w:pPr>
        <w:widowControl/>
        <w:spacing w:line="360" w:lineRule="auto"/>
        <w:ind w:firstLine="480" w:firstLineChars="200"/>
        <w:jc w:val="left"/>
        <w:rPr>
          <w:rFonts w:ascii="仿宋" w:hAnsi="仿宋" w:cs="仿宋"/>
          <w:kern w:val="0"/>
          <w:sz w:val="24"/>
        </w:rPr>
      </w:pPr>
      <w:r>
        <w:rPr>
          <w:rFonts w:hint="eastAsia" w:ascii="仿宋" w:hAnsi="仿宋" w:cs="仿宋"/>
          <w:kern w:val="0"/>
          <w:sz w:val="24"/>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关/司法机关进行移送。</w:t>
      </w:r>
    </w:p>
    <w:p>
      <w:pPr>
        <w:pStyle w:val="22"/>
        <w:ind w:firstLine="480"/>
        <w:rPr>
          <w:rFonts w:ascii="仿宋" w:hAnsi="仿宋" w:eastAsia="仿宋" w:cs="仿宋"/>
          <w:kern w:val="0"/>
          <w:szCs w:val="24"/>
        </w:rPr>
      </w:pPr>
      <w:r>
        <w:rPr>
          <w:rFonts w:hint="eastAsia" w:ascii="仿宋" w:hAnsi="仿宋" w:eastAsia="仿宋" w:cs="仿宋"/>
          <w:kern w:val="0"/>
          <w:szCs w:val="24"/>
        </w:rPr>
        <w:t>4.在质保期内，货物发生故障或无法正常使用，乙方负责对货物免费维修或更换。质量保证期内乙方不收取任何维修费用，超出质量保证期的，</w:t>
      </w:r>
      <w:r>
        <w:rPr>
          <w:rFonts w:hint="eastAsia" w:ascii="仿宋" w:hAnsi="仿宋" w:eastAsia="仿宋" w:cs="仿宋"/>
          <w:kern w:val="0"/>
          <w:szCs w:val="24"/>
          <w:u w:val="single"/>
        </w:rPr>
        <w:t xml:space="preserve">                          </w:t>
      </w:r>
      <w:r>
        <w:rPr>
          <w:rFonts w:hint="eastAsia" w:ascii="仿宋" w:hAnsi="仿宋" w:eastAsia="仿宋" w:cs="仿宋"/>
          <w:kern w:val="0"/>
          <w:szCs w:val="24"/>
        </w:rPr>
        <w:t>。</w:t>
      </w:r>
      <w:r>
        <w:rPr>
          <w:rFonts w:hint="eastAsia" w:ascii="仿宋" w:hAnsi="仿宋" w:eastAsia="仿宋" w:cs="仿宋"/>
          <w:szCs w:val="24"/>
        </w:rPr>
        <w:t>（以投标文件响应为准）</w:t>
      </w:r>
    </w:p>
    <w:p>
      <w:pPr>
        <w:spacing w:line="360" w:lineRule="auto"/>
        <w:jc w:val="left"/>
        <w:rPr>
          <w:rFonts w:ascii="仿宋" w:hAnsi="仿宋" w:cs="仿宋"/>
          <w:b/>
          <w:bCs/>
          <w:sz w:val="24"/>
        </w:rPr>
      </w:pPr>
      <w:r>
        <w:rPr>
          <w:rFonts w:hint="eastAsia" w:ascii="仿宋" w:hAnsi="仿宋" w:cs="仿宋"/>
          <w:b/>
          <w:bCs/>
          <w:sz w:val="24"/>
        </w:rPr>
        <w:t>十三、权利和义务</w:t>
      </w:r>
    </w:p>
    <w:p>
      <w:pPr>
        <w:spacing w:line="360" w:lineRule="auto"/>
        <w:ind w:firstLine="480" w:firstLineChars="200"/>
        <w:jc w:val="left"/>
        <w:rPr>
          <w:rFonts w:ascii="仿宋" w:hAnsi="仿宋" w:cs="仿宋"/>
          <w:b/>
          <w:bCs/>
          <w:sz w:val="24"/>
        </w:rPr>
      </w:pPr>
      <w:r>
        <w:rPr>
          <w:rFonts w:hint="eastAsia" w:ascii="仿宋" w:hAnsi="仿宋" w:cs="仿宋"/>
          <w:b/>
          <w:bCs/>
          <w:sz w:val="24"/>
        </w:rPr>
        <w:t>1.甲方的权利与义务</w:t>
      </w:r>
    </w:p>
    <w:p>
      <w:pPr>
        <w:spacing w:line="360" w:lineRule="auto"/>
        <w:ind w:firstLine="500"/>
        <w:rPr>
          <w:rFonts w:ascii="仿宋" w:hAnsi="仿宋" w:cs="仿宋"/>
          <w:sz w:val="24"/>
        </w:rPr>
      </w:pPr>
      <w:r>
        <w:rPr>
          <w:rFonts w:hint="eastAsia" w:ascii="仿宋" w:hAnsi="仿宋" w:cs="仿宋"/>
          <w:sz w:val="24"/>
        </w:rPr>
        <w:t>1.1 甲方所有用户有权要求乙方提供真实、详细的公司资信材料、产品及服务资料及符合要求的产品及服务。</w:t>
      </w:r>
    </w:p>
    <w:p>
      <w:pPr>
        <w:spacing w:line="360" w:lineRule="auto"/>
        <w:ind w:firstLine="500"/>
        <w:rPr>
          <w:rFonts w:ascii="仿宋" w:hAnsi="仿宋" w:cs="仿宋"/>
          <w:sz w:val="24"/>
        </w:rPr>
      </w:pPr>
      <w:r>
        <w:rPr>
          <w:rFonts w:hint="eastAsia" w:ascii="仿宋" w:hAnsi="仿宋" w:cs="仿宋"/>
          <w:sz w:val="24"/>
        </w:rPr>
        <w:t>1.2 甲方用户有权要求乙方独立供货，不得将甲方用户所购产品及服务转包第三方。</w:t>
      </w:r>
    </w:p>
    <w:p>
      <w:pPr>
        <w:spacing w:line="360" w:lineRule="auto"/>
        <w:ind w:firstLine="500"/>
        <w:rPr>
          <w:rFonts w:ascii="仿宋" w:hAnsi="仿宋" w:cs="仿宋"/>
          <w:sz w:val="24"/>
        </w:rPr>
      </w:pPr>
      <w:r>
        <w:rPr>
          <w:rFonts w:hint="eastAsia" w:ascii="仿宋" w:hAnsi="仿宋" w:cs="仿宋"/>
          <w:sz w:val="24"/>
        </w:rPr>
        <w:t>1.3 乙方如在提供产品及服务过程中出现问题，致使不符合协议内容的，或因泄漏秘密或业务资料，给甲方用户造成损害，甲方用户有权取消乙方供货资格，并要求乙方按采购合同约定承担违约责任，并赔偿由此而造成的所有损失。</w:t>
      </w:r>
    </w:p>
    <w:p>
      <w:pPr>
        <w:spacing w:line="360" w:lineRule="auto"/>
        <w:ind w:firstLine="500"/>
        <w:rPr>
          <w:rFonts w:ascii="仿宋" w:hAnsi="仿宋" w:cs="仿宋"/>
          <w:sz w:val="24"/>
        </w:rPr>
      </w:pPr>
      <w:r>
        <w:rPr>
          <w:rFonts w:hint="eastAsia" w:ascii="仿宋" w:hAnsi="仿宋" w:cs="仿宋"/>
          <w:sz w:val="24"/>
        </w:rPr>
        <w:t>1.4 甲方有权建立用户反馈和评价机制，并对乙方履行本协议和采购合同的情况作出反馈与评价。</w:t>
      </w:r>
    </w:p>
    <w:p>
      <w:pPr>
        <w:spacing w:line="360" w:lineRule="auto"/>
        <w:ind w:firstLine="500"/>
        <w:rPr>
          <w:rFonts w:ascii="仿宋" w:hAnsi="仿宋" w:cs="仿宋"/>
          <w:sz w:val="24"/>
        </w:rPr>
      </w:pPr>
      <w:r>
        <w:rPr>
          <w:rFonts w:hint="eastAsia" w:ascii="仿宋" w:hAnsi="仿宋" w:cs="仿宋"/>
          <w:sz w:val="24"/>
        </w:rPr>
        <w:t>1.5甲方有权对乙方履约情况进行检查。</w:t>
      </w:r>
    </w:p>
    <w:p>
      <w:pPr>
        <w:spacing w:line="360" w:lineRule="auto"/>
        <w:ind w:firstLine="500"/>
        <w:rPr>
          <w:rFonts w:ascii="仿宋" w:hAnsi="仿宋" w:cs="仿宋"/>
          <w:b/>
          <w:bCs/>
          <w:sz w:val="24"/>
        </w:rPr>
      </w:pPr>
      <w:r>
        <w:rPr>
          <w:rFonts w:hint="eastAsia" w:ascii="仿宋" w:hAnsi="仿宋" w:cs="仿宋"/>
          <w:b/>
          <w:bCs/>
          <w:sz w:val="24"/>
        </w:rPr>
        <w:t>2.乙方的权利与义务</w:t>
      </w:r>
    </w:p>
    <w:p>
      <w:pPr>
        <w:spacing w:line="360" w:lineRule="auto"/>
        <w:ind w:firstLine="500"/>
        <w:rPr>
          <w:rFonts w:ascii="仿宋" w:hAnsi="仿宋" w:cs="仿宋"/>
          <w:sz w:val="24"/>
        </w:rPr>
      </w:pPr>
      <w:r>
        <w:rPr>
          <w:rFonts w:hint="eastAsia" w:ascii="仿宋" w:hAnsi="仿宋" w:cs="仿宋"/>
          <w:sz w:val="24"/>
        </w:rPr>
        <w:t>2.1 在本协议期内，乙方具有为用户供货及提供相关服务的资格。</w:t>
      </w:r>
    </w:p>
    <w:p>
      <w:pPr>
        <w:spacing w:line="360" w:lineRule="auto"/>
        <w:ind w:firstLine="500"/>
        <w:rPr>
          <w:rFonts w:ascii="仿宋" w:hAnsi="仿宋" w:cs="仿宋"/>
          <w:sz w:val="24"/>
        </w:rPr>
      </w:pPr>
      <w:r>
        <w:rPr>
          <w:rFonts w:hint="eastAsia" w:ascii="仿宋" w:hAnsi="仿宋" w:cs="仿宋"/>
          <w:sz w:val="24"/>
        </w:rPr>
        <w:t xml:space="preserve">2.2乙方有权拒绝满足用户超出响应承诺以外服务的其他要求。 </w:t>
      </w:r>
    </w:p>
    <w:p>
      <w:pPr>
        <w:spacing w:line="360" w:lineRule="auto"/>
        <w:ind w:firstLine="500"/>
        <w:rPr>
          <w:rFonts w:ascii="仿宋" w:hAnsi="仿宋" w:cs="仿宋"/>
          <w:sz w:val="24"/>
        </w:rPr>
      </w:pPr>
      <w:r>
        <w:rPr>
          <w:rFonts w:hint="eastAsia" w:ascii="仿宋" w:hAnsi="仿宋" w:cs="仿宋"/>
          <w:sz w:val="24"/>
        </w:rPr>
        <w:t>2.3乙方必须维护甲方及甲方用户的合法权益，不得为乙方或任何第三方的利益而损害甲方及甲方用户的合法权益。</w:t>
      </w:r>
    </w:p>
    <w:p>
      <w:pPr>
        <w:spacing w:line="360" w:lineRule="auto"/>
        <w:ind w:firstLine="500"/>
        <w:rPr>
          <w:rFonts w:ascii="仿宋" w:hAnsi="仿宋" w:cs="仿宋"/>
          <w:sz w:val="24"/>
        </w:rPr>
      </w:pPr>
      <w:r>
        <w:rPr>
          <w:rFonts w:hint="eastAsia" w:ascii="仿宋" w:hAnsi="仿宋" w:cs="仿宋"/>
          <w:sz w:val="24"/>
        </w:rPr>
        <w:t>2.4 乙方对产品及服务质量承担责任。确因乙方的过失，致使采购结果与采购合同内容不符的，乙方应按采购合同约定承担违约责任，并赔偿由此而造成的所有损失。</w:t>
      </w:r>
    </w:p>
    <w:p>
      <w:pPr>
        <w:spacing w:line="360" w:lineRule="auto"/>
        <w:ind w:firstLine="500"/>
        <w:rPr>
          <w:rFonts w:ascii="仿宋" w:hAnsi="仿宋" w:cs="仿宋"/>
          <w:sz w:val="24"/>
        </w:rPr>
      </w:pPr>
      <w:r>
        <w:rPr>
          <w:rFonts w:hint="eastAsia" w:ascii="仿宋" w:hAnsi="仿宋" w:cs="仿宋"/>
          <w:sz w:val="24"/>
        </w:rPr>
        <w:t xml:space="preserve">2.5乙方随时接受并配合甲方的监督检查。 </w:t>
      </w:r>
    </w:p>
    <w:p>
      <w:pPr>
        <w:spacing w:line="360" w:lineRule="auto"/>
        <w:ind w:firstLine="500"/>
        <w:rPr>
          <w:rFonts w:ascii="仿宋" w:hAnsi="仿宋" w:cs="仿宋"/>
          <w:sz w:val="24"/>
        </w:rPr>
      </w:pPr>
      <w:r>
        <w:rPr>
          <w:rFonts w:hint="eastAsia" w:ascii="仿宋" w:hAnsi="仿宋" w:cs="仿宋"/>
          <w:sz w:val="24"/>
        </w:rPr>
        <w:t>2.6乙方保证对提供给甲方用户的产品及服务享有合法权利，不侵犯任何第三方的知识产权等权益。（包括但不限于商标权、专利权、版权、对不便申请专利的技术秘密和商业秘密的权利等）否则，乙方将赔偿由此给甲方用户造成的全部损失。</w:t>
      </w:r>
    </w:p>
    <w:p>
      <w:pPr>
        <w:spacing w:line="360" w:lineRule="auto"/>
        <w:ind w:firstLine="500"/>
        <w:rPr>
          <w:rFonts w:ascii="仿宋" w:hAnsi="仿宋" w:cs="仿宋"/>
          <w:sz w:val="24"/>
        </w:rPr>
      </w:pPr>
      <w:r>
        <w:rPr>
          <w:rFonts w:hint="eastAsia" w:ascii="仿宋" w:hAnsi="仿宋" w:cs="仿宋"/>
          <w:sz w:val="24"/>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及用户。</w:t>
      </w:r>
    </w:p>
    <w:p>
      <w:pPr>
        <w:spacing w:line="360" w:lineRule="auto"/>
        <w:ind w:firstLine="500"/>
        <w:rPr>
          <w:rFonts w:ascii="仿宋" w:hAnsi="仿宋" w:cs="仿宋"/>
          <w:sz w:val="24"/>
        </w:rPr>
      </w:pPr>
      <w:r>
        <w:rPr>
          <w:rFonts w:hint="eastAsia" w:ascii="仿宋" w:hAnsi="仿宋" w:cs="仿宋"/>
          <w:sz w:val="24"/>
        </w:rPr>
        <w:t>2.8乙方提供的全部货物均应按标准保护措施进行包装。这类包装应适应于远距离运输、防潮、防震、防锈和防野蛮装卸，以确保货物安全无损运抵指定交货地点。如因包装问题导致货物毁损或者品质下降，甲方用户有权要求降价、换货、拒收部分或整批货物，由此造成需方的费用和损失，均由乙方承担。</w:t>
      </w:r>
    </w:p>
    <w:p>
      <w:pPr>
        <w:pStyle w:val="22"/>
        <w:ind w:firstLine="480"/>
        <w:rPr>
          <w:rFonts w:ascii="仿宋" w:hAnsi="仿宋" w:eastAsia="仿宋" w:cs="仿宋"/>
          <w:szCs w:val="24"/>
        </w:rPr>
      </w:pPr>
      <w:r>
        <w:rPr>
          <w:rFonts w:hint="eastAsia" w:ascii="仿宋" w:hAnsi="仿宋" w:eastAsia="仿宋" w:cs="仿宋"/>
          <w:szCs w:val="24"/>
        </w:rPr>
        <w:t>2.9乙方应根据招投标文件履行培训义务。</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十四、不可抗力</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1.甲乙双方均不承担由于不可抗力的任何原因所造成的无法交货或违约，不可抗力包括战争、叛乱、严重火灾、水灾、地震等人力无法抗拒的原因。</w:t>
      </w:r>
    </w:p>
    <w:p>
      <w:pPr>
        <w:pStyle w:val="22"/>
        <w:ind w:firstLine="360" w:firstLineChars="150"/>
        <w:rPr>
          <w:rFonts w:ascii="仿宋" w:hAnsi="仿宋" w:eastAsia="仿宋" w:cs="仿宋"/>
          <w:kern w:val="0"/>
          <w:szCs w:val="24"/>
        </w:rPr>
      </w:pPr>
      <w:r>
        <w:rPr>
          <w:rFonts w:hint="eastAsia" w:ascii="仿宋" w:hAnsi="仿宋" w:eastAsia="仿宋" w:cs="仿宋"/>
          <w:kern w:val="0"/>
          <w:szCs w:val="24"/>
        </w:rPr>
        <w:t>2.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必要时，一方有权通知另一方解除合同。</w:t>
      </w:r>
    </w:p>
    <w:p>
      <w:pPr>
        <w:pStyle w:val="22"/>
        <w:ind w:firstLine="360" w:firstLineChars="150"/>
        <w:rPr>
          <w:rFonts w:ascii="仿宋" w:hAnsi="仿宋" w:eastAsia="仿宋" w:cs="仿宋"/>
          <w:kern w:val="0"/>
          <w:szCs w:val="24"/>
        </w:rPr>
      </w:pPr>
      <w:r>
        <w:rPr>
          <w:rFonts w:hint="eastAsia" w:ascii="仿宋" w:hAnsi="仿宋" w:eastAsia="仿宋" w:cs="仿宋"/>
          <w:kern w:val="0"/>
          <w:szCs w:val="24"/>
        </w:rPr>
        <w:t>3.由于不可抗力导致本合同不能履行的，双方均不需承担违约责任。但如系因违约而遇上不可抗力，违约方不得以不可抗力为由进行抗辩，违约方仍应按本合同约定执行。</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十五、争议的解决</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凡因本合同引起的或与本合同有关的任何争议，双方首先通过友好协商解决；如不能通过友好协商解决的，任何一方可向甲方所在地有管辖权的人民法院提起诉讼。</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十六、合同生效</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1.合同正本一式四份，甲方三份，乙方一份，每份合同</w:t>
      </w:r>
      <w:r>
        <w:rPr>
          <w:rFonts w:hint="eastAsia" w:ascii="仿宋" w:hAnsi="仿宋" w:cs="仿宋"/>
          <w:sz w:val="24"/>
        </w:rPr>
        <w:t>具有同等法律效力，经</w:t>
      </w:r>
      <w:r>
        <w:rPr>
          <w:rFonts w:hint="eastAsia" w:ascii="仿宋" w:hAnsi="仿宋" w:cs="仿宋"/>
          <w:kern w:val="0"/>
          <w:sz w:val="24"/>
        </w:rPr>
        <w:t>双方法定代表人或授权委托人签字并加盖公章或合同章后生效。</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2.本合同附件与招标文件、中标通知书是本合同不可分割的一部分，对甲乙双方具有同等合同效力。</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3.本合同未尽事宜，则由双方协商解决，协商补充协议同样作为合同附件，与合同具有同等效力。</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十七、合同的解除与变更</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1.合同生效后，除不可抗力外，甲乙任何一方不得无故解除或变更合同。</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3.变更或解除合同所产生的费用或造成的损失由违约责任方负责。</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4.如果一方严重违反协议，并在收到对方违约通知书后在 30 天内仍未能改正违约行为的，另一方可立即解除本协议，并按协议约定要求违约方承担违约责任。</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十八、合同的解释</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本合同及相关文件的解释顺序：</w:t>
      </w:r>
      <w:r>
        <w:rPr>
          <w:rFonts w:hint="eastAsia" w:ascii="仿宋" w:hAnsi="仿宋" w:cs="仿宋"/>
          <w:sz w:val="24"/>
        </w:rPr>
        <w:t>一是甲乙双方签署的采购合同及其附件；二是甲乙双方签署的补充协议；三是中标通知书；四是招标文件；五是投标文件及附录；六是技术标准和标样。</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十九、通知与送达</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1.本合同甲乙双方发出与本合同有关的通知或回复，应根据相关事项的重要程度，以纸质文件、电子文件、微信短信、电话等方式发出；如果以专人送递或特快专递发送，以送达至本合同约定的通讯地址为送达。</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2.双方发出的与本合同有关的通知或回复均应发至本合同尾部通讯地址，一方变更通讯地址，应自变更之日起3个工作日内，将变更后的地址通知对方。变更方不履行通知义务的，应对此造成的一切后果承担法律责任。</w:t>
      </w:r>
    </w:p>
    <w:p>
      <w:pPr>
        <w:widowControl/>
        <w:adjustRightInd w:val="0"/>
        <w:spacing w:line="360" w:lineRule="auto"/>
        <w:ind w:firstLine="470" w:firstLineChars="196"/>
        <w:jc w:val="left"/>
        <w:outlineLvl w:val="0"/>
        <w:rPr>
          <w:rFonts w:ascii="仿宋" w:hAnsi="仿宋" w:cs="仿宋"/>
          <w:b/>
          <w:kern w:val="0"/>
          <w:sz w:val="24"/>
        </w:rPr>
      </w:pPr>
      <w:r>
        <w:rPr>
          <w:rFonts w:hint="eastAsia" w:ascii="仿宋" w:hAnsi="仿宋" w:cs="仿宋"/>
          <w:b/>
          <w:kern w:val="0"/>
          <w:sz w:val="24"/>
        </w:rPr>
        <w:t>二十、合同附件</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1.《交货清单》</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 xml:space="preserve">2. </w:t>
      </w:r>
      <w:r>
        <w:rPr>
          <w:rFonts w:hint="eastAsia" w:ascii="仿宋" w:hAnsi="仿宋" w:cs="仿宋"/>
          <w:sz w:val="24"/>
        </w:rPr>
        <w:t>分项报价</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3.《技术规格偏离表》</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4.《</w:t>
      </w:r>
      <w:r>
        <w:rPr>
          <w:rFonts w:hint="eastAsia" w:ascii="仿宋" w:hAnsi="仿宋" w:cs="仿宋"/>
          <w:kern w:val="0"/>
          <w:sz w:val="24"/>
          <w:lang w:eastAsia="zh-CN"/>
        </w:rPr>
        <w:t>辽宁省消防救援总队自然灾害应急能力提升工程沈阳支队装备建设项目验收方案</w:t>
      </w:r>
      <w:r>
        <w:rPr>
          <w:rFonts w:hint="eastAsia" w:ascii="仿宋" w:hAnsi="仿宋" w:cs="仿宋"/>
          <w:kern w:val="0"/>
          <w:sz w:val="24"/>
        </w:rPr>
        <w:t>》</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5.投标文件中有关售后服务、质量保证、巡检、培训、备品清单等内容</w:t>
      </w:r>
    </w:p>
    <w:p>
      <w:pPr>
        <w:pStyle w:val="22"/>
        <w:ind w:firstLine="0" w:firstLineChars="0"/>
        <w:rPr>
          <w:rFonts w:ascii="仿宋" w:hAnsi="仿宋" w:eastAsia="仿宋" w:cs="仿宋"/>
        </w:rPr>
      </w:pPr>
      <w:r>
        <w:rPr>
          <w:rFonts w:hint="eastAsia" w:ascii="仿宋" w:hAnsi="仿宋" w:eastAsia="仿宋" w:cs="仿宋"/>
          <w:kern w:val="0"/>
          <w:szCs w:val="24"/>
        </w:rPr>
        <w:t xml:space="preserve">    </w:t>
      </w:r>
    </w:p>
    <w:p>
      <w:pPr>
        <w:tabs>
          <w:tab w:val="left" w:pos="8306"/>
        </w:tabs>
        <w:spacing w:line="360" w:lineRule="auto"/>
        <w:ind w:right="-58" w:firstLine="448" w:firstLineChars="200"/>
        <w:rPr>
          <w:rFonts w:ascii="仿宋" w:hAnsi="仿宋" w:cs="仿宋"/>
          <w:spacing w:val="-8"/>
          <w:sz w:val="24"/>
        </w:rPr>
      </w:pPr>
      <w:r>
        <w:rPr>
          <w:rFonts w:hint="eastAsia" w:ascii="仿宋" w:hAnsi="仿宋" w:cs="仿宋"/>
          <w:spacing w:val="-8"/>
          <w:sz w:val="24"/>
        </w:rPr>
        <w:t>甲方（盖章）：                               乙方（盖章）：</w:t>
      </w:r>
    </w:p>
    <w:p>
      <w:pPr>
        <w:tabs>
          <w:tab w:val="left" w:pos="8306"/>
        </w:tabs>
        <w:spacing w:line="360" w:lineRule="auto"/>
        <w:ind w:right="-58" w:firstLine="448" w:firstLineChars="200"/>
        <w:rPr>
          <w:rFonts w:ascii="仿宋" w:hAnsi="仿宋" w:cs="仿宋"/>
          <w:spacing w:val="-8"/>
          <w:sz w:val="24"/>
        </w:rPr>
      </w:pPr>
      <w:r>
        <w:rPr>
          <w:rFonts w:hint="eastAsia" w:ascii="仿宋" w:hAnsi="仿宋" w:cs="仿宋"/>
          <w:spacing w:val="-8"/>
          <w:sz w:val="24"/>
        </w:rPr>
        <w:t>地址：                                       地址：</w:t>
      </w:r>
    </w:p>
    <w:p>
      <w:pPr>
        <w:tabs>
          <w:tab w:val="left" w:pos="8306"/>
        </w:tabs>
        <w:spacing w:line="360" w:lineRule="auto"/>
        <w:ind w:right="-58" w:firstLine="448" w:firstLineChars="200"/>
        <w:rPr>
          <w:rFonts w:ascii="仿宋" w:hAnsi="仿宋" w:cs="仿宋"/>
          <w:spacing w:val="-8"/>
          <w:sz w:val="24"/>
        </w:rPr>
      </w:pPr>
      <w:r>
        <w:rPr>
          <w:rFonts w:hint="eastAsia" w:ascii="仿宋" w:hAnsi="仿宋" w:cs="仿宋"/>
          <w:spacing w:val="-8"/>
          <w:sz w:val="24"/>
        </w:rPr>
        <w:t>法定代表人或授权委托人                      法定代表人或授权委托人</w:t>
      </w:r>
    </w:p>
    <w:p>
      <w:pPr>
        <w:tabs>
          <w:tab w:val="left" w:pos="8306"/>
        </w:tabs>
        <w:spacing w:line="360" w:lineRule="auto"/>
        <w:ind w:right="-58" w:firstLine="448" w:firstLineChars="200"/>
        <w:rPr>
          <w:rFonts w:ascii="仿宋" w:hAnsi="仿宋" w:cs="仿宋"/>
          <w:spacing w:val="-8"/>
          <w:sz w:val="24"/>
        </w:rPr>
      </w:pPr>
      <w:r>
        <w:rPr>
          <w:rFonts w:hint="eastAsia" w:ascii="仿宋" w:hAnsi="仿宋" w:cs="仿宋"/>
          <w:spacing w:val="-8"/>
          <w:sz w:val="24"/>
        </w:rPr>
        <w:t>（签字或盖章）：                            （签字或盖章）：</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电话：                                  电话：</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开户行：                                开户行：</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银行账号：                              银行账号：</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 xml:space="preserve">开户行地址：                            开户行地址： </w:t>
      </w:r>
    </w:p>
    <w:p>
      <w:pPr>
        <w:widowControl/>
        <w:adjustRightInd w:val="0"/>
        <w:spacing w:line="360" w:lineRule="auto"/>
        <w:ind w:firstLine="480" w:firstLineChars="200"/>
        <w:jc w:val="left"/>
        <w:rPr>
          <w:rFonts w:ascii="仿宋" w:hAnsi="仿宋" w:cs="仿宋"/>
          <w:kern w:val="0"/>
          <w:sz w:val="24"/>
        </w:rPr>
      </w:pPr>
      <w:r>
        <w:rPr>
          <w:rFonts w:hint="eastAsia" w:ascii="仿宋" w:hAnsi="仿宋" w:cs="仿宋"/>
          <w:kern w:val="0"/>
          <w:sz w:val="24"/>
        </w:rPr>
        <w:t>日期：     年  月  日                   日期：     年  月  日</w:t>
      </w:r>
    </w:p>
    <w:p>
      <w:pPr>
        <w:spacing w:line="360" w:lineRule="auto"/>
        <w:rPr>
          <w:rFonts w:ascii="仿宋" w:hAnsi="仿宋" w:cs="仿宋"/>
          <w:sz w:val="24"/>
        </w:rPr>
      </w:pPr>
      <w:r>
        <w:rPr>
          <w:rFonts w:hint="eastAsia" w:ascii="仿宋" w:hAnsi="仿宋" w:cs="仿宋"/>
          <w:sz w:val="24"/>
        </w:rPr>
        <w:br w:type="page"/>
      </w:r>
      <w:r>
        <w:rPr>
          <w:rFonts w:hint="eastAsia" w:ascii="仿宋" w:hAnsi="仿宋" w:cs="仿宋"/>
          <w:sz w:val="24"/>
        </w:rPr>
        <w:t>附件1</w:t>
      </w:r>
    </w:p>
    <w:p>
      <w:pPr>
        <w:spacing w:line="360" w:lineRule="auto"/>
        <w:jc w:val="center"/>
        <w:outlineLvl w:val="0"/>
        <w:rPr>
          <w:rFonts w:ascii="仿宋" w:hAnsi="仿宋" w:cs="仿宋"/>
          <w:kern w:val="0"/>
          <w:sz w:val="32"/>
          <w:szCs w:val="32"/>
        </w:rPr>
      </w:pPr>
      <w:r>
        <w:rPr>
          <w:rFonts w:hint="eastAsia" w:ascii="仿宋" w:hAnsi="仿宋" w:cs="仿宋"/>
          <w:kern w:val="0"/>
          <w:sz w:val="32"/>
          <w:szCs w:val="32"/>
        </w:rPr>
        <w:t>沈阳市消防救援支队自然灾害应急能力提升工程</w:t>
      </w:r>
    </w:p>
    <w:p>
      <w:pPr>
        <w:spacing w:line="360" w:lineRule="auto"/>
        <w:jc w:val="center"/>
        <w:outlineLvl w:val="0"/>
        <w:rPr>
          <w:rFonts w:ascii="仿宋" w:hAnsi="仿宋" w:cs="仿宋"/>
          <w:kern w:val="0"/>
          <w:sz w:val="32"/>
          <w:szCs w:val="32"/>
        </w:rPr>
      </w:pPr>
      <w:r>
        <w:rPr>
          <w:rFonts w:hint="eastAsia" w:ascii="仿宋" w:hAnsi="仿宋" w:cs="仿宋"/>
          <w:kern w:val="0"/>
          <w:sz w:val="32"/>
          <w:szCs w:val="32"/>
        </w:rPr>
        <w:t>沈阳支队装备建设项目（</w:t>
      </w:r>
      <w:r>
        <w:rPr>
          <w:rFonts w:hint="eastAsia" w:ascii="仿宋" w:hAnsi="仿宋" w:cs="仿宋"/>
          <w:kern w:val="0"/>
          <w:sz w:val="24"/>
        </w:rPr>
        <w:t>XX</w:t>
      </w:r>
      <w:r>
        <w:rPr>
          <w:rFonts w:hint="eastAsia" w:ascii="仿宋" w:hAnsi="仿宋" w:cs="仿宋"/>
          <w:kern w:val="0"/>
          <w:sz w:val="32"/>
          <w:szCs w:val="32"/>
        </w:rPr>
        <w:t>）</w:t>
      </w:r>
    </w:p>
    <w:p>
      <w:pPr>
        <w:spacing w:line="360" w:lineRule="auto"/>
        <w:jc w:val="center"/>
        <w:outlineLvl w:val="0"/>
        <w:rPr>
          <w:rFonts w:ascii="仿宋" w:hAnsi="仿宋" w:cs="仿宋"/>
          <w:kern w:val="0"/>
          <w:sz w:val="32"/>
          <w:szCs w:val="32"/>
        </w:rPr>
      </w:pPr>
      <w:r>
        <w:rPr>
          <w:rFonts w:hint="eastAsia" w:ascii="仿宋" w:hAnsi="仿宋" w:cs="仿宋"/>
          <w:kern w:val="0"/>
          <w:sz w:val="32"/>
          <w:szCs w:val="32"/>
        </w:rPr>
        <w:t>第</w:t>
      </w:r>
      <w:r>
        <w:rPr>
          <w:rFonts w:hint="eastAsia" w:ascii="仿宋" w:hAnsi="仿宋" w:cs="仿宋"/>
          <w:kern w:val="0"/>
          <w:sz w:val="24"/>
        </w:rPr>
        <w:t>XX</w:t>
      </w:r>
      <w:r>
        <w:rPr>
          <w:rFonts w:hint="eastAsia" w:ascii="仿宋" w:hAnsi="仿宋" w:cs="仿宋"/>
          <w:kern w:val="0"/>
          <w:sz w:val="32"/>
          <w:szCs w:val="32"/>
        </w:rPr>
        <w:t>包交货清单</w:t>
      </w:r>
    </w:p>
    <w:p>
      <w:pPr>
        <w:pStyle w:val="6"/>
        <w:spacing w:line="360" w:lineRule="auto"/>
        <w:ind w:firstLine="0" w:firstLineChars="0"/>
        <w:jc w:val="center"/>
        <w:rPr>
          <w:rFonts w:ascii="仿宋" w:hAnsi="仿宋" w:cs="仿宋"/>
          <w:b/>
          <w:sz w:val="44"/>
          <w:szCs w:val="44"/>
        </w:rPr>
      </w:pPr>
    </w:p>
    <w:tbl>
      <w:tblPr>
        <w:tblStyle w:val="23"/>
        <w:tblW w:w="8649" w:type="dxa"/>
        <w:jc w:val="center"/>
        <w:tblLayout w:type="fixed"/>
        <w:tblCellMar>
          <w:top w:w="0" w:type="dxa"/>
          <w:left w:w="108" w:type="dxa"/>
          <w:bottom w:w="0" w:type="dxa"/>
          <w:right w:w="108" w:type="dxa"/>
        </w:tblCellMar>
      </w:tblPr>
      <w:tblGrid>
        <w:gridCol w:w="572"/>
        <w:gridCol w:w="1267"/>
        <w:gridCol w:w="1620"/>
        <w:gridCol w:w="885"/>
        <w:gridCol w:w="533"/>
        <w:gridCol w:w="1515"/>
        <w:gridCol w:w="2257"/>
      </w:tblGrid>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cs="仿宋"/>
                <w:kern w:val="0"/>
                <w:sz w:val="24"/>
              </w:rPr>
            </w:pPr>
            <w:r>
              <w:rPr>
                <w:rFonts w:hint="eastAsia" w:ascii="仿宋" w:hAnsi="仿宋" w:cs="仿宋"/>
                <w:kern w:val="0"/>
                <w:sz w:val="24"/>
              </w:rPr>
              <w:t>收物单位：</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rPr>
                <w:rFonts w:ascii="仿宋" w:hAnsi="仿宋" w:cs="仿宋"/>
                <w:kern w:val="0"/>
                <w:sz w:val="24"/>
              </w:rPr>
            </w:pPr>
            <w:r>
              <w:rPr>
                <w:rFonts w:hint="eastAsia" w:ascii="仿宋" w:hAnsi="仿宋" w:cs="仿宋"/>
                <w:kern w:val="0"/>
                <w:sz w:val="24"/>
              </w:rPr>
              <w:t>收物地址：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widowControl/>
              <w:jc w:val="left"/>
              <w:rPr>
                <w:rFonts w:ascii="仿宋" w:hAnsi="仿宋" w:cs="仿宋"/>
                <w:kern w:val="0"/>
                <w:sz w:val="24"/>
              </w:rPr>
            </w:pPr>
            <w:r>
              <w:rPr>
                <w:rFonts w:hint="eastAsia" w:ascii="仿宋" w:hAnsi="仿宋" w:cs="仿宋"/>
                <w:kern w:val="0"/>
                <w:sz w:val="24"/>
              </w:rPr>
              <w:t>收物人：      手机：</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cs="仿宋"/>
                <w:kern w:val="0"/>
                <w:sz w:val="24"/>
              </w:rPr>
            </w:pPr>
            <w:r>
              <w:rPr>
                <w:rFonts w:hint="eastAsia" w:ascii="仿宋" w:hAnsi="仿宋" w:cs="仿宋"/>
                <w:kern w:val="0"/>
                <w:sz w:val="24"/>
              </w:rPr>
              <w:t>发物单位（盖章）：</w:t>
            </w: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cs="仿宋"/>
                <w:kern w:val="0"/>
                <w:sz w:val="24"/>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cs="仿宋"/>
                <w:kern w:val="0"/>
                <w:sz w:val="24"/>
              </w:rPr>
            </w:pPr>
          </w:p>
        </w:tc>
      </w:tr>
      <w:tr>
        <w:tblPrEx>
          <w:tblCellMar>
            <w:top w:w="0" w:type="dxa"/>
            <w:left w:w="108" w:type="dxa"/>
            <w:bottom w:w="0" w:type="dxa"/>
            <w:right w:w="108" w:type="dxa"/>
          </w:tblCellMar>
        </w:tblPrEx>
        <w:trPr>
          <w:trHeight w:val="567" w:hRule="exact"/>
          <w:jc w:val="center"/>
        </w:trPr>
        <w:tc>
          <w:tcPr>
            <w:tcW w:w="8649" w:type="dxa"/>
            <w:gridSpan w:val="7"/>
            <w:shd w:val="clear" w:color="auto" w:fill="FFFFFF"/>
            <w:vAlign w:val="center"/>
          </w:tcPr>
          <w:p>
            <w:pPr>
              <w:widowControl/>
              <w:jc w:val="left"/>
              <w:rPr>
                <w:rFonts w:ascii="仿宋" w:hAnsi="仿宋" w:cs="仿宋"/>
                <w:kern w:val="0"/>
                <w:sz w:val="24"/>
              </w:rPr>
            </w:pPr>
            <w:r>
              <w:rPr>
                <w:rFonts w:hint="eastAsia" w:ascii="仿宋" w:hAnsi="仿宋" w:cs="仿宋"/>
                <w:kern w:val="0"/>
                <w:sz w:val="24"/>
              </w:rPr>
              <w:t>发物地址：</w:t>
            </w:r>
          </w:p>
        </w:tc>
      </w:tr>
      <w:tr>
        <w:tblPrEx>
          <w:tblCellMar>
            <w:top w:w="0" w:type="dxa"/>
            <w:left w:w="108" w:type="dxa"/>
            <w:bottom w:w="0" w:type="dxa"/>
            <w:right w:w="108" w:type="dxa"/>
          </w:tblCellMar>
        </w:tblPrEx>
        <w:trPr>
          <w:trHeight w:val="567" w:hRule="exact"/>
          <w:jc w:val="center"/>
        </w:trPr>
        <w:tc>
          <w:tcPr>
            <w:tcW w:w="8649" w:type="dxa"/>
            <w:gridSpan w:val="7"/>
            <w:tcBorders>
              <w:bottom w:val="single" w:color="000000" w:sz="4" w:space="0"/>
            </w:tcBorders>
            <w:shd w:val="clear" w:color="auto" w:fill="FFFFFF"/>
            <w:vAlign w:val="center"/>
          </w:tcPr>
          <w:p>
            <w:pPr>
              <w:widowControl/>
              <w:jc w:val="left"/>
              <w:rPr>
                <w:rFonts w:ascii="仿宋" w:hAnsi="仿宋" w:cs="仿宋"/>
                <w:kern w:val="0"/>
                <w:sz w:val="24"/>
              </w:rPr>
            </w:pPr>
            <w:r>
              <w:rPr>
                <w:rFonts w:hint="eastAsia" w:ascii="仿宋" w:hAnsi="仿宋" w:cs="仿宋"/>
                <w:kern w:val="0"/>
                <w:sz w:val="24"/>
              </w:rPr>
              <w:t>发物人：          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cs="仿宋"/>
                <w:b/>
                <w:kern w:val="0"/>
                <w:szCs w:val="21"/>
              </w:rPr>
            </w:pPr>
            <w:r>
              <w:rPr>
                <w:rFonts w:hint="eastAsia" w:ascii="仿宋" w:hAnsi="仿宋" w:cs="仿宋"/>
                <w:b/>
                <w:kern w:val="0"/>
                <w:szCs w:val="21"/>
              </w:rPr>
              <w:t>序号</w:t>
            </w:r>
          </w:p>
        </w:tc>
        <w:tc>
          <w:tcPr>
            <w:tcW w:w="1267"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仿宋" w:hAnsi="仿宋" w:cs="仿宋"/>
                <w:b/>
                <w:kern w:val="0"/>
                <w:szCs w:val="21"/>
              </w:rPr>
            </w:pPr>
            <w:r>
              <w:rPr>
                <w:rFonts w:hint="eastAsia" w:ascii="仿宋" w:hAnsi="仿宋" w:cs="仿宋"/>
                <w:b/>
                <w:kern w:val="0"/>
                <w:szCs w:val="21"/>
              </w:rPr>
              <w:t>品名</w:t>
            </w:r>
          </w:p>
        </w:tc>
        <w:tc>
          <w:tcPr>
            <w:tcW w:w="1620"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rFonts w:ascii="仿宋" w:hAnsi="仿宋" w:cs="仿宋"/>
                <w:b/>
                <w:kern w:val="0"/>
                <w:szCs w:val="21"/>
              </w:rPr>
            </w:pPr>
            <w:r>
              <w:rPr>
                <w:rFonts w:hint="eastAsia" w:ascii="仿宋" w:hAnsi="仿宋" w:cs="仿宋"/>
                <w:b/>
                <w:kern w:val="0"/>
                <w:szCs w:val="21"/>
              </w:rPr>
              <w:t>型号款式</w:t>
            </w:r>
          </w:p>
        </w:tc>
        <w:tc>
          <w:tcPr>
            <w:tcW w:w="885" w:type="dxa"/>
            <w:tcBorders>
              <w:top w:val="single" w:color="000000" w:sz="4" w:space="0"/>
              <w:left w:val="nil"/>
              <w:bottom w:val="single" w:color="000000" w:sz="4" w:space="0"/>
              <w:right w:val="single" w:color="auto" w:sz="4" w:space="0"/>
            </w:tcBorders>
            <w:shd w:val="clear" w:color="auto" w:fill="FFFFFF"/>
            <w:vAlign w:val="center"/>
          </w:tcPr>
          <w:p>
            <w:pPr>
              <w:widowControl/>
              <w:jc w:val="center"/>
              <w:rPr>
                <w:rFonts w:ascii="仿宋" w:hAnsi="仿宋" w:cs="仿宋"/>
                <w:b/>
                <w:kern w:val="0"/>
                <w:szCs w:val="21"/>
              </w:rPr>
            </w:pPr>
            <w:r>
              <w:rPr>
                <w:rFonts w:hint="eastAsia" w:ascii="仿宋" w:hAnsi="仿宋" w:cs="仿宋"/>
                <w:b/>
                <w:kern w:val="0"/>
                <w:szCs w:val="21"/>
              </w:rPr>
              <w:t>计量</w:t>
            </w:r>
          </w:p>
          <w:p>
            <w:pPr>
              <w:widowControl/>
              <w:jc w:val="center"/>
              <w:rPr>
                <w:rFonts w:ascii="仿宋" w:hAnsi="仿宋" w:cs="仿宋"/>
                <w:b/>
                <w:kern w:val="0"/>
                <w:szCs w:val="21"/>
              </w:rPr>
            </w:pPr>
            <w:r>
              <w:rPr>
                <w:rFonts w:hint="eastAsia" w:ascii="仿宋" w:hAnsi="仿宋" w:cs="仿宋"/>
                <w:b/>
                <w:kern w:val="0"/>
                <w:szCs w:val="21"/>
              </w:rPr>
              <w:t>单位</w:t>
            </w:r>
          </w:p>
        </w:tc>
        <w:tc>
          <w:tcPr>
            <w:tcW w:w="2048" w:type="dxa"/>
            <w:gridSpan w:val="2"/>
            <w:tcBorders>
              <w:top w:val="single" w:color="000000" w:sz="4" w:space="0"/>
              <w:left w:val="single" w:color="auto" w:sz="4" w:space="0"/>
              <w:bottom w:val="single" w:color="000000" w:sz="4" w:space="0"/>
              <w:right w:val="single" w:color="auto" w:sz="4" w:space="0"/>
            </w:tcBorders>
            <w:shd w:val="clear" w:color="auto" w:fill="FFFFFF"/>
            <w:vAlign w:val="center"/>
          </w:tcPr>
          <w:p>
            <w:pPr>
              <w:jc w:val="center"/>
              <w:rPr>
                <w:rFonts w:ascii="仿宋" w:hAnsi="仿宋" w:cs="仿宋"/>
                <w:b/>
                <w:kern w:val="0"/>
                <w:szCs w:val="21"/>
              </w:rPr>
            </w:pPr>
            <w:r>
              <w:rPr>
                <w:rFonts w:hint="eastAsia" w:ascii="仿宋" w:hAnsi="仿宋" w:cs="仿宋"/>
                <w:b/>
                <w:kern w:val="0"/>
                <w:szCs w:val="21"/>
              </w:rPr>
              <w:t>合同约定交货数量</w:t>
            </w:r>
          </w:p>
          <w:p>
            <w:pPr>
              <w:jc w:val="center"/>
              <w:rPr>
                <w:rFonts w:ascii="仿宋" w:hAnsi="仿宋" w:cs="仿宋"/>
                <w:szCs w:val="21"/>
              </w:rPr>
            </w:pPr>
            <w:r>
              <w:rPr>
                <w:rFonts w:hint="eastAsia" w:ascii="仿宋" w:hAnsi="仿宋" w:cs="仿宋"/>
                <w:b/>
                <w:kern w:val="0"/>
                <w:szCs w:val="21"/>
              </w:rPr>
              <w:t>（由发物单位填写）</w:t>
            </w:r>
          </w:p>
        </w:tc>
        <w:tc>
          <w:tcPr>
            <w:tcW w:w="2257" w:type="dxa"/>
            <w:tcBorders>
              <w:top w:val="single" w:color="000000" w:sz="4" w:space="0"/>
              <w:left w:val="single" w:color="auto" w:sz="4" w:space="0"/>
              <w:bottom w:val="single" w:color="000000" w:sz="4" w:space="0"/>
              <w:right w:val="single" w:color="000000" w:sz="4" w:space="0"/>
            </w:tcBorders>
            <w:shd w:val="clear" w:color="auto" w:fill="FFFFFF"/>
            <w:vAlign w:val="center"/>
          </w:tcPr>
          <w:p>
            <w:pPr>
              <w:jc w:val="center"/>
              <w:rPr>
                <w:rFonts w:ascii="仿宋" w:hAnsi="仿宋" w:cs="仿宋"/>
                <w:b/>
                <w:kern w:val="0"/>
                <w:szCs w:val="21"/>
              </w:rPr>
            </w:pPr>
            <w:r>
              <w:rPr>
                <w:rFonts w:hint="eastAsia" w:ascii="仿宋" w:hAnsi="仿宋" w:cs="仿宋"/>
                <w:b/>
                <w:kern w:val="0"/>
                <w:szCs w:val="21"/>
              </w:rPr>
              <w:t>本次交货和到货数量</w:t>
            </w:r>
          </w:p>
          <w:p>
            <w:pPr>
              <w:jc w:val="center"/>
              <w:rPr>
                <w:rFonts w:ascii="仿宋" w:hAnsi="仿宋" w:cs="仿宋"/>
                <w:szCs w:val="21"/>
              </w:rPr>
            </w:pPr>
            <w:r>
              <w:rPr>
                <w:rFonts w:hint="eastAsia" w:ascii="仿宋" w:hAnsi="仿宋" w:cs="仿宋"/>
                <w:b/>
                <w:kern w:val="0"/>
                <w:szCs w:val="21"/>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r>
              <w:rPr>
                <w:rFonts w:hint="eastAsia" w:ascii="仿宋" w:hAnsi="仿宋" w:cs="仿宋"/>
                <w:kern w:val="0"/>
                <w:szCs w:val="21"/>
              </w:rPr>
              <w:t>1</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r>
              <w:rPr>
                <w:rFonts w:hint="eastAsia" w:ascii="仿宋" w:hAnsi="仿宋" w:cs="仿宋"/>
                <w:kern w:val="0"/>
                <w:szCs w:val="21"/>
              </w:rPr>
              <w:t>2</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r>
              <w:rPr>
                <w:rFonts w:hint="eastAsia" w:ascii="仿宋" w:hAnsi="仿宋" w:cs="仿宋"/>
                <w:kern w:val="0"/>
                <w:szCs w:val="21"/>
              </w:rPr>
              <w:t>3</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r>
              <w:rPr>
                <w:rFonts w:hint="eastAsia" w:ascii="仿宋" w:hAnsi="仿宋" w:cs="仿宋"/>
                <w:kern w:val="0"/>
                <w:szCs w:val="21"/>
              </w:rPr>
              <w:t>4</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r>
              <w:rPr>
                <w:rFonts w:hint="eastAsia" w:ascii="仿宋" w:hAnsi="仿宋" w:cs="仿宋"/>
                <w:kern w:val="0"/>
                <w:szCs w:val="21"/>
              </w:rPr>
              <w:t>5</w:t>
            </w:r>
          </w:p>
        </w:tc>
        <w:tc>
          <w:tcPr>
            <w:tcW w:w="1267"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1620" w:type="dxa"/>
            <w:tcBorders>
              <w:top w:val="nil"/>
              <w:left w:val="nil"/>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c>
          <w:tcPr>
            <w:tcW w:w="885" w:type="dxa"/>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048" w:type="dxa"/>
            <w:gridSpan w:val="2"/>
            <w:tcBorders>
              <w:top w:val="nil"/>
              <w:left w:val="nil"/>
              <w:bottom w:val="single" w:color="000000" w:sz="4" w:space="0"/>
              <w:right w:val="single" w:color="auto" w:sz="4" w:space="0"/>
            </w:tcBorders>
            <w:shd w:val="clear" w:color="auto" w:fill="FFFFFF"/>
            <w:vAlign w:val="center"/>
          </w:tcPr>
          <w:p>
            <w:pPr>
              <w:widowControl/>
              <w:jc w:val="center"/>
              <w:rPr>
                <w:rFonts w:ascii="仿宋" w:hAnsi="仿宋" w:cs="仿宋"/>
                <w:kern w:val="0"/>
                <w:szCs w:val="21"/>
              </w:rPr>
            </w:pPr>
          </w:p>
        </w:tc>
        <w:tc>
          <w:tcPr>
            <w:tcW w:w="2257"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p>
        </w:tc>
      </w:tr>
      <w:tr>
        <w:tblPrEx>
          <w:tblCellMar>
            <w:top w:w="0" w:type="dxa"/>
            <w:left w:w="108" w:type="dxa"/>
            <w:bottom w:w="0" w:type="dxa"/>
            <w:right w:w="108" w:type="dxa"/>
          </w:tblCellMar>
        </w:tblPrEx>
        <w:trPr>
          <w:trHeight w:val="328"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仿宋" w:hAnsi="仿宋" w:cs="仿宋"/>
                <w:kern w:val="0"/>
                <w:szCs w:val="21"/>
              </w:rPr>
            </w:pPr>
            <w:r>
              <w:rPr>
                <w:rFonts w:hint="eastAsia" w:ascii="仿宋" w:hAnsi="仿宋" w:cs="仿宋"/>
                <w:kern w:val="0"/>
                <w:szCs w:val="21"/>
              </w:rPr>
              <w:t>备注</w:t>
            </w: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仿宋" w:hAnsi="仿宋" w:cs="仿宋"/>
                <w:kern w:val="0"/>
                <w:szCs w:val="21"/>
              </w:rPr>
            </w:pPr>
            <w:r>
              <w:rPr>
                <w:rFonts w:hint="eastAsia" w:ascii="仿宋" w:hAnsi="仿宋" w:cs="仿宋"/>
                <w:kern w:val="0"/>
                <w:szCs w:val="21"/>
              </w:rPr>
              <w:t>1.收货单位对照此清单，确认货物包装完好、品名、数量、号型准确无误后，收货单位方可盖章、签字。</w:t>
            </w:r>
          </w:p>
        </w:tc>
      </w:tr>
      <w:tr>
        <w:tblPrEx>
          <w:tblCellMar>
            <w:top w:w="0" w:type="dxa"/>
            <w:left w:w="108" w:type="dxa"/>
            <w:bottom w:w="0" w:type="dxa"/>
            <w:right w:w="108" w:type="dxa"/>
          </w:tblCellMar>
        </w:tblPrEx>
        <w:trPr>
          <w:trHeight w:val="328"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ascii="仿宋" w:hAnsi="仿宋" w:cs="仿宋"/>
                <w:szCs w:val="21"/>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仿宋" w:hAnsi="仿宋" w:cs="仿宋"/>
                <w:kern w:val="0"/>
                <w:szCs w:val="21"/>
              </w:rPr>
            </w:pPr>
            <w:r>
              <w:rPr>
                <w:rFonts w:hint="eastAsia" w:ascii="仿宋" w:hAnsi="仿宋" w:cs="仿宋"/>
                <w:kern w:val="0"/>
                <w:szCs w:val="21"/>
              </w:rPr>
              <w:t>2.本交货清单一式三份，接收单位留存二份，发货单位留存一份。</w:t>
            </w:r>
          </w:p>
        </w:tc>
      </w:tr>
      <w:tr>
        <w:tblPrEx>
          <w:tblCellMar>
            <w:top w:w="0" w:type="dxa"/>
            <w:left w:w="108" w:type="dxa"/>
            <w:bottom w:w="0" w:type="dxa"/>
            <w:right w:w="108" w:type="dxa"/>
          </w:tblCellMar>
        </w:tblPrEx>
        <w:trPr>
          <w:trHeight w:val="341"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rFonts w:ascii="仿宋" w:hAnsi="仿宋" w:cs="仿宋"/>
                <w:szCs w:val="21"/>
              </w:rPr>
            </w:pPr>
          </w:p>
        </w:tc>
        <w:tc>
          <w:tcPr>
            <w:tcW w:w="8077"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rFonts w:ascii="仿宋" w:hAnsi="仿宋" w:cs="仿宋"/>
                <w:kern w:val="0"/>
                <w:szCs w:val="21"/>
              </w:rPr>
            </w:pPr>
            <w:r>
              <w:rPr>
                <w:rFonts w:hint="eastAsia" w:ascii="仿宋" w:hAnsi="仿宋" w:cs="仿宋"/>
                <w:kern w:val="0"/>
                <w:szCs w:val="21"/>
              </w:rPr>
              <w:t>3.确认收货和盖章、签字后，收货单位将此清单的彩色扫描件发至发货厂家邮箱：</w:t>
            </w:r>
            <w:r>
              <w:rPr>
                <w:rFonts w:hint="eastAsia" w:ascii="仿宋" w:hAnsi="仿宋" w:cs="仿宋"/>
                <w:kern w:val="0"/>
                <w:sz w:val="24"/>
              </w:rPr>
              <w:t xml:space="preserve"> </w:t>
            </w:r>
          </w:p>
        </w:tc>
      </w:tr>
      <w:tr>
        <w:tblPrEx>
          <w:tblCellMar>
            <w:top w:w="0" w:type="dxa"/>
            <w:left w:w="108" w:type="dxa"/>
            <w:bottom w:w="0" w:type="dxa"/>
            <w:right w:w="108" w:type="dxa"/>
          </w:tblCellMar>
        </w:tblPrEx>
        <w:trPr>
          <w:trHeight w:val="439" w:hRule="atLeast"/>
          <w:jc w:val="center"/>
        </w:trPr>
        <w:tc>
          <w:tcPr>
            <w:tcW w:w="8649" w:type="dxa"/>
            <w:gridSpan w:val="7"/>
            <w:tcBorders>
              <w:top w:val="single" w:color="000000" w:sz="4" w:space="0"/>
              <w:left w:val="nil"/>
              <w:bottom w:val="nil"/>
              <w:right w:val="nil"/>
            </w:tcBorders>
            <w:shd w:val="clear" w:color="auto" w:fill="FFFFFF"/>
            <w:vAlign w:val="center"/>
          </w:tcPr>
          <w:p>
            <w:pPr>
              <w:widowControl/>
              <w:jc w:val="left"/>
              <w:rPr>
                <w:rFonts w:ascii="仿宋" w:hAnsi="仿宋" w:cs="仿宋"/>
                <w:kern w:val="0"/>
                <w:szCs w:val="21"/>
              </w:rPr>
            </w:pPr>
          </w:p>
        </w:tc>
      </w:tr>
      <w:tr>
        <w:tblPrEx>
          <w:tblCellMar>
            <w:top w:w="0" w:type="dxa"/>
            <w:left w:w="108" w:type="dxa"/>
            <w:bottom w:w="0" w:type="dxa"/>
            <w:right w:w="108" w:type="dxa"/>
          </w:tblCellMar>
        </w:tblPrEx>
        <w:trPr>
          <w:trHeight w:val="1018" w:hRule="atLeast"/>
          <w:jc w:val="center"/>
        </w:trPr>
        <w:tc>
          <w:tcPr>
            <w:tcW w:w="4877" w:type="dxa"/>
            <w:gridSpan w:val="5"/>
            <w:shd w:val="clear" w:color="auto" w:fill="FFFFFF"/>
            <w:vAlign w:val="center"/>
          </w:tcPr>
          <w:p>
            <w:pPr>
              <w:widowControl/>
              <w:jc w:val="left"/>
              <w:rPr>
                <w:rFonts w:ascii="仿宋" w:hAnsi="仿宋" w:cs="仿宋"/>
                <w:kern w:val="0"/>
                <w:szCs w:val="21"/>
              </w:rPr>
            </w:pPr>
            <w:r>
              <w:rPr>
                <w:rFonts w:hint="eastAsia" w:ascii="仿宋" w:hAnsi="仿宋" w:cs="仿宋"/>
                <w:kern w:val="0"/>
                <w:szCs w:val="21"/>
              </w:rPr>
              <w:t>收货单位（盖章）：</w:t>
            </w:r>
          </w:p>
        </w:tc>
        <w:tc>
          <w:tcPr>
            <w:tcW w:w="3772" w:type="dxa"/>
            <w:gridSpan w:val="2"/>
            <w:shd w:val="clear" w:color="auto" w:fill="FFFFFF"/>
            <w:vAlign w:val="center"/>
          </w:tcPr>
          <w:p>
            <w:pPr>
              <w:widowControl/>
              <w:jc w:val="left"/>
              <w:rPr>
                <w:rFonts w:ascii="仿宋" w:hAnsi="仿宋" w:cs="仿宋"/>
                <w:kern w:val="0"/>
                <w:szCs w:val="21"/>
              </w:rPr>
            </w:pPr>
            <w:r>
              <w:rPr>
                <w:rFonts w:hint="eastAsia" w:ascii="仿宋" w:hAnsi="仿宋" w:cs="仿宋"/>
                <w:kern w:val="0"/>
                <w:szCs w:val="21"/>
              </w:rPr>
              <w:t>签收人(双人签字)：</w:t>
            </w:r>
          </w:p>
        </w:tc>
      </w:tr>
      <w:tr>
        <w:tblPrEx>
          <w:tblCellMar>
            <w:top w:w="0" w:type="dxa"/>
            <w:left w:w="108" w:type="dxa"/>
            <w:bottom w:w="0" w:type="dxa"/>
            <w:right w:w="108" w:type="dxa"/>
          </w:tblCellMar>
        </w:tblPrEx>
        <w:trPr>
          <w:trHeight w:val="597" w:hRule="atLeast"/>
          <w:jc w:val="center"/>
        </w:trPr>
        <w:tc>
          <w:tcPr>
            <w:tcW w:w="8649" w:type="dxa"/>
            <w:gridSpan w:val="7"/>
            <w:shd w:val="clear" w:color="auto" w:fill="FFFFFF"/>
            <w:vAlign w:val="center"/>
          </w:tcPr>
          <w:p>
            <w:pPr>
              <w:widowControl/>
              <w:jc w:val="left"/>
              <w:rPr>
                <w:rFonts w:ascii="仿宋" w:hAnsi="仿宋" w:cs="仿宋"/>
                <w:kern w:val="0"/>
                <w:szCs w:val="21"/>
              </w:rPr>
            </w:pPr>
            <w:r>
              <w:rPr>
                <w:rFonts w:hint="eastAsia" w:ascii="仿宋" w:hAnsi="仿宋" w:cs="仿宋"/>
                <w:kern w:val="0"/>
                <w:szCs w:val="21"/>
              </w:rPr>
              <w:t>签收时间：    年   月   日</w:t>
            </w:r>
          </w:p>
        </w:tc>
      </w:tr>
    </w:tbl>
    <w:p>
      <w:pPr>
        <w:rPr>
          <w:rFonts w:ascii="仿宋" w:hAnsi="仿宋" w:cs="仿宋"/>
          <w:sz w:val="24"/>
        </w:rPr>
      </w:pPr>
      <w:r>
        <w:rPr>
          <w:rFonts w:hint="eastAsia" w:ascii="仿宋" w:hAnsi="仿宋" w:cs="仿宋"/>
          <w:sz w:val="24"/>
        </w:rPr>
        <w:br w:type="page"/>
      </w:r>
    </w:p>
    <w:p>
      <w:pPr>
        <w:spacing w:line="360" w:lineRule="auto"/>
        <w:rPr>
          <w:rFonts w:ascii="仿宋" w:hAnsi="仿宋" w:cs="仿宋"/>
          <w:sz w:val="24"/>
        </w:rPr>
      </w:pPr>
      <w:r>
        <w:rPr>
          <w:rFonts w:hint="eastAsia" w:ascii="仿宋" w:hAnsi="仿宋" w:cs="仿宋"/>
          <w:sz w:val="24"/>
        </w:rPr>
        <w:t>附件2 分项报价</w:t>
      </w:r>
    </w:p>
    <w:p>
      <w:pPr>
        <w:rPr>
          <w:rFonts w:ascii="仿宋" w:hAnsi="仿宋" w:cs="仿宋"/>
          <w:sz w:val="24"/>
        </w:rPr>
      </w:pPr>
      <w:r>
        <w:rPr>
          <w:rFonts w:hint="eastAsia" w:ascii="仿宋" w:hAnsi="仿宋" w:cs="仿宋"/>
          <w:sz w:val="24"/>
        </w:rPr>
        <w:br w:type="page"/>
      </w:r>
    </w:p>
    <w:p>
      <w:pPr>
        <w:spacing w:line="360" w:lineRule="auto"/>
        <w:rPr>
          <w:rFonts w:ascii="仿宋" w:hAnsi="仿宋" w:cs="仿宋"/>
          <w:kern w:val="0"/>
          <w:sz w:val="24"/>
        </w:rPr>
      </w:pPr>
      <w:r>
        <w:rPr>
          <w:rFonts w:hint="eastAsia" w:ascii="仿宋" w:hAnsi="仿宋" w:cs="仿宋"/>
          <w:sz w:val="24"/>
        </w:rPr>
        <w:t>附件3</w:t>
      </w:r>
      <w:r>
        <w:rPr>
          <w:rFonts w:hint="eastAsia" w:ascii="仿宋" w:hAnsi="仿宋" w:cs="仿宋"/>
          <w:kern w:val="0"/>
          <w:sz w:val="24"/>
        </w:rPr>
        <w:t>《技术规格偏离表》</w:t>
      </w:r>
    </w:p>
    <w:p>
      <w:pPr>
        <w:rPr>
          <w:rFonts w:ascii="仿宋" w:hAnsi="仿宋" w:cs="仿宋"/>
          <w:kern w:val="0"/>
          <w:sz w:val="24"/>
        </w:rPr>
      </w:pPr>
      <w:r>
        <w:rPr>
          <w:rFonts w:hint="eastAsia" w:ascii="仿宋" w:hAnsi="仿宋" w:cs="仿宋"/>
          <w:kern w:val="0"/>
          <w:sz w:val="24"/>
        </w:rPr>
        <w:br w:type="page"/>
      </w:r>
    </w:p>
    <w:p>
      <w:pPr>
        <w:widowControl/>
        <w:adjustRightInd w:val="0"/>
        <w:spacing w:line="360" w:lineRule="auto"/>
        <w:jc w:val="left"/>
        <w:rPr>
          <w:rFonts w:ascii="仿宋" w:hAnsi="仿宋" w:cs="仿宋"/>
          <w:kern w:val="0"/>
          <w:sz w:val="24"/>
        </w:rPr>
      </w:pPr>
      <w:r>
        <w:rPr>
          <w:rFonts w:hint="eastAsia" w:ascii="仿宋" w:hAnsi="仿宋" w:cs="仿宋"/>
          <w:kern w:val="0"/>
          <w:sz w:val="24"/>
        </w:rPr>
        <w:t>附件4.《辽宁省消防救援总队自然灾害应急能力提升工程沈阳支队装备建设项目》</w:t>
      </w:r>
    </w:p>
    <w:p>
      <w:pPr>
        <w:spacing w:line="600" w:lineRule="exact"/>
        <w:jc w:val="center"/>
        <w:rPr>
          <w:rFonts w:hint="eastAsia" w:ascii="仿宋" w:hAnsi="仿宋" w:eastAsia="仿宋" w:cs="仿宋"/>
          <w:sz w:val="32"/>
          <w:szCs w:val="32"/>
          <w:lang w:eastAsia="zh-CN"/>
        </w:rPr>
      </w:pPr>
      <w:r>
        <w:rPr>
          <w:rFonts w:hint="eastAsia" w:ascii="仿宋" w:hAnsi="仿宋" w:cs="仿宋"/>
          <w:sz w:val="32"/>
          <w:szCs w:val="32"/>
        </w:rPr>
        <w:t>辽宁省消防救援总队自然灾害应急能力提升工程沈阳支队装备建设项目</w:t>
      </w:r>
      <w:r>
        <w:rPr>
          <w:rFonts w:hint="eastAsia" w:ascii="仿宋" w:hAnsi="仿宋" w:cs="仿宋"/>
          <w:sz w:val="32"/>
          <w:szCs w:val="32"/>
          <w:lang w:eastAsia="zh-CN"/>
        </w:rPr>
        <w:t>验收方案</w:t>
      </w:r>
    </w:p>
    <w:p>
      <w:pPr>
        <w:spacing w:line="360" w:lineRule="auto"/>
        <w:ind w:firstLine="420" w:firstLineChars="200"/>
        <w:rPr>
          <w:rFonts w:ascii="仿宋" w:hAnsi="仿宋" w:cs="仿宋"/>
          <w:szCs w:val="21"/>
        </w:rPr>
      </w:pPr>
      <w:r>
        <w:rPr>
          <w:rFonts w:hint="eastAsia" w:ascii="仿宋" w:hAnsi="仿宋" w:cs="仿宋"/>
          <w:szCs w:val="21"/>
        </w:rPr>
        <w:t>为科学高效开展辽宁省消防救援总队自然灾害应急能力提升工程沈阳支队装备建设项目验收工作，按照</w:t>
      </w:r>
      <w:r>
        <w:rPr>
          <w:rFonts w:hint="eastAsia" w:ascii="仿宋" w:hAnsi="仿宋" w:cs="仿宋"/>
          <w:bCs/>
          <w:szCs w:val="21"/>
        </w:rPr>
        <w:t>《自然灾害应急能力提升工程国家综合性消防救援队伍项目实施管理办法》、《从严监督管理2023年增发国债装备采购项目十条举措》、</w:t>
      </w:r>
      <w:r>
        <w:rPr>
          <w:rFonts w:hint="eastAsia" w:ascii="仿宋" w:hAnsi="仿宋" w:cs="仿宋"/>
          <w:szCs w:val="21"/>
        </w:rPr>
        <w:t>《沈阳市消防救援支队自然灾害应急能力提升工程国家综合性消防救援队伍项目建设实施工作机制》、《沈阳市消防救援支队消防装备采购管理暂行规定》等文件要求，制定此方案。</w:t>
      </w:r>
    </w:p>
    <w:p>
      <w:pPr>
        <w:spacing w:line="360" w:lineRule="auto"/>
        <w:ind w:left="630"/>
        <w:rPr>
          <w:rFonts w:ascii="仿宋" w:hAnsi="仿宋" w:cs="仿宋"/>
          <w:szCs w:val="21"/>
        </w:rPr>
      </w:pPr>
      <w:r>
        <w:rPr>
          <w:rFonts w:hint="eastAsia" w:ascii="仿宋" w:hAnsi="仿宋" w:cs="仿宋"/>
          <w:szCs w:val="21"/>
        </w:rPr>
        <w:t>一、基本要求</w:t>
      </w:r>
    </w:p>
    <w:p>
      <w:pPr>
        <w:spacing w:line="360" w:lineRule="auto"/>
        <w:ind w:firstLine="420" w:firstLineChars="200"/>
        <w:rPr>
          <w:rFonts w:ascii="仿宋" w:hAnsi="仿宋" w:cs="仿宋"/>
          <w:szCs w:val="21"/>
        </w:rPr>
      </w:pPr>
      <w:r>
        <w:rPr>
          <w:rFonts w:hint="eastAsia" w:ascii="仿宋" w:hAnsi="仿宋" w:cs="仿宋"/>
          <w:szCs w:val="21"/>
        </w:rPr>
        <w:t>严格执行“提采验”分离、“背对背”等验收要求，验收由采购部门组织业务部门、使用单位、外部专家、采购业务专家库人员组成两个独立的验收组，分别对照验收标准对全部货物开展检查，并进行结论比对、整合。验收内容要包括每一项技术和商务要求的履约情况，验收标准应根据技术标准、招标文件和中标人的投标文件综合确定，包括所有客观、量化指标。</w:t>
      </w:r>
    </w:p>
    <w:p>
      <w:pPr>
        <w:spacing w:line="360" w:lineRule="auto"/>
        <w:ind w:left="630"/>
        <w:rPr>
          <w:rFonts w:ascii="仿宋" w:hAnsi="仿宋" w:cs="仿宋"/>
          <w:szCs w:val="21"/>
        </w:rPr>
      </w:pPr>
      <w:r>
        <w:rPr>
          <w:rFonts w:hint="eastAsia" w:ascii="仿宋" w:hAnsi="仿宋" w:cs="仿宋"/>
          <w:szCs w:val="21"/>
        </w:rPr>
        <w:t>二、验收小组组成</w:t>
      </w:r>
    </w:p>
    <w:p>
      <w:pPr>
        <w:spacing w:line="360" w:lineRule="auto"/>
        <w:ind w:firstLine="420" w:firstLineChars="200"/>
        <w:rPr>
          <w:rFonts w:ascii="仿宋" w:hAnsi="仿宋" w:cs="仿宋"/>
          <w:szCs w:val="21"/>
        </w:rPr>
      </w:pPr>
      <w:r>
        <w:rPr>
          <w:rFonts w:hint="eastAsia" w:ascii="仿宋" w:hAnsi="仿宋" w:cs="仿宋"/>
          <w:szCs w:val="21"/>
        </w:rPr>
        <w:t>（一）验收工作由采购办组织，验收小组人员由业务部门、使用单位、采购业务专家库人员组成。</w:t>
      </w:r>
    </w:p>
    <w:p>
      <w:pPr>
        <w:pStyle w:val="39"/>
        <w:ind w:firstLine="420"/>
        <w:rPr>
          <w:rFonts w:ascii="仿宋" w:hAnsi="仿宋" w:eastAsia="仿宋" w:cs="仿宋"/>
          <w:kern w:val="2"/>
          <w:sz w:val="21"/>
          <w:szCs w:val="21"/>
        </w:rPr>
      </w:pPr>
      <w:r>
        <w:rPr>
          <w:rFonts w:hint="eastAsia" w:ascii="仿宋" w:hAnsi="仿宋" w:eastAsia="仿宋" w:cs="仿宋"/>
          <w:sz w:val="21"/>
          <w:szCs w:val="21"/>
        </w:rPr>
        <w:t>（二）积极</w:t>
      </w:r>
      <w:r>
        <w:rPr>
          <w:rFonts w:hint="eastAsia" w:ascii="仿宋" w:hAnsi="仿宋" w:eastAsia="仿宋" w:cs="仿宋"/>
          <w:kern w:val="2"/>
          <w:sz w:val="21"/>
          <w:szCs w:val="21"/>
        </w:rPr>
        <w:t>邀请地方科研院所、检测机构、专业院校等单位装备领域第三方专家参与。</w:t>
      </w:r>
    </w:p>
    <w:p>
      <w:pPr>
        <w:numPr>
          <w:ilvl w:val="0"/>
          <w:numId w:val="9"/>
        </w:numPr>
        <w:spacing w:line="360" w:lineRule="auto"/>
        <w:ind w:left="630"/>
        <w:rPr>
          <w:rFonts w:ascii="仿宋" w:hAnsi="仿宋" w:cs="仿宋"/>
          <w:szCs w:val="21"/>
        </w:rPr>
      </w:pPr>
      <w:r>
        <w:rPr>
          <w:rFonts w:hint="eastAsia" w:ascii="仿宋" w:hAnsi="仿宋" w:cs="仿宋"/>
          <w:szCs w:val="21"/>
        </w:rPr>
        <w:t>检查程序和内容</w:t>
      </w:r>
    </w:p>
    <w:p>
      <w:pPr>
        <w:spacing w:line="360" w:lineRule="auto"/>
        <w:ind w:firstLine="420" w:firstLineChars="200"/>
        <w:rPr>
          <w:rFonts w:ascii="仿宋" w:hAnsi="仿宋" w:cs="仿宋"/>
          <w:szCs w:val="21"/>
        </w:rPr>
      </w:pPr>
      <w:r>
        <w:rPr>
          <w:rFonts w:hint="eastAsia" w:ascii="仿宋" w:hAnsi="仿宋" w:cs="仿宋"/>
          <w:szCs w:val="21"/>
        </w:rPr>
        <w:t>（一）车辆验收</w:t>
      </w:r>
    </w:p>
    <w:p>
      <w:pPr>
        <w:spacing w:line="360" w:lineRule="auto"/>
        <w:ind w:firstLine="420" w:firstLineChars="200"/>
        <w:rPr>
          <w:rFonts w:ascii="仿宋" w:hAnsi="仿宋" w:cs="仿宋"/>
          <w:szCs w:val="21"/>
        </w:rPr>
      </w:pPr>
      <w:r>
        <w:rPr>
          <w:rFonts w:hint="eastAsia" w:ascii="仿宋" w:hAnsi="仿宋" w:cs="仿宋"/>
          <w:szCs w:val="21"/>
        </w:rPr>
        <w:t>（1）车辆行驶测试，使用单位派遣1名具有5年以上消防车驾驶经验的驾驶员，对验收车辆进行试驾，主要检查验收车辆，在行驶过程中是否存在质量、安全、操作等方面的问题；</w:t>
      </w:r>
    </w:p>
    <w:p>
      <w:pPr>
        <w:spacing w:line="360" w:lineRule="auto"/>
        <w:ind w:firstLine="420" w:firstLineChars="200"/>
        <w:rPr>
          <w:rFonts w:ascii="仿宋" w:hAnsi="仿宋" w:cs="仿宋"/>
          <w:szCs w:val="21"/>
        </w:rPr>
      </w:pPr>
      <w:r>
        <w:rPr>
          <w:rFonts w:hint="eastAsia" w:ascii="仿宋" w:hAnsi="仿宋" w:cs="仿宋"/>
          <w:szCs w:val="21"/>
        </w:rPr>
        <w:t xml:space="preserve">（2）隐蔽工程资料审查，对验收车辆的生产进度表、底盘合格证、水力测试报告、泵炮等大件采购证明文件及车辆底盘进场、上装安装2个时间节点的影像资料进行审验； </w:t>
      </w:r>
    </w:p>
    <w:p>
      <w:pPr>
        <w:spacing w:line="360" w:lineRule="auto"/>
        <w:ind w:firstLine="420" w:firstLineChars="200"/>
        <w:rPr>
          <w:rFonts w:ascii="仿宋" w:hAnsi="仿宋" w:cs="仿宋"/>
          <w:szCs w:val="21"/>
        </w:rPr>
      </w:pPr>
      <w:r>
        <w:rPr>
          <w:rFonts w:hint="eastAsia" w:ascii="仿宋" w:hAnsi="仿宋" w:cs="仿宋"/>
          <w:szCs w:val="21"/>
        </w:rPr>
        <w:t>（3）参数与车辆一致性比对，对照投标文件、随车文件及其他相关文件对车辆开展一致性检查；</w:t>
      </w:r>
    </w:p>
    <w:p>
      <w:pPr>
        <w:spacing w:line="360" w:lineRule="auto"/>
        <w:ind w:firstLine="420" w:firstLineChars="200"/>
        <w:rPr>
          <w:rFonts w:ascii="仿宋" w:hAnsi="仿宋" w:cs="仿宋"/>
          <w:szCs w:val="21"/>
        </w:rPr>
      </w:pPr>
      <w:r>
        <w:rPr>
          <w:rFonts w:hint="eastAsia" w:ascii="仿宋" w:hAnsi="仿宋" w:cs="仿宋"/>
          <w:szCs w:val="21"/>
        </w:rPr>
        <w:t>（4）现场车辆性能测试，按照《消防车辆验收性能测试表》（附件一）要求，对消防车辆性能进行测试，并将测试结果填写到表内。</w:t>
      </w:r>
    </w:p>
    <w:p>
      <w:pPr>
        <w:spacing w:line="360" w:lineRule="auto"/>
        <w:ind w:firstLine="420" w:firstLineChars="200"/>
        <w:rPr>
          <w:rFonts w:ascii="仿宋" w:hAnsi="仿宋" w:cs="仿宋"/>
          <w:szCs w:val="21"/>
        </w:rPr>
      </w:pPr>
      <w:r>
        <w:rPr>
          <w:rFonts w:hint="eastAsia" w:ascii="仿宋" w:hAnsi="仿宋" w:cs="仿宋"/>
          <w:szCs w:val="21"/>
        </w:rPr>
        <w:t>（二）装备器材及灭火剂</w:t>
      </w:r>
    </w:p>
    <w:p>
      <w:pPr>
        <w:spacing w:line="360" w:lineRule="auto"/>
        <w:ind w:firstLine="420" w:firstLineChars="200"/>
        <w:rPr>
          <w:rFonts w:ascii="仿宋" w:hAnsi="仿宋" w:cs="仿宋"/>
          <w:szCs w:val="21"/>
        </w:rPr>
      </w:pPr>
      <w:r>
        <w:rPr>
          <w:rFonts w:hint="eastAsia" w:ascii="仿宋" w:hAnsi="仿宋" w:cs="仿宋"/>
          <w:szCs w:val="21"/>
        </w:rPr>
        <w:t>按每批、每种装备的到货数量确定抽检比例。除另有规定外，装备抽检一般不少于2件套，数量不足2件套需全验。若发现装备存在质量问题或与招标参数不符，应加倍抽检，抽检后仍有问题，则该批装备认定为不合格。</w:t>
      </w:r>
    </w:p>
    <w:p>
      <w:pPr>
        <w:pStyle w:val="29"/>
        <w:adjustRightInd/>
        <w:spacing w:line="360" w:lineRule="auto"/>
        <w:ind w:firstLine="420" w:firstLineChars="200"/>
        <w:rPr>
          <w:rFonts w:ascii="仿宋" w:hAnsi="仿宋" w:eastAsia="仿宋" w:cs="仿宋"/>
          <w:color w:val="auto"/>
          <w:sz w:val="21"/>
          <w:szCs w:val="21"/>
        </w:rPr>
      </w:pPr>
      <w:r>
        <w:rPr>
          <w:rFonts w:hint="eastAsia" w:ascii="仿宋" w:hAnsi="仿宋" w:eastAsia="仿宋" w:cs="仿宋"/>
          <w:color w:val="auto"/>
          <w:sz w:val="21"/>
          <w:szCs w:val="21"/>
        </w:rPr>
        <w:t>（1）清点数量，检查包装标识是否清晰且标识的装备种类、数量是否与到货单相符；</w:t>
      </w:r>
    </w:p>
    <w:p>
      <w:pPr>
        <w:spacing w:line="360" w:lineRule="auto"/>
        <w:ind w:firstLine="420" w:firstLineChars="200"/>
        <w:rPr>
          <w:rFonts w:ascii="仿宋" w:hAnsi="仿宋" w:cs="仿宋"/>
          <w:szCs w:val="21"/>
        </w:rPr>
      </w:pPr>
      <w:r>
        <w:rPr>
          <w:rFonts w:hint="eastAsia" w:ascii="仿宋" w:hAnsi="仿宋" w:cs="仿宋"/>
          <w:szCs w:val="21"/>
        </w:rPr>
        <w:t>（2）核对装备器材品牌型号；</w:t>
      </w:r>
    </w:p>
    <w:p>
      <w:pPr>
        <w:spacing w:line="360" w:lineRule="auto"/>
        <w:ind w:firstLine="420" w:firstLineChars="200"/>
        <w:rPr>
          <w:rFonts w:ascii="仿宋" w:hAnsi="仿宋" w:cs="仿宋"/>
          <w:szCs w:val="21"/>
        </w:rPr>
      </w:pPr>
      <w:r>
        <w:rPr>
          <w:rFonts w:hint="eastAsia" w:ascii="仿宋" w:hAnsi="仿宋" w:cs="仿宋"/>
          <w:szCs w:val="21"/>
        </w:rPr>
        <w:t>（3）检验装备的名称、型号、规格、产品序号、生产厂家和出厂(生产）日期是否与产品清单相符；</w:t>
      </w:r>
    </w:p>
    <w:p>
      <w:pPr>
        <w:pStyle w:val="29"/>
        <w:adjustRightInd/>
        <w:spacing w:line="360" w:lineRule="auto"/>
        <w:ind w:firstLine="420" w:firstLineChars="200"/>
        <w:rPr>
          <w:rFonts w:ascii="仿宋" w:hAnsi="仿宋" w:eastAsia="仿宋" w:cs="仿宋"/>
          <w:color w:val="auto"/>
          <w:sz w:val="21"/>
          <w:szCs w:val="21"/>
        </w:rPr>
      </w:pPr>
      <w:r>
        <w:rPr>
          <w:rFonts w:hint="eastAsia" w:ascii="仿宋" w:hAnsi="仿宋" w:eastAsia="仿宋" w:cs="仿宋"/>
          <w:color w:val="auto"/>
          <w:sz w:val="21"/>
          <w:szCs w:val="21"/>
        </w:rPr>
        <w:t>（4）按照招标文件参数核对装备器材核心参数；</w:t>
      </w:r>
    </w:p>
    <w:p>
      <w:pPr>
        <w:pStyle w:val="29"/>
        <w:adjustRightInd/>
        <w:spacing w:line="360" w:lineRule="auto"/>
        <w:ind w:firstLine="420" w:firstLineChars="200"/>
        <w:rPr>
          <w:rFonts w:ascii="仿宋" w:hAnsi="仿宋" w:eastAsia="仿宋" w:cs="仿宋"/>
          <w:color w:val="auto"/>
          <w:sz w:val="21"/>
          <w:szCs w:val="21"/>
        </w:rPr>
      </w:pPr>
      <w:r>
        <w:rPr>
          <w:rFonts w:hint="eastAsia" w:ascii="仿宋" w:hAnsi="仿宋" w:eastAsia="仿宋" w:cs="仿宋"/>
          <w:color w:val="auto"/>
          <w:sz w:val="21"/>
          <w:szCs w:val="21"/>
        </w:rPr>
        <w:t>（5）检验质量保证书、检验合格证、技术资料、装箱清单等是否齐全；</w:t>
      </w:r>
    </w:p>
    <w:p>
      <w:pPr>
        <w:spacing w:line="360" w:lineRule="auto"/>
        <w:ind w:firstLine="420" w:firstLineChars="200"/>
        <w:rPr>
          <w:rFonts w:ascii="仿宋" w:hAnsi="仿宋" w:cs="仿宋"/>
          <w:szCs w:val="21"/>
        </w:rPr>
      </w:pPr>
      <w:r>
        <w:rPr>
          <w:rFonts w:hint="eastAsia" w:ascii="仿宋" w:hAnsi="仿宋" w:cs="仿宋"/>
          <w:szCs w:val="21"/>
        </w:rPr>
        <w:t>（6）检验成套装备的主件、附件、备件和配套部件等是否齐全；</w:t>
      </w:r>
    </w:p>
    <w:p>
      <w:pPr>
        <w:widowControl/>
        <w:spacing w:line="360" w:lineRule="auto"/>
        <w:ind w:firstLine="420" w:firstLineChars="200"/>
        <w:rPr>
          <w:rFonts w:ascii="仿宋" w:hAnsi="仿宋" w:cs="仿宋"/>
          <w:szCs w:val="21"/>
        </w:rPr>
      </w:pPr>
      <w:r>
        <w:rPr>
          <w:rFonts w:hint="eastAsia" w:ascii="仿宋" w:hAnsi="仿宋" w:cs="仿宋"/>
          <w:szCs w:val="21"/>
        </w:rPr>
        <w:t>（7）检验装备外观是否有明显质量问题，如结构是否完整，安装是否牢固，有无损伤、脱漆、松动、变形，金属件镀层是否良好，有无氧化、锈蚀，塑料、橡胶件有无老化、变质等；</w:t>
      </w:r>
    </w:p>
    <w:p>
      <w:pPr>
        <w:widowControl/>
        <w:spacing w:line="360" w:lineRule="auto"/>
        <w:ind w:firstLine="420" w:firstLineChars="200"/>
        <w:rPr>
          <w:rFonts w:ascii="仿宋" w:hAnsi="仿宋" w:cs="仿宋"/>
          <w:szCs w:val="21"/>
        </w:rPr>
      </w:pPr>
      <w:r>
        <w:rPr>
          <w:rFonts w:hint="eastAsia" w:ascii="仿宋" w:hAnsi="仿宋" w:cs="仿宋"/>
          <w:szCs w:val="21"/>
        </w:rPr>
        <w:t>（8）应对装备进行试启动或试运行，一般应全检；对于数量较多的装备，可采取抽检，抽检不少于2件套；若发现装备存在质量问题，应加倍抽检；若仍存在质量问题，则该批装备为不合格；</w:t>
      </w:r>
    </w:p>
    <w:p>
      <w:pPr>
        <w:widowControl/>
        <w:spacing w:line="360" w:lineRule="auto"/>
        <w:ind w:firstLine="420" w:firstLineChars="200"/>
        <w:rPr>
          <w:rFonts w:ascii="仿宋" w:hAnsi="仿宋" w:cs="仿宋"/>
          <w:szCs w:val="21"/>
        </w:rPr>
      </w:pPr>
      <w:r>
        <w:rPr>
          <w:rFonts w:hint="eastAsia" w:ascii="仿宋" w:hAnsi="仿宋" w:cs="仿宋"/>
          <w:szCs w:val="21"/>
        </w:rPr>
        <w:t>（9）应根据产品标准、订货合同所约定的技术指标以及产品说明书规定的技术指标进行相关性能检验。如果对检验结果存在争议，应委托有资质的第三方检测机构进行检验；</w:t>
      </w:r>
    </w:p>
    <w:p>
      <w:pPr>
        <w:widowControl/>
        <w:spacing w:line="360" w:lineRule="auto"/>
        <w:ind w:firstLine="420" w:firstLineChars="200"/>
        <w:rPr>
          <w:rFonts w:ascii="仿宋" w:hAnsi="仿宋" w:cs="仿宋"/>
          <w:szCs w:val="21"/>
        </w:rPr>
      </w:pPr>
      <w:r>
        <w:rPr>
          <w:rFonts w:hint="eastAsia" w:ascii="仿宋" w:hAnsi="仿宋" w:cs="仿宋"/>
          <w:szCs w:val="21"/>
        </w:rPr>
        <w:t>（10）实地性能测试，对装备器材的核心功能开展测试；</w:t>
      </w:r>
    </w:p>
    <w:p>
      <w:pPr>
        <w:pStyle w:val="29"/>
        <w:spacing w:line="360" w:lineRule="auto"/>
        <w:ind w:firstLine="420" w:firstLineChars="200"/>
        <w:rPr>
          <w:rFonts w:ascii="仿宋" w:hAnsi="仿宋" w:eastAsia="仿宋" w:cs="仿宋"/>
          <w:color w:val="auto"/>
          <w:sz w:val="21"/>
          <w:szCs w:val="21"/>
        </w:rPr>
      </w:pPr>
      <w:r>
        <w:rPr>
          <w:rFonts w:hint="eastAsia" w:ascii="仿宋" w:hAnsi="仿宋" w:eastAsia="仿宋" w:cs="仿宋"/>
          <w:color w:val="auto"/>
          <w:sz w:val="21"/>
          <w:szCs w:val="21"/>
        </w:rPr>
        <w:t>（11）其他需要验收内容。</w:t>
      </w:r>
    </w:p>
    <w:p>
      <w:pPr>
        <w:spacing w:line="360" w:lineRule="auto"/>
        <w:ind w:left="630"/>
        <w:rPr>
          <w:rFonts w:ascii="仿宋" w:hAnsi="仿宋" w:cs="仿宋"/>
          <w:szCs w:val="21"/>
        </w:rPr>
      </w:pPr>
      <w:r>
        <w:rPr>
          <w:rFonts w:hint="eastAsia" w:ascii="仿宋" w:hAnsi="仿宋" w:cs="仿宋"/>
          <w:szCs w:val="21"/>
        </w:rPr>
        <w:t>四、验收结果确定</w:t>
      </w:r>
    </w:p>
    <w:p>
      <w:pPr>
        <w:tabs>
          <w:tab w:val="center" w:pos="7101"/>
        </w:tabs>
        <w:spacing w:line="360" w:lineRule="auto"/>
        <w:ind w:firstLine="640"/>
        <w:jc w:val="left"/>
        <w:rPr>
          <w:rFonts w:ascii="仿宋" w:hAnsi="仿宋" w:cs="仿宋"/>
          <w:szCs w:val="21"/>
        </w:rPr>
      </w:pPr>
      <w:r>
        <w:rPr>
          <w:rFonts w:hint="eastAsia" w:ascii="仿宋" w:hAnsi="仿宋" w:cs="仿宋"/>
          <w:szCs w:val="21"/>
        </w:rPr>
        <w:t>与供货商对每个包组的检查结果逐一进行会商。</w:t>
      </w:r>
    </w:p>
    <w:p>
      <w:pPr>
        <w:tabs>
          <w:tab w:val="center" w:pos="7101"/>
        </w:tabs>
        <w:spacing w:line="360" w:lineRule="auto"/>
        <w:ind w:firstLine="640"/>
        <w:jc w:val="left"/>
        <w:rPr>
          <w:rFonts w:ascii="仿宋" w:hAnsi="仿宋" w:cs="仿宋"/>
          <w:szCs w:val="21"/>
        </w:rPr>
      </w:pPr>
      <w:r>
        <w:rPr>
          <w:rFonts w:hint="eastAsia" w:ascii="仿宋" w:hAnsi="仿宋" w:cs="仿宋"/>
          <w:szCs w:val="21"/>
        </w:rPr>
        <w:t>（一）对于检查未发现问题的，出具同意收货的验收备忘录、采购合同履约验收意见书。</w:t>
      </w:r>
    </w:p>
    <w:p>
      <w:pPr>
        <w:tabs>
          <w:tab w:val="center" w:pos="7101"/>
        </w:tabs>
        <w:spacing w:line="360" w:lineRule="auto"/>
        <w:ind w:firstLine="640"/>
        <w:jc w:val="left"/>
        <w:rPr>
          <w:rFonts w:ascii="仿宋" w:hAnsi="仿宋" w:cs="仿宋"/>
          <w:szCs w:val="21"/>
        </w:rPr>
      </w:pPr>
      <w:r>
        <w:rPr>
          <w:rFonts w:hint="eastAsia" w:ascii="仿宋" w:hAnsi="仿宋" w:cs="仿宋"/>
          <w:szCs w:val="21"/>
        </w:rPr>
        <w:t>（二）对检查中发现质量、安全、一致性、不符合投标文件响应内容等问题的，要求供货商对发现的问题进行整改，与供货商签订不同意收货的验收备忘录、采购合同履约验收意见书。</w:t>
      </w:r>
    </w:p>
    <w:p>
      <w:pPr>
        <w:tabs>
          <w:tab w:val="center" w:pos="7101"/>
        </w:tabs>
        <w:spacing w:line="360" w:lineRule="auto"/>
        <w:ind w:firstLine="640"/>
        <w:jc w:val="left"/>
        <w:rPr>
          <w:rFonts w:ascii="仿宋" w:hAnsi="仿宋" w:cs="仿宋"/>
          <w:szCs w:val="21"/>
        </w:rPr>
      </w:pPr>
      <w:r>
        <w:rPr>
          <w:rFonts w:hint="eastAsia" w:ascii="仿宋" w:hAnsi="仿宋" w:cs="仿宋"/>
          <w:szCs w:val="21"/>
        </w:rPr>
        <w:t>（三）对检查中发现的不属于质量、安全、一致性、不符合投标文件响应内容等问题且不影响需求单位使用实际的或验收小组提出招标文件相应内容外合理化建议的，出具同意收货的验收备忘录、采购合同履约验收意见书并明确收货后供应商整改意见。</w:t>
      </w:r>
    </w:p>
    <w:p>
      <w:pPr>
        <w:spacing w:line="360" w:lineRule="auto"/>
        <w:ind w:left="630"/>
        <w:rPr>
          <w:rFonts w:ascii="仿宋" w:hAnsi="仿宋" w:cs="仿宋"/>
          <w:szCs w:val="21"/>
        </w:rPr>
      </w:pPr>
      <w:r>
        <w:rPr>
          <w:rFonts w:hint="eastAsia" w:ascii="仿宋" w:hAnsi="仿宋" w:cs="仿宋"/>
          <w:szCs w:val="21"/>
        </w:rPr>
        <w:t>五、售后培训</w:t>
      </w:r>
    </w:p>
    <w:p>
      <w:pPr>
        <w:spacing w:line="360" w:lineRule="auto"/>
        <w:ind w:firstLine="420" w:firstLineChars="200"/>
        <w:rPr>
          <w:rFonts w:ascii="仿宋" w:hAnsi="仿宋" w:cs="仿宋"/>
          <w:szCs w:val="21"/>
        </w:rPr>
      </w:pPr>
      <w:r>
        <w:rPr>
          <w:rFonts w:hint="eastAsia" w:ascii="仿宋" w:hAnsi="仿宋" w:cs="仿宋"/>
          <w:szCs w:val="21"/>
        </w:rPr>
        <w:t>（一）技术要求强的车辆、装备应以先培训后验收形式进行，并将培训成果作为验收的一项。</w:t>
      </w:r>
    </w:p>
    <w:p>
      <w:pPr>
        <w:spacing w:line="360" w:lineRule="auto"/>
        <w:ind w:firstLine="420" w:firstLineChars="200"/>
        <w:rPr>
          <w:rFonts w:ascii="仿宋" w:hAnsi="仿宋" w:cs="仿宋"/>
          <w:szCs w:val="21"/>
        </w:rPr>
      </w:pPr>
      <w:r>
        <w:rPr>
          <w:rFonts w:hint="eastAsia" w:ascii="仿宋" w:hAnsi="仿宋" w:cs="仿宋"/>
          <w:szCs w:val="21"/>
        </w:rPr>
        <w:t>（二）对于常用车辆、装备可以采用先验收后培训的形式进行验收。</w:t>
      </w:r>
    </w:p>
    <w:p>
      <w:pPr>
        <w:spacing w:line="360" w:lineRule="auto"/>
        <w:ind w:firstLine="420" w:firstLineChars="200"/>
        <w:rPr>
          <w:rFonts w:ascii="仿宋" w:hAnsi="仿宋" w:cs="仿宋"/>
          <w:szCs w:val="21"/>
        </w:rPr>
      </w:pPr>
      <w:r>
        <w:rPr>
          <w:rFonts w:hint="eastAsia" w:ascii="仿宋" w:hAnsi="仿宋" w:cs="仿宋"/>
          <w:szCs w:val="21"/>
        </w:rPr>
        <w:t>（三）培训的具体要求按照招标文件内售后要求执行。</w:t>
      </w:r>
    </w:p>
    <w:p>
      <w:pPr>
        <w:spacing w:line="360" w:lineRule="auto"/>
        <w:ind w:firstLine="420" w:firstLineChars="200"/>
        <w:rPr>
          <w:rFonts w:ascii="仿宋" w:hAnsi="仿宋" w:cs="仿宋"/>
          <w:szCs w:val="21"/>
        </w:rPr>
      </w:pPr>
      <w:r>
        <w:rPr>
          <w:rFonts w:hint="eastAsia" w:ascii="仿宋" w:hAnsi="仿宋" w:cs="仿宋"/>
          <w:szCs w:val="21"/>
        </w:rPr>
        <w:t>六、工作要求</w:t>
      </w:r>
    </w:p>
    <w:p>
      <w:pPr>
        <w:spacing w:line="360" w:lineRule="auto"/>
        <w:ind w:firstLine="420" w:firstLineChars="200"/>
        <w:rPr>
          <w:rFonts w:ascii="仿宋" w:hAnsi="仿宋" w:cs="仿宋"/>
          <w:szCs w:val="21"/>
        </w:rPr>
      </w:pPr>
      <w:r>
        <w:rPr>
          <w:rFonts w:hint="eastAsia" w:ascii="仿宋" w:hAnsi="仿宋" w:cs="仿宋"/>
          <w:szCs w:val="21"/>
        </w:rPr>
        <w:t>（一）强化验收认识。验收小组成员要提高对车辆器材验收工作的认识，把思想统一端正，采取有效措施，确保验收工作有效开展。</w:t>
      </w:r>
    </w:p>
    <w:p>
      <w:pPr>
        <w:spacing w:line="360" w:lineRule="auto"/>
        <w:ind w:firstLine="420" w:firstLineChars="200"/>
        <w:rPr>
          <w:rFonts w:ascii="仿宋" w:hAnsi="仿宋" w:cs="仿宋"/>
          <w:szCs w:val="21"/>
        </w:rPr>
      </w:pPr>
      <w:r>
        <w:rPr>
          <w:rFonts w:hint="eastAsia" w:ascii="仿宋" w:hAnsi="仿宋" w:cs="仿宋"/>
          <w:szCs w:val="21"/>
        </w:rPr>
        <w:t>（二）强化后续保障。验收小组成员要学习车辆器材相关参数和招标文件要求，做到准确有效的验收。</w:t>
      </w:r>
    </w:p>
    <w:p>
      <w:pPr>
        <w:spacing w:line="360" w:lineRule="auto"/>
        <w:ind w:firstLine="420" w:firstLineChars="200"/>
        <w:rPr>
          <w:rFonts w:ascii="仿宋" w:hAnsi="仿宋" w:cs="仿宋"/>
          <w:kern w:val="0"/>
          <w:sz w:val="24"/>
        </w:rPr>
      </w:pPr>
      <w:r>
        <w:rPr>
          <w:rFonts w:hint="eastAsia" w:ascii="仿宋" w:hAnsi="仿宋" w:cs="仿宋"/>
          <w:szCs w:val="21"/>
        </w:rPr>
        <w:t>（三）强化信息录入。信息录入公开项目单位应将装备项目的采购公告、招标文件、中标公告、采购合同等信息在中国政府采购网发布后5日内，装备验收信息在交货后10日内，录入装备采购信息网。</w:t>
      </w:r>
      <w:r>
        <w:rPr>
          <w:rFonts w:hint="eastAsia" w:ascii="仿宋" w:hAnsi="仿宋" w:cs="仿宋"/>
          <w:kern w:val="0"/>
          <w:sz w:val="24"/>
        </w:rPr>
        <w:br w:type="page"/>
      </w:r>
    </w:p>
    <w:p>
      <w:pPr>
        <w:widowControl/>
        <w:adjustRightInd w:val="0"/>
        <w:spacing w:line="360" w:lineRule="auto"/>
        <w:jc w:val="left"/>
        <w:rPr>
          <w:rFonts w:ascii="仿宋" w:hAnsi="仿宋" w:cs="仿宋"/>
          <w:kern w:val="0"/>
          <w:sz w:val="24"/>
        </w:rPr>
      </w:pPr>
      <w:r>
        <w:rPr>
          <w:rFonts w:hint="eastAsia" w:ascii="仿宋" w:hAnsi="仿宋" w:cs="仿宋"/>
          <w:kern w:val="0"/>
          <w:sz w:val="24"/>
        </w:rPr>
        <w:t>附件5.投标文件中有关售后服务、质量保证、巡检、培训、备品清单等内容</w:t>
      </w:r>
    </w:p>
    <w:p>
      <w:pPr>
        <w:pStyle w:val="22"/>
        <w:ind w:firstLine="480"/>
        <w:rPr>
          <w:rFonts w:ascii="仿宋" w:hAnsi="仿宋" w:eastAsia="仿宋" w:cs="仿宋"/>
        </w:rPr>
      </w:pPr>
    </w:p>
    <w:p>
      <w:pPr>
        <w:rPr>
          <w:rFonts w:ascii="仿宋" w:hAnsi="仿宋" w:cs="仿宋"/>
        </w:rPr>
      </w:pPr>
    </w:p>
    <w:p>
      <w:pPr>
        <w:adjustRightInd w:val="0"/>
        <w:snapToGrid w:val="0"/>
        <w:spacing w:line="360" w:lineRule="auto"/>
        <w:rPr>
          <w:rFonts w:ascii="仿宋" w:hAnsi="仿宋" w:cs="仿宋"/>
          <w:szCs w:val="21"/>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PAGE   \* MERGEFORMAT</w:instrText>
    </w:r>
    <w:r>
      <w:fldChar w:fldCharType="separate"/>
    </w:r>
    <w:r>
      <w:rPr>
        <w:lang w:val="zh-CN"/>
      </w:rPr>
      <w:t>38</w:t>
    </w:r>
    <w: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p>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PAGE   \* MERGEFORMAT</w:instrText>
    </w:r>
    <w:r>
      <w:fldChar w:fldCharType="separate"/>
    </w:r>
    <w:r>
      <w:rPr>
        <w:lang w:val="zh-CN"/>
      </w:rPr>
      <w:t>78</w:t>
    </w:r>
    <w:r>
      <w:fldChar w:fldCharType="end"/>
    </w:r>
  </w:p>
  <w:p>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ADE1FA36"/>
    <w:multiLevelType w:val="singleLevel"/>
    <w:tmpl w:val="ADE1FA36"/>
    <w:lvl w:ilvl="0" w:tentative="0">
      <w:start w:val="5"/>
      <w:numFmt w:val="chineseCounting"/>
      <w:suff w:val="space"/>
      <w:lvlText w:val="第%1章"/>
      <w:lvlJc w:val="left"/>
      <w:rPr>
        <w:rFonts w:hint="eastAsia"/>
      </w:rPr>
    </w:lvl>
  </w:abstractNum>
  <w:abstractNum w:abstractNumId="2">
    <w:nsid w:val="B4FDF470"/>
    <w:multiLevelType w:val="singleLevel"/>
    <w:tmpl w:val="B4FDF470"/>
    <w:lvl w:ilvl="0" w:tentative="0">
      <w:start w:val="1"/>
      <w:numFmt w:val="decimal"/>
      <w:suff w:val="nothing"/>
      <w:lvlText w:val="（%1）"/>
      <w:lvlJc w:val="left"/>
    </w:lvl>
  </w:abstractNum>
  <w:abstractNum w:abstractNumId="3">
    <w:nsid w:val="B9A1E8D1"/>
    <w:multiLevelType w:val="singleLevel"/>
    <w:tmpl w:val="B9A1E8D1"/>
    <w:lvl w:ilvl="0" w:tentative="0">
      <w:start w:val="1"/>
      <w:numFmt w:val="decimal"/>
      <w:suff w:val="nothing"/>
      <w:lvlText w:val="（%1）"/>
      <w:lvlJc w:val="left"/>
    </w:lvl>
  </w:abstractNum>
  <w:abstractNum w:abstractNumId="4">
    <w:nsid w:val="EE8E3184"/>
    <w:multiLevelType w:val="singleLevel"/>
    <w:tmpl w:val="EE8E3184"/>
    <w:lvl w:ilvl="0" w:tentative="0">
      <w:start w:val="1"/>
      <w:numFmt w:val="decimal"/>
      <w:suff w:val="nothing"/>
      <w:lvlText w:val="（%1）"/>
      <w:lvlJc w:val="left"/>
    </w:lvl>
  </w:abstractNum>
  <w:abstractNum w:abstractNumId="5">
    <w:nsid w:val="23AA7479"/>
    <w:multiLevelType w:val="singleLevel"/>
    <w:tmpl w:val="23AA7479"/>
    <w:lvl w:ilvl="0" w:tentative="0">
      <w:start w:val="3"/>
      <w:numFmt w:val="chineseCounting"/>
      <w:suff w:val="nothing"/>
      <w:lvlText w:val="%1、"/>
      <w:lvlJc w:val="left"/>
      <w:rPr>
        <w:rFonts w:hint="eastAsia"/>
      </w:rPr>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B4156D0"/>
    <w:multiLevelType w:val="singleLevel"/>
    <w:tmpl w:val="7B4156D0"/>
    <w:lvl w:ilvl="0" w:tentative="0">
      <w:start w:val="1"/>
      <w:numFmt w:val="decimal"/>
      <w:suff w:val="nothing"/>
      <w:lvlText w:val="（%1）"/>
      <w:lvlJc w:val="left"/>
    </w:lvl>
  </w:abstractNum>
  <w:num w:numId="1">
    <w:abstractNumId w:val="7"/>
  </w:num>
  <w:num w:numId="2">
    <w:abstractNumId w:val="0"/>
  </w:num>
  <w:num w:numId="3">
    <w:abstractNumId w:val="3"/>
  </w:num>
  <w:num w:numId="4">
    <w:abstractNumId w:val="2"/>
  </w:num>
  <w:num w:numId="5">
    <w:abstractNumId w:val="6"/>
  </w:num>
  <w:num w:numId="6">
    <w:abstractNumId w:val="4"/>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jOGU4ZmFlMzVlODViYzk0NTg3Y2RmOGM3ZmQzNjUifQ=="/>
    <w:docVar w:name="KSO_WPS_MARK_KEY" w:val="2b13280a-6a84-43e5-877c-a494f5302d65"/>
  </w:docVars>
  <w:rsids>
    <w:rsidRoot w:val="35AB3B2B"/>
    <w:rsid w:val="00001D20"/>
    <w:rsid w:val="0000641B"/>
    <w:rsid w:val="00007440"/>
    <w:rsid w:val="000111D8"/>
    <w:rsid w:val="00017AF4"/>
    <w:rsid w:val="00017D20"/>
    <w:rsid w:val="00024251"/>
    <w:rsid w:val="000256A5"/>
    <w:rsid w:val="00026864"/>
    <w:rsid w:val="000341B1"/>
    <w:rsid w:val="000414AA"/>
    <w:rsid w:val="0004684E"/>
    <w:rsid w:val="00051172"/>
    <w:rsid w:val="00056F1E"/>
    <w:rsid w:val="00057599"/>
    <w:rsid w:val="000577D5"/>
    <w:rsid w:val="00057E41"/>
    <w:rsid w:val="00062FCE"/>
    <w:rsid w:val="00064F81"/>
    <w:rsid w:val="00065918"/>
    <w:rsid w:val="00066CC6"/>
    <w:rsid w:val="00072ED6"/>
    <w:rsid w:val="000730A7"/>
    <w:rsid w:val="00080F44"/>
    <w:rsid w:val="00084D3F"/>
    <w:rsid w:val="00092BC6"/>
    <w:rsid w:val="000935A9"/>
    <w:rsid w:val="000A696E"/>
    <w:rsid w:val="000B193A"/>
    <w:rsid w:val="000B364F"/>
    <w:rsid w:val="000B6FF4"/>
    <w:rsid w:val="000C3A16"/>
    <w:rsid w:val="000C45C0"/>
    <w:rsid w:val="000C6B1F"/>
    <w:rsid w:val="000C6CC3"/>
    <w:rsid w:val="000D0513"/>
    <w:rsid w:val="000D2859"/>
    <w:rsid w:val="000D78CA"/>
    <w:rsid w:val="000E2E67"/>
    <w:rsid w:val="000E3DED"/>
    <w:rsid w:val="000E600B"/>
    <w:rsid w:val="000E663A"/>
    <w:rsid w:val="000F0A3D"/>
    <w:rsid w:val="001006F2"/>
    <w:rsid w:val="00102A03"/>
    <w:rsid w:val="00112D2F"/>
    <w:rsid w:val="00113B59"/>
    <w:rsid w:val="0011622C"/>
    <w:rsid w:val="00121015"/>
    <w:rsid w:val="001245ED"/>
    <w:rsid w:val="00124EB2"/>
    <w:rsid w:val="00125079"/>
    <w:rsid w:val="00127CE8"/>
    <w:rsid w:val="0013200B"/>
    <w:rsid w:val="00136DDA"/>
    <w:rsid w:val="001405B0"/>
    <w:rsid w:val="001417F4"/>
    <w:rsid w:val="001461F2"/>
    <w:rsid w:val="00151823"/>
    <w:rsid w:val="001536FE"/>
    <w:rsid w:val="00153E3D"/>
    <w:rsid w:val="00154309"/>
    <w:rsid w:val="00154F3C"/>
    <w:rsid w:val="00163B9A"/>
    <w:rsid w:val="00170000"/>
    <w:rsid w:val="0017006D"/>
    <w:rsid w:val="001711BB"/>
    <w:rsid w:val="00171212"/>
    <w:rsid w:val="00175F87"/>
    <w:rsid w:val="00176C91"/>
    <w:rsid w:val="00180FAA"/>
    <w:rsid w:val="00185A20"/>
    <w:rsid w:val="00185EE5"/>
    <w:rsid w:val="0018797A"/>
    <w:rsid w:val="001954A2"/>
    <w:rsid w:val="001A10E9"/>
    <w:rsid w:val="001A345F"/>
    <w:rsid w:val="001A65D4"/>
    <w:rsid w:val="001B059B"/>
    <w:rsid w:val="001B28CD"/>
    <w:rsid w:val="001B45F6"/>
    <w:rsid w:val="001B7D94"/>
    <w:rsid w:val="001C6199"/>
    <w:rsid w:val="001C694D"/>
    <w:rsid w:val="001C7491"/>
    <w:rsid w:val="001D59D7"/>
    <w:rsid w:val="001D6499"/>
    <w:rsid w:val="001E069F"/>
    <w:rsid w:val="001E0C84"/>
    <w:rsid w:val="001E32C3"/>
    <w:rsid w:val="001E69F3"/>
    <w:rsid w:val="001F2B1F"/>
    <w:rsid w:val="001F2BEB"/>
    <w:rsid w:val="001F3ADA"/>
    <w:rsid w:val="001F68DD"/>
    <w:rsid w:val="00201287"/>
    <w:rsid w:val="00201466"/>
    <w:rsid w:val="00201D14"/>
    <w:rsid w:val="002040EE"/>
    <w:rsid w:val="0020601B"/>
    <w:rsid w:val="00207B29"/>
    <w:rsid w:val="00212157"/>
    <w:rsid w:val="002137A5"/>
    <w:rsid w:val="00220F45"/>
    <w:rsid w:val="002220C1"/>
    <w:rsid w:val="00223C9B"/>
    <w:rsid w:val="00231ECD"/>
    <w:rsid w:val="00233435"/>
    <w:rsid w:val="0023502A"/>
    <w:rsid w:val="002371EE"/>
    <w:rsid w:val="0023734B"/>
    <w:rsid w:val="00237843"/>
    <w:rsid w:val="00240C7B"/>
    <w:rsid w:val="00243720"/>
    <w:rsid w:val="00244CB1"/>
    <w:rsid w:val="00247C40"/>
    <w:rsid w:val="00250B65"/>
    <w:rsid w:val="00250B88"/>
    <w:rsid w:val="00254A05"/>
    <w:rsid w:val="00267F66"/>
    <w:rsid w:val="00275045"/>
    <w:rsid w:val="00285E04"/>
    <w:rsid w:val="00297998"/>
    <w:rsid w:val="002A0F47"/>
    <w:rsid w:val="002A262E"/>
    <w:rsid w:val="002A2B31"/>
    <w:rsid w:val="002A6B0D"/>
    <w:rsid w:val="002B0113"/>
    <w:rsid w:val="002B05AE"/>
    <w:rsid w:val="002B2B54"/>
    <w:rsid w:val="002B6D24"/>
    <w:rsid w:val="002B7C13"/>
    <w:rsid w:val="002C4CD8"/>
    <w:rsid w:val="002C79A6"/>
    <w:rsid w:val="002D095A"/>
    <w:rsid w:val="002D129E"/>
    <w:rsid w:val="002D2AE9"/>
    <w:rsid w:val="002D4872"/>
    <w:rsid w:val="002E1029"/>
    <w:rsid w:val="002E7EC5"/>
    <w:rsid w:val="002F374C"/>
    <w:rsid w:val="002F5320"/>
    <w:rsid w:val="003000ED"/>
    <w:rsid w:val="0030067B"/>
    <w:rsid w:val="00302A71"/>
    <w:rsid w:val="003149A8"/>
    <w:rsid w:val="00320240"/>
    <w:rsid w:val="003216E0"/>
    <w:rsid w:val="00321983"/>
    <w:rsid w:val="00331431"/>
    <w:rsid w:val="00332105"/>
    <w:rsid w:val="00333267"/>
    <w:rsid w:val="0034051A"/>
    <w:rsid w:val="00340D7B"/>
    <w:rsid w:val="003438BF"/>
    <w:rsid w:val="00347598"/>
    <w:rsid w:val="00347D42"/>
    <w:rsid w:val="00360290"/>
    <w:rsid w:val="00362501"/>
    <w:rsid w:val="00362E10"/>
    <w:rsid w:val="003635EA"/>
    <w:rsid w:val="003636AD"/>
    <w:rsid w:val="00373611"/>
    <w:rsid w:val="00374B41"/>
    <w:rsid w:val="0038352D"/>
    <w:rsid w:val="00385750"/>
    <w:rsid w:val="0038764A"/>
    <w:rsid w:val="003879AD"/>
    <w:rsid w:val="00393C8D"/>
    <w:rsid w:val="00396190"/>
    <w:rsid w:val="003A0A83"/>
    <w:rsid w:val="003A0C5B"/>
    <w:rsid w:val="003A51BF"/>
    <w:rsid w:val="003B3DB5"/>
    <w:rsid w:val="003B3F78"/>
    <w:rsid w:val="003C0DF2"/>
    <w:rsid w:val="003C2E8F"/>
    <w:rsid w:val="003C32AC"/>
    <w:rsid w:val="003C63A6"/>
    <w:rsid w:val="003C733F"/>
    <w:rsid w:val="003C7F66"/>
    <w:rsid w:val="003D194F"/>
    <w:rsid w:val="003D27FC"/>
    <w:rsid w:val="003D35B5"/>
    <w:rsid w:val="003E2902"/>
    <w:rsid w:val="003E3AE7"/>
    <w:rsid w:val="003E6D92"/>
    <w:rsid w:val="003F16E2"/>
    <w:rsid w:val="003F38B1"/>
    <w:rsid w:val="003F59F3"/>
    <w:rsid w:val="003F61A0"/>
    <w:rsid w:val="00402E13"/>
    <w:rsid w:val="00403226"/>
    <w:rsid w:val="00406F1A"/>
    <w:rsid w:val="0040780F"/>
    <w:rsid w:val="00414770"/>
    <w:rsid w:val="004147D2"/>
    <w:rsid w:val="00415BFE"/>
    <w:rsid w:val="00416DD9"/>
    <w:rsid w:val="0042221A"/>
    <w:rsid w:val="004242E9"/>
    <w:rsid w:val="00425155"/>
    <w:rsid w:val="00426C65"/>
    <w:rsid w:val="00427F18"/>
    <w:rsid w:val="00440750"/>
    <w:rsid w:val="00442823"/>
    <w:rsid w:val="0045483E"/>
    <w:rsid w:val="00454ECE"/>
    <w:rsid w:val="00460499"/>
    <w:rsid w:val="00460B7F"/>
    <w:rsid w:val="00462341"/>
    <w:rsid w:val="00465526"/>
    <w:rsid w:val="00465DC4"/>
    <w:rsid w:val="00466581"/>
    <w:rsid w:val="004674C3"/>
    <w:rsid w:val="00470382"/>
    <w:rsid w:val="00475DDD"/>
    <w:rsid w:val="0048013C"/>
    <w:rsid w:val="00481BAD"/>
    <w:rsid w:val="004838DC"/>
    <w:rsid w:val="00484AB5"/>
    <w:rsid w:val="00496012"/>
    <w:rsid w:val="0049745C"/>
    <w:rsid w:val="004A1A92"/>
    <w:rsid w:val="004A1D8B"/>
    <w:rsid w:val="004A685B"/>
    <w:rsid w:val="004A71B7"/>
    <w:rsid w:val="004B44C2"/>
    <w:rsid w:val="004B61F8"/>
    <w:rsid w:val="004C5563"/>
    <w:rsid w:val="004C6064"/>
    <w:rsid w:val="004C6411"/>
    <w:rsid w:val="004E2C91"/>
    <w:rsid w:val="004E3769"/>
    <w:rsid w:val="004E3DB9"/>
    <w:rsid w:val="004E403A"/>
    <w:rsid w:val="004E4BAC"/>
    <w:rsid w:val="004E524B"/>
    <w:rsid w:val="004F4E14"/>
    <w:rsid w:val="005009A0"/>
    <w:rsid w:val="005018C5"/>
    <w:rsid w:val="00501AE6"/>
    <w:rsid w:val="00502E90"/>
    <w:rsid w:val="00506285"/>
    <w:rsid w:val="00507A86"/>
    <w:rsid w:val="005113B8"/>
    <w:rsid w:val="00513444"/>
    <w:rsid w:val="00516823"/>
    <w:rsid w:val="00516FC2"/>
    <w:rsid w:val="005227FD"/>
    <w:rsid w:val="00525BD0"/>
    <w:rsid w:val="00537776"/>
    <w:rsid w:val="00543E38"/>
    <w:rsid w:val="005448AD"/>
    <w:rsid w:val="00545AFF"/>
    <w:rsid w:val="00552A48"/>
    <w:rsid w:val="005551B0"/>
    <w:rsid w:val="005553C9"/>
    <w:rsid w:val="0055604D"/>
    <w:rsid w:val="0055608C"/>
    <w:rsid w:val="005570A2"/>
    <w:rsid w:val="0056074F"/>
    <w:rsid w:val="00566384"/>
    <w:rsid w:val="00567CAA"/>
    <w:rsid w:val="00567FC9"/>
    <w:rsid w:val="00574B44"/>
    <w:rsid w:val="005756BA"/>
    <w:rsid w:val="00575A00"/>
    <w:rsid w:val="00575F8E"/>
    <w:rsid w:val="005809F6"/>
    <w:rsid w:val="00581FD9"/>
    <w:rsid w:val="005820E7"/>
    <w:rsid w:val="00584C97"/>
    <w:rsid w:val="0059272D"/>
    <w:rsid w:val="00593905"/>
    <w:rsid w:val="005939F9"/>
    <w:rsid w:val="005A1209"/>
    <w:rsid w:val="005B47F2"/>
    <w:rsid w:val="005B7018"/>
    <w:rsid w:val="005C11FC"/>
    <w:rsid w:val="005C58A7"/>
    <w:rsid w:val="005D3414"/>
    <w:rsid w:val="005D49FC"/>
    <w:rsid w:val="005D523F"/>
    <w:rsid w:val="005E4A02"/>
    <w:rsid w:val="005E710A"/>
    <w:rsid w:val="005F2452"/>
    <w:rsid w:val="005F2DC6"/>
    <w:rsid w:val="005F3121"/>
    <w:rsid w:val="005F74FD"/>
    <w:rsid w:val="006072BB"/>
    <w:rsid w:val="00613AD2"/>
    <w:rsid w:val="0062157E"/>
    <w:rsid w:val="006279B9"/>
    <w:rsid w:val="006314BF"/>
    <w:rsid w:val="00633CA8"/>
    <w:rsid w:val="00635F97"/>
    <w:rsid w:val="00636D14"/>
    <w:rsid w:val="00640136"/>
    <w:rsid w:val="0064074B"/>
    <w:rsid w:val="00642EAC"/>
    <w:rsid w:val="00644184"/>
    <w:rsid w:val="006468D1"/>
    <w:rsid w:val="00646E85"/>
    <w:rsid w:val="00650C7C"/>
    <w:rsid w:val="0065463C"/>
    <w:rsid w:val="006546F2"/>
    <w:rsid w:val="00662BF2"/>
    <w:rsid w:val="0066795B"/>
    <w:rsid w:val="00670E87"/>
    <w:rsid w:val="0067657A"/>
    <w:rsid w:val="006836A4"/>
    <w:rsid w:val="00684C44"/>
    <w:rsid w:val="006872FE"/>
    <w:rsid w:val="006901E5"/>
    <w:rsid w:val="0069059A"/>
    <w:rsid w:val="00691C08"/>
    <w:rsid w:val="0069767F"/>
    <w:rsid w:val="006A5FBF"/>
    <w:rsid w:val="006B2896"/>
    <w:rsid w:val="006C5246"/>
    <w:rsid w:val="006C78CF"/>
    <w:rsid w:val="006D4E40"/>
    <w:rsid w:val="006D5B4F"/>
    <w:rsid w:val="006D698C"/>
    <w:rsid w:val="006E3DB9"/>
    <w:rsid w:val="006E5550"/>
    <w:rsid w:val="006E62A7"/>
    <w:rsid w:val="006F0602"/>
    <w:rsid w:val="006F22A5"/>
    <w:rsid w:val="006F5C69"/>
    <w:rsid w:val="006F6BC3"/>
    <w:rsid w:val="006F78CE"/>
    <w:rsid w:val="0070077B"/>
    <w:rsid w:val="007221EC"/>
    <w:rsid w:val="007272CA"/>
    <w:rsid w:val="0073017F"/>
    <w:rsid w:val="007304F0"/>
    <w:rsid w:val="0073594D"/>
    <w:rsid w:val="00741475"/>
    <w:rsid w:val="00741BF4"/>
    <w:rsid w:val="00754838"/>
    <w:rsid w:val="00764EE8"/>
    <w:rsid w:val="00781077"/>
    <w:rsid w:val="00784140"/>
    <w:rsid w:val="007A6C0D"/>
    <w:rsid w:val="007B4DD2"/>
    <w:rsid w:val="007C2CCC"/>
    <w:rsid w:val="007D0A2A"/>
    <w:rsid w:val="007D5D7B"/>
    <w:rsid w:val="007F14E4"/>
    <w:rsid w:val="007F1855"/>
    <w:rsid w:val="007F18A5"/>
    <w:rsid w:val="007F315A"/>
    <w:rsid w:val="007F5AA0"/>
    <w:rsid w:val="007F5AC9"/>
    <w:rsid w:val="007F5EB2"/>
    <w:rsid w:val="007F774A"/>
    <w:rsid w:val="007F77B7"/>
    <w:rsid w:val="00800D26"/>
    <w:rsid w:val="00803A51"/>
    <w:rsid w:val="00804207"/>
    <w:rsid w:val="00805FCD"/>
    <w:rsid w:val="00810AF7"/>
    <w:rsid w:val="00821ADA"/>
    <w:rsid w:val="008271AC"/>
    <w:rsid w:val="00827A12"/>
    <w:rsid w:val="00827EF8"/>
    <w:rsid w:val="008341E6"/>
    <w:rsid w:val="0085543B"/>
    <w:rsid w:val="0085740E"/>
    <w:rsid w:val="00876A74"/>
    <w:rsid w:val="00885FE6"/>
    <w:rsid w:val="008A07F8"/>
    <w:rsid w:val="008A616A"/>
    <w:rsid w:val="008A6ACB"/>
    <w:rsid w:val="008D1E72"/>
    <w:rsid w:val="008D20AA"/>
    <w:rsid w:val="008D297F"/>
    <w:rsid w:val="008D2B28"/>
    <w:rsid w:val="008D32DE"/>
    <w:rsid w:val="008D561D"/>
    <w:rsid w:val="008E1F6C"/>
    <w:rsid w:val="008E20CD"/>
    <w:rsid w:val="008E37AC"/>
    <w:rsid w:val="008E5B7A"/>
    <w:rsid w:val="008F249C"/>
    <w:rsid w:val="008F2CA2"/>
    <w:rsid w:val="008F4A8F"/>
    <w:rsid w:val="008F6E80"/>
    <w:rsid w:val="008F7CA4"/>
    <w:rsid w:val="00900E6A"/>
    <w:rsid w:val="00905216"/>
    <w:rsid w:val="0091415F"/>
    <w:rsid w:val="00914AE2"/>
    <w:rsid w:val="00921280"/>
    <w:rsid w:val="00925E22"/>
    <w:rsid w:val="00931C17"/>
    <w:rsid w:val="00935C54"/>
    <w:rsid w:val="00936C49"/>
    <w:rsid w:val="00942887"/>
    <w:rsid w:val="00944572"/>
    <w:rsid w:val="00946992"/>
    <w:rsid w:val="0094701F"/>
    <w:rsid w:val="00952F84"/>
    <w:rsid w:val="00953227"/>
    <w:rsid w:val="00955D5A"/>
    <w:rsid w:val="00960EE4"/>
    <w:rsid w:val="00963FBF"/>
    <w:rsid w:val="0097162B"/>
    <w:rsid w:val="00972B5B"/>
    <w:rsid w:val="00972B8A"/>
    <w:rsid w:val="009740DF"/>
    <w:rsid w:val="00984150"/>
    <w:rsid w:val="0098744A"/>
    <w:rsid w:val="00987F43"/>
    <w:rsid w:val="00990911"/>
    <w:rsid w:val="0099429C"/>
    <w:rsid w:val="00994CC8"/>
    <w:rsid w:val="009956C5"/>
    <w:rsid w:val="00995B38"/>
    <w:rsid w:val="009A14B1"/>
    <w:rsid w:val="009A3A1B"/>
    <w:rsid w:val="009A5F69"/>
    <w:rsid w:val="009A70BD"/>
    <w:rsid w:val="009B380B"/>
    <w:rsid w:val="009B39AE"/>
    <w:rsid w:val="009C6A42"/>
    <w:rsid w:val="009E185F"/>
    <w:rsid w:val="009E428A"/>
    <w:rsid w:val="009E5033"/>
    <w:rsid w:val="009E7630"/>
    <w:rsid w:val="009F020E"/>
    <w:rsid w:val="009F3722"/>
    <w:rsid w:val="009F4690"/>
    <w:rsid w:val="009F668F"/>
    <w:rsid w:val="00A047D9"/>
    <w:rsid w:val="00A05D3C"/>
    <w:rsid w:val="00A155F7"/>
    <w:rsid w:val="00A20495"/>
    <w:rsid w:val="00A237C2"/>
    <w:rsid w:val="00A2647B"/>
    <w:rsid w:val="00A2757B"/>
    <w:rsid w:val="00A27ED3"/>
    <w:rsid w:val="00A30936"/>
    <w:rsid w:val="00A32160"/>
    <w:rsid w:val="00A349D1"/>
    <w:rsid w:val="00A413A6"/>
    <w:rsid w:val="00A429CD"/>
    <w:rsid w:val="00A452FC"/>
    <w:rsid w:val="00A6193E"/>
    <w:rsid w:val="00A62A79"/>
    <w:rsid w:val="00A65485"/>
    <w:rsid w:val="00A71F97"/>
    <w:rsid w:val="00A728B9"/>
    <w:rsid w:val="00A72AA0"/>
    <w:rsid w:val="00A82127"/>
    <w:rsid w:val="00A91E39"/>
    <w:rsid w:val="00A92B37"/>
    <w:rsid w:val="00A960E6"/>
    <w:rsid w:val="00AA11E5"/>
    <w:rsid w:val="00AA2D9E"/>
    <w:rsid w:val="00AA4459"/>
    <w:rsid w:val="00AA53A6"/>
    <w:rsid w:val="00AA6246"/>
    <w:rsid w:val="00AA75B1"/>
    <w:rsid w:val="00AB297E"/>
    <w:rsid w:val="00AC40D9"/>
    <w:rsid w:val="00AC41EB"/>
    <w:rsid w:val="00AC4735"/>
    <w:rsid w:val="00AC4F4E"/>
    <w:rsid w:val="00AD0D2A"/>
    <w:rsid w:val="00AD58F8"/>
    <w:rsid w:val="00AE1992"/>
    <w:rsid w:val="00AE6103"/>
    <w:rsid w:val="00AF622C"/>
    <w:rsid w:val="00AF702F"/>
    <w:rsid w:val="00B12FC7"/>
    <w:rsid w:val="00B31D6E"/>
    <w:rsid w:val="00B34597"/>
    <w:rsid w:val="00B34B5B"/>
    <w:rsid w:val="00B35BD1"/>
    <w:rsid w:val="00B45EAC"/>
    <w:rsid w:val="00B4607D"/>
    <w:rsid w:val="00B47161"/>
    <w:rsid w:val="00B47A77"/>
    <w:rsid w:val="00B575C4"/>
    <w:rsid w:val="00B63443"/>
    <w:rsid w:val="00B73DD6"/>
    <w:rsid w:val="00B75D8E"/>
    <w:rsid w:val="00B82712"/>
    <w:rsid w:val="00B83BBD"/>
    <w:rsid w:val="00B85153"/>
    <w:rsid w:val="00B9112D"/>
    <w:rsid w:val="00B9697B"/>
    <w:rsid w:val="00BA4029"/>
    <w:rsid w:val="00BA498E"/>
    <w:rsid w:val="00BA7264"/>
    <w:rsid w:val="00BA7453"/>
    <w:rsid w:val="00BB1D83"/>
    <w:rsid w:val="00BB241E"/>
    <w:rsid w:val="00BB3858"/>
    <w:rsid w:val="00BB5E97"/>
    <w:rsid w:val="00BB6719"/>
    <w:rsid w:val="00BB6AEE"/>
    <w:rsid w:val="00BC22DA"/>
    <w:rsid w:val="00BC393A"/>
    <w:rsid w:val="00BC3F19"/>
    <w:rsid w:val="00BD03EB"/>
    <w:rsid w:val="00BD33BA"/>
    <w:rsid w:val="00BD7FD1"/>
    <w:rsid w:val="00BE1B5D"/>
    <w:rsid w:val="00BE29C8"/>
    <w:rsid w:val="00BE3E71"/>
    <w:rsid w:val="00BE694E"/>
    <w:rsid w:val="00BF2574"/>
    <w:rsid w:val="00BF4409"/>
    <w:rsid w:val="00BF5725"/>
    <w:rsid w:val="00BF5B6B"/>
    <w:rsid w:val="00BF5DF5"/>
    <w:rsid w:val="00BF6D8F"/>
    <w:rsid w:val="00C041B7"/>
    <w:rsid w:val="00C160E3"/>
    <w:rsid w:val="00C16AB5"/>
    <w:rsid w:val="00C23B79"/>
    <w:rsid w:val="00C24DC8"/>
    <w:rsid w:val="00C25539"/>
    <w:rsid w:val="00C2639B"/>
    <w:rsid w:val="00C27808"/>
    <w:rsid w:val="00C30898"/>
    <w:rsid w:val="00C31EC7"/>
    <w:rsid w:val="00C33EEC"/>
    <w:rsid w:val="00C36881"/>
    <w:rsid w:val="00C47BDC"/>
    <w:rsid w:val="00C52469"/>
    <w:rsid w:val="00C545E2"/>
    <w:rsid w:val="00C6439D"/>
    <w:rsid w:val="00C65295"/>
    <w:rsid w:val="00C6664C"/>
    <w:rsid w:val="00C66946"/>
    <w:rsid w:val="00C70B7D"/>
    <w:rsid w:val="00C7297A"/>
    <w:rsid w:val="00C7506A"/>
    <w:rsid w:val="00C9111A"/>
    <w:rsid w:val="00C9148F"/>
    <w:rsid w:val="00C95877"/>
    <w:rsid w:val="00C9700C"/>
    <w:rsid w:val="00CA1B28"/>
    <w:rsid w:val="00CA1CED"/>
    <w:rsid w:val="00CA232C"/>
    <w:rsid w:val="00CA5149"/>
    <w:rsid w:val="00CA7336"/>
    <w:rsid w:val="00CB3A08"/>
    <w:rsid w:val="00CB4999"/>
    <w:rsid w:val="00CC73A8"/>
    <w:rsid w:val="00CC7443"/>
    <w:rsid w:val="00CD2E54"/>
    <w:rsid w:val="00CD595F"/>
    <w:rsid w:val="00CE57F7"/>
    <w:rsid w:val="00CE7541"/>
    <w:rsid w:val="00CF06D6"/>
    <w:rsid w:val="00CF52DD"/>
    <w:rsid w:val="00CF5357"/>
    <w:rsid w:val="00CF77F2"/>
    <w:rsid w:val="00D01EB5"/>
    <w:rsid w:val="00D0461A"/>
    <w:rsid w:val="00D20DC8"/>
    <w:rsid w:val="00D22BD0"/>
    <w:rsid w:val="00D249CE"/>
    <w:rsid w:val="00D27E85"/>
    <w:rsid w:val="00D31B95"/>
    <w:rsid w:val="00D31C69"/>
    <w:rsid w:val="00D33D22"/>
    <w:rsid w:val="00D34A65"/>
    <w:rsid w:val="00D401F6"/>
    <w:rsid w:val="00D411F2"/>
    <w:rsid w:val="00D44146"/>
    <w:rsid w:val="00D44A1E"/>
    <w:rsid w:val="00D519BD"/>
    <w:rsid w:val="00D52014"/>
    <w:rsid w:val="00D528AD"/>
    <w:rsid w:val="00D602FB"/>
    <w:rsid w:val="00D60B11"/>
    <w:rsid w:val="00D65C4C"/>
    <w:rsid w:val="00D70A03"/>
    <w:rsid w:val="00D70FDD"/>
    <w:rsid w:val="00D81F13"/>
    <w:rsid w:val="00D83E39"/>
    <w:rsid w:val="00D8435D"/>
    <w:rsid w:val="00D85037"/>
    <w:rsid w:val="00D85390"/>
    <w:rsid w:val="00D87717"/>
    <w:rsid w:val="00D95734"/>
    <w:rsid w:val="00DA1A59"/>
    <w:rsid w:val="00DA3619"/>
    <w:rsid w:val="00DA4744"/>
    <w:rsid w:val="00DA4E96"/>
    <w:rsid w:val="00DB10A5"/>
    <w:rsid w:val="00DB2EC4"/>
    <w:rsid w:val="00DB3C73"/>
    <w:rsid w:val="00DB41F3"/>
    <w:rsid w:val="00DC6127"/>
    <w:rsid w:val="00DD084B"/>
    <w:rsid w:val="00DD769A"/>
    <w:rsid w:val="00DE1771"/>
    <w:rsid w:val="00DE76CC"/>
    <w:rsid w:val="00E01590"/>
    <w:rsid w:val="00E0524F"/>
    <w:rsid w:val="00E13885"/>
    <w:rsid w:val="00E173B1"/>
    <w:rsid w:val="00E23A64"/>
    <w:rsid w:val="00E259A1"/>
    <w:rsid w:val="00E31078"/>
    <w:rsid w:val="00E334F5"/>
    <w:rsid w:val="00E42AF4"/>
    <w:rsid w:val="00E4425F"/>
    <w:rsid w:val="00E461B4"/>
    <w:rsid w:val="00E51C75"/>
    <w:rsid w:val="00E6211C"/>
    <w:rsid w:val="00E71B27"/>
    <w:rsid w:val="00E73294"/>
    <w:rsid w:val="00E80304"/>
    <w:rsid w:val="00E83E68"/>
    <w:rsid w:val="00E854C0"/>
    <w:rsid w:val="00E8779E"/>
    <w:rsid w:val="00E9634E"/>
    <w:rsid w:val="00E96DA4"/>
    <w:rsid w:val="00EA3F4A"/>
    <w:rsid w:val="00EA4917"/>
    <w:rsid w:val="00EA5093"/>
    <w:rsid w:val="00EA6FE2"/>
    <w:rsid w:val="00EB4AC1"/>
    <w:rsid w:val="00EB5386"/>
    <w:rsid w:val="00EB5A60"/>
    <w:rsid w:val="00EC77B7"/>
    <w:rsid w:val="00ED2EE8"/>
    <w:rsid w:val="00ED40CF"/>
    <w:rsid w:val="00ED617D"/>
    <w:rsid w:val="00ED7BEC"/>
    <w:rsid w:val="00EE5727"/>
    <w:rsid w:val="00EE68FA"/>
    <w:rsid w:val="00EF29D6"/>
    <w:rsid w:val="00EF36D4"/>
    <w:rsid w:val="00EF4A8C"/>
    <w:rsid w:val="00F016CB"/>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701C"/>
    <w:rsid w:val="00F40E4C"/>
    <w:rsid w:val="00F44C10"/>
    <w:rsid w:val="00F5163C"/>
    <w:rsid w:val="00F5200B"/>
    <w:rsid w:val="00F61503"/>
    <w:rsid w:val="00F638A8"/>
    <w:rsid w:val="00F64DEA"/>
    <w:rsid w:val="00F67C2D"/>
    <w:rsid w:val="00F73FB6"/>
    <w:rsid w:val="00F7590E"/>
    <w:rsid w:val="00F94824"/>
    <w:rsid w:val="00F95A7E"/>
    <w:rsid w:val="00FA05F0"/>
    <w:rsid w:val="00FA1398"/>
    <w:rsid w:val="00FA14CF"/>
    <w:rsid w:val="00FB6998"/>
    <w:rsid w:val="00FC15F9"/>
    <w:rsid w:val="00FC6CD4"/>
    <w:rsid w:val="00FC7FD4"/>
    <w:rsid w:val="00FD12D5"/>
    <w:rsid w:val="00FD57C2"/>
    <w:rsid w:val="00FE0B56"/>
    <w:rsid w:val="00FE3377"/>
    <w:rsid w:val="00FE5B5E"/>
    <w:rsid w:val="00FF2C4E"/>
    <w:rsid w:val="00FF75E6"/>
    <w:rsid w:val="01007E42"/>
    <w:rsid w:val="011A69FC"/>
    <w:rsid w:val="01275D20"/>
    <w:rsid w:val="014712E4"/>
    <w:rsid w:val="01687703"/>
    <w:rsid w:val="01735482"/>
    <w:rsid w:val="017734C4"/>
    <w:rsid w:val="018239F6"/>
    <w:rsid w:val="01864D83"/>
    <w:rsid w:val="0198291B"/>
    <w:rsid w:val="019A5532"/>
    <w:rsid w:val="01C94F17"/>
    <w:rsid w:val="01CB3F63"/>
    <w:rsid w:val="01E2462E"/>
    <w:rsid w:val="01F376F8"/>
    <w:rsid w:val="02075790"/>
    <w:rsid w:val="02340997"/>
    <w:rsid w:val="02566600"/>
    <w:rsid w:val="02781BC8"/>
    <w:rsid w:val="028E237A"/>
    <w:rsid w:val="029E162E"/>
    <w:rsid w:val="029E7AD0"/>
    <w:rsid w:val="02A16E70"/>
    <w:rsid w:val="02F545EC"/>
    <w:rsid w:val="02FA30D3"/>
    <w:rsid w:val="03090322"/>
    <w:rsid w:val="032759B1"/>
    <w:rsid w:val="032E5674"/>
    <w:rsid w:val="03653EFA"/>
    <w:rsid w:val="036D74E6"/>
    <w:rsid w:val="036F159C"/>
    <w:rsid w:val="0382266E"/>
    <w:rsid w:val="03A07AD7"/>
    <w:rsid w:val="03A85BF6"/>
    <w:rsid w:val="03AB77B8"/>
    <w:rsid w:val="03C230FA"/>
    <w:rsid w:val="03E2379C"/>
    <w:rsid w:val="03EC73DD"/>
    <w:rsid w:val="03F74936"/>
    <w:rsid w:val="040F5838"/>
    <w:rsid w:val="042A346F"/>
    <w:rsid w:val="045F4DED"/>
    <w:rsid w:val="04745109"/>
    <w:rsid w:val="047649DE"/>
    <w:rsid w:val="04785EAF"/>
    <w:rsid w:val="049D565A"/>
    <w:rsid w:val="04A942BA"/>
    <w:rsid w:val="04AC72EC"/>
    <w:rsid w:val="04AF71C7"/>
    <w:rsid w:val="04CE5ACF"/>
    <w:rsid w:val="04D05CEB"/>
    <w:rsid w:val="04E204B9"/>
    <w:rsid w:val="04E90B5B"/>
    <w:rsid w:val="04ED064B"/>
    <w:rsid w:val="05143E2A"/>
    <w:rsid w:val="05190704"/>
    <w:rsid w:val="052D4EEB"/>
    <w:rsid w:val="05343452"/>
    <w:rsid w:val="057B7AFF"/>
    <w:rsid w:val="0580226C"/>
    <w:rsid w:val="05946925"/>
    <w:rsid w:val="05946D18"/>
    <w:rsid w:val="059B2E14"/>
    <w:rsid w:val="05AA531D"/>
    <w:rsid w:val="05C5252D"/>
    <w:rsid w:val="05CD3179"/>
    <w:rsid w:val="05D067D9"/>
    <w:rsid w:val="05EE786C"/>
    <w:rsid w:val="05F652DD"/>
    <w:rsid w:val="05F94DCD"/>
    <w:rsid w:val="05FE190F"/>
    <w:rsid w:val="05FF6C49"/>
    <w:rsid w:val="060C2D53"/>
    <w:rsid w:val="0619721E"/>
    <w:rsid w:val="061D59FD"/>
    <w:rsid w:val="062407B0"/>
    <w:rsid w:val="062E4A77"/>
    <w:rsid w:val="06306B73"/>
    <w:rsid w:val="064C13A1"/>
    <w:rsid w:val="06624ACB"/>
    <w:rsid w:val="06750C66"/>
    <w:rsid w:val="069F41B1"/>
    <w:rsid w:val="06A22F18"/>
    <w:rsid w:val="06AB60C8"/>
    <w:rsid w:val="06C206D6"/>
    <w:rsid w:val="06C207AA"/>
    <w:rsid w:val="06DB7470"/>
    <w:rsid w:val="06DC5839"/>
    <w:rsid w:val="06EF58D3"/>
    <w:rsid w:val="07026F93"/>
    <w:rsid w:val="07041C7C"/>
    <w:rsid w:val="07116147"/>
    <w:rsid w:val="071435BA"/>
    <w:rsid w:val="072E6CF9"/>
    <w:rsid w:val="07585B24"/>
    <w:rsid w:val="075E76FE"/>
    <w:rsid w:val="07824CBE"/>
    <w:rsid w:val="079B0BC0"/>
    <w:rsid w:val="079E79DA"/>
    <w:rsid w:val="07AF458F"/>
    <w:rsid w:val="07B34DB3"/>
    <w:rsid w:val="07B93C3D"/>
    <w:rsid w:val="07F751B7"/>
    <w:rsid w:val="07FA3C26"/>
    <w:rsid w:val="07FD36EB"/>
    <w:rsid w:val="08027033"/>
    <w:rsid w:val="08510EF1"/>
    <w:rsid w:val="0855720F"/>
    <w:rsid w:val="085B4F44"/>
    <w:rsid w:val="08844E22"/>
    <w:rsid w:val="08894C98"/>
    <w:rsid w:val="088D5F5C"/>
    <w:rsid w:val="08A26242"/>
    <w:rsid w:val="08A81DAE"/>
    <w:rsid w:val="08CA47FF"/>
    <w:rsid w:val="091151DF"/>
    <w:rsid w:val="092E61CC"/>
    <w:rsid w:val="0941245A"/>
    <w:rsid w:val="094C565A"/>
    <w:rsid w:val="09642C78"/>
    <w:rsid w:val="096D5AA7"/>
    <w:rsid w:val="09714591"/>
    <w:rsid w:val="0997077C"/>
    <w:rsid w:val="09976DD7"/>
    <w:rsid w:val="099867F6"/>
    <w:rsid w:val="099C43EE"/>
    <w:rsid w:val="099E72E2"/>
    <w:rsid w:val="09A45050"/>
    <w:rsid w:val="09BC7504"/>
    <w:rsid w:val="09C15C02"/>
    <w:rsid w:val="09D678FF"/>
    <w:rsid w:val="09FC30DE"/>
    <w:rsid w:val="09FD11BF"/>
    <w:rsid w:val="0A00497C"/>
    <w:rsid w:val="0A0E39C6"/>
    <w:rsid w:val="0A13499B"/>
    <w:rsid w:val="0A206DCD"/>
    <w:rsid w:val="0A260FC3"/>
    <w:rsid w:val="0A2B6A3F"/>
    <w:rsid w:val="0A334D12"/>
    <w:rsid w:val="0A6071C9"/>
    <w:rsid w:val="0A6273E5"/>
    <w:rsid w:val="0A643AC5"/>
    <w:rsid w:val="0A682522"/>
    <w:rsid w:val="0A717628"/>
    <w:rsid w:val="0AA84D20"/>
    <w:rsid w:val="0AB06915"/>
    <w:rsid w:val="0AB823C4"/>
    <w:rsid w:val="0ACA4546"/>
    <w:rsid w:val="0AF10769"/>
    <w:rsid w:val="0AF5044E"/>
    <w:rsid w:val="0B00275A"/>
    <w:rsid w:val="0B14682F"/>
    <w:rsid w:val="0B3D39AE"/>
    <w:rsid w:val="0B6A1E8E"/>
    <w:rsid w:val="0B772A1C"/>
    <w:rsid w:val="0B825441"/>
    <w:rsid w:val="0B945133"/>
    <w:rsid w:val="0BA525D8"/>
    <w:rsid w:val="0BD50CE3"/>
    <w:rsid w:val="0BE75DCB"/>
    <w:rsid w:val="0BF40511"/>
    <w:rsid w:val="0BF55B92"/>
    <w:rsid w:val="0C236C56"/>
    <w:rsid w:val="0C2F6006"/>
    <w:rsid w:val="0C426CB3"/>
    <w:rsid w:val="0C4A0E8C"/>
    <w:rsid w:val="0C5056AF"/>
    <w:rsid w:val="0C5B02F8"/>
    <w:rsid w:val="0C5B37C6"/>
    <w:rsid w:val="0C602928"/>
    <w:rsid w:val="0C6375E7"/>
    <w:rsid w:val="0C8352C9"/>
    <w:rsid w:val="0C88726E"/>
    <w:rsid w:val="0C954445"/>
    <w:rsid w:val="0C970E9C"/>
    <w:rsid w:val="0C9814B5"/>
    <w:rsid w:val="0CCB7B51"/>
    <w:rsid w:val="0CCE23B0"/>
    <w:rsid w:val="0CD8398F"/>
    <w:rsid w:val="0CE866DD"/>
    <w:rsid w:val="0D1F336B"/>
    <w:rsid w:val="0D2210AE"/>
    <w:rsid w:val="0D270472"/>
    <w:rsid w:val="0D2848D8"/>
    <w:rsid w:val="0D350DE1"/>
    <w:rsid w:val="0D416E49"/>
    <w:rsid w:val="0D461A52"/>
    <w:rsid w:val="0D5B2BA8"/>
    <w:rsid w:val="0D643474"/>
    <w:rsid w:val="0D690915"/>
    <w:rsid w:val="0D6D4DC9"/>
    <w:rsid w:val="0D7731A8"/>
    <w:rsid w:val="0D7C07BE"/>
    <w:rsid w:val="0D8F1B47"/>
    <w:rsid w:val="0DA0360B"/>
    <w:rsid w:val="0DA47700"/>
    <w:rsid w:val="0DB55C17"/>
    <w:rsid w:val="0DBA2B6B"/>
    <w:rsid w:val="0DC134A7"/>
    <w:rsid w:val="0DC31AF9"/>
    <w:rsid w:val="0DF06AB6"/>
    <w:rsid w:val="0DF465A6"/>
    <w:rsid w:val="0E3837AB"/>
    <w:rsid w:val="0E422B0F"/>
    <w:rsid w:val="0E440BB0"/>
    <w:rsid w:val="0E4D03C4"/>
    <w:rsid w:val="0E512BF8"/>
    <w:rsid w:val="0E7B44CD"/>
    <w:rsid w:val="0E7E2310"/>
    <w:rsid w:val="0EA37FCC"/>
    <w:rsid w:val="0ED879FC"/>
    <w:rsid w:val="0EE04D7C"/>
    <w:rsid w:val="0EED50EF"/>
    <w:rsid w:val="0EF37672"/>
    <w:rsid w:val="0EF46240"/>
    <w:rsid w:val="0F0337F8"/>
    <w:rsid w:val="0F17035E"/>
    <w:rsid w:val="0F1964F3"/>
    <w:rsid w:val="0F2729AB"/>
    <w:rsid w:val="0F465E03"/>
    <w:rsid w:val="0F5002B6"/>
    <w:rsid w:val="0F5C1D51"/>
    <w:rsid w:val="0F5F2145"/>
    <w:rsid w:val="0F620FFF"/>
    <w:rsid w:val="0F634E4C"/>
    <w:rsid w:val="0F681E22"/>
    <w:rsid w:val="0F6C20F8"/>
    <w:rsid w:val="0F76748F"/>
    <w:rsid w:val="0F781459"/>
    <w:rsid w:val="0F9262E5"/>
    <w:rsid w:val="0FC73D66"/>
    <w:rsid w:val="0FCB51A9"/>
    <w:rsid w:val="0FEE60A0"/>
    <w:rsid w:val="1000028B"/>
    <w:rsid w:val="100B5B75"/>
    <w:rsid w:val="10390CED"/>
    <w:rsid w:val="103A1507"/>
    <w:rsid w:val="10406B96"/>
    <w:rsid w:val="105105A4"/>
    <w:rsid w:val="1068565D"/>
    <w:rsid w:val="10797991"/>
    <w:rsid w:val="108D7FEC"/>
    <w:rsid w:val="10914580"/>
    <w:rsid w:val="10A162CC"/>
    <w:rsid w:val="10A83678"/>
    <w:rsid w:val="10C34A85"/>
    <w:rsid w:val="10C42E3F"/>
    <w:rsid w:val="10C6145D"/>
    <w:rsid w:val="10EA5A19"/>
    <w:rsid w:val="10EB0A61"/>
    <w:rsid w:val="10F96CD3"/>
    <w:rsid w:val="10FA4E14"/>
    <w:rsid w:val="110662B7"/>
    <w:rsid w:val="110D477C"/>
    <w:rsid w:val="111125C9"/>
    <w:rsid w:val="11230728"/>
    <w:rsid w:val="114317C8"/>
    <w:rsid w:val="114A0BD3"/>
    <w:rsid w:val="11504EEC"/>
    <w:rsid w:val="11511F61"/>
    <w:rsid w:val="11621A79"/>
    <w:rsid w:val="117E3EBF"/>
    <w:rsid w:val="11921F79"/>
    <w:rsid w:val="119A07D7"/>
    <w:rsid w:val="11A63895"/>
    <w:rsid w:val="11AA0E33"/>
    <w:rsid w:val="11C444E1"/>
    <w:rsid w:val="11D465DE"/>
    <w:rsid w:val="11DB026D"/>
    <w:rsid w:val="11F35E10"/>
    <w:rsid w:val="121E003E"/>
    <w:rsid w:val="123238F4"/>
    <w:rsid w:val="124C253A"/>
    <w:rsid w:val="124E6914"/>
    <w:rsid w:val="125A6F14"/>
    <w:rsid w:val="1273400A"/>
    <w:rsid w:val="128131B4"/>
    <w:rsid w:val="128276A4"/>
    <w:rsid w:val="12844F0A"/>
    <w:rsid w:val="12871737"/>
    <w:rsid w:val="12995F82"/>
    <w:rsid w:val="12B45137"/>
    <w:rsid w:val="12BB58E4"/>
    <w:rsid w:val="12C03CD9"/>
    <w:rsid w:val="12D84CD4"/>
    <w:rsid w:val="12F450A8"/>
    <w:rsid w:val="12F51579"/>
    <w:rsid w:val="12FD7CCA"/>
    <w:rsid w:val="13042B7A"/>
    <w:rsid w:val="131119A8"/>
    <w:rsid w:val="13167841"/>
    <w:rsid w:val="131909C4"/>
    <w:rsid w:val="131B30E8"/>
    <w:rsid w:val="131F2662"/>
    <w:rsid w:val="13250FB0"/>
    <w:rsid w:val="13363E1E"/>
    <w:rsid w:val="136A10B9"/>
    <w:rsid w:val="13701A76"/>
    <w:rsid w:val="13712447"/>
    <w:rsid w:val="137139DD"/>
    <w:rsid w:val="1379754E"/>
    <w:rsid w:val="137F2DB6"/>
    <w:rsid w:val="13866FE1"/>
    <w:rsid w:val="13A445CA"/>
    <w:rsid w:val="13B14F39"/>
    <w:rsid w:val="13B47F15"/>
    <w:rsid w:val="13B92AEA"/>
    <w:rsid w:val="13C139AF"/>
    <w:rsid w:val="13D116DD"/>
    <w:rsid w:val="13E01C4A"/>
    <w:rsid w:val="13E57956"/>
    <w:rsid w:val="13EB4529"/>
    <w:rsid w:val="14011AE1"/>
    <w:rsid w:val="141872B2"/>
    <w:rsid w:val="141D25CF"/>
    <w:rsid w:val="14333776"/>
    <w:rsid w:val="143C0B7F"/>
    <w:rsid w:val="14423DE3"/>
    <w:rsid w:val="1446120A"/>
    <w:rsid w:val="144E16AB"/>
    <w:rsid w:val="144F087E"/>
    <w:rsid w:val="144F6715"/>
    <w:rsid w:val="1457163D"/>
    <w:rsid w:val="147A16BB"/>
    <w:rsid w:val="1497131D"/>
    <w:rsid w:val="149C206F"/>
    <w:rsid w:val="14AA5797"/>
    <w:rsid w:val="14E530ED"/>
    <w:rsid w:val="14F53EDD"/>
    <w:rsid w:val="15007BFE"/>
    <w:rsid w:val="154D743D"/>
    <w:rsid w:val="155443C6"/>
    <w:rsid w:val="15667555"/>
    <w:rsid w:val="15775836"/>
    <w:rsid w:val="15795824"/>
    <w:rsid w:val="158D492B"/>
    <w:rsid w:val="15A3731B"/>
    <w:rsid w:val="15A97268"/>
    <w:rsid w:val="15BB209F"/>
    <w:rsid w:val="15BF3B8D"/>
    <w:rsid w:val="15C96C75"/>
    <w:rsid w:val="15CE1CF5"/>
    <w:rsid w:val="15CF1DD7"/>
    <w:rsid w:val="15D62A35"/>
    <w:rsid w:val="15D95123"/>
    <w:rsid w:val="15E224A7"/>
    <w:rsid w:val="15E338E5"/>
    <w:rsid w:val="160C07B5"/>
    <w:rsid w:val="16127DF3"/>
    <w:rsid w:val="16150220"/>
    <w:rsid w:val="161E4BC5"/>
    <w:rsid w:val="16292E75"/>
    <w:rsid w:val="1638500A"/>
    <w:rsid w:val="16397A1B"/>
    <w:rsid w:val="164342FA"/>
    <w:rsid w:val="165351E7"/>
    <w:rsid w:val="165770B0"/>
    <w:rsid w:val="16640041"/>
    <w:rsid w:val="166B7621"/>
    <w:rsid w:val="166C5148"/>
    <w:rsid w:val="167D7355"/>
    <w:rsid w:val="16985F3D"/>
    <w:rsid w:val="169D3553"/>
    <w:rsid w:val="16A22BEB"/>
    <w:rsid w:val="16B234A2"/>
    <w:rsid w:val="16BC1C2B"/>
    <w:rsid w:val="16BF1736"/>
    <w:rsid w:val="16BF34C9"/>
    <w:rsid w:val="16CB645F"/>
    <w:rsid w:val="16D71C8D"/>
    <w:rsid w:val="16E11B7C"/>
    <w:rsid w:val="171820A2"/>
    <w:rsid w:val="171877C6"/>
    <w:rsid w:val="17255A22"/>
    <w:rsid w:val="17283764"/>
    <w:rsid w:val="172D48D7"/>
    <w:rsid w:val="17571001"/>
    <w:rsid w:val="17647109"/>
    <w:rsid w:val="17707BBF"/>
    <w:rsid w:val="177572AC"/>
    <w:rsid w:val="17776970"/>
    <w:rsid w:val="178C784F"/>
    <w:rsid w:val="179E6119"/>
    <w:rsid w:val="17AB151E"/>
    <w:rsid w:val="17BA1FA3"/>
    <w:rsid w:val="17C70A77"/>
    <w:rsid w:val="17CB05D4"/>
    <w:rsid w:val="17CF624F"/>
    <w:rsid w:val="181270D8"/>
    <w:rsid w:val="183A7AB3"/>
    <w:rsid w:val="18402742"/>
    <w:rsid w:val="18422604"/>
    <w:rsid w:val="184E2D57"/>
    <w:rsid w:val="185C4B83"/>
    <w:rsid w:val="1862727E"/>
    <w:rsid w:val="187F72BD"/>
    <w:rsid w:val="188E6B63"/>
    <w:rsid w:val="189830F5"/>
    <w:rsid w:val="18BC2775"/>
    <w:rsid w:val="18C80336"/>
    <w:rsid w:val="18CA034D"/>
    <w:rsid w:val="18D95B8F"/>
    <w:rsid w:val="18F1400C"/>
    <w:rsid w:val="190C0B53"/>
    <w:rsid w:val="1941466A"/>
    <w:rsid w:val="19492BEC"/>
    <w:rsid w:val="196E5555"/>
    <w:rsid w:val="19962C12"/>
    <w:rsid w:val="19AE3FA6"/>
    <w:rsid w:val="19EC0A79"/>
    <w:rsid w:val="1A4240A2"/>
    <w:rsid w:val="1A51491B"/>
    <w:rsid w:val="1A55661F"/>
    <w:rsid w:val="1A6102FD"/>
    <w:rsid w:val="1A672193"/>
    <w:rsid w:val="1A7409A4"/>
    <w:rsid w:val="1A9E4AAF"/>
    <w:rsid w:val="1AA05338"/>
    <w:rsid w:val="1AAB4490"/>
    <w:rsid w:val="1AAF0DCC"/>
    <w:rsid w:val="1AC3684A"/>
    <w:rsid w:val="1ACA77FB"/>
    <w:rsid w:val="1ACC5BF8"/>
    <w:rsid w:val="1AD774CB"/>
    <w:rsid w:val="1AE027CB"/>
    <w:rsid w:val="1AE92FD5"/>
    <w:rsid w:val="1AF91588"/>
    <w:rsid w:val="1AFC6854"/>
    <w:rsid w:val="1B1E67F8"/>
    <w:rsid w:val="1B200CF6"/>
    <w:rsid w:val="1B2A7529"/>
    <w:rsid w:val="1B390BDC"/>
    <w:rsid w:val="1B3C77DE"/>
    <w:rsid w:val="1B4E55E8"/>
    <w:rsid w:val="1B653071"/>
    <w:rsid w:val="1B8E7170"/>
    <w:rsid w:val="1BA3785E"/>
    <w:rsid w:val="1BAB226E"/>
    <w:rsid w:val="1BBD111D"/>
    <w:rsid w:val="1BE0443F"/>
    <w:rsid w:val="1C2870A8"/>
    <w:rsid w:val="1C471722"/>
    <w:rsid w:val="1C5648D0"/>
    <w:rsid w:val="1C5C588F"/>
    <w:rsid w:val="1C746B04"/>
    <w:rsid w:val="1C7A0F4E"/>
    <w:rsid w:val="1C80194D"/>
    <w:rsid w:val="1C8B7161"/>
    <w:rsid w:val="1C983F97"/>
    <w:rsid w:val="1CA03BC9"/>
    <w:rsid w:val="1CA218C3"/>
    <w:rsid w:val="1CA4563B"/>
    <w:rsid w:val="1CB1569A"/>
    <w:rsid w:val="1CB313F6"/>
    <w:rsid w:val="1CBA0DC9"/>
    <w:rsid w:val="1CE1063D"/>
    <w:rsid w:val="1CEF0D6A"/>
    <w:rsid w:val="1CF17351"/>
    <w:rsid w:val="1CFB6B14"/>
    <w:rsid w:val="1D0C4F8F"/>
    <w:rsid w:val="1D2416A1"/>
    <w:rsid w:val="1D303CE0"/>
    <w:rsid w:val="1D3C45B0"/>
    <w:rsid w:val="1D4028B0"/>
    <w:rsid w:val="1D481C3A"/>
    <w:rsid w:val="1D48246B"/>
    <w:rsid w:val="1D51728B"/>
    <w:rsid w:val="1D5D57EA"/>
    <w:rsid w:val="1D613CFF"/>
    <w:rsid w:val="1D73135F"/>
    <w:rsid w:val="1DBB0E8E"/>
    <w:rsid w:val="1DC00F5C"/>
    <w:rsid w:val="1DC46673"/>
    <w:rsid w:val="1DD94135"/>
    <w:rsid w:val="1DE34A7E"/>
    <w:rsid w:val="1E00462C"/>
    <w:rsid w:val="1E036392"/>
    <w:rsid w:val="1E1C5E73"/>
    <w:rsid w:val="1E2527AC"/>
    <w:rsid w:val="1E2A7DC2"/>
    <w:rsid w:val="1E3D5BFF"/>
    <w:rsid w:val="1E3F5B0A"/>
    <w:rsid w:val="1E402DD2"/>
    <w:rsid w:val="1E462655"/>
    <w:rsid w:val="1E5B585E"/>
    <w:rsid w:val="1E703E54"/>
    <w:rsid w:val="1E71779F"/>
    <w:rsid w:val="1E7352C5"/>
    <w:rsid w:val="1E7E1EBC"/>
    <w:rsid w:val="1E7F2308"/>
    <w:rsid w:val="1E915FCF"/>
    <w:rsid w:val="1EA0459D"/>
    <w:rsid w:val="1EA90CE7"/>
    <w:rsid w:val="1EB21D4C"/>
    <w:rsid w:val="1ECC5D06"/>
    <w:rsid w:val="1ED42809"/>
    <w:rsid w:val="1ED55F80"/>
    <w:rsid w:val="1EEF0477"/>
    <w:rsid w:val="1EF26162"/>
    <w:rsid w:val="1EF81C6E"/>
    <w:rsid w:val="1F4A0F65"/>
    <w:rsid w:val="1F6457D9"/>
    <w:rsid w:val="1F64740B"/>
    <w:rsid w:val="1F6A2CF4"/>
    <w:rsid w:val="1F8B4890"/>
    <w:rsid w:val="1F941997"/>
    <w:rsid w:val="1F9F2549"/>
    <w:rsid w:val="1FA85442"/>
    <w:rsid w:val="1FC35DD8"/>
    <w:rsid w:val="1FCC5382"/>
    <w:rsid w:val="1FD86B10"/>
    <w:rsid w:val="1FDC6E9A"/>
    <w:rsid w:val="1FFD6FC8"/>
    <w:rsid w:val="201221D2"/>
    <w:rsid w:val="202279CC"/>
    <w:rsid w:val="20326079"/>
    <w:rsid w:val="20382BEB"/>
    <w:rsid w:val="20432702"/>
    <w:rsid w:val="20441B19"/>
    <w:rsid w:val="205A1629"/>
    <w:rsid w:val="20663493"/>
    <w:rsid w:val="2069018D"/>
    <w:rsid w:val="20711CD8"/>
    <w:rsid w:val="2078256A"/>
    <w:rsid w:val="207C6377"/>
    <w:rsid w:val="20887022"/>
    <w:rsid w:val="20A0219D"/>
    <w:rsid w:val="20AB38D2"/>
    <w:rsid w:val="20AD1AC6"/>
    <w:rsid w:val="20B60991"/>
    <w:rsid w:val="20B87A68"/>
    <w:rsid w:val="20BF45FE"/>
    <w:rsid w:val="20C70459"/>
    <w:rsid w:val="20C95670"/>
    <w:rsid w:val="20F070A1"/>
    <w:rsid w:val="20FB478C"/>
    <w:rsid w:val="20FB7716"/>
    <w:rsid w:val="2102069D"/>
    <w:rsid w:val="21042CED"/>
    <w:rsid w:val="2106288F"/>
    <w:rsid w:val="21082292"/>
    <w:rsid w:val="215018EE"/>
    <w:rsid w:val="216F5CAE"/>
    <w:rsid w:val="217557F8"/>
    <w:rsid w:val="217817F7"/>
    <w:rsid w:val="2181507E"/>
    <w:rsid w:val="219C4B33"/>
    <w:rsid w:val="21BA32D5"/>
    <w:rsid w:val="21BF0821"/>
    <w:rsid w:val="21C9221A"/>
    <w:rsid w:val="21D544E9"/>
    <w:rsid w:val="21F030D1"/>
    <w:rsid w:val="220A4192"/>
    <w:rsid w:val="22160B82"/>
    <w:rsid w:val="222866C7"/>
    <w:rsid w:val="222B739A"/>
    <w:rsid w:val="222F59A7"/>
    <w:rsid w:val="228815AA"/>
    <w:rsid w:val="228952D6"/>
    <w:rsid w:val="22963C78"/>
    <w:rsid w:val="2297314D"/>
    <w:rsid w:val="229F23A9"/>
    <w:rsid w:val="22A279E3"/>
    <w:rsid w:val="22A75E85"/>
    <w:rsid w:val="22BA2B41"/>
    <w:rsid w:val="22BA4E19"/>
    <w:rsid w:val="22D26F9A"/>
    <w:rsid w:val="22EC1AEA"/>
    <w:rsid w:val="23040DF1"/>
    <w:rsid w:val="230C5CE8"/>
    <w:rsid w:val="233C7E85"/>
    <w:rsid w:val="23476D20"/>
    <w:rsid w:val="239C706C"/>
    <w:rsid w:val="23AF69F1"/>
    <w:rsid w:val="23B12896"/>
    <w:rsid w:val="23C30A9D"/>
    <w:rsid w:val="23CB0902"/>
    <w:rsid w:val="23D06D16"/>
    <w:rsid w:val="23E11A3F"/>
    <w:rsid w:val="23F316BB"/>
    <w:rsid w:val="244F40DF"/>
    <w:rsid w:val="24763848"/>
    <w:rsid w:val="247C12B5"/>
    <w:rsid w:val="24827E18"/>
    <w:rsid w:val="2483647E"/>
    <w:rsid w:val="24883A94"/>
    <w:rsid w:val="24963225"/>
    <w:rsid w:val="24B77A28"/>
    <w:rsid w:val="24C31569"/>
    <w:rsid w:val="24C9231F"/>
    <w:rsid w:val="24D52D8A"/>
    <w:rsid w:val="24F133E8"/>
    <w:rsid w:val="24FA1447"/>
    <w:rsid w:val="24FA3483"/>
    <w:rsid w:val="251C7A5B"/>
    <w:rsid w:val="25377C12"/>
    <w:rsid w:val="25522BB6"/>
    <w:rsid w:val="25653094"/>
    <w:rsid w:val="25657932"/>
    <w:rsid w:val="25675458"/>
    <w:rsid w:val="25745F06"/>
    <w:rsid w:val="25752CBA"/>
    <w:rsid w:val="25761B3F"/>
    <w:rsid w:val="257B5469"/>
    <w:rsid w:val="258F0A94"/>
    <w:rsid w:val="25902E9C"/>
    <w:rsid w:val="2592103D"/>
    <w:rsid w:val="2593449F"/>
    <w:rsid w:val="25B0273C"/>
    <w:rsid w:val="25C94365"/>
    <w:rsid w:val="25CD1049"/>
    <w:rsid w:val="25D45C3E"/>
    <w:rsid w:val="25DA49E2"/>
    <w:rsid w:val="25DD61F7"/>
    <w:rsid w:val="25E81861"/>
    <w:rsid w:val="26034EF6"/>
    <w:rsid w:val="260E6047"/>
    <w:rsid w:val="26301CEE"/>
    <w:rsid w:val="26396DF4"/>
    <w:rsid w:val="263A7732"/>
    <w:rsid w:val="263D5C2C"/>
    <w:rsid w:val="263F224F"/>
    <w:rsid w:val="26461511"/>
    <w:rsid w:val="2666570F"/>
    <w:rsid w:val="26671A94"/>
    <w:rsid w:val="2682292E"/>
    <w:rsid w:val="2685203A"/>
    <w:rsid w:val="26955FF5"/>
    <w:rsid w:val="26AF716B"/>
    <w:rsid w:val="26B57F3A"/>
    <w:rsid w:val="26B776AD"/>
    <w:rsid w:val="26BB1EFF"/>
    <w:rsid w:val="26C25C81"/>
    <w:rsid w:val="27126E5B"/>
    <w:rsid w:val="271368F1"/>
    <w:rsid w:val="27437FDF"/>
    <w:rsid w:val="27441EF5"/>
    <w:rsid w:val="275B4E31"/>
    <w:rsid w:val="275C718B"/>
    <w:rsid w:val="276E7580"/>
    <w:rsid w:val="279E1806"/>
    <w:rsid w:val="279F27E3"/>
    <w:rsid w:val="27C40F6B"/>
    <w:rsid w:val="27CF1CA7"/>
    <w:rsid w:val="27D05536"/>
    <w:rsid w:val="28073099"/>
    <w:rsid w:val="281E11E4"/>
    <w:rsid w:val="284B2685"/>
    <w:rsid w:val="284B4960"/>
    <w:rsid w:val="28667C49"/>
    <w:rsid w:val="286A598B"/>
    <w:rsid w:val="28907C53"/>
    <w:rsid w:val="28A349F9"/>
    <w:rsid w:val="28B92147"/>
    <w:rsid w:val="28CF7245"/>
    <w:rsid w:val="28E318D4"/>
    <w:rsid w:val="28E55011"/>
    <w:rsid w:val="28EF1580"/>
    <w:rsid w:val="28F92049"/>
    <w:rsid w:val="28FA4760"/>
    <w:rsid w:val="290A4A78"/>
    <w:rsid w:val="290A6D49"/>
    <w:rsid w:val="291B31FE"/>
    <w:rsid w:val="293624BD"/>
    <w:rsid w:val="29453D02"/>
    <w:rsid w:val="294D49C5"/>
    <w:rsid w:val="29511AFD"/>
    <w:rsid w:val="296231D6"/>
    <w:rsid w:val="29736AC1"/>
    <w:rsid w:val="29747ABE"/>
    <w:rsid w:val="298760C9"/>
    <w:rsid w:val="298F31CF"/>
    <w:rsid w:val="29982084"/>
    <w:rsid w:val="29A42BEB"/>
    <w:rsid w:val="29A7304D"/>
    <w:rsid w:val="29A749BD"/>
    <w:rsid w:val="29B616C2"/>
    <w:rsid w:val="29BA0A21"/>
    <w:rsid w:val="29BB2399"/>
    <w:rsid w:val="29DD6CB4"/>
    <w:rsid w:val="2A043AD2"/>
    <w:rsid w:val="2A08798F"/>
    <w:rsid w:val="2A19597B"/>
    <w:rsid w:val="2A23324E"/>
    <w:rsid w:val="2A2B739C"/>
    <w:rsid w:val="2A2D4E44"/>
    <w:rsid w:val="2A3C5105"/>
    <w:rsid w:val="2A413B8E"/>
    <w:rsid w:val="2A6C2D68"/>
    <w:rsid w:val="2A6F0AFC"/>
    <w:rsid w:val="2A7439F6"/>
    <w:rsid w:val="2AB56C65"/>
    <w:rsid w:val="2AB729DE"/>
    <w:rsid w:val="2AC025E8"/>
    <w:rsid w:val="2AC944BF"/>
    <w:rsid w:val="2ACD3FAF"/>
    <w:rsid w:val="2ACE0C31"/>
    <w:rsid w:val="2ACE1AD5"/>
    <w:rsid w:val="2AEE4E87"/>
    <w:rsid w:val="2AFD4EC5"/>
    <w:rsid w:val="2AFF1738"/>
    <w:rsid w:val="2B046437"/>
    <w:rsid w:val="2B0A5203"/>
    <w:rsid w:val="2B1B420B"/>
    <w:rsid w:val="2B320A0B"/>
    <w:rsid w:val="2B376F2C"/>
    <w:rsid w:val="2B417276"/>
    <w:rsid w:val="2B520958"/>
    <w:rsid w:val="2B563FA5"/>
    <w:rsid w:val="2B5A5895"/>
    <w:rsid w:val="2B6B3D2E"/>
    <w:rsid w:val="2B8808AD"/>
    <w:rsid w:val="2B8903C8"/>
    <w:rsid w:val="2B954A46"/>
    <w:rsid w:val="2B96058E"/>
    <w:rsid w:val="2BA737A6"/>
    <w:rsid w:val="2BDB094E"/>
    <w:rsid w:val="2BE800C2"/>
    <w:rsid w:val="2C121A3B"/>
    <w:rsid w:val="2C275941"/>
    <w:rsid w:val="2C403987"/>
    <w:rsid w:val="2C765025"/>
    <w:rsid w:val="2C852F06"/>
    <w:rsid w:val="2C981CCD"/>
    <w:rsid w:val="2C9F53AF"/>
    <w:rsid w:val="2CBA641B"/>
    <w:rsid w:val="2CBF724F"/>
    <w:rsid w:val="2CC40CB7"/>
    <w:rsid w:val="2CF73565"/>
    <w:rsid w:val="2D020BD1"/>
    <w:rsid w:val="2D040C32"/>
    <w:rsid w:val="2D0757A6"/>
    <w:rsid w:val="2D104627"/>
    <w:rsid w:val="2D12039F"/>
    <w:rsid w:val="2D185597"/>
    <w:rsid w:val="2D2254D9"/>
    <w:rsid w:val="2D253580"/>
    <w:rsid w:val="2D597D7C"/>
    <w:rsid w:val="2D957953"/>
    <w:rsid w:val="2D982E0B"/>
    <w:rsid w:val="2D991F8F"/>
    <w:rsid w:val="2DAA74E0"/>
    <w:rsid w:val="2DB53B3B"/>
    <w:rsid w:val="2DC53663"/>
    <w:rsid w:val="2DCA5BD6"/>
    <w:rsid w:val="2DCB5CD4"/>
    <w:rsid w:val="2DCC44FF"/>
    <w:rsid w:val="2DD218DC"/>
    <w:rsid w:val="2DDE357F"/>
    <w:rsid w:val="2DE51610"/>
    <w:rsid w:val="2DEC0BF0"/>
    <w:rsid w:val="2E072654"/>
    <w:rsid w:val="2E1C1821"/>
    <w:rsid w:val="2E24543E"/>
    <w:rsid w:val="2E294A02"/>
    <w:rsid w:val="2E326909"/>
    <w:rsid w:val="2E375631"/>
    <w:rsid w:val="2E3D32FC"/>
    <w:rsid w:val="2E49531C"/>
    <w:rsid w:val="2E5E1319"/>
    <w:rsid w:val="2E5F1A8F"/>
    <w:rsid w:val="2E67471B"/>
    <w:rsid w:val="2E6F38EF"/>
    <w:rsid w:val="2E8157DC"/>
    <w:rsid w:val="2EAE1DAB"/>
    <w:rsid w:val="2EBD58C6"/>
    <w:rsid w:val="2EC03BE8"/>
    <w:rsid w:val="2EC24EAE"/>
    <w:rsid w:val="2ECB4CA9"/>
    <w:rsid w:val="2F025FD6"/>
    <w:rsid w:val="2F0A6CD1"/>
    <w:rsid w:val="2F2B5748"/>
    <w:rsid w:val="2F47109C"/>
    <w:rsid w:val="2F4B2213"/>
    <w:rsid w:val="2F630800"/>
    <w:rsid w:val="2F757F47"/>
    <w:rsid w:val="2F7F2D70"/>
    <w:rsid w:val="2F8868AA"/>
    <w:rsid w:val="2F8B4DEA"/>
    <w:rsid w:val="2F9075F6"/>
    <w:rsid w:val="2F965A58"/>
    <w:rsid w:val="2F9A4F90"/>
    <w:rsid w:val="2F9A594D"/>
    <w:rsid w:val="2FE37DD1"/>
    <w:rsid w:val="2FF3519E"/>
    <w:rsid w:val="300A1801"/>
    <w:rsid w:val="30303517"/>
    <w:rsid w:val="30375932"/>
    <w:rsid w:val="306D6DEE"/>
    <w:rsid w:val="307B4A76"/>
    <w:rsid w:val="308E13FA"/>
    <w:rsid w:val="30A6152A"/>
    <w:rsid w:val="30A6777C"/>
    <w:rsid w:val="30B04157"/>
    <w:rsid w:val="30C16364"/>
    <w:rsid w:val="30CE09B6"/>
    <w:rsid w:val="30E0745B"/>
    <w:rsid w:val="30FA6AA0"/>
    <w:rsid w:val="310C1CD2"/>
    <w:rsid w:val="3112096E"/>
    <w:rsid w:val="311E4999"/>
    <w:rsid w:val="312573D2"/>
    <w:rsid w:val="31300A9C"/>
    <w:rsid w:val="313279B0"/>
    <w:rsid w:val="31464ABB"/>
    <w:rsid w:val="31487B21"/>
    <w:rsid w:val="314D6867"/>
    <w:rsid w:val="315F5C65"/>
    <w:rsid w:val="31644EEA"/>
    <w:rsid w:val="31653715"/>
    <w:rsid w:val="31750EFD"/>
    <w:rsid w:val="31785EB2"/>
    <w:rsid w:val="317F3D7D"/>
    <w:rsid w:val="31960D20"/>
    <w:rsid w:val="31A435DE"/>
    <w:rsid w:val="31B628A1"/>
    <w:rsid w:val="31B77767"/>
    <w:rsid w:val="31CD0C24"/>
    <w:rsid w:val="31F0559B"/>
    <w:rsid w:val="31FF60CF"/>
    <w:rsid w:val="320C4E24"/>
    <w:rsid w:val="322963D4"/>
    <w:rsid w:val="32490EF5"/>
    <w:rsid w:val="324E528F"/>
    <w:rsid w:val="32642296"/>
    <w:rsid w:val="326B085A"/>
    <w:rsid w:val="327D450D"/>
    <w:rsid w:val="32981347"/>
    <w:rsid w:val="32A01606"/>
    <w:rsid w:val="32B61B53"/>
    <w:rsid w:val="32C94A9C"/>
    <w:rsid w:val="32D040EC"/>
    <w:rsid w:val="32D909B3"/>
    <w:rsid w:val="32D93D68"/>
    <w:rsid w:val="32DC217C"/>
    <w:rsid w:val="32E120A3"/>
    <w:rsid w:val="33092D4F"/>
    <w:rsid w:val="332D454F"/>
    <w:rsid w:val="33355CB1"/>
    <w:rsid w:val="33426DD3"/>
    <w:rsid w:val="334A3B6B"/>
    <w:rsid w:val="334E1463"/>
    <w:rsid w:val="336D27D3"/>
    <w:rsid w:val="339165C1"/>
    <w:rsid w:val="339542F7"/>
    <w:rsid w:val="33995376"/>
    <w:rsid w:val="33C85644"/>
    <w:rsid w:val="33D267D7"/>
    <w:rsid w:val="33D74FB0"/>
    <w:rsid w:val="33F745AF"/>
    <w:rsid w:val="33F8366A"/>
    <w:rsid w:val="340007CF"/>
    <w:rsid w:val="34301529"/>
    <w:rsid w:val="345117AD"/>
    <w:rsid w:val="346E6DDD"/>
    <w:rsid w:val="347E456C"/>
    <w:rsid w:val="3482405C"/>
    <w:rsid w:val="348E3F5F"/>
    <w:rsid w:val="34A07D70"/>
    <w:rsid w:val="34AE125F"/>
    <w:rsid w:val="34C603ED"/>
    <w:rsid w:val="34C77CC1"/>
    <w:rsid w:val="34D84426"/>
    <w:rsid w:val="34D85063"/>
    <w:rsid w:val="34EB1C02"/>
    <w:rsid w:val="35040F15"/>
    <w:rsid w:val="350C2BCF"/>
    <w:rsid w:val="35223149"/>
    <w:rsid w:val="352548D7"/>
    <w:rsid w:val="352A70A8"/>
    <w:rsid w:val="35301317"/>
    <w:rsid w:val="353A0493"/>
    <w:rsid w:val="3579545F"/>
    <w:rsid w:val="359B5E22"/>
    <w:rsid w:val="359C1AAB"/>
    <w:rsid w:val="35A63D95"/>
    <w:rsid w:val="35AB3B2B"/>
    <w:rsid w:val="35B11597"/>
    <w:rsid w:val="35B27244"/>
    <w:rsid w:val="35C67F79"/>
    <w:rsid w:val="35EA6529"/>
    <w:rsid w:val="35F26FC0"/>
    <w:rsid w:val="35FA03B4"/>
    <w:rsid w:val="36080F50"/>
    <w:rsid w:val="360B3E62"/>
    <w:rsid w:val="361D3AF6"/>
    <w:rsid w:val="362B4280"/>
    <w:rsid w:val="364970DE"/>
    <w:rsid w:val="364E1FAC"/>
    <w:rsid w:val="36503AF9"/>
    <w:rsid w:val="36624316"/>
    <w:rsid w:val="366A2FFA"/>
    <w:rsid w:val="366C02C0"/>
    <w:rsid w:val="366F318F"/>
    <w:rsid w:val="36781311"/>
    <w:rsid w:val="367F29FE"/>
    <w:rsid w:val="369648D9"/>
    <w:rsid w:val="36B54D4D"/>
    <w:rsid w:val="36C24DA9"/>
    <w:rsid w:val="36C26B8E"/>
    <w:rsid w:val="36E41E01"/>
    <w:rsid w:val="36FA7861"/>
    <w:rsid w:val="36FB00F6"/>
    <w:rsid w:val="370647C7"/>
    <w:rsid w:val="3716362D"/>
    <w:rsid w:val="371D71F3"/>
    <w:rsid w:val="3725056C"/>
    <w:rsid w:val="373234C8"/>
    <w:rsid w:val="37334E28"/>
    <w:rsid w:val="3744619F"/>
    <w:rsid w:val="374E03A8"/>
    <w:rsid w:val="375F48B5"/>
    <w:rsid w:val="37797AAB"/>
    <w:rsid w:val="378C19E3"/>
    <w:rsid w:val="37965565"/>
    <w:rsid w:val="3809239F"/>
    <w:rsid w:val="38123949"/>
    <w:rsid w:val="381E22EE"/>
    <w:rsid w:val="38683E4F"/>
    <w:rsid w:val="38710E3F"/>
    <w:rsid w:val="389649C5"/>
    <w:rsid w:val="38AA1DD4"/>
    <w:rsid w:val="38E06F41"/>
    <w:rsid w:val="392E1553"/>
    <w:rsid w:val="394037B6"/>
    <w:rsid w:val="395B30CE"/>
    <w:rsid w:val="39693A3D"/>
    <w:rsid w:val="3971655D"/>
    <w:rsid w:val="39745D84"/>
    <w:rsid w:val="39820561"/>
    <w:rsid w:val="39AE31FE"/>
    <w:rsid w:val="39B03FC7"/>
    <w:rsid w:val="39BA1ADC"/>
    <w:rsid w:val="39DF4E5A"/>
    <w:rsid w:val="39F40A57"/>
    <w:rsid w:val="39FE4185"/>
    <w:rsid w:val="3A735F50"/>
    <w:rsid w:val="3A881CA1"/>
    <w:rsid w:val="3A8D08BE"/>
    <w:rsid w:val="3AB807D8"/>
    <w:rsid w:val="3AC759D7"/>
    <w:rsid w:val="3ACC4283"/>
    <w:rsid w:val="3AD153F6"/>
    <w:rsid w:val="3AE356EC"/>
    <w:rsid w:val="3AE83416"/>
    <w:rsid w:val="3AE84F21"/>
    <w:rsid w:val="3AF86E26"/>
    <w:rsid w:val="3AFB2473"/>
    <w:rsid w:val="3B0312A1"/>
    <w:rsid w:val="3B1E1277"/>
    <w:rsid w:val="3B241639"/>
    <w:rsid w:val="3B2958E9"/>
    <w:rsid w:val="3B331C0C"/>
    <w:rsid w:val="3B340B10"/>
    <w:rsid w:val="3B4342F2"/>
    <w:rsid w:val="3B705907"/>
    <w:rsid w:val="3B842468"/>
    <w:rsid w:val="3BAC54A0"/>
    <w:rsid w:val="3BB450D2"/>
    <w:rsid w:val="3BB51625"/>
    <w:rsid w:val="3BB83A55"/>
    <w:rsid w:val="3BC540CC"/>
    <w:rsid w:val="3BCF2FFD"/>
    <w:rsid w:val="3BE5505D"/>
    <w:rsid w:val="3BEC4ABF"/>
    <w:rsid w:val="3C016259"/>
    <w:rsid w:val="3C05702B"/>
    <w:rsid w:val="3C1A4DAA"/>
    <w:rsid w:val="3C5F111A"/>
    <w:rsid w:val="3C6C19EE"/>
    <w:rsid w:val="3C70334F"/>
    <w:rsid w:val="3C797D13"/>
    <w:rsid w:val="3C806348"/>
    <w:rsid w:val="3C830972"/>
    <w:rsid w:val="3C9450C1"/>
    <w:rsid w:val="3CCD63B6"/>
    <w:rsid w:val="3CD2615F"/>
    <w:rsid w:val="3CFF417E"/>
    <w:rsid w:val="3D0870C9"/>
    <w:rsid w:val="3D11205B"/>
    <w:rsid w:val="3D206530"/>
    <w:rsid w:val="3D3D55B3"/>
    <w:rsid w:val="3D3D645C"/>
    <w:rsid w:val="3D3D7563"/>
    <w:rsid w:val="3D42082D"/>
    <w:rsid w:val="3D4A76E1"/>
    <w:rsid w:val="3D50398D"/>
    <w:rsid w:val="3D5619DA"/>
    <w:rsid w:val="3D5B6EE5"/>
    <w:rsid w:val="3D5F1DD9"/>
    <w:rsid w:val="3D604ED5"/>
    <w:rsid w:val="3DBA1081"/>
    <w:rsid w:val="3DC950E0"/>
    <w:rsid w:val="3DE25DB3"/>
    <w:rsid w:val="3DE6670E"/>
    <w:rsid w:val="3DF7254F"/>
    <w:rsid w:val="3E1B54E8"/>
    <w:rsid w:val="3E4413E0"/>
    <w:rsid w:val="3E5849EE"/>
    <w:rsid w:val="3E5E39A4"/>
    <w:rsid w:val="3E5F0F6A"/>
    <w:rsid w:val="3E75253C"/>
    <w:rsid w:val="3E7A463F"/>
    <w:rsid w:val="3E7E7642"/>
    <w:rsid w:val="3E8174BE"/>
    <w:rsid w:val="3E925B12"/>
    <w:rsid w:val="3EAD617A"/>
    <w:rsid w:val="3EC55271"/>
    <w:rsid w:val="3EE3310A"/>
    <w:rsid w:val="3EF14B6E"/>
    <w:rsid w:val="3EFB0FE0"/>
    <w:rsid w:val="3F0128C7"/>
    <w:rsid w:val="3F0E0B39"/>
    <w:rsid w:val="3F12480E"/>
    <w:rsid w:val="3F275F2C"/>
    <w:rsid w:val="3F3643C1"/>
    <w:rsid w:val="3F50722A"/>
    <w:rsid w:val="3F645D9C"/>
    <w:rsid w:val="3F7647BE"/>
    <w:rsid w:val="3F790A64"/>
    <w:rsid w:val="3F8C3FE1"/>
    <w:rsid w:val="3F8E1AF4"/>
    <w:rsid w:val="3FA13F17"/>
    <w:rsid w:val="3FA35235"/>
    <w:rsid w:val="3FA516F6"/>
    <w:rsid w:val="3FA54560"/>
    <w:rsid w:val="3FB10B8E"/>
    <w:rsid w:val="3FCB2B69"/>
    <w:rsid w:val="3FDB1D1F"/>
    <w:rsid w:val="3FE41E03"/>
    <w:rsid w:val="3FFD4490"/>
    <w:rsid w:val="40251D40"/>
    <w:rsid w:val="402E6E46"/>
    <w:rsid w:val="40556AC9"/>
    <w:rsid w:val="405745EF"/>
    <w:rsid w:val="405A34BE"/>
    <w:rsid w:val="40650AB8"/>
    <w:rsid w:val="406D2075"/>
    <w:rsid w:val="407707ED"/>
    <w:rsid w:val="407A4951"/>
    <w:rsid w:val="40A73A11"/>
    <w:rsid w:val="40B065BA"/>
    <w:rsid w:val="40B26EFA"/>
    <w:rsid w:val="40B81662"/>
    <w:rsid w:val="40D50F73"/>
    <w:rsid w:val="40DA5E0B"/>
    <w:rsid w:val="40E06472"/>
    <w:rsid w:val="40E534CE"/>
    <w:rsid w:val="40E765BD"/>
    <w:rsid w:val="40EF0E34"/>
    <w:rsid w:val="410D6E30"/>
    <w:rsid w:val="41285739"/>
    <w:rsid w:val="412D5350"/>
    <w:rsid w:val="41412351"/>
    <w:rsid w:val="4147566D"/>
    <w:rsid w:val="414E6719"/>
    <w:rsid w:val="415A0A67"/>
    <w:rsid w:val="416D4D8C"/>
    <w:rsid w:val="417A46D4"/>
    <w:rsid w:val="41904DF6"/>
    <w:rsid w:val="419345E1"/>
    <w:rsid w:val="41940CDA"/>
    <w:rsid w:val="4194717D"/>
    <w:rsid w:val="41AA2509"/>
    <w:rsid w:val="41B16EBC"/>
    <w:rsid w:val="41CF0BCF"/>
    <w:rsid w:val="41D41C6F"/>
    <w:rsid w:val="41D427C4"/>
    <w:rsid w:val="41E04248"/>
    <w:rsid w:val="42032ED0"/>
    <w:rsid w:val="42042CCA"/>
    <w:rsid w:val="42277FF1"/>
    <w:rsid w:val="423243B5"/>
    <w:rsid w:val="42451FBA"/>
    <w:rsid w:val="425A2175"/>
    <w:rsid w:val="42812A86"/>
    <w:rsid w:val="42823479"/>
    <w:rsid w:val="429338D8"/>
    <w:rsid w:val="429736E4"/>
    <w:rsid w:val="42B20B3B"/>
    <w:rsid w:val="42B56350"/>
    <w:rsid w:val="42B75819"/>
    <w:rsid w:val="42B775C7"/>
    <w:rsid w:val="42C20CAF"/>
    <w:rsid w:val="42FE0D52"/>
    <w:rsid w:val="430A3B9B"/>
    <w:rsid w:val="430E5AD6"/>
    <w:rsid w:val="43104C13"/>
    <w:rsid w:val="432C5504"/>
    <w:rsid w:val="43365770"/>
    <w:rsid w:val="43482809"/>
    <w:rsid w:val="434A60EC"/>
    <w:rsid w:val="43601A0D"/>
    <w:rsid w:val="43727FC7"/>
    <w:rsid w:val="43794BD1"/>
    <w:rsid w:val="439006C3"/>
    <w:rsid w:val="43934B60"/>
    <w:rsid w:val="439D1642"/>
    <w:rsid w:val="43AB5B35"/>
    <w:rsid w:val="43B35DD1"/>
    <w:rsid w:val="43CA50F1"/>
    <w:rsid w:val="43D11CE6"/>
    <w:rsid w:val="43EC32A0"/>
    <w:rsid w:val="440A64BF"/>
    <w:rsid w:val="443609BF"/>
    <w:rsid w:val="444D2A0A"/>
    <w:rsid w:val="444D670B"/>
    <w:rsid w:val="444E11F4"/>
    <w:rsid w:val="448B2AB9"/>
    <w:rsid w:val="448E07FB"/>
    <w:rsid w:val="448E25A9"/>
    <w:rsid w:val="44933678"/>
    <w:rsid w:val="44B33BB0"/>
    <w:rsid w:val="44BA0BF0"/>
    <w:rsid w:val="44C409AF"/>
    <w:rsid w:val="44CB6471"/>
    <w:rsid w:val="44D70159"/>
    <w:rsid w:val="44FE409C"/>
    <w:rsid w:val="450076AD"/>
    <w:rsid w:val="4504471C"/>
    <w:rsid w:val="45244CBC"/>
    <w:rsid w:val="45263750"/>
    <w:rsid w:val="4530214F"/>
    <w:rsid w:val="453840A2"/>
    <w:rsid w:val="454C4C9E"/>
    <w:rsid w:val="454C510A"/>
    <w:rsid w:val="455A55B1"/>
    <w:rsid w:val="4565155C"/>
    <w:rsid w:val="45663A8B"/>
    <w:rsid w:val="4567448A"/>
    <w:rsid w:val="45791C6C"/>
    <w:rsid w:val="45974ABD"/>
    <w:rsid w:val="45AF2941"/>
    <w:rsid w:val="45B95404"/>
    <w:rsid w:val="45C64D7A"/>
    <w:rsid w:val="45C75D73"/>
    <w:rsid w:val="45D05F89"/>
    <w:rsid w:val="45E604DC"/>
    <w:rsid w:val="45F778D3"/>
    <w:rsid w:val="460008CE"/>
    <w:rsid w:val="46107943"/>
    <w:rsid w:val="461B60BF"/>
    <w:rsid w:val="46212412"/>
    <w:rsid w:val="46212973"/>
    <w:rsid w:val="462430DE"/>
    <w:rsid w:val="46244F73"/>
    <w:rsid w:val="46343186"/>
    <w:rsid w:val="46440B86"/>
    <w:rsid w:val="46484168"/>
    <w:rsid w:val="465515D1"/>
    <w:rsid w:val="467852BF"/>
    <w:rsid w:val="46A301C2"/>
    <w:rsid w:val="46A54CB5"/>
    <w:rsid w:val="46A83331"/>
    <w:rsid w:val="46B215A3"/>
    <w:rsid w:val="46B470C9"/>
    <w:rsid w:val="46BC0A08"/>
    <w:rsid w:val="46C24488"/>
    <w:rsid w:val="46C36755"/>
    <w:rsid w:val="46D027AA"/>
    <w:rsid w:val="46F32B98"/>
    <w:rsid w:val="46FE7656"/>
    <w:rsid w:val="47092F16"/>
    <w:rsid w:val="47262CD6"/>
    <w:rsid w:val="47273729"/>
    <w:rsid w:val="472745EF"/>
    <w:rsid w:val="47396823"/>
    <w:rsid w:val="476202FD"/>
    <w:rsid w:val="476D5EBB"/>
    <w:rsid w:val="47711558"/>
    <w:rsid w:val="47723768"/>
    <w:rsid w:val="47863A0C"/>
    <w:rsid w:val="478D3B1B"/>
    <w:rsid w:val="479A3013"/>
    <w:rsid w:val="47B0799F"/>
    <w:rsid w:val="47C47B45"/>
    <w:rsid w:val="47D9353C"/>
    <w:rsid w:val="47E54F55"/>
    <w:rsid w:val="47F6293F"/>
    <w:rsid w:val="47F62EEF"/>
    <w:rsid w:val="47F941DE"/>
    <w:rsid w:val="47FA3E97"/>
    <w:rsid w:val="47FE50D5"/>
    <w:rsid w:val="48066DAD"/>
    <w:rsid w:val="480A1F47"/>
    <w:rsid w:val="48162878"/>
    <w:rsid w:val="481655AD"/>
    <w:rsid w:val="48324CFB"/>
    <w:rsid w:val="483337FA"/>
    <w:rsid w:val="483B2A48"/>
    <w:rsid w:val="484463AC"/>
    <w:rsid w:val="484607D3"/>
    <w:rsid w:val="484C255F"/>
    <w:rsid w:val="486F624E"/>
    <w:rsid w:val="48834E50"/>
    <w:rsid w:val="488E0DCA"/>
    <w:rsid w:val="48961FF5"/>
    <w:rsid w:val="48A25DD0"/>
    <w:rsid w:val="48B81B49"/>
    <w:rsid w:val="48C4559B"/>
    <w:rsid w:val="48CC6E04"/>
    <w:rsid w:val="48D16F09"/>
    <w:rsid w:val="48DD2962"/>
    <w:rsid w:val="48E72288"/>
    <w:rsid w:val="48EF5006"/>
    <w:rsid w:val="493B4786"/>
    <w:rsid w:val="49490BB1"/>
    <w:rsid w:val="494B36B3"/>
    <w:rsid w:val="49615668"/>
    <w:rsid w:val="49692915"/>
    <w:rsid w:val="496D32A5"/>
    <w:rsid w:val="498107BD"/>
    <w:rsid w:val="49867CF3"/>
    <w:rsid w:val="499769D5"/>
    <w:rsid w:val="49BE33C3"/>
    <w:rsid w:val="49CC218C"/>
    <w:rsid w:val="49E60792"/>
    <w:rsid w:val="49F35A38"/>
    <w:rsid w:val="4A2F5629"/>
    <w:rsid w:val="4A3847B0"/>
    <w:rsid w:val="4A3F772C"/>
    <w:rsid w:val="4A492B02"/>
    <w:rsid w:val="4A584C12"/>
    <w:rsid w:val="4A5D6CA6"/>
    <w:rsid w:val="4A6603DD"/>
    <w:rsid w:val="4A6E7668"/>
    <w:rsid w:val="4A745D11"/>
    <w:rsid w:val="4AA246B9"/>
    <w:rsid w:val="4ABC719B"/>
    <w:rsid w:val="4AE0759D"/>
    <w:rsid w:val="4B040E73"/>
    <w:rsid w:val="4B054806"/>
    <w:rsid w:val="4B102092"/>
    <w:rsid w:val="4B3043BA"/>
    <w:rsid w:val="4B323DAD"/>
    <w:rsid w:val="4B3B68BB"/>
    <w:rsid w:val="4B3D0885"/>
    <w:rsid w:val="4B3E2640"/>
    <w:rsid w:val="4B4320F8"/>
    <w:rsid w:val="4B490FD8"/>
    <w:rsid w:val="4B6C0448"/>
    <w:rsid w:val="4B7A5635"/>
    <w:rsid w:val="4B7B6955"/>
    <w:rsid w:val="4B83273C"/>
    <w:rsid w:val="4B911AF6"/>
    <w:rsid w:val="4B9210A7"/>
    <w:rsid w:val="4B955475"/>
    <w:rsid w:val="4B983D0E"/>
    <w:rsid w:val="4B992729"/>
    <w:rsid w:val="4BB66672"/>
    <w:rsid w:val="4BE43B5A"/>
    <w:rsid w:val="4BF14E5C"/>
    <w:rsid w:val="4BF36A46"/>
    <w:rsid w:val="4BF6455A"/>
    <w:rsid w:val="4C09425F"/>
    <w:rsid w:val="4C0D0258"/>
    <w:rsid w:val="4C124497"/>
    <w:rsid w:val="4C177328"/>
    <w:rsid w:val="4C2C72E7"/>
    <w:rsid w:val="4C6A36A5"/>
    <w:rsid w:val="4C6F4321"/>
    <w:rsid w:val="4C6F4A09"/>
    <w:rsid w:val="4C956D80"/>
    <w:rsid w:val="4CB2203E"/>
    <w:rsid w:val="4CFB6914"/>
    <w:rsid w:val="4D1B4BF6"/>
    <w:rsid w:val="4D221A5E"/>
    <w:rsid w:val="4D2D0A1B"/>
    <w:rsid w:val="4D2F1ADF"/>
    <w:rsid w:val="4D364D90"/>
    <w:rsid w:val="4D397E04"/>
    <w:rsid w:val="4D4C611D"/>
    <w:rsid w:val="4D5B3007"/>
    <w:rsid w:val="4D6604E2"/>
    <w:rsid w:val="4D77007F"/>
    <w:rsid w:val="4D83282D"/>
    <w:rsid w:val="4D850510"/>
    <w:rsid w:val="4D851DF6"/>
    <w:rsid w:val="4D89059E"/>
    <w:rsid w:val="4D9F6990"/>
    <w:rsid w:val="4DB60F9B"/>
    <w:rsid w:val="4DB7491F"/>
    <w:rsid w:val="4DB91463"/>
    <w:rsid w:val="4DC64642"/>
    <w:rsid w:val="4DD26CD8"/>
    <w:rsid w:val="4DE16570"/>
    <w:rsid w:val="4DEF40B9"/>
    <w:rsid w:val="4DEF505E"/>
    <w:rsid w:val="4E013DEC"/>
    <w:rsid w:val="4E1C29D4"/>
    <w:rsid w:val="4E1F77D0"/>
    <w:rsid w:val="4E2F0959"/>
    <w:rsid w:val="4E3047B6"/>
    <w:rsid w:val="4E36503C"/>
    <w:rsid w:val="4E3D30FD"/>
    <w:rsid w:val="4E402B66"/>
    <w:rsid w:val="4E663FE6"/>
    <w:rsid w:val="4E775A65"/>
    <w:rsid w:val="4E7D306C"/>
    <w:rsid w:val="4E85443D"/>
    <w:rsid w:val="4EAA4EA4"/>
    <w:rsid w:val="4EB90223"/>
    <w:rsid w:val="4EBC4081"/>
    <w:rsid w:val="4EC76DE4"/>
    <w:rsid w:val="4ED02D42"/>
    <w:rsid w:val="4EDE412D"/>
    <w:rsid w:val="4EE36998"/>
    <w:rsid w:val="4F2A79C5"/>
    <w:rsid w:val="4F377CE8"/>
    <w:rsid w:val="4F42117D"/>
    <w:rsid w:val="4F48599F"/>
    <w:rsid w:val="4F4F2BC1"/>
    <w:rsid w:val="4F604C84"/>
    <w:rsid w:val="4F7A0880"/>
    <w:rsid w:val="4F7F6130"/>
    <w:rsid w:val="4F96706C"/>
    <w:rsid w:val="4FA060F5"/>
    <w:rsid w:val="4FA7451F"/>
    <w:rsid w:val="4FBA2288"/>
    <w:rsid w:val="4FC915F8"/>
    <w:rsid w:val="4FD55530"/>
    <w:rsid w:val="4FE70DC0"/>
    <w:rsid w:val="4FEF71FB"/>
    <w:rsid w:val="4FF204B5"/>
    <w:rsid w:val="4FF534DD"/>
    <w:rsid w:val="50025973"/>
    <w:rsid w:val="502D50C3"/>
    <w:rsid w:val="50421741"/>
    <w:rsid w:val="504E4277"/>
    <w:rsid w:val="505E1082"/>
    <w:rsid w:val="50634240"/>
    <w:rsid w:val="506F3038"/>
    <w:rsid w:val="50952DF2"/>
    <w:rsid w:val="509E1DC6"/>
    <w:rsid w:val="50A867A1"/>
    <w:rsid w:val="50B816E6"/>
    <w:rsid w:val="50EA74A0"/>
    <w:rsid w:val="50F07683"/>
    <w:rsid w:val="50F419E6"/>
    <w:rsid w:val="50FA7102"/>
    <w:rsid w:val="51084510"/>
    <w:rsid w:val="51243D4F"/>
    <w:rsid w:val="512B3E20"/>
    <w:rsid w:val="513149E8"/>
    <w:rsid w:val="51316332"/>
    <w:rsid w:val="516C3C72"/>
    <w:rsid w:val="516C70A1"/>
    <w:rsid w:val="51840FBC"/>
    <w:rsid w:val="519012EF"/>
    <w:rsid w:val="519D3E2C"/>
    <w:rsid w:val="51AD54F6"/>
    <w:rsid w:val="51B15B29"/>
    <w:rsid w:val="52163F05"/>
    <w:rsid w:val="521D3114"/>
    <w:rsid w:val="5221680B"/>
    <w:rsid w:val="52372CD0"/>
    <w:rsid w:val="523875ED"/>
    <w:rsid w:val="523A6198"/>
    <w:rsid w:val="52426781"/>
    <w:rsid w:val="526826F8"/>
    <w:rsid w:val="5269091F"/>
    <w:rsid w:val="52A36F9E"/>
    <w:rsid w:val="52DD09D8"/>
    <w:rsid w:val="52ED2B91"/>
    <w:rsid w:val="52EE08C8"/>
    <w:rsid w:val="5302247A"/>
    <w:rsid w:val="531D5224"/>
    <w:rsid w:val="53315390"/>
    <w:rsid w:val="53365ACD"/>
    <w:rsid w:val="533A5121"/>
    <w:rsid w:val="53425BB0"/>
    <w:rsid w:val="534B0C47"/>
    <w:rsid w:val="5360776D"/>
    <w:rsid w:val="5368792F"/>
    <w:rsid w:val="53715570"/>
    <w:rsid w:val="5371731E"/>
    <w:rsid w:val="537261AA"/>
    <w:rsid w:val="53985582"/>
    <w:rsid w:val="53B37937"/>
    <w:rsid w:val="53B81D46"/>
    <w:rsid w:val="53BD388D"/>
    <w:rsid w:val="53C90865"/>
    <w:rsid w:val="53DE5962"/>
    <w:rsid w:val="53E411F3"/>
    <w:rsid w:val="53E53868"/>
    <w:rsid w:val="54063F0A"/>
    <w:rsid w:val="54105A60"/>
    <w:rsid w:val="54273E81"/>
    <w:rsid w:val="544D59FD"/>
    <w:rsid w:val="54617855"/>
    <w:rsid w:val="546A6B00"/>
    <w:rsid w:val="546C716E"/>
    <w:rsid w:val="54B10B69"/>
    <w:rsid w:val="54CE59A1"/>
    <w:rsid w:val="54D357A1"/>
    <w:rsid w:val="54D553E1"/>
    <w:rsid w:val="54FE79E1"/>
    <w:rsid w:val="55003D7E"/>
    <w:rsid w:val="550479F9"/>
    <w:rsid w:val="550D3076"/>
    <w:rsid w:val="551F09BE"/>
    <w:rsid w:val="553D7E00"/>
    <w:rsid w:val="554054D5"/>
    <w:rsid w:val="554271C4"/>
    <w:rsid w:val="55436A98"/>
    <w:rsid w:val="554C3B9F"/>
    <w:rsid w:val="5565242B"/>
    <w:rsid w:val="55682BE8"/>
    <w:rsid w:val="55847192"/>
    <w:rsid w:val="558B0EF2"/>
    <w:rsid w:val="559317CE"/>
    <w:rsid w:val="55A345CB"/>
    <w:rsid w:val="55AE2AAB"/>
    <w:rsid w:val="55AE4859"/>
    <w:rsid w:val="55C74DF5"/>
    <w:rsid w:val="55D87B28"/>
    <w:rsid w:val="55D94803"/>
    <w:rsid w:val="55F301F8"/>
    <w:rsid w:val="55F71271"/>
    <w:rsid w:val="55F83D27"/>
    <w:rsid w:val="55FA184D"/>
    <w:rsid w:val="56195DC5"/>
    <w:rsid w:val="56205935"/>
    <w:rsid w:val="562B40FC"/>
    <w:rsid w:val="562E4C15"/>
    <w:rsid w:val="5641747C"/>
    <w:rsid w:val="566E3FE9"/>
    <w:rsid w:val="5671771B"/>
    <w:rsid w:val="5675145B"/>
    <w:rsid w:val="568610CC"/>
    <w:rsid w:val="568A2DC4"/>
    <w:rsid w:val="569F5204"/>
    <w:rsid w:val="56A40F80"/>
    <w:rsid w:val="56D80C8A"/>
    <w:rsid w:val="56DB78D0"/>
    <w:rsid w:val="56DE4CCA"/>
    <w:rsid w:val="56E30A23"/>
    <w:rsid w:val="56F805D3"/>
    <w:rsid w:val="56F9482C"/>
    <w:rsid w:val="57032983"/>
    <w:rsid w:val="570F4F7D"/>
    <w:rsid w:val="572F1065"/>
    <w:rsid w:val="572F2122"/>
    <w:rsid w:val="5732282D"/>
    <w:rsid w:val="57384B5F"/>
    <w:rsid w:val="57513E3C"/>
    <w:rsid w:val="575E71D1"/>
    <w:rsid w:val="57656AAF"/>
    <w:rsid w:val="57780285"/>
    <w:rsid w:val="5779091A"/>
    <w:rsid w:val="57895841"/>
    <w:rsid w:val="57A44166"/>
    <w:rsid w:val="57AA5AC8"/>
    <w:rsid w:val="57AC4DC9"/>
    <w:rsid w:val="57B91294"/>
    <w:rsid w:val="57C02622"/>
    <w:rsid w:val="57CB7122"/>
    <w:rsid w:val="57CD4D3F"/>
    <w:rsid w:val="57D61E46"/>
    <w:rsid w:val="57DB54E4"/>
    <w:rsid w:val="57E528E5"/>
    <w:rsid w:val="580206F4"/>
    <w:rsid w:val="580F49BF"/>
    <w:rsid w:val="5816406A"/>
    <w:rsid w:val="581F69C6"/>
    <w:rsid w:val="58274104"/>
    <w:rsid w:val="58276B45"/>
    <w:rsid w:val="58286FB6"/>
    <w:rsid w:val="58425B04"/>
    <w:rsid w:val="58733B38"/>
    <w:rsid w:val="58B33F35"/>
    <w:rsid w:val="58BB51AE"/>
    <w:rsid w:val="58BD45F0"/>
    <w:rsid w:val="58C47EF0"/>
    <w:rsid w:val="58C67724"/>
    <w:rsid w:val="58F74373"/>
    <w:rsid w:val="59240A16"/>
    <w:rsid w:val="592B2BC8"/>
    <w:rsid w:val="5932697F"/>
    <w:rsid w:val="5945570A"/>
    <w:rsid w:val="5952239C"/>
    <w:rsid w:val="595B54FE"/>
    <w:rsid w:val="596C2A61"/>
    <w:rsid w:val="597746E4"/>
    <w:rsid w:val="597F7FA7"/>
    <w:rsid w:val="59843CBF"/>
    <w:rsid w:val="598A1022"/>
    <w:rsid w:val="599B0ABE"/>
    <w:rsid w:val="59AA5338"/>
    <w:rsid w:val="59B44E5D"/>
    <w:rsid w:val="59B93578"/>
    <w:rsid w:val="59C60319"/>
    <w:rsid w:val="59CD7AEE"/>
    <w:rsid w:val="59F42A57"/>
    <w:rsid w:val="59F70789"/>
    <w:rsid w:val="5A080419"/>
    <w:rsid w:val="5A0A7C1A"/>
    <w:rsid w:val="5A4A27BF"/>
    <w:rsid w:val="5A4A7AA9"/>
    <w:rsid w:val="5A636A25"/>
    <w:rsid w:val="5A6D518B"/>
    <w:rsid w:val="5A6F22C5"/>
    <w:rsid w:val="5A785436"/>
    <w:rsid w:val="5A795462"/>
    <w:rsid w:val="5A81253D"/>
    <w:rsid w:val="5A843DDB"/>
    <w:rsid w:val="5A865B96"/>
    <w:rsid w:val="5ABA15AB"/>
    <w:rsid w:val="5AC10B8B"/>
    <w:rsid w:val="5AD22D98"/>
    <w:rsid w:val="5AF947C9"/>
    <w:rsid w:val="5B0E0A6F"/>
    <w:rsid w:val="5B0E7B48"/>
    <w:rsid w:val="5B101B12"/>
    <w:rsid w:val="5B314B9C"/>
    <w:rsid w:val="5B370E4D"/>
    <w:rsid w:val="5B4A73F1"/>
    <w:rsid w:val="5B4F5494"/>
    <w:rsid w:val="5B5267B9"/>
    <w:rsid w:val="5B5714EF"/>
    <w:rsid w:val="5B5F034D"/>
    <w:rsid w:val="5B64318C"/>
    <w:rsid w:val="5B6559BA"/>
    <w:rsid w:val="5B7948A2"/>
    <w:rsid w:val="5B7A2A80"/>
    <w:rsid w:val="5B9C5154"/>
    <w:rsid w:val="5B9E5C51"/>
    <w:rsid w:val="5BC05588"/>
    <w:rsid w:val="5BC414F3"/>
    <w:rsid w:val="5BCC5A39"/>
    <w:rsid w:val="5BD42E24"/>
    <w:rsid w:val="5BDC498A"/>
    <w:rsid w:val="5BE21F66"/>
    <w:rsid w:val="5BFB37A6"/>
    <w:rsid w:val="5C0F5926"/>
    <w:rsid w:val="5C240C7B"/>
    <w:rsid w:val="5C317F92"/>
    <w:rsid w:val="5C4A1A01"/>
    <w:rsid w:val="5C8D51F6"/>
    <w:rsid w:val="5CA02A22"/>
    <w:rsid w:val="5CA223D5"/>
    <w:rsid w:val="5CA52AF5"/>
    <w:rsid w:val="5CB963A2"/>
    <w:rsid w:val="5CC41C0D"/>
    <w:rsid w:val="5CC67A67"/>
    <w:rsid w:val="5CCE1A7B"/>
    <w:rsid w:val="5CD32DF8"/>
    <w:rsid w:val="5CD56B70"/>
    <w:rsid w:val="5CE42D12"/>
    <w:rsid w:val="5CF138A4"/>
    <w:rsid w:val="5CFC40FC"/>
    <w:rsid w:val="5D2006AE"/>
    <w:rsid w:val="5D5D7AEC"/>
    <w:rsid w:val="5D5E1D3C"/>
    <w:rsid w:val="5D665A1A"/>
    <w:rsid w:val="5D811BDF"/>
    <w:rsid w:val="5DA44981"/>
    <w:rsid w:val="5DB07B64"/>
    <w:rsid w:val="5DC1140A"/>
    <w:rsid w:val="5DCA5FA9"/>
    <w:rsid w:val="5DD23992"/>
    <w:rsid w:val="5DDE2965"/>
    <w:rsid w:val="5DE3706A"/>
    <w:rsid w:val="5DE55D4F"/>
    <w:rsid w:val="5DED613B"/>
    <w:rsid w:val="5DF24F34"/>
    <w:rsid w:val="5DFC012C"/>
    <w:rsid w:val="5E0B635A"/>
    <w:rsid w:val="5E167440"/>
    <w:rsid w:val="5E1F1A63"/>
    <w:rsid w:val="5E294CEB"/>
    <w:rsid w:val="5E34202E"/>
    <w:rsid w:val="5E3C677A"/>
    <w:rsid w:val="5E581806"/>
    <w:rsid w:val="5E5D0BCB"/>
    <w:rsid w:val="5E742CA5"/>
    <w:rsid w:val="5E9203D1"/>
    <w:rsid w:val="5EA11D24"/>
    <w:rsid w:val="5ED02091"/>
    <w:rsid w:val="5ED02A30"/>
    <w:rsid w:val="5EE17A4E"/>
    <w:rsid w:val="5EEB2E56"/>
    <w:rsid w:val="5EF12061"/>
    <w:rsid w:val="5EF54261"/>
    <w:rsid w:val="5EF66F80"/>
    <w:rsid w:val="5EFD3DCB"/>
    <w:rsid w:val="5F053010"/>
    <w:rsid w:val="5F0C439F"/>
    <w:rsid w:val="5F1E7B5D"/>
    <w:rsid w:val="5F2B6F1B"/>
    <w:rsid w:val="5F323D85"/>
    <w:rsid w:val="5F56163C"/>
    <w:rsid w:val="5F5919A6"/>
    <w:rsid w:val="5F5D1498"/>
    <w:rsid w:val="5F6042E7"/>
    <w:rsid w:val="5F82440E"/>
    <w:rsid w:val="5F895057"/>
    <w:rsid w:val="5F940A3E"/>
    <w:rsid w:val="5F990328"/>
    <w:rsid w:val="5FB67912"/>
    <w:rsid w:val="5FBB029F"/>
    <w:rsid w:val="5FC5111D"/>
    <w:rsid w:val="5FE408D5"/>
    <w:rsid w:val="5FEE514E"/>
    <w:rsid w:val="5FEF7F48"/>
    <w:rsid w:val="600A4D82"/>
    <w:rsid w:val="60210B27"/>
    <w:rsid w:val="602430D5"/>
    <w:rsid w:val="603358AD"/>
    <w:rsid w:val="60353E49"/>
    <w:rsid w:val="603C0211"/>
    <w:rsid w:val="604909D1"/>
    <w:rsid w:val="60522285"/>
    <w:rsid w:val="605C661D"/>
    <w:rsid w:val="606A3A73"/>
    <w:rsid w:val="606E36B0"/>
    <w:rsid w:val="60864E22"/>
    <w:rsid w:val="60992FAF"/>
    <w:rsid w:val="60A96349"/>
    <w:rsid w:val="60B011C2"/>
    <w:rsid w:val="60E618D8"/>
    <w:rsid w:val="60F021CA"/>
    <w:rsid w:val="610B3038"/>
    <w:rsid w:val="61235DE9"/>
    <w:rsid w:val="614B4949"/>
    <w:rsid w:val="614E5CC5"/>
    <w:rsid w:val="6157463B"/>
    <w:rsid w:val="617E4947"/>
    <w:rsid w:val="61832E18"/>
    <w:rsid w:val="618C3680"/>
    <w:rsid w:val="619157A0"/>
    <w:rsid w:val="619535D9"/>
    <w:rsid w:val="61AD7FAC"/>
    <w:rsid w:val="61B9082C"/>
    <w:rsid w:val="61C62F2B"/>
    <w:rsid w:val="61D06884"/>
    <w:rsid w:val="61DA5A55"/>
    <w:rsid w:val="61DE001A"/>
    <w:rsid w:val="620039AE"/>
    <w:rsid w:val="62012E19"/>
    <w:rsid w:val="620C4DF8"/>
    <w:rsid w:val="62326812"/>
    <w:rsid w:val="62552691"/>
    <w:rsid w:val="625B3673"/>
    <w:rsid w:val="62865D12"/>
    <w:rsid w:val="62A22034"/>
    <w:rsid w:val="62C92CD3"/>
    <w:rsid w:val="62DA71BA"/>
    <w:rsid w:val="62F80177"/>
    <w:rsid w:val="62FE72D8"/>
    <w:rsid w:val="63067321"/>
    <w:rsid w:val="632259C4"/>
    <w:rsid w:val="63263D0D"/>
    <w:rsid w:val="633E7923"/>
    <w:rsid w:val="63464678"/>
    <w:rsid w:val="634D2D5C"/>
    <w:rsid w:val="63632B45"/>
    <w:rsid w:val="6373260F"/>
    <w:rsid w:val="63750765"/>
    <w:rsid w:val="637864A7"/>
    <w:rsid w:val="63844E4C"/>
    <w:rsid w:val="63856413"/>
    <w:rsid w:val="639E415F"/>
    <w:rsid w:val="63A23524"/>
    <w:rsid w:val="63A454EE"/>
    <w:rsid w:val="63AD54D7"/>
    <w:rsid w:val="63C33BC6"/>
    <w:rsid w:val="63D06AB5"/>
    <w:rsid w:val="63D201A3"/>
    <w:rsid w:val="63D83E7C"/>
    <w:rsid w:val="63DF6D3D"/>
    <w:rsid w:val="63E91153"/>
    <w:rsid w:val="63F034EC"/>
    <w:rsid w:val="63F20007"/>
    <w:rsid w:val="64003D27"/>
    <w:rsid w:val="64063AB3"/>
    <w:rsid w:val="640F4477"/>
    <w:rsid w:val="644763D7"/>
    <w:rsid w:val="64505A3F"/>
    <w:rsid w:val="64623999"/>
    <w:rsid w:val="646E04C5"/>
    <w:rsid w:val="64850E7B"/>
    <w:rsid w:val="64945C4D"/>
    <w:rsid w:val="649548FB"/>
    <w:rsid w:val="649E7A03"/>
    <w:rsid w:val="64AD388C"/>
    <w:rsid w:val="64B60830"/>
    <w:rsid w:val="64B654D9"/>
    <w:rsid w:val="64C060ED"/>
    <w:rsid w:val="64D81CF5"/>
    <w:rsid w:val="64ED07CF"/>
    <w:rsid w:val="64FB738F"/>
    <w:rsid w:val="64FD4EB5"/>
    <w:rsid w:val="65136487"/>
    <w:rsid w:val="652341F0"/>
    <w:rsid w:val="6530528B"/>
    <w:rsid w:val="65420BAE"/>
    <w:rsid w:val="65440656"/>
    <w:rsid w:val="654E5711"/>
    <w:rsid w:val="65520C3E"/>
    <w:rsid w:val="657C227E"/>
    <w:rsid w:val="657C7D98"/>
    <w:rsid w:val="657E7CA3"/>
    <w:rsid w:val="65863C10"/>
    <w:rsid w:val="6590775B"/>
    <w:rsid w:val="65A45561"/>
    <w:rsid w:val="65A672FB"/>
    <w:rsid w:val="65B52C14"/>
    <w:rsid w:val="65B91B53"/>
    <w:rsid w:val="65C0346C"/>
    <w:rsid w:val="65C65DFC"/>
    <w:rsid w:val="65DF45BB"/>
    <w:rsid w:val="65F22540"/>
    <w:rsid w:val="65F60965"/>
    <w:rsid w:val="66140709"/>
    <w:rsid w:val="66324275"/>
    <w:rsid w:val="6633482D"/>
    <w:rsid w:val="66353439"/>
    <w:rsid w:val="663D6FFE"/>
    <w:rsid w:val="66582833"/>
    <w:rsid w:val="665E1984"/>
    <w:rsid w:val="6663343E"/>
    <w:rsid w:val="667557A4"/>
    <w:rsid w:val="6677281C"/>
    <w:rsid w:val="669F59AB"/>
    <w:rsid w:val="669F5C50"/>
    <w:rsid w:val="66C07BE6"/>
    <w:rsid w:val="66C66E69"/>
    <w:rsid w:val="66E9246C"/>
    <w:rsid w:val="670341D1"/>
    <w:rsid w:val="671D552C"/>
    <w:rsid w:val="67395B31"/>
    <w:rsid w:val="673D3AD3"/>
    <w:rsid w:val="67447F61"/>
    <w:rsid w:val="674566A0"/>
    <w:rsid w:val="67484C14"/>
    <w:rsid w:val="67486190"/>
    <w:rsid w:val="674F751F"/>
    <w:rsid w:val="67535261"/>
    <w:rsid w:val="67564DCC"/>
    <w:rsid w:val="675A18E7"/>
    <w:rsid w:val="676E3F85"/>
    <w:rsid w:val="67753429"/>
    <w:rsid w:val="677A0A3F"/>
    <w:rsid w:val="67966EFB"/>
    <w:rsid w:val="67AA791C"/>
    <w:rsid w:val="67B35CFF"/>
    <w:rsid w:val="67C65229"/>
    <w:rsid w:val="67CC2CAE"/>
    <w:rsid w:val="67EB5990"/>
    <w:rsid w:val="680604D6"/>
    <w:rsid w:val="680C4CB4"/>
    <w:rsid w:val="681253D0"/>
    <w:rsid w:val="68295FC1"/>
    <w:rsid w:val="682D5F54"/>
    <w:rsid w:val="68464F3B"/>
    <w:rsid w:val="684A64D9"/>
    <w:rsid w:val="68580655"/>
    <w:rsid w:val="685A6D95"/>
    <w:rsid w:val="68656D1C"/>
    <w:rsid w:val="68731520"/>
    <w:rsid w:val="68792AA5"/>
    <w:rsid w:val="688E42B7"/>
    <w:rsid w:val="68960155"/>
    <w:rsid w:val="689B44E8"/>
    <w:rsid w:val="68A32F09"/>
    <w:rsid w:val="68B94F59"/>
    <w:rsid w:val="68C0194D"/>
    <w:rsid w:val="68C65D6E"/>
    <w:rsid w:val="68DA5ADD"/>
    <w:rsid w:val="68DC1A4F"/>
    <w:rsid w:val="68ED5241"/>
    <w:rsid w:val="68F2680E"/>
    <w:rsid w:val="68F760C0"/>
    <w:rsid w:val="68FC0C56"/>
    <w:rsid w:val="68FC7232"/>
    <w:rsid w:val="69107A14"/>
    <w:rsid w:val="691F344E"/>
    <w:rsid w:val="6924250F"/>
    <w:rsid w:val="692549DB"/>
    <w:rsid w:val="69271690"/>
    <w:rsid w:val="693B7832"/>
    <w:rsid w:val="694C0E55"/>
    <w:rsid w:val="6959691A"/>
    <w:rsid w:val="696033A5"/>
    <w:rsid w:val="696533DD"/>
    <w:rsid w:val="696973C3"/>
    <w:rsid w:val="696F027E"/>
    <w:rsid w:val="697B284D"/>
    <w:rsid w:val="698E4AF7"/>
    <w:rsid w:val="69A16F46"/>
    <w:rsid w:val="69B31AA2"/>
    <w:rsid w:val="69C55233"/>
    <w:rsid w:val="69D33FBE"/>
    <w:rsid w:val="69D837FB"/>
    <w:rsid w:val="69EB0D20"/>
    <w:rsid w:val="6A024D1C"/>
    <w:rsid w:val="6A0D1184"/>
    <w:rsid w:val="6A4315BC"/>
    <w:rsid w:val="6A624D6D"/>
    <w:rsid w:val="6A636D66"/>
    <w:rsid w:val="6A8C667E"/>
    <w:rsid w:val="6A8D0A8A"/>
    <w:rsid w:val="6A932B4B"/>
    <w:rsid w:val="6A995680"/>
    <w:rsid w:val="6AC83870"/>
    <w:rsid w:val="6AE866A8"/>
    <w:rsid w:val="6AF619D0"/>
    <w:rsid w:val="6AFE299C"/>
    <w:rsid w:val="6B0146A4"/>
    <w:rsid w:val="6B037F88"/>
    <w:rsid w:val="6B051D29"/>
    <w:rsid w:val="6B087F5F"/>
    <w:rsid w:val="6B0D02EB"/>
    <w:rsid w:val="6B3709F5"/>
    <w:rsid w:val="6B56531F"/>
    <w:rsid w:val="6B647232"/>
    <w:rsid w:val="6B676306"/>
    <w:rsid w:val="6B6D718E"/>
    <w:rsid w:val="6B711B7A"/>
    <w:rsid w:val="6B7457A6"/>
    <w:rsid w:val="6B755260"/>
    <w:rsid w:val="6B7632CC"/>
    <w:rsid w:val="6B8E2D0B"/>
    <w:rsid w:val="6B902CAD"/>
    <w:rsid w:val="6B9D1BE8"/>
    <w:rsid w:val="6BA07E6A"/>
    <w:rsid w:val="6BC8556D"/>
    <w:rsid w:val="6BD43669"/>
    <w:rsid w:val="6BE8725E"/>
    <w:rsid w:val="6BE97136"/>
    <w:rsid w:val="6BEA5A68"/>
    <w:rsid w:val="6BF72FC1"/>
    <w:rsid w:val="6C022DB1"/>
    <w:rsid w:val="6C0A2840"/>
    <w:rsid w:val="6C152647"/>
    <w:rsid w:val="6C156D2D"/>
    <w:rsid w:val="6C187585"/>
    <w:rsid w:val="6C255D33"/>
    <w:rsid w:val="6C2F6077"/>
    <w:rsid w:val="6C3345BF"/>
    <w:rsid w:val="6C4433CA"/>
    <w:rsid w:val="6C6608D6"/>
    <w:rsid w:val="6C702411"/>
    <w:rsid w:val="6C7D5484"/>
    <w:rsid w:val="6C8709A4"/>
    <w:rsid w:val="6C9852E5"/>
    <w:rsid w:val="6C992705"/>
    <w:rsid w:val="6CAB169B"/>
    <w:rsid w:val="6CC462B9"/>
    <w:rsid w:val="6CD1181E"/>
    <w:rsid w:val="6CD858AC"/>
    <w:rsid w:val="6CF2276F"/>
    <w:rsid w:val="6CFA7D7F"/>
    <w:rsid w:val="6CFB33C6"/>
    <w:rsid w:val="6CFE17CB"/>
    <w:rsid w:val="6D03108D"/>
    <w:rsid w:val="6D17288C"/>
    <w:rsid w:val="6D3C6797"/>
    <w:rsid w:val="6D5C2995"/>
    <w:rsid w:val="6D603BDC"/>
    <w:rsid w:val="6D66521C"/>
    <w:rsid w:val="6D6B38D7"/>
    <w:rsid w:val="6D6F33E7"/>
    <w:rsid w:val="6D8D7A35"/>
    <w:rsid w:val="6D921C73"/>
    <w:rsid w:val="6DA87988"/>
    <w:rsid w:val="6DBD1347"/>
    <w:rsid w:val="6DC9002B"/>
    <w:rsid w:val="6DCC18C9"/>
    <w:rsid w:val="6DD864C0"/>
    <w:rsid w:val="6E070B53"/>
    <w:rsid w:val="6E0A7D76"/>
    <w:rsid w:val="6E0B41E3"/>
    <w:rsid w:val="6E0E5A3E"/>
    <w:rsid w:val="6E146DCC"/>
    <w:rsid w:val="6E2A7591"/>
    <w:rsid w:val="6E3B2833"/>
    <w:rsid w:val="6E4F523E"/>
    <w:rsid w:val="6E5729A2"/>
    <w:rsid w:val="6E583A1F"/>
    <w:rsid w:val="6E7004A6"/>
    <w:rsid w:val="6E790D0C"/>
    <w:rsid w:val="6E9560FC"/>
    <w:rsid w:val="6E9A4651"/>
    <w:rsid w:val="6EAA495D"/>
    <w:rsid w:val="6EAB742B"/>
    <w:rsid w:val="6EAE1C55"/>
    <w:rsid w:val="6EB0558D"/>
    <w:rsid w:val="6EB959B7"/>
    <w:rsid w:val="6EC6113E"/>
    <w:rsid w:val="6EC97476"/>
    <w:rsid w:val="6ECD414C"/>
    <w:rsid w:val="6EE265AE"/>
    <w:rsid w:val="6EFF1080"/>
    <w:rsid w:val="6EFF182A"/>
    <w:rsid w:val="6F0E7CBF"/>
    <w:rsid w:val="6F170E2C"/>
    <w:rsid w:val="6F1C670B"/>
    <w:rsid w:val="6F213326"/>
    <w:rsid w:val="6F3A22A7"/>
    <w:rsid w:val="6F45287E"/>
    <w:rsid w:val="6F68200A"/>
    <w:rsid w:val="6F697C94"/>
    <w:rsid w:val="6F702DBF"/>
    <w:rsid w:val="6F9970C9"/>
    <w:rsid w:val="6FBB7E47"/>
    <w:rsid w:val="6FCE3141"/>
    <w:rsid w:val="6FE253D4"/>
    <w:rsid w:val="6FEF7AF1"/>
    <w:rsid w:val="6FFA1CBF"/>
    <w:rsid w:val="7004359C"/>
    <w:rsid w:val="700A011C"/>
    <w:rsid w:val="70191088"/>
    <w:rsid w:val="70212D2F"/>
    <w:rsid w:val="70384FF4"/>
    <w:rsid w:val="7040644A"/>
    <w:rsid w:val="70531535"/>
    <w:rsid w:val="7064228D"/>
    <w:rsid w:val="707B1384"/>
    <w:rsid w:val="70866758"/>
    <w:rsid w:val="70935B85"/>
    <w:rsid w:val="70A16506"/>
    <w:rsid w:val="70B76860"/>
    <w:rsid w:val="70BF0D6E"/>
    <w:rsid w:val="70CA6A0A"/>
    <w:rsid w:val="70E01DD1"/>
    <w:rsid w:val="71146B51"/>
    <w:rsid w:val="71147230"/>
    <w:rsid w:val="71161C74"/>
    <w:rsid w:val="71324139"/>
    <w:rsid w:val="714B0D57"/>
    <w:rsid w:val="71597165"/>
    <w:rsid w:val="717256AD"/>
    <w:rsid w:val="717464FF"/>
    <w:rsid w:val="718544F1"/>
    <w:rsid w:val="71976406"/>
    <w:rsid w:val="71A07E50"/>
    <w:rsid w:val="71DE2066"/>
    <w:rsid w:val="71E2790D"/>
    <w:rsid w:val="71E95523"/>
    <w:rsid w:val="720A152D"/>
    <w:rsid w:val="72111FA0"/>
    <w:rsid w:val="721147C0"/>
    <w:rsid w:val="721F1D01"/>
    <w:rsid w:val="7222649A"/>
    <w:rsid w:val="72345FDA"/>
    <w:rsid w:val="72444124"/>
    <w:rsid w:val="724A2756"/>
    <w:rsid w:val="72677E12"/>
    <w:rsid w:val="7272515D"/>
    <w:rsid w:val="727367B7"/>
    <w:rsid w:val="727B38BE"/>
    <w:rsid w:val="72BD7A32"/>
    <w:rsid w:val="72D11304"/>
    <w:rsid w:val="72E17BC5"/>
    <w:rsid w:val="72EF0902"/>
    <w:rsid w:val="72FC67AC"/>
    <w:rsid w:val="730438B3"/>
    <w:rsid w:val="730C4186"/>
    <w:rsid w:val="732F685F"/>
    <w:rsid w:val="7341102A"/>
    <w:rsid w:val="73463ECB"/>
    <w:rsid w:val="735E7467"/>
    <w:rsid w:val="736B0572"/>
    <w:rsid w:val="737974C3"/>
    <w:rsid w:val="73A17E6A"/>
    <w:rsid w:val="73BC418E"/>
    <w:rsid w:val="73C117A4"/>
    <w:rsid w:val="73D019E7"/>
    <w:rsid w:val="73E16D57"/>
    <w:rsid w:val="73E3397D"/>
    <w:rsid w:val="73EA2AA9"/>
    <w:rsid w:val="73EB05CF"/>
    <w:rsid w:val="73EE0AE6"/>
    <w:rsid w:val="741152AF"/>
    <w:rsid w:val="74210D9D"/>
    <w:rsid w:val="742A559B"/>
    <w:rsid w:val="74515CAA"/>
    <w:rsid w:val="7453624B"/>
    <w:rsid w:val="745A03E2"/>
    <w:rsid w:val="746049BA"/>
    <w:rsid w:val="74616509"/>
    <w:rsid w:val="74874E5A"/>
    <w:rsid w:val="74A227F4"/>
    <w:rsid w:val="74A2568B"/>
    <w:rsid w:val="74A626EA"/>
    <w:rsid w:val="74BA5E3A"/>
    <w:rsid w:val="74C47F76"/>
    <w:rsid w:val="74D84FF7"/>
    <w:rsid w:val="74E27C24"/>
    <w:rsid w:val="74ED5F47"/>
    <w:rsid w:val="74F31E31"/>
    <w:rsid w:val="74FD32BB"/>
    <w:rsid w:val="75085535"/>
    <w:rsid w:val="75096F5F"/>
    <w:rsid w:val="75271ADB"/>
    <w:rsid w:val="75367885"/>
    <w:rsid w:val="753D4FBB"/>
    <w:rsid w:val="754D7793"/>
    <w:rsid w:val="754E3DD7"/>
    <w:rsid w:val="7553467E"/>
    <w:rsid w:val="7573132B"/>
    <w:rsid w:val="757934F0"/>
    <w:rsid w:val="757939E9"/>
    <w:rsid w:val="75884663"/>
    <w:rsid w:val="758F711B"/>
    <w:rsid w:val="759C7DD3"/>
    <w:rsid w:val="75AD3D8E"/>
    <w:rsid w:val="75C80FD3"/>
    <w:rsid w:val="75D94B83"/>
    <w:rsid w:val="75DC3A8B"/>
    <w:rsid w:val="75EC41E5"/>
    <w:rsid w:val="76021882"/>
    <w:rsid w:val="76143E0D"/>
    <w:rsid w:val="76160679"/>
    <w:rsid w:val="761715C6"/>
    <w:rsid w:val="76393D81"/>
    <w:rsid w:val="764C37FA"/>
    <w:rsid w:val="766331F3"/>
    <w:rsid w:val="766574D1"/>
    <w:rsid w:val="767C3DB4"/>
    <w:rsid w:val="7682047B"/>
    <w:rsid w:val="768F16E6"/>
    <w:rsid w:val="768F2CE9"/>
    <w:rsid w:val="76B13D52"/>
    <w:rsid w:val="76BF021D"/>
    <w:rsid w:val="76CA30E2"/>
    <w:rsid w:val="76D014F3"/>
    <w:rsid w:val="76D307C3"/>
    <w:rsid w:val="76DE1045"/>
    <w:rsid w:val="76EC4D8A"/>
    <w:rsid w:val="77091498"/>
    <w:rsid w:val="771463D1"/>
    <w:rsid w:val="774A39DA"/>
    <w:rsid w:val="776C147A"/>
    <w:rsid w:val="77777CEB"/>
    <w:rsid w:val="779B02BA"/>
    <w:rsid w:val="77CA4292"/>
    <w:rsid w:val="77CC3F35"/>
    <w:rsid w:val="77D64484"/>
    <w:rsid w:val="77E922B4"/>
    <w:rsid w:val="78052150"/>
    <w:rsid w:val="78081990"/>
    <w:rsid w:val="781A58E7"/>
    <w:rsid w:val="7833145C"/>
    <w:rsid w:val="784106DE"/>
    <w:rsid w:val="786258A4"/>
    <w:rsid w:val="78653E94"/>
    <w:rsid w:val="787A60AB"/>
    <w:rsid w:val="78A3591C"/>
    <w:rsid w:val="78AE0D8F"/>
    <w:rsid w:val="78B62B10"/>
    <w:rsid w:val="78CE1FD7"/>
    <w:rsid w:val="78D0463B"/>
    <w:rsid w:val="78E81581"/>
    <w:rsid w:val="78FE7CCB"/>
    <w:rsid w:val="7906595E"/>
    <w:rsid w:val="79156386"/>
    <w:rsid w:val="7917686A"/>
    <w:rsid w:val="7936053E"/>
    <w:rsid w:val="794B7201"/>
    <w:rsid w:val="7952603A"/>
    <w:rsid w:val="795B0ABE"/>
    <w:rsid w:val="796C21B2"/>
    <w:rsid w:val="796E79CC"/>
    <w:rsid w:val="798A42B2"/>
    <w:rsid w:val="798B1783"/>
    <w:rsid w:val="79AE27CB"/>
    <w:rsid w:val="79B2108A"/>
    <w:rsid w:val="79DC025D"/>
    <w:rsid w:val="7A0441EA"/>
    <w:rsid w:val="7A2300C1"/>
    <w:rsid w:val="7A291E51"/>
    <w:rsid w:val="7A3D5FF6"/>
    <w:rsid w:val="7A417E6A"/>
    <w:rsid w:val="7A4822D7"/>
    <w:rsid w:val="7A592736"/>
    <w:rsid w:val="7A85177D"/>
    <w:rsid w:val="7A92024C"/>
    <w:rsid w:val="7A97500D"/>
    <w:rsid w:val="7A98347A"/>
    <w:rsid w:val="7A9E45ED"/>
    <w:rsid w:val="7AA222D1"/>
    <w:rsid w:val="7ACB3889"/>
    <w:rsid w:val="7ACF0C4A"/>
    <w:rsid w:val="7AF6294A"/>
    <w:rsid w:val="7B0B5BD1"/>
    <w:rsid w:val="7B312D12"/>
    <w:rsid w:val="7B5178B1"/>
    <w:rsid w:val="7B711D02"/>
    <w:rsid w:val="7B747159"/>
    <w:rsid w:val="7B930658"/>
    <w:rsid w:val="7B953190"/>
    <w:rsid w:val="7BA06143"/>
    <w:rsid w:val="7BA53398"/>
    <w:rsid w:val="7BBD0551"/>
    <w:rsid w:val="7BC14493"/>
    <w:rsid w:val="7BC71689"/>
    <w:rsid w:val="7BE20360"/>
    <w:rsid w:val="7BE20509"/>
    <w:rsid w:val="7BF6111E"/>
    <w:rsid w:val="7BFC5A6F"/>
    <w:rsid w:val="7C161CF8"/>
    <w:rsid w:val="7C1A1A2B"/>
    <w:rsid w:val="7C330F03"/>
    <w:rsid w:val="7C340082"/>
    <w:rsid w:val="7C343E95"/>
    <w:rsid w:val="7C43544C"/>
    <w:rsid w:val="7C435CA9"/>
    <w:rsid w:val="7C6B04FF"/>
    <w:rsid w:val="7C78688F"/>
    <w:rsid w:val="7C7D390E"/>
    <w:rsid w:val="7C7E1CA6"/>
    <w:rsid w:val="7C867510"/>
    <w:rsid w:val="7C9E2682"/>
    <w:rsid w:val="7CC50BC4"/>
    <w:rsid w:val="7CDC31AB"/>
    <w:rsid w:val="7CE51182"/>
    <w:rsid w:val="7CE65DD7"/>
    <w:rsid w:val="7CED7166"/>
    <w:rsid w:val="7CF01DBB"/>
    <w:rsid w:val="7CF510C4"/>
    <w:rsid w:val="7CF93C5A"/>
    <w:rsid w:val="7D195716"/>
    <w:rsid w:val="7D1961AD"/>
    <w:rsid w:val="7D21376C"/>
    <w:rsid w:val="7D221505"/>
    <w:rsid w:val="7D2A660C"/>
    <w:rsid w:val="7D40198C"/>
    <w:rsid w:val="7D622331"/>
    <w:rsid w:val="7D733B0F"/>
    <w:rsid w:val="7D8B198E"/>
    <w:rsid w:val="7D934831"/>
    <w:rsid w:val="7D9F66B2"/>
    <w:rsid w:val="7DA57DF5"/>
    <w:rsid w:val="7DB84D2F"/>
    <w:rsid w:val="7DD75B87"/>
    <w:rsid w:val="7DDC7906"/>
    <w:rsid w:val="7DFC7E2B"/>
    <w:rsid w:val="7DFD5ACF"/>
    <w:rsid w:val="7E06125E"/>
    <w:rsid w:val="7E122B46"/>
    <w:rsid w:val="7E244E09"/>
    <w:rsid w:val="7E262275"/>
    <w:rsid w:val="7E2676D0"/>
    <w:rsid w:val="7E292420"/>
    <w:rsid w:val="7E292808"/>
    <w:rsid w:val="7E3B179B"/>
    <w:rsid w:val="7E4C610E"/>
    <w:rsid w:val="7E4F73AA"/>
    <w:rsid w:val="7E5E2466"/>
    <w:rsid w:val="7E654A6D"/>
    <w:rsid w:val="7E74200D"/>
    <w:rsid w:val="7E7B647C"/>
    <w:rsid w:val="7E7B6F9A"/>
    <w:rsid w:val="7E81400A"/>
    <w:rsid w:val="7E977CD1"/>
    <w:rsid w:val="7E9B05EC"/>
    <w:rsid w:val="7EA22277"/>
    <w:rsid w:val="7EAF6DC9"/>
    <w:rsid w:val="7EB825D9"/>
    <w:rsid w:val="7EC565EC"/>
    <w:rsid w:val="7EC63541"/>
    <w:rsid w:val="7ED405DD"/>
    <w:rsid w:val="7EED4B13"/>
    <w:rsid w:val="7EF667A6"/>
    <w:rsid w:val="7F363046"/>
    <w:rsid w:val="7F406C1A"/>
    <w:rsid w:val="7F8B1A78"/>
    <w:rsid w:val="7FA418D8"/>
    <w:rsid w:val="7FA92784"/>
    <w:rsid w:val="7FB34146"/>
    <w:rsid w:val="7FD34D39"/>
    <w:rsid w:val="7FD60BED"/>
    <w:rsid w:val="7FDD570F"/>
    <w:rsid w:val="7FE74340"/>
    <w:rsid w:val="7FE87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0"/>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rPr>
      <w:sz w:val="28"/>
    </w:rPr>
  </w:style>
  <w:style w:type="paragraph" w:styleId="7">
    <w:name w:val="Document Map"/>
    <w:basedOn w:val="1"/>
    <w:link w:val="31"/>
    <w:autoRedefine/>
    <w:qFormat/>
    <w:uiPriority w:val="0"/>
    <w:rPr>
      <w:rFonts w:ascii="宋体" w:hAnsi="Calibri" w:eastAsia="宋体"/>
      <w:sz w:val="18"/>
      <w:szCs w:val="18"/>
    </w:rPr>
  </w:style>
  <w:style w:type="paragraph" w:styleId="8">
    <w:name w:val="toa heading"/>
    <w:basedOn w:val="1"/>
    <w:next w:val="1"/>
    <w:autoRedefine/>
    <w:unhideWhenUsed/>
    <w:qFormat/>
    <w:uiPriority w:val="99"/>
    <w:pPr>
      <w:spacing w:before="120"/>
    </w:pPr>
    <w:rPr>
      <w:rFonts w:ascii="Cambria" w:hAnsi="Cambria"/>
      <w:sz w:val="24"/>
    </w:rPr>
  </w:style>
  <w:style w:type="paragraph" w:styleId="9">
    <w:name w:val="annotation text"/>
    <w:basedOn w:val="1"/>
    <w:link w:val="32"/>
    <w:autoRedefine/>
    <w:unhideWhenUsed/>
    <w:qFormat/>
    <w:uiPriority w:val="99"/>
    <w:pPr>
      <w:jc w:val="left"/>
    </w:pPr>
    <w:rPr>
      <w:rFonts w:ascii="Calibri" w:hAnsi="Calibri"/>
    </w:rPr>
  </w:style>
  <w:style w:type="paragraph" w:styleId="10">
    <w:name w:val="Body Text"/>
    <w:basedOn w:val="1"/>
    <w:link w:val="33"/>
    <w:autoRedefine/>
    <w:qFormat/>
    <w:uiPriority w:val="0"/>
    <w:pPr>
      <w:spacing w:after="120"/>
    </w:pPr>
    <w:rPr>
      <w:rFonts w:eastAsia="宋体"/>
    </w:rPr>
  </w:style>
  <w:style w:type="paragraph" w:styleId="11">
    <w:name w:val="Body Text Indent"/>
    <w:basedOn w:val="1"/>
    <w:link w:val="34"/>
    <w:autoRedefine/>
    <w:qFormat/>
    <w:uiPriority w:val="0"/>
    <w:pPr>
      <w:spacing w:line="360" w:lineRule="auto"/>
      <w:ind w:firstLine="480" w:firstLineChars="200"/>
    </w:pPr>
    <w:rPr>
      <w:rFonts w:ascii="宋体" w:eastAsia="宋体"/>
      <w:sz w:val="24"/>
      <w:szCs w:val="20"/>
    </w:rPr>
  </w:style>
  <w:style w:type="paragraph" w:styleId="12">
    <w:name w:val="Plain Text"/>
    <w:basedOn w:val="1"/>
    <w:autoRedefine/>
    <w:qFormat/>
    <w:uiPriority w:val="99"/>
    <w:rPr>
      <w:rFonts w:ascii="宋体" w:hAnsi="Courier New" w:cs="Courier New"/>
      <w:szCs w:val="21"/>
    </w:rPr>
  </w:style>
  <w:style w:type="paragraph" w:styleId="13">
    <w:name w:val="Balloon Text"/>
    <w:basedOn w:val="1"/>
    <w:link w:val="35"/>
    <w:autoRedefine/>
    <w:qFormat/>
    <w:uiPriority w:val="0"/>
    <w:rPr>
      <w:rFonts w:ascii="Calibri" w:hAnsi="Calibri"/>
      <w:sz w:val="18"/>
      <w:szCs w:val="18"/>
    </w:rPr>
  </w:style>
  <w:style w:type="paragraph" w:styleId="14">
    <w:name w:val="footer"/>
    <w:basedOn w:val="1"/>
    <w:next w:val="1"/>
    <w:link w:val="36"/>
    <w:autoRedefine/>
    <w:qFormat/>
    <w:uiPriority w:val="99"/>
    <w:pPr>
      <w:tabs>
        <w:tab w:val="center" w:pos="4153"/>
        <w:tab w:val="right" w:pos="8306"/>
      </w:tabs>
      <w:snapToGrid w:val="0"/>
      <w:jc w:val="left"/>
    </w:pPr>
    <w:rPr>
      <w:sz w:val="18"/>
    </w:rPr>
  </w:style>
  <w:style w:type="paragraph" w:styleId="15">
    <w:name w:val="envelope return"/>
    <w:basedOn w:val="1"/>
    <w:autoRedefine/>
    <w:qFormat/>
    <w:uiPriority w:val="0"/>
    <w:pPr>
      <w:snapToGrid w:val="0"/>
    </w:pPr>
    <w:rPr>
      <w:rFonts w:ascii="Arial" w:hAnsi="Arial" w:cs="Arial"/>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0"/>
  </w:style>
  <w:style w:type="paragraph" w:styleId="18">
    <w:name w:val="HTML Preformatted"/>
    <w:basedOn w:val="1"/>
    <w:autoRedefine/>
    <w:unhideWhenUsed/>
    <w:qFormat/>
    <w:uiPriority w:val="99"/>
    <w:rPr>
      <w:rFonts w:ascii="Courier New" w:hAnsi="Courier New" w:cs="Courier New"/>
      <w:sz w:val="20"/>
      <w:szCs w:val="20"/>
    </w:r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9"/>
    <w:next w:val="9"/>
    <w:link w:val="37"/>
    <w:autoRedefine/>
    <w:qFormat/>
    <w:uiPriority w:val="0"/>
    <w:rPr>
      <w:b/>
      <w:bCs/>
    </w:rPr>
  </w:style>
  <w:style w:type="paragraph" w:styleId="21">
    <w:name w:val="Body Text First Indent"/>
    <w:basedOn w:val="10"/>
    <w:next w:val="1"/>
    <w:autoRedefine/>
    <w:qFormat/>
    <w:uiPriority w:val="0"/>
    <w:pPr>
      <w:ind w:firstLine="420" w:firstLineChars="100"/>
    </w:pPr>
  </w:style>
  <w:style w:type="paragraph" w:styleId="22">
    <w:name w:val="Body Text First Indent 2"/>
    <w:basedOn w:val="11"/>
    <w:link w:val="38"/>
    <w:autoRedefine/>
    <w:unhideWhenUsed/>
    <w:qFormat/>
    <w:uiPriority w:val="99"/>
    <w:pPr>
      <w:ind w:firstLine="42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autoRedefine/>
    <w:qFormat/>
    <w:uiPriority w:val="0"/>
    <w:rPr>
      <w:b/>
    </w:rPr>
  </w:style>
  <w:style w:type="character" w:styleId="27">
    <w:name w:val="Hyperlink"/>
    <w:autoRedefine/>
    <w:qFormat/>
    <w:uiPriority w:val="0"/>
    <w:rPr>
      <w:color w:val="0000FF"/>
      <w:u w:val="single"/>
    </w:rPr>
  </w:style>
  <w:style w:type="character" w:styleId="28">
    <w:name w:val="annotation reference"/>
    <w:autoRedefine/>
    <w:unhideWhenUsed/>
    <w:qFormat/>
    <w:uiPriority w:val="99"/>
    <w:rPr>
      <w:sz w:val="21"/>
      <w:szCs w:val="21"/>
    </w:rPr>
  </w:style>
  <w:style w:type="paragraph" w:customStyle="1" w:styleId="29">
    <w:name w:val="Default"/>
    <w:next w:val="1"/>
    <w:autoRedefine/>
    <w:qFormat/>
    <w:uiPriority w:val="99"/>
    <w:pPr>
      <w:widowControl w:val="0"/>
      <w:autoSpaceDE w:val="0"/>
      <w:autoSpaceDN w:val="0"/>
      <w:adjustRightInd w:val="0"/>
    </w:pPr>
    <w:rPr>
      <w:rFonts w:ascii="黑体" w:hAnsi="Calibri" w:eastAsia="黑体" w:cs="黑体"/>
      <w:color w:val="000000"/>
      <w:sz w:val="24"/>
      <w:szCs w:val="24"/>
      <w:lang w:val="en-US" w:eastAsia="zh-CN" w:bidi="ar-SA"/>
    </w:rPr>
  </w:style>
  <w:style w:type="character" w:customStyle="1" w:styleId="30">
    <w:name w:val="标题 1 Char"/>
    <w:link w:val="2"/>
    <w:autoRedefine/>
    <w:qFormat/>
    <w:uiPriority w:val="0"/>
    <w:rPr>
      <w:rFonts w:ascii="Calibri" w:hAnsi="Calibri" w:eastAsia="仿宋" w:cs="Times New Roman"/>
      <w:b/>
      <w:kern w:val="44"/>
      <w:sz w:val="44"/>
      <w:szCs w:val="24"/>
    </w:rPr>
  </w:style>
  <w:style w:type="character" w:customStyle="1" w:styleId="31">
    <w:name w:val="文档结构图 Char"/>
    <w:link w:val="7"/>
    <w:autoRedefine/>
    <w:qFormat/>
    <w:uiPriority w:val="0"/>
    <w:rPr>
      <w:rFonts w:ascii="宋体" w:hAnsi="Calibri" w:cs="Times New Roman"/>
      <w:kern w:val="2"/>
      <w:sz w:val="18"/>
      <w:szCs w:val="18"/>
    </w:rPr>
  </w:style>
  <w:style w:type="character" w:customStyle="1" w:styleId="32">
    <w:name w:val="批注文字 Char"/>
    <w:link w:val="9"/>
    <w:autoRedefine/>
    <w:qFormat/>
    <w:uiPriority w:val="99"/>
    <w:rPr>
      <w:rFonts w:ascii="Calibri" w:hAnsi="Calibri" w:eastAsia="仿宋" w:cs="Times New Roman"/>
      <w:kern w:val="2"/>
      <w:sz w:val="21"/>
      <w:szCs w:val="24"/>
    </w:rPr>
  </w:style>
  <w:style w:type="character" w:customStyle="1" w:styleId="33">
    <w:name w:val="正文文本 Char"/>
    <w:link w:val="10"/>
    <w:autoRedefine/>
    <w:qFormat/>
    <w:uiPriority w:val="0"/>
    <w:rPr>
      <w:rFonts w:hint="default" w:ascii="Times New Roman" w:hAnsi="Times New Roman" w:eastAsia="仿宋" w:cs="Times New Roman"/>
      <w:kern w:val="2"/>
      <w:sz w:val="21"/>
      <w:szCs w:val="24"/>
    </w:rPr>
  </w:style>
  <w:style w:type="character" w:customStyle="1" w:styleId="34">
    <w:name w:val="正文文本缩进 Char"/>
    <w:basedOn w:val="25"/>
    <w:link w:val="11"/>
    <w:autoRedefine/>
    <w:qFormat/>
    <w:uiPriority w:val="0"/>
    <w:rPr>
      <w:rFonts w:hint="default" w:ascii="Calibri" w:hAnsi="Calibri" w:cs="Calibri"/>
      <w:kern w:val="2"/>
      <w:sz w:val="21"/>
      <w:szCs w:val="24"/>
    </w:rPr>
  </w:style>
  <w:style w:type="character" w:customStyle="1" w:styleId="35">
    <w:name w:val="批注框文本 Char"/>
    <w:link w:val="13"/>
    <w:autoRedefine/>
    <w:qFormat/>
    <w:uiPriority w:val="0"/>
    <w:rPr>
      <w:rFonts w:ascii="Calibri" w:hAnsi="Calibri" w:eastAsia="仿宋" w:cs="Times New Roman"/>
      <w:kern w:val="2"/>
      <w:sz w:val="18"/>
      <w:szCs w:val="18"/>
    </w:rPr>
  </w:style>
  <w:style w:type="character" w:customStyle="1" w:styleId="36">
    <w:name w:val="页脚 Char"/>
    <w:link w:val="14"/>
    <w:autoRedefine/>
    <w:qFormat/>
    <w:uiPriority w:val="99"/>
    <w:rPr>
      <w:rFonts w:eastAsia="仿宋"/>
      <w:kern w:val="2"/>
      <w:sz w:val="18"/>
      <w:szCs w:val="24"/>
    </w:rPr>
  </w:style>
  <w:style w:type="character" w:customStyle="1" w:styleId="37">
    <w:name w:val="批注主题 Char"/>
    <w:link w:val="20"/>
    <w:autoRedefine/>
    <w:qFormat/>
    <w:uiPriority w:val="0"/>
    <w:rPr>
      <w:rFonts w:ascii="Calibri" w:hAnsi="Calibri" w:eastAsia="仿宋" w:cs="Times New Roman"/>
      <w:b/>
      <w:bCs/>
      <w:kern w:val="2"/>
      <w:sz w:val="21"/>
      <w:szCs w:val="24"/>
    </w:rPr>
  </w:style>
  <w:style w:type="character" w:customStyle="1" w:styleId="38">
    <w:name w:val="正文首行缩进 2 Char"/>
    <w:basedOn w:val="34"/>
    <w:link w:val="22"/>
    <w:autoRedefine/>
    <w:qFormat/>
    <w:uiPriority w:val="0"/>
    <w:rPr>
      <w:rFonts w:hint="default" w:ascii="Calibri" w:hAnsi="Calibri" w:cs="Calibri"/>
      <w:kern w:val="2"/>
      <w:sz w:val="21"/>
      <w:szCs w:val="24"/>
    </w:rPr>
  </w:style>
  <w:style w:type="paragraph" w:customStyle="1" w:styleId="39">
    <w:name w:val="0正文"/>
    <w:autoRedefine/>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40">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1">
    <w:name w:val="列出段落11"/>
    <w:basedOn w:val="1"/>
    <w:autoRedefine/>
    <w:qFormat/>
    <w:uiPriority w:val="34"/>
    <w:pPr>
      <w:ind w:firstLine="420" w:firstLineChars="200"/>
    </w:pPr>
    <w:rPr>
      <w:rFonts w:ascii="Calibri" w:hAnsi="Calibri" w:eastAsia="宋体"/>
      <w:szCs w:val="22"/>
      <w:lang w:val="zh-CN"/>
    </w:rPr>
  </w:style>
  <w:style w:type="paragraph" w:customStyle="1" w:styleId="42">
    <w:name w:val="样式N"/>
    <w:basedOn w:val="43"/>
    <w:autoRedefine/>
    <w:qFormat/>
    <w:uiPriority w:val="0"/>
    <w:rPr>
      <w:sz w:val="30"/>
    </w:rPr>
  </w:style>
  <w:style w:type="paragraph" w:customStyle="1" w:styleId="43">
    <w:name w:val="样式H"/>
    <w:basedOn w:val="2"/>
    <w:next w:val="1"/>
    <w:autoRedefine/>
    <w:qFormat/>
    <w:uiPriority w:val="0"/>
    <w:pPr>
      <w:spacing w:before="100" w:line="500" w:lineRule="exact"/>
    </w:pPr>
  </w:style>
  <w:style w:type="paragraph" w:styleId="44">
    <w:name w:val="List Paragraph"/>
    <w:basedOn w:val="1"/>
    <w:autoRedefine/>
    <w:qFormat/>
    <w:uiPriority w:val="34"/>
    <w:pPr>
      <w:ind w:firstLine="420" w:firstLineChars="200"/>
    </w:pPr>
  </w:style>
  <w:style w:type="paragraph" w:customStyle="1" w:styleId="45">
    <w:name w:val="首行缩进"/>
    <w:basedOn w:val="1"/>
    <w:autoRedefine/>
    <w:qFormat/>
    <w:uiPriority w:val="0"/>
    <w:pPr>
      <w:ind w:firstLine="480"/>
    </w:pPr>
    <w:rPr>
      <w:lang w:val="zh-CN"/>
    </w:rPr>
  </w:style>
  <w:style w:type="paragraph" w:customStyle="1" w:styleId="46">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7">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8">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9">
    <w:name w:val="WPSOffice手动目录 1"/>
    <w:autoRedefine/>
    <w:qFormat/>
    <w:uiPriority w:val="0"/>
    <w:rPr>
      <w:rFonts w:ascii="Times New Roman" w:hAnsi="Times New Roman" w:eastAsia="宋体" w:cs="Times New Roman"/>
      <w:lang w:val="en-US" w:eastAsia="zh-CN" w:bidi="ar-SA"/>
    </w:rPr>
  </w:style>
  <w:style w:type="paragraph" w:customStyle="1" w:styleId="5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1">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52">
    <w:name w:val="font31"/>
    <w:basedOn w:val="25"/>
    <w:autoRedefine/>
    <w:qFormat/>
    <w:uiPriority w:val="0"/>
    <w:rPr>
      <w:rFonts w:hint="eastAsia" w:ascii="宋体" w:hAnsi="宋体" w:eastAsia="宋体" w:cs="宋体"/>
      <w:color w:val="000000"/>
      <w:sz w:val="24"/>
      <w:szCs w:val="24"/>
      <w:u w:val="none"/>
    </w:rPr>
  </w:style>
  <w:style w:type="character" w:customStyle="1" w:styleId="53">
    <w:name w:val="font41"/>
    <w:basedOn w:val="25"/>
    <w:autoRedefine/>
    <w:qFormat/>
    <w:uiPriority w:val="0"/>
    <w:rPr>
      <w:rFonts w:hint="default" w:ascii="Times New Roman" w:hAnsi="Times New Roman" w:cs="Times New Roman"/>
      <w:color w:val="000000"/>
      <w:sz w:val="24"/>
      <w:szCs w:val="24"/>
      <w:u w:val="none"/>
    </w:rPr>
  </w:style>
  <w:style w:type="paragraph" w:customStyle="1" w:styleId="54">
    <w:name w:val="列出段落1"/>
    <w:basedOn w:val="1"/>
    <w:autoRedefine/>
    <w:qFormat/>
    <w:uiPriority w:val="0"/>
    <w:pPr>
      <w:ind w:firstLine="420" w:firstLineChars="200"/>
    </w:pPr>
    <w:rPr>
      <w:szCs w:val="21"/>
    </w:rPr>
  </w:style>
  <w:style w:type="paragraph" w:customStyle="1" w:styleId="55">
    <w:name w:val="列出段落12"/>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78</Pages>
  <Words>39452</Words>
  <Characters>41344</Characters>
  <Lines>336</Lines>
  <Paragraphs>94</Paragraphs>
  <TotalTime>55</TotalTime>
  <ScaleCrop>false</ScaleCrop>
  <LinksUpToDate>false</LinksUpToDate>
  <CharactersWithSpaces>43880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2023-08-08T08:09:00Z</dcterms:created>
  <dc:creator>meimei</dc:creator>
  <cp:lastModifiedBy>Outsider   ོ</cp:lastModifiedBy>
  <cp:lastPrinted>2024-05-08T10:23:00Z</cp:lastPrinted>
  <dcterms:modified xsi:type="dcterms:W3CDTF">2024-06-13T06:19:33Z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CEBE5C7496654F81ACA42A7D9F2490D1_13</vt:lpwstr>
  </property>
</Properties>
</file>