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2F3EA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ascii="微软雅黑" w:hAnsi="微软雅黑" w:eastAsia="微软雅黑" w:cs="微软雅黑"/>
          <w:b/>
          <w:bCs/>
          <w:i w:val="0"/>
          <w:iCs w:val="0"/>
          <w:caps w:val="0"/>
          <w:color w:val="333333"/>
          <w:spacing w:val="0"/>
          <w:sz w:val="39"/>
          <w:szCs w:val="39"/>
        </w:rPr>
      </w:pPr>
      <w:r>
        <w:rPr>
          <w:rFonts w:hint="eastAsia" w:ascii="微软雅黑" w:hAnsi="微软雅黑" w:eastAsia="微软雅黑" w:cs="微软雅黑"/>
          <w:b/>
          <w:bCs/>
          <w:i w:val="0"/>
          <w:iCs w:val="0"/>
          <w:caps w:val="0"/>
          <w:color w:val="333333"/>
          <w:spacing w:val="0"/>
          <w:sz w:val="39"/>
          <w:szCs w:val="39"/>
          <w:bdr w:val="none" w:color="auto" w:sz="0" w:space="0"/>
          <w:shd w:val="clear" w:fill="FFFFFF"/>
        </w:rPr>
        <w:t>第三章 技术、服务及其他要求</w:t>
      </w:r>
    </w:p>
    <w:p w14:paraId="72CE2F9D">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（注:本章的技术、服务及其他要求中，带“★”的要求为实质性要求。采购人、代理机构应当根据项目实际要求合理设定，并在第四章符合性审查中明确响应要求。）</w:t>
      </w:r>
    </w:p>
    <w:p w14:paraId="56AA62F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3.1.采购内容</w:t>
      </w:r>
    </w:p>
    <w:p w14:paraId="785DF4A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p w14:paraId="69AC7D3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采购包预算金额（元）: 1,200,000.00</w:t>
      </w:r>
    </w:p>
    <w:p w14:paraId="2DBD83D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采购包最高限价（元）: 1,200,000.00</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53"/>
        <w:gridCol w:w="1123"/>
        <w:gridCol w:w="728"/>
        <w:gridCol w:w="1070"/>
        <w:gridCol w:w="1072"/>
        <w:gridCol w:w="689"/>
        <w:gridCol w:w="689"/>
        <w:gridCol w:w="689"/>
        <w:gridCol w:w="689"/>
        <w:gridCol w:w="622"/>
        <w:gridCol w:w="622"/>
      </w:tblGrid>
      <w:tr w14:paraId="579F2E2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82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B397CD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9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940233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149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7FF5CF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149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D069D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数量</w:t>
            </w:r>
            <w:r>
              <w:rPr>
                <w:rFonts w:ascii="宋体" w:hAnsi="宋体" w:eastAsia="宋体" w:cs="宋体"/>
                <w:b/>
                <w:bCs/>
                <w:kern w:val="0"/>
                <w:sz w:val="24"/>
                <w:szCs w:val="24"/>
                <w:bdr w:val="none" w:color="auto" w:sz="0" w:space="0"/>
                <w:lang w:val="en-US" w:eastAsia="zh-CN" w:bidi="ar"/>
              </w:rPr>
              <w:br w:type="textWrapping"/>
            </w:r>
            <w:r>
              <w:rPr>
                <w:rFonts w:ascii="宋体" w:hAnsi="宋体" w:eastAsia="宋体" w:cs="宋体"/>
                <w:b/>
                <w:bCs/>
                <w:kern w:val="0"/>
                <w:sz w:val="24"/>
                <w:szCs w:val="24"/>
                <w:bdr w:val="none" w:color="auto" w:sz="0" w:space="0"/>
                <w:lang w:val="en-US" w:eastAsia="zh-CN" w:bidi="ar"/>
              </w:rPr>
              <w:t>(计量单位)</w:t>
            </w:r>
          </w:p>
        </w:tc>
        <w:tc>
          <w:tcPr>
            <w:tcW w:w="149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51F1D5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标的金额 （元）</w:t>
            </w:r>
          </w:p>
        </w:tc>
        <w:tc>
          <w:tcPr>
            <w:tcW w:w="149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E2B3A4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所属行业</w:t>
            </w:r>
          </w:p>
        </w:tc>
        <w:tc>
          <w:tcPr>
            <w:tcW w:w="149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B1AC0F1">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是否涉及核心产品</w:t>
            </w:r>
          </w:p>
        </w:tc>
        <w:tc>
          <w:tcPr>
            <w:tcW w:w="149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3C4703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是否涉及采购进口产品</w:t>
            </w:r>
          </w:p>
        </w:tc>
        <w:tc>
          <w:tcPr>
            <w:tcW w:w="149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A7B746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是否涉及强制采购节能产品</w:t>
            </w:r>
          </w:p>
        </w:tc>
        <w:tc>
          <w:tcPr>
            <w:tcW w:w="116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04C3F8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是否涉及优先采购节能产品</w:t>
            </w:r>
          </w:p>
        </w:tc>
        <w:tc>
          <w:tcPr>
            <w:tcW w:w="11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8EFA88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是否涉及优先采购环境标志产品</w:t>
            </w:r>
          </w:p>
        </w:tc>
      </w:tr>
      <w:tr w14:paraId="0D386EA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017902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47CCB9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A02322100 体外循环设备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9B9312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血透水处理机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83B00AD">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71392B1">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300,000.00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933D57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87245D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3810CB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0BDBEC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E5047F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5B136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14:paraId="651C259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F36B75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4F605D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A02322100 体外循环设备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5B168E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血滤机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8A6FBA5">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35EAA74">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235,000.00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C07708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6039C6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2F3EE5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63B66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0D77E4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E59194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14:paraId="2D02F8E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FF252B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C21D9F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A02322100 体外循环设备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0772D9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血透机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1AE80FA">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5.00（台）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66FB8B5">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625,000.00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092ECF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CBC733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94FBD8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3DAAB3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06B723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BF4992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14:paraId="5F20187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E36A2E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DA8F8D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A02322800 消毒灭菌设备及器具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37465D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移动式消毒机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7C75DD7">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3.00（台）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68EC68E">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15,000.00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E0271C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897B40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7548C2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F1DE1B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F8268B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5B72A2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r w14:paraId="73BAC87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DABA23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3C218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A02322800 消毒灭菌设备及器具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8B22B6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壁挂式消毒机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1B59DE0">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5.00（台）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64BDE2C">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25,000.00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C0EAF8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0205D6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2BFD08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BE1D12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669DB4F">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5B1335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bl>
    <w:p w14:paraId="0F9B291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是否适用本国产品标准：是</w:t>
      </w:r>
    </w:p>
    <w:p w14:paraId="5551C9A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报价要求</w:t>
      </w:r>
    </w:p>
    <w:p w14:paraId="0E81C19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91"/>
        <w:gridCol w:w="1639"/>
        <w:gridCol w:w="1449"/>
        <w:gridCol w:w="1364"/>
        <w:gridCol w:w="1182"/>
        <w:gridCol w:w="1821"/>
      </w:tblGrid>
      <w:tr w14:paraId="29EA3E0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86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681325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310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BF666E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报价内容</w:t>
            </w:r>
          </w:p>
        </w:tc>
        <w:tc>
          <w:tcPr>
            <w:tcW w:w="206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2E6D69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数量（计量单位）</w:t>
            </w:r>
          </w:p>
        </w:tc>
        <w:tc>
          <w:tcPr>
            <w:tcW w:w="248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E9E5CF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最高限价</w:t>
            </w:r>
          </w:p>
        </w:tc>
        <w:tc>
          <w:tcPr>
            <w:tcW w:w="206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857094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价款形式</w:t>
            </w:r>
          </w:p>
        </w:tc>
        <w:tc>
          <w:tcPr>
            <w:tcW w:w="351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C57F4B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报价说明</w:t>
            </w:r>
          </w:p>
        </w:tc>
      </w:tr>
      <w:tr w14:paraId="6D9C31B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D6A57FE">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06573A">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血透水处理机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7849523">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356746F">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300,000.00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6E3C10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3AEB5C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14:paraId="0D4026A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CA3A6F4">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D8AFBEC">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血滤机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D91E99A">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B2972B3">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235,000.00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6A8B8F3">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4BB0E8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14:paraId="63E2E82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5AC4A2A">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CDD3CF7">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血透机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D3149C7">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5.00（台）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673FA7A">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625,000.00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CAEF25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A3A52B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14:paraId="25BF00C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8972382">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7D3C461">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移动式消毒机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55C8DE7">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B86F7E5">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15,000.00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5DD3EB8">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F4A23F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r w14:paraId="23E3771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D50ED53">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83A83E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壁挂式消毒机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61019F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5.00（台）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FE5AC6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25,000.00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4FFD4A2">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52BAFE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bl>
    <w:p w14:paraId="12DD2A0F">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★注：供应商响应产品应当明确品牌和规格型号并指向唯一产品，不能指向唯一产品的，应通过报价表唯一产品说明栏补充说明。</w:t>
      </w:r>
    </w:p>
    <w:p w14:paraId="30FE0515">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本项目涉及核心产品：</w:t>
      </w:r>
    </w:p>
    <w:p w14:paraId="1EAD9EA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98"/>
        <w:gridCol w:w="2516"/>
        <w:gridCol w:w="2516"/>
        <w:gridCol w:w="2516"/>
      </w:tblGrid>
      <w:tr w14:paraId="50A1241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51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358488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453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C33970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453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3BB0C4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453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3CCE2D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3C972A6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496A46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46CA8C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A02322100 体外循环设备</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6EE8BF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血透水处理机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C7D5C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血透水处理机</w:t>
            </w:r>
          </w:p>
        </w:tc>
      </w:tr>
    </w:tbl>
    <w:p w14:paraId="7D408AEB">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注：涉及核心产品的，具体评审规定见第四章。</w:t>
      </w:r>
    </w:p>
    <w:p w14:paraId="1C54D11C">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本项目涉及采购进口产品：</w:t>
      </w:r>
    </w:p>
    <w:p w14:paraId="4B11D84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98"/>
        <w:gridCol w:w="2516"/>
        <w:gridCol w:w="2516"/>
        <w:gridCol w:w="2516"/>
      </w:tblGrid>
      <w:tr w14:paraId="5DFB57E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51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DB777C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453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B7209F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453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D5162C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453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DB802F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6DA2855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493E781">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465AC01D">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★注：不涉及采购进口产品时，供应商不得提供进口产品进行响应；涉及采购进口产品时，如国产产品满足采购需求，也可提供国产产品进行响应。</w:t>
      </w:r>
    </w:p>
    <w:p w14:paraId="64A97053">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本项目涉及强制采购节能产品：</w:t>
      </w:r>
    </w:p>
    <w:p w14:paraId="7235F3C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98"/>
        <w:gridCol w:w="2516"/>
        <w:gridCol w:w="2516"/>
        <w:gridCol w:w="2516"/>
      </w:tblGrid>
      <w:tr w14:paraId="01EA512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51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E8A7F9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453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0EE4E8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453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840F9C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453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598076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4A559E4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E55A619">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4CB08F21">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四章符合性审查表。</w:t>
      </w:r>
    </w:p>
    <w:p w14:paraId="175D8A4B">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本项目涉及优先采购节能产品：</w:t>
      </w:r>
    </w:p>
    <w:p w14:paraId="4C52E94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98"/>
        <w:gridCol w:w="2516"/>
        <w:gridCol w:w="2516"/>
        <w:gridCol w:w="2516"/>
      </w:tblGrid>
      <w:tr w14:paraId="496901A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51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113181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453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276372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453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AA0E00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453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24E3E1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58817DB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7B122B7">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5590B238">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四章规定。</w:t>
      </w:r>
    </w:p>
    <w:p w14:paraId="1A450DF9">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本项目涉及优先采购环境标志产品：</w:t>
      </w:r>
    </w:p>
    <w:p w14:paraId="1E901A2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98"/>
        <w:gridCol w:w="2516"/>
        <w:gridCol w:w="2516"/>
        <w:gridCol w:w="2516"/>
      </w:tblGrid>
      <w:tr w14:paraId="2FFCF95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51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2F8EC5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453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B87B91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453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2AAF70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453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70C381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3D8A961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EC3AE81">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6FB43C58">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四章规定。</w:t>
      </w:r>
    </w:p>
    <w:p w14:paraId="575D9D6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3.2.技术要求</w:t>
      </w:r>
    </w:p>
    <w:p w14:paraId="64E0096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p w14:paraId="3294631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标的名称：血透水处理机</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30"/>
        <w:gridCol w:w="584"/>
        <w:gridCol w:w="881"/>
        <w:gridCol w:w="6551"/>
      </w:tblGrid>
      <w:tr w14:paraId="106FA4F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5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9710F5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05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D1FCCF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271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E9AB86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057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3F936F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14424A6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6A7A4F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0D5DA5C">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149FE6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技术参数要求</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05E298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01"/>
              <w:jc w:val="left"/>
              <w:rPr>
                <w:sz w:val="24"/>
                <w:szCs w:val="24"/>
              </w:rPr>
            </w:pPr>
            <w:r>
              <w:rPr>
                <w:rStyle w:val="12"/>
                <w:rFonts w:ascii="仿宋" w:hAnsi="仿宋" w:eastAsia="仿宋" w:cs="仿宋"/>
                <w:sz w:val="24"/>
                <w:szCs w:val="24"/>
                <w:bdr w:val="none" w:color="auto" w:sz="0" w:space="0"/>
              </w:rPr>
              <w:t>一、</w:t>
            </w:r>
            <w:r>
              <w:rPr>
                <w:rStyle w:val="12"/>
                <w:rFonts w:hint="eastAsia" w:ascii="仿宋" w:hAnsi="仿宋" w:eastAsia="仿宋" w:cs="仿宋"/>
                <w:sz w:val="24"/>
                <w:szCs w:val="24"/>
                <w:bdr w:val="none" w:color="auto" w:sz="0" w:space="0"/>
              </w:rPr>
              <w:t>设备整体要求</w:t>
            </w:r>
            <w:r>
              <w:rPr>
                <w:rFonts w:ascii="Calibri" w:hAnsi="Calibri" w:cs="Calibri"/>
                <w:sz w:val="24"/>
                <w:szCs w:val="24"/>
                <w:bdr w:val="none" w:color="auto" w:sz="0" w:space="0"/>
              </w:rPr>
              <w:t> </w:t>
            </w:r>
          </w:p>
          <w:p w14:paraId="13447AF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1.系统产水量：≥1200L/h（水温：25℃）；</w:t>
            </w:r>
          </w:p>
          <w:p w14:paraId="0972B17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2.规格及消毒方式：双级反渗透化学消毒；</w:t>
            </w:r>
          </w:p>
          <w:p w14:paraId="793076A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3.产品水质符合YY0572—2015版血液透析用水标准规定；</w:t>
            </w:r>
          </w:p>
          <w:p w14:paraId="40B479D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4.细菌清除率≥99%，装置出水口的菌落群含量≤10CFU/ml，内毒素数量≤</w:t>
            </w:r>
          </w:p>
          <w:p w14:paraId="7CC2DFC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0.03EU/ml；（提供佐证材料证明）</w:t>
            </w:r>
          </w:p>
          <w:p w14:paraId="5647D24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5.电导率≤10μs/cm；（提供佐证材料证明）</w:t>
            </w:r>
          </w:p>
          <w:p w14:paraId="4D5EF55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6.主机产水脱盐率≥95%；水回收率≥70%；（提供佐证材料证明）</w:t>
            </w:r>
          </w:p>
          <w:p w14:paraId="3CAF975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1"/>
              <w:jc w:val="left"/>
              <w:rPr>
                <w:sz w:val="24"/>
                <w:szCs w:val="24"/>
              </w:rPr>
            </w:pPr>
            <w:r>
              <w:rPr>
                <w:rStyle w:val="12"/>
                <w:rFonts w:hint="eastAsia" w:ascii="仿宋" w:hAnsi="仿宋" w:eastAsia="仿宋" w:cs="仿宋"/>
                <w:sz w:val="24"/>
                <w:szCs w:val="24"/>
                <w:bdr w:val="none" w:color="auto" w:sz="0" w:space="0"/>
              </w:rPr>
              <w:t>二、反渗透预处理部分</w:t>
            </w:r>
          </w:p>
          <w:p w14:paraId="20607D7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1.全自动前级变频加压泵组件，扬程≥40米（流量相对应），精确压力控制，无水空转保护，使供水压力恒定；</w:t>
            </w:r>
          </w:p>
          <w:p w14:paraId="10AD6C7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2.前级泵前配置金属过滤器，源水初过滤；</w:t>
            </w:r>
          </w:p>
          <w:p w14:paraId="068CE44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3.全自动砂滤过滤器≥1套，内填多重滤料，带时间控制全自动/手动反冲装置；</w:t>
            </w:r>
          </w:p>
          <w:p w14:paraId="6D9DF63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4.全自动除氯（活性碳）过滤器≥1套，内填碘值≥1000的椰壳酸洗活性炭等滤料，带时间控制全自动/手动反冲装置；</w:t>
            </w:r>
          </w:p>
          <w:p w14:paraId="4FB2993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5.全自动软水器≥1套，内填软化树脂，带时间控制全自动/手动的反冲/再生装置；</w:t>
            </w:r>
          </w:p>
          <w:p w14:paraId="4337A36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6.前处理装置出水由精密过滤器进行过滤，不锈钢罐体；</w:t>
            </w:r>
          </w:p>
          <w:p w14:paraId="7189051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7.溶盐箱容积≥200L；</w:t>
            </w:r>
          </w:p>
          <w:p w14:paraId="14EF99C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8.软水缓冲水箱由压力传感器控制；罐体结构为圆柱体单层304不锈钢，容积≥100L；</w:t>
            </w:r>
          </w:p>
          <w:p w14:paraId="5B2B610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9.预处理系统不透明的罐体材料，外壳防止藻类生长。在最大处理水流量条件下，炭吸附罐具备≥5分钟的空床接触时间；</w:t>
            </w:r>
          </w:p>
          <w:p w14:paraId="739F9FE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10.罐式过滤器、软化器、炭吸附罐、滤芯式过滤器的进出水口均安装压力表；软化器、炭吸附罐、滤芯式过滤器的进出水口均安装取样阀；</w:t>
            </w:r>
          </w:p>
          <w:p w14:paraId="02EA68D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11.每个过滤罐有旁路设计，在出现故障时，可启动旁路装置；</w:t>
            </w:r>
          </w:p>
          <w:p w14:paraId="6A9973D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01"/>
              <w:jc w:val="left"/>
              <w:rPr>
                <w:sz w:val="24"/>
                <w:szCs w:val="24"/>
              </w:rPr>
            </w:pPr>
            <w:r>
              <w:rPr>
                <w:rStyle w:val="12"/>
                <w:rFonts w:hint="eastAsia" w:ascii="仿宋" w:hAnsi="仿宋" w:eastAsia="仿宋" w:cs="仿宋"/>
                <w:sz w:val="24"/>
                <w:szCs w:val="24"/>
                <w:bdr w:val="none" w:color="auto" w:sz="0" w:space="0"/>
              </w:rPr>
              <w:t>三、主机及反渗透装置部分</w:t>
            </w:r>
            <w:r>
              <w:rPr>
                <w:rFonts w:hint="default" w:ascii="Calibri" w:hAnsi="Calibri" w:cs="Calibri"/>
                <w:sz w:val="24"/>
                <w:szCs w:val="24"/>
                <w:bdr w:val="none" w:color="auto" w:sz="0" w:space="0"/>
              </w:rPr>
              <w:t> </w:t>
            </w:r>
          </w:p>
          <w:p w14:paraId="6B90552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1.一、二级反渗透膜具备芳香族聚酰胺材质膜组及无死腔不锈钢膜壳；</w:t>
            </w:r>
          </w:p>
          <w:p w14:paraId="2C335DA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2.一、二级均具备立式多级风冷高压泵；</w:t>
            </w:r>
          </w:p>
          <w:p w14:paraId="2E10F08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3.水处理工艺具备双级反渗透耦合，系统具备一二级全封闭直接对接方式，无任何中间存水装置。</w:t>
            </w:r>
          </w:p>
          <w:p w14:paraId="4DD1656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4.在夜间或无治疗时，对输送管道进行自动循环冲洗。</w:t>
            </w:r>
          </w:p>
          <w:p w14:paraId="6413570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5.操作系统对操作人员的操作权限分级管理，并具备防止误操作提示文字框有效防止误操作；（提供佐证材料证明）</w:t>
            </w:r>
          </w:p>
          <w:p w14:paraId="1C1A383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6.触摸屏人机触控界面、PLC控制，具有中文显示菜单、多级菜单式选项操作；</w:t>
            </w:r>
          </w:p>
          <w:p w14:paraId="3CF2FF9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7.具备自我诊断、运行监测、状态控制、测量显示、文字提示、指示灯显示及实时报警功能；故障信息的记录和存储功能，将机器各元件的运作情况和报警记录并存储。</w:t>
            </w:r>
          </w:p>
          <w:p w14:paraId="3EBCFD3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8.全频滤波防止供电出现尖峰脉冲对设备造成损坏，系统具有缺相、短路、过压、过流、过载、漏电保护功能；（提供佐证材料证明）</w:t>
            </w:r>
          </w:p>
          <w:p w14:paraId="5AABBA4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9.工控系统使用PLC总控单元，故障率低，抗电磁干扰能力强，系统运行控制具备三重保障方案。极端情况下：触摸屏损坏，PLC可独立控制设备工作；PLC故障，可启动手动应急操作；</w:t>
            </w:r>
          </w:p>
          <w:p w14:paraId="1BC5ABF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10.真彩液晶触摸屏及PLC控制和显示，全中文操作；智能型微处理器芯片作数据处理，人机界面，实现设备和用户之间进行交互和信息交换；</w:t>
            </w:r>
          </w:p>
          <w:p w14:paraId="43CF45E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11.控制及信号采集电器部件全部具备低压电源 24V双路供电；（提供佐证材料证明））</w:t>
            </w:r>
          </w:p>
          <w:p w14:paraId="056337A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12.反渗透装置高压泵均具备阶梯启动控制，全自动运行；</w:t>
            </w:r>
          </w:p>
          <w:p w14:paraId="1A1AF93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13.消毒程序可实现对一级反渗透管路、二级反渗透管路、纯水循环管路进行化学消毒；</w:t>
            </w:r>
          </w:p>
          <w:p w14:paraId="30EE9D2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00"/>
              <w:jc w:val="left"/>
              <w:rPr>
                <w:sz w:val="24"/>
                <w:szCs w:val="24"/>
              </w:rPr>
            </w:pPr>
            <w:r>
              <w:rPr>
                <w:rFonts w:hint="eastAsia" w:ascii="仿宋" w:hAnsi="仿宋" w:eastAsia="仿宋" w:cs="仿宋"/>
                <w:sz w:val="24"/>
                <w:szCs w:val="24"/>
                <w:bdr w:val="none" w:color="auto" w:sz="0" w:space="0"/>
              </w:rPr>
              <w:t>14.设定自动开/关机时间；</w:t>
            </w:r>
          </w:p>
          <w:p w14:paraId="37D2C02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00"/>
              <w:jc w:val="left"/>
              <w:rPr>
                <w:sz w:val="24"/>
                <w:szCs w:val="24"/>
              </w:rPr>
            </w:pPr>
            <w:r>
              <w:rPr>
                <w:rFonts w:hint="eastAsia" w:ascii="仿宋" w:hAnsi="仿宋" w:eastAsia="仿宋" w:cs="仿宋"/>
                <w:sz w:val="24"/>
                <w:szCs w:val="24"/>
                <w:bdr w:val="none" w:color="auto" w:sz="0" w:space="0"/>
              </w:rPr>
              <w:t>15.应急控制方式：可实现一级反渗透模组独立工作、二级反渗透模组独立工作，无需安装短接腔；</w:t>
            </w:r>
          </w:p>
          <w:p w14:paraId="721BDE5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01"/>
              <w:jc w:val="left"/>
              <w:rPr>
                <w:sz w:val="24"/>
                <w:szCs w:val="24"/>
              </w:rPr>
            </w:pPr>
            <w:r>
              <w:rPr>
                <w:rStyle w:val="12"/>
                <w:rFonts w:hint="eastAsia" w:ascii="仿宋" w:hAnsi="仿宋" w:eastAsia="仿宋" w:cs="仿宋"/>
                <w:sz w:val="24"/>
                <w:szCs w:val="24"/>
                <w:bdr w:val="none" w:color="auto" w:sz="0" w:space="0"/>
              </w:rPr>
              <w:t>四、反渗水供水管路</w:t>
            </w:r>
          </w:p>
          <w:p w14:paraId="1930523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1.纯水循环管路加装安全恒压装置；（提供佐证材料证明）</w:t>
            </w:r>
          </w:p>
          <w:p w14:paraId="79C2370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2.根据场地实际情况，透析室内循环管路可设计为多循环；</w:t>
            </w:r>
          </w:p>
          <w:p w14:paraId="671F7A7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3.纯水管路循环设计，保证反渗透主机和输送管道中的水循环流动；</w:t>
            </w:r>
          </w:p>
          <w:p w14:paraId="111802C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仿宋" w:hAnsi="仿宋" w:eastAsia="仿宋" w:cs="仿宋"/>
                <w:sz w:val="24"/>
                <w:szCs w:val="24"/>
                <w:bdr w:val="none" w:color="auto" w:sz="0" w:space="0"/>
              </w:rPr>
              <w:t>4.循环管路材质应符合YY0572标准要求，应采用UPVC或不锈钢等耐腐蚀材质。</w:t>
            </w:r>
          </w:p>
          <w:p w14:paraId="32D8E4D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Calibri" w:hAnsi="Calibri" w:cs="Calibri"/>
                <w:sz w:val="24"/>
                <w:szCs w:val="24"/>
                <w:bdr w:val="none" w:color="auto" w:sz="0" w:space="0"/>
              </w:rPr>
              <w:t>注：技术参数要求中要求 “提供佐证材料证明” 的，佐证材料可任选以下一种或多种提交：制造商宣传彩页（须至少包含产品品牌、型号、制造商信息）、产品说明书、功能截图、产品官网截图。未提供佐证材料、佐证材料不符合采购文件要求，或佐证材料无法证明参数满足采购文件规定的，均视为该项参数不满足要求，按负偏离处理。本项目所有标的物均按此要求执行，下同。</w:t>
            </w:r>
          </w:p>
        </w:tc>
      </w:tr>
    </w:tbl>
    <w:p w14:paraId="39BB4D7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标的名称：血滤机</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33"/>
        <w:gridCol w:w="589"/>
        <w:gridCol w:w="902"/>
        <w:gridCol w:w="6522"/>
      </w:tblGrid>
      <w:tr w14:paraId="64D2154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75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408494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05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FB0B80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271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545B20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057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C1D594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0DB735C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4359E28">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A1E6D2D">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CAA385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技术参数要求</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5884FA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1.具备进行血液透析、血液滤过、在线血液透析滤过等多种治疗模式。</w:t>
            </w:r>
          </w:p>
          <w:p w14:paraId="5A1CB35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2.具备开机全面自检，治疗过程中每间隔固定时间反复自检功能，≥4次/小时，进行平衡及超滤控制系统的诊断。（提供佐证材料证明）</w:t>
            </w:r>
          </w:p>
          <w:p w14:paraId="630CB3D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3.彩色触摸屏对角线尺寸≥15英寸，支持多角度旋转调节；设备具备独立且醒目的声光报警装置，报警灯位于操作面板正面、与触摸屏处于同一观察平面，报警状态下灯光信号可被操作者直接目视感知；“报警灯与显示屏一体化集成设计，无外置独立报警灯箱。（提供佐证材料证明）</w:t>
            </w:r>
          </w:p>
          <w:p w14:paraId="63DA0C2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4.全中文操作系统，数字显示主要参数，包括：动脉压、静脉压、跨膜压、电导度、温度、透析液流量、血流量、超滤量。</w:t>
            </w:r>
          </w:p>
          <w:p w14:paraId="64C171A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5.超滤系统：双容量平衡腔密闭控制方式，平衡腔容积≤75 ml。</w:t>
            </w:r>
          </w:p>
          <w:p w14:paraId="2E54150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6.全自动的化学消毒/热消毒。一键式完成消毒脱钙冲洗一体化程序，A/B液吸管与机器主机整合消毒，柠檬酸热消毒时间≤40min，消毒温度最高可达85℃。</w:t>
            </w:r>
          </w:p>
          <w:p w14:paraId="1FAED64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7.在线清除率监测装置，实时监测并显示体内尿素清除率、透析剂量、血浆钠浓度数据。</w:t>
            </w:r>
          </w:p>
          <w:p w14:paraId="248E7D4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8.在线血压监测装置，对血压、心率变化进行实时监测记录。</w:t>
            </w:r>
          </w:p>
          <w:p w14:paraId="2A3A5C5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9.在断电时可维持血泵及监测显示≥15分钟运行。</w:t>
            </w:r>
          </w:p>
          <w:p w14:paraId="70FF2A2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10.空气监测：对血液管路的超声波传导测量、附加液面水平和光学检测器,能在穿刺引血时侦测到血液，血泵能自动停止。</w:t>
            </w:r>
          </w:p>
          <w:p w14:paraId="133CE99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11.漏血监测精度：可监测≤0.35ml/min的漏血（HCT32%）。</w:t>
            </w:r>
          </w:p>
          <w:p w14:paraId="366E4F1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12.具备紧急按键，可一键式完成停止超滤，自动补液，降低血流量到80ml/min及以下的操作。（提供佐证材料证明）</w:t>
            </w:r>
          </w:p>
          <w:p w14:paraId="6D68A77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13.具备患者身份识别及信息储存功能。</w:t>
            </w:r>
          </w:p>
          <w:p w14:paraId="1273115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14.单次可进行≥23小时缓慢持续的治疗。</w:t>
            </w:r>
          </w:p>
          <w:p w14:paraId="6547C79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15.具备网络接口，透析治疗数据采集。</w:t>
            </w:r>
          </w:p>
          <w:p w14:paraId="7C50932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16.压力监测显示范围包括：动脉压：-300～+300mmHg，静脉压：-100～+500mmHg，跨膜压：-100～+400mmHg，精度均为≤±7mmHg，分辨率5 mmHg</w:t>
            </w:r>
          </w:p>
          <w:p w14:paraId="6FC9547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17.血泵：血流量30～600ml/min，准确度范围：≤±10%</w:t>
            </w:r>
          </w:p>
          <w:p w14:paraId="62FA12C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18.肝素泵具备连接测试，自动注入和追加功能，肝素流量范围：0.5～10ml/h。</w:t>
            </w:r>
          </w:p>
          <w:p w14:paraId="10E056C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19.透析液流量范围：100-1000ml/min（每100ml/min可调），温度范围：34～39℃，透析液流量自动适应有效的血流量。（提供佐证材料证明）</w:t>
            </w:r>
          </w:p>
          <w:p w14:paraId="19AA625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20.等待病人上机前和回输期间，设备自动进入低消耗的待机流量50～100ml/min。</w:t>
            </w:r>
          </w:p>
          <w:p w14:paraId="6FF4007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21.联机生产置换液，置换液与有效血流量自动匹配，置换液流速:25～600ml/min，精度≤±10%。（提供佐证材料证明）</w:t>
            </w:r>
          </w:p>
          <w:p w14:paraId="7F85028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22.供水条件：机器最大供水压≤6bar；机器透析最高进水温度≤30℃（提供佐证材料证明）。</w:t>
            </w:r>
          </w:p>
          <w:p w14:paraId="258215D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23.超滤：超滤率0～4000ml/h，精度：≤超滤量±1%。</w:t>
            </w:r>
          </w:p>
          <w:p w14:paraId="45DF565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24.管路、透析器开放。</w:t>
            </w:r>
          </w:p>
          <w:p w14:paraId="01CED61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25.产品设计使用年限≥10年。</w:t>
            </w:r>
          </w:p>
        </w:tc>
      </w:tr>
    </w:tbl>
    <w:p w14:paraId="5659F73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标的名称：血透机</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34"/>
        <w:gridCol w:w="593"/>
        <w:gridCol w:w="914"/>
        <w:gridCol w:w="6505"/>
      </w:tblGrid>
      <w:tr w14:paraId="3734BDB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5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9A271A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05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C7D22A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271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BD5459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057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45A1D4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5B58E60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A9DAC7E">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2EFC02">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21B3C1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技术参数要求</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5B407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1.设备每次透析治疗前必须完成安全系统的自动检测，同时检测密闭系统的完整性，治疗结束后具备自动关机功能。（提供佐证材料证明）</w:t>
            </w:r>
          </w:p>
          <w:p w14:paraId="5109941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2.设备尺寸≤1340x500x650 mm（以采购人透析室实际预留安装空间及水电接口位置确定），触控彩色屏幕，全中文操作界面。</w:t>
            </w:r>
          </w:p>
          <w:p w14:paraId="2359064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3.设备双容量平衡腔控制的超滤系统，超滤速度连续可调，超滤目标可调范围包含：10ml-9,990ml，步进10ml可调。双容量平衡腔容积≤70ml。</w:t>
            </w:r>
          </w:p>
          <w:p w14:paraId="0AB730E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4.设备具备额外的安全保证，除了自检期间外，在透析治疗期间也会执行周期性压力维持检测。（提供佐证材料证明）</w:t>
            </w:r>
          </w:p>
          <w:p w14:paraId="209AA6F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5.设备最小进水压≥0.9bar</w:t>
            </w:r>
          </w:p>
          <w:p w14:paraId="26BEA00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6.透析液流量300～500ml/min，精度误差：≤±10 %。</w:t>
            </w:r>
          </w:p>
          <w:p w14:paraId="1A98D87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7. 配备与设备主机同品牌的细菌过滤器（具备产品注册证/说明书等）；除细菌过滤器外，血路管、透析管路等其他耗材须适配所投设备型号，供应商须在响应文件中就“耗材适配所投设备型号”作出书面承诺，并在验收时提供制造商出具的耗材兼容性说明或相关证明文件。</w:t>
            </w:r>
          </w:p>
          <w:p w14:paraId="1CF0CC5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8.空气探测器：超声波或光学的方式</w:t>
            </w:r>
          </w:p>
          <w:p w14:paraId="1929B51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9.具备漏血探测器</w:t>
            </w:r>
          </w:p>
          <w:p w14:paraId="092768B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10.动脉压监测范围: ≤（-600mmHg~+600mmHg），精确度≤±10mmHg，分辨率±5mmHg；</w:t>
            </w:r>
          </w:p>
          <w:p w14:paraId="5C983E7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11.静脉压监测范围: ≤（-600mmHg~+600mmHg），精确度≤±10mmHg，分辨率±5mmHg；</w:t>
            </w:r>
          </w:p>
          <w:p w14:paraId="32E0010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12.跨膜压监测范围: ≤（-600mmHg~+600mmHg），分辨率≤±5mmHg；（提供佐证材料证明）</w:t>
            </w:r>
          </w:p>
          <w:p w14:paraId="71CFBF3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13.血泵输送设定范围：0，30-500ml/min，分辨率：10ml/min，血泵内径8mm。</w:t>
            </w:r>
          </w:p>
          <w:p w14:paraId="3ED24ED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14.有效血流量显示范围：0 至 500ml/min，分辨率：1ml/min，精度≤±10%。（提供佐证材料证明）</w:t>
            </w:r>
          </w:p>
          <w:p w14:paraId="14413712">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15.肝素注入速度设定范围：0.5-10ml/h，分辨率 0.1ml/h</w:t>
            </w:r>
          </w:p>
          <w:p w14:paraId="7B7356E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16.设备具备在线剂量测算仪，在治疗过程中可持续计算清除率和 Kt/V。</w:t>
            </w:r>
          </w:p>
          <w:p w14:paraId="124EC79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17.设备具备数据接口及网络安全鉴别功能。（提供佐证材料证明）</w:t>
            </w:r>
          </w:p>
          <w:p w14:paraId="0A3D0B9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18.透析液电导率显示范围12.8 - 15.7mS/cm， 电导率检测范围最大值≤15.8mS/cm（提供佐证材料证明）</w:t>
            </w:r>
          </w:p>
          <w:p w14:paraId="1ED104D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19.设备最大功率≤1990va。（提供佐证材料证明）</w:t>
            </w:r>
          </w:p>
          <w:p w14:paraId="62F1542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20.设备屏幕≥9寸，全中文触摸屏。</w:t>
            </w:r>
          </w:p>
          <w:p w14:paraId="310B657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21.设备配备蓄电电池。</w:t>
            </w:r>
          </w:p>
          <w:p w14:paraId="4FE4C61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22.全自动的清洗，脱脂，化学加热消毒可加热到≥90℃。</w:t>
            </w:r>
          </w:p>
          <w:p w14:paraId="417F243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23.产品设计使用年限≥10年。</w:t>
            </w:r>
          </w:p>
        </w:tc>
      </w:tr>
    </w:tbl>
    <w:p w14:paraId="499F615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标的名称：移动式消毒机</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47"/>
        <w:gridCol w:w="621"/>
        <w:gridCol w:w="1024"/>
        <w:gridCol w:w="6354"/>
      </w:tblGrid>
      <w:tr w14:paraId="75CF2C5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5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9AB001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05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42D9AD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271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AE1458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057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5D088A1">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402D6BE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A61B4E">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BC53025">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8C6876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技术参数要求</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481433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1.外形：移动式；</w:t>
            </w:r>
          </w:p>
          <w:p w14:paraId="22767B6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2.消毒空间:≤100m³；</w:t>
            </w:r>
          </w:p>
          <w:p w14:paraId="0E54458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3.风量：≥1000m³/h；</w:t>
            </w:r>
          </w:p>
          <w:p w14:paraId="3C4B101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4.等离子体除尘、杀菌；</w:t>
            </w:r>
          </w:p>
          <w:p w14:paraId="174A3EA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5.等离子体密度分布：1.28×1019m-3-5.26×1019m-3;</w:t>
            </w:r>
          </w:p>
          <w:p w14:paraId="2C36DE6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6.LED数码直观显示，时间任意设置；整机工作寿命计时；临时消毒功能及程控自动运行消毒设定，程控不低于6个时间段消毒；</w:t>
            </w:r>
          </w:p>
          <w:p w14:paraId="36719B1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7.初中效及活性炭过滤；双通道立体式出风，风速高、中、低可选；</w:t>
            </w:r>
          </w:p>
          <w:p w14:paraId="26D918C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8.隐藏式配件盒，遥控器具备防丢失功能，外设扶手；</w:t>
            </w:r>
          </w:p>
          <w:p w14:paraId="3C0F289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9.消毒后空气中平均菌数：≤23cfu/m³；</w:t>
            </w:r>
          </w:p>
          <w:p w14:paraId="425B393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10.产生高浓度负离子，可净化室内空气，设备运行稳定后空气中负离子浓度＞6x10^6个/cm3;</w:t>
            </w:r>
          </w:p>
          <w:p w14:paraId="5812D82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11.工作电源：220V±22V，50Hz±1Hz；</w:t>
            </w:r>
          </w:p>
          <w:p w14:paraId="542F6193">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12.功率:≤125W，噪音：≤60dB；</w:t>
            </w:r>
          </w:p>
          <w:p w14:paraId="1361736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13.安全防护分类：Ⅰ类；</w:t>
            </w:r>
          </w:p>
          <w:p w14:paraId="0E25144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14.消毒时空气中臭氧残留浓度（有人环境）≤0.025mg/m³；</w:t>
            </w:r>
          </w:p>
          <w:p w14:paraId="46A6E31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15.消毒效果:开机作用至规定时间（以产品说明书为准），应符合GB 28232-2020《臭氧消毒器卫生要求》的规定：对空气中白色葡萄球菌的杀灭率≥99.9%；对空气中自然菌的消亡率≥98.0%。（提供佐证材料证明）</w:t>
            </w:r>
          </w:p>
          <w:p w14:paraId="089FB04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16.等离子体发生器寿命时间：≥40000h；</w:t>
            </w:r>
          </w:p>
          <w:p w14:paraId="33D1360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17.需提供有效的《消毒产品卫生安全评价报告》或新消毒产品卫生许可批件。</w:t>
            </w:r>
          </w:p>
        </w:tc>
      </w:tr>
    </w:tbl>
    <w:p w14:paraId="5517A3D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标的名称：壁挂式消毒机</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47"/>
        <w:gridCol w:w="621"/>
        <w:gridCol w:w="1024"/>
        <w:gridCol w:w="6354"/>
      </w:tblGrid>
      <w:tr w14:paraId="512A92D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5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E34FEE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05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FB4C9D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271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727A7C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057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B1543D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773BA41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D0F91CA">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16C623E">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E8E8E2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技术参数要求</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0F048F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1.外形：壁挂式；</w:t>
            </w:r>
          </w:p>
          <w:p w14:paraId="2AFC43D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2.消毒空间:100m³；</w:t>
            </w:r>
          </w:p>
          <w:p w14:paraId="1C5A2C6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3.风量：≥1000m³/h；</w:t>
            </w:r>
          </w:p>
          <w:p w14:paraId="5BD8FAE6">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4.主机壳体全金属材质,面饰层水晶面板；</w:t>
            </w:r>
          </w:p>
          <w:p w14:paraId="50504E7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5.等离子体除尘、杀菌；</w:t>
            </w:r>
          </w:p>
          <w:p w14:paraId="112D90A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6.等离子体密度分布：1.58×1019m-3-5.21×1019m-3;</w:t>
            </w:r>
          </w:p>
          <w:p w14:paraId="6D76CB2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7.LED数码直观显示，时间任意设置；整机工作寿命计时；</w:t>
            </w:r>
          </w:p>
          <w:p w14:paraId="26D2221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8.临时消毒功能及程控自动运行消毒设定，程控不低于6个时间段消毒；</w:t>
            </w:r>
          </w:p>
          <w:p w14:paraId="642B0A2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9.远红外线遥控接收装置，可远距离遥控控制，左右45度任意操控；</w:t>
            </w:r>
          </w:p>
          <w:p w14:paraId="62D7919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10.初中效及活性炭过滤；风速高、中、低任意选择；</w:t>
            </w:r>
          </w:p>
          <w:p w14:paraId="48AD0F6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11.消毒时空气中臭氧残留浓度（有人环境）≤0.024mg/m³；</w:t>
            </w:r>
          </w:p>
          <w:p w14:paraId="41A9F9E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12.消毒后空气中平均菌数：≤15cfu/m³；</w:t>
            </w:r>
          </w:p>
          <w:p w14:paraId="236A5EF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13.工作电源：220V±22V，50Hz±1Hz；</w:t>
            </w:r>
          </w:p>
          <w:p w14:paraId="4C05739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14.功率:≤80W，噪音:≤60dB；</w:t>
            </w:r>
          </w:p>
          <w:p w14:paraId="54F56AB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15.消毒效果:开机作用至规定时间（以产品说明书为准），应符合GB 28232-2020《臭氧消毒器卫生要求》的规定：对空气中白色葡萄球菌的杀灭率≥99.9%；对空气中自然菌的消亡率≥98.0%。（提供佐证材料证明）</w:t>
            </w:r>
          </w:p>
          <w:p w14:paraId="0769D32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16.安全防护分类：Ⅰ类；</w:t>
            </w:r>
          </w:p>
          <w:p w14:paraId="318BA78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17.等离子体发生器寿命：≥40000h。</w:t>
            </w:r>
          </w:p>
          <w:p w14:paraId="1993812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10"/>
              <w:jc w:val="left"/>
              <w:rPr>
                <w:sz w:val="24"/>
                <w:szCs w:val="24"/>
              </w:rPr>
            </w:pPr>
            <w:r>
              <w:rPr>
                <w:rFonts w:hint="eastAsia" w:ascii="仿宋" w:hAnsi="仿宋" w:eastAsia="仿宋" w:cs="仿宋"/>
                <w:sz w:val="24"/>
                <w:szCs w:val="24"/>
                <w:bdr w:val="none" w:color="auto" w:sz="0" w:space="0"/>
              </w:rPr>
              <w:t>18.需提供有效的《消毒产品卫生安全评价报告》或新消毒产品卫生许可批件。</w:t>
            </w:r>
          </w:p>
        </w:tc>
      </w:tr>
    </w:tbl>
    <w:p w14:paraId="78B7EB5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3.3.服务要求</w:t>
      </w:r>
    </w:p>
    <w:p w14:paraId="6B344E1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3.3.1.服务内容要求</w:t>
      </w:r>
    </w:p>
    <w:p w14:paraId="620E8684">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19"/>
        <w:gridCol w:w="770"/>
        <w:gridCol w:w="1605"/>
        <w:gridCol w:w="5552"/>
      </w:tblGrid>
      <w:tr w14:paraId="0FD01D7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5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721AEC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05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C9B91E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271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FDD553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服务要求名称</w:t>
            </w:r>
          </w:p>
        </w:tc>
        <w:tc>
          <w:tcPr>
            <w:tcW w:w="1057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AE0846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服务要求内容</w:t>
            </w:r>
          </w:p>
        </w:tc>
      </w:tr>
      <w:tr w14:paraId="23867F9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7CA505">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无</w:t>
            </w:r>
          </w:p>
        </w:tc>
      </w:tr>
    </w:tbl>
    <w:p w14:paraId="5E6C482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3.3.2.商务要求</w:t>
      </w:r>
    </w:p>
    <w:p w14:paraId="7797D59B">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54"/>
        <w:gridCol w:w="855"/>
        <w:gridCol w:w="2137"/>
        <w:gridCol w:w="4700"/>
      </w:tblGrid>
      <w:tr w14:paraId="048EBFD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AAA9B47">
            <w:pPr>
              <w:keepNext w:val="0"/>
              <w:keepLines w:val="0"/>
              <w:widowControl/>
              <w:suppressLineNumbers w:val="0"/>
              <w:wordWrap w:val="0"/>
              <w:spacing w:before="0" w:beforeAutospacing="0" w:after="0" w:afterAutospacing="0" w:line="480" w:lineRule="atLeast"/>
              <w:ind w:left="0" w:right="0" w:firstLine="0"/>
              <w:jc w:val="left"/>
              <w:rPr>
                <w:b/>
                <w:bCs/>
                <w:sz w:val="24"/>
                <w:szCs w:val="24"/>
              </w:rPr>
            </w:pPr>
            <w:r>
              <w:rPr>
                <w:rFonts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F8C4102">
            <w:pPr>
              <w:keepNext w:val="0"/>
              <w:keepLines w:val="0"/>
              <w:widowControl/>
              <w:suppressLineNumbers w:val="0"/>
              <w:wordWrap w:val="0"/>
              <w:spacing w:before="0" w:beforeAutospacing="0" w:after="0" w:afterAutospacing="0" w:line="480" w:lineRule="atLeast"/>
              <w:ind w:left="0" w:right="0" w:firstLine="0"/>
              <w:jc w:val="left"/>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125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223B1B2">
            <w:pPr>
              <w:keepNext w:val="0"/>
              <w:keepLines w:val="0"/>
              <w:widowControl/>
              <w:suppressLineNumbers w:val="0"/>
              <w:wordWrap w:val="0"/>
              <w:spacing w:before="0" w:beforeAutospacing="0" w:after="0" w:afterAutospacing="0" w:line="480" w:lineRule="atLeast"/>
              <w:ind w:left="0" w:right="0" w:firstLine="0"/>
              <w:jc w:val="left"/>
              <w:rPr>
                <w:b/>
                <w:bCs/>
                <w:sz w:val="24"/>
                <w:szCs w:val="24"/>
              </w:rPr>
            </w:pPr>
            <w:r>
              <w:rPr>
                <w:rFonts w:ascii="宋体" w:hAnsi="宋体" w:eastAsia="宋体" w:cs="宋体"/>
                <w:b/>
                <w:bCs/>
                <w:kern w:val="0"/>
                <w:sz w:val="24"/>
                <w:szCs w:val="24"/>
                <w:bdr w:val="none" w:color="auto" w:sz="0" w:space="0"/>
                <w:lang w:val="en-US" w:eastAsia="zh-CN" w:bidi="ar"/>
              </w:rPr>
              <w:t>商务要求名称</w:t>
            </w:r>
          </w:p>
        </w:tc>
        <w:tc>
          <w:tcPr>
            <w:tcW w:w="275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456A08B">
            <w:pPr>
              <w:keepNext w:val="0"/>
              <w:keepLines w:val="0"/>
              <w:widowControl/>
              <w:suppressLineNumbers w:val="0"/>
              <w:wordWrap w:val="0"/>
              <w:spacing w:before="0" w:beforeAutospacing="0" w:after="0" w:afterAutospacing="0" w:line="480" w:lineRule="atLeast"/>
              <w:ind w:left="0" w:right="0" w:firstLine="0"/>
              <w:jc w:val="left"/>
              <w:rPr>
                <w:b/>
                <w:bCs/>
                <w:sz w:val="24"/>
                <w:szCs w:val="24"/>
              </w:rPr>
            </w:pPr>
            <w:r>
              <w:rPr>
                <w:rFonts w:ascii="宋体" w:hAnsi="宋体" w:eastAsia="宋体" w:cs="宋体"/>
                <w:b/>
                <w:bCs/>
                <w:kern w:val="0"/>
                <w:sz w:val="24"/>
                <w:szCs w:val="24"/>
                <w:bdr w:val="none" w:color="auto" w:sz="0" w:space="0"/>
                <w:lang w:val="en-US" w:eastAsia="zh-CN" w:bidi="ar"/>
              </w:rPr>
              <w:t>商务要求内容</w:t>
            </w:r>
          </w:p>
        </w:tc>
      </w:tr>
      <w:tr w14:paraId="0A8AD5C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94962D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9F51C9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A4A431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交货时间</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F4FF18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自合同签订之日起30日</w:t>
            </w:r>
          </w:p>
        </w:tc>
      </w:tr>
      <w:tr w14:paraId="0F834D0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E13B1C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231301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408CF1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交货地点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624BB8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采购人指定地点</w:t>
            </w:r>
          </w:p>
        </w:tc>
      </w:tr>
      <w:tr w14:paraId="1EDF171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E3BAC3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BFF336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096E72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支付方式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CD3A14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分期付款</w:t>
            </w:r>
          </w:p>
        </w:tc>
      </w:tr>
      <w:tr w14:paraId="40738FD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12FD8A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D21C34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D059D4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付款进度安排</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45F5C2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1付款条件：全部设备到收货验收合格后，达到该付款条件起10个工作日内，据实情况说明为支付合同总金额的40%</w:t>
            </w:r>
          </w:p>
          <w:p w14:paraId="6C2450D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2付款条件：全部设备安装调试并履约验收合格后，达到该付款条件起10个工作日内，据实情况说明为支付合同总金额的60%</w:t>
            </w:r>
          </w:p>
        </w:tc>
      </w:tr>
      <w:tr w14:paraId="1626110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E65E80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2D88D1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694DC2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验收、交付标准和方法</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813879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1.中标供应商与采购人应严格按照《财政部关于进一步加强政府采购需求和履约验收管理的指导意见》（财库〔2016〕205号）、《采购需求 管理办法》（财库〔2021〕22号）及《乐山市财政局关于沿用乐山市政府采购项目需求论证和履约验收管理实施细则的通知》（乐市财政采〔2021〕8号）要求、招标文件规定的要求和响应文件及合同承诺的内容进行验收。 2.本项目规定的国家、行业、地方等标准如有最新标准，均按最新标准执行。</w:t>
            </w:r>
          </w:p>
        </w:tc>
      </w:tr>
      <w:tr w14:paraId="358232B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7B4B96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6</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58D826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66624F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包装方式及运输</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BF9429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18DF8E4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2B3788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7</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1D5B99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E74E32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质量保修范围和保修期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36F289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1.设备质保期≥3年（消毒机为≥1年），自最终验收合格之日起算，质保方式为整机全保。各标的的技术参数中如有更高质保要求的，从其规定。 2.质保期内，货物出现质量问题的，供应商应负责三包（包修、包换、包退），费用由供应商承担。如因质量问题而引起产品损坏，中标供应商应对产品予以维修或更换，全部服务费和更换产品或配件的费用由供应商承担；中标供应商如不能修理或不能调换，按产品原价赔偿处理。 3.质保期内，供应商将向采购人提供优质的售后技术支持服务，开通24小时热线电话，接受采购人的电话技术咨询；如故障不能排除，中标供应商应在48小时内提供现场服务，待产品运行正常后撤离现场。 4.保修期满后，中标供应商必须继续支持维修，并按成本价标准收取维修及零件费用。</w:t>
            </w:r>
          </w:p>
        </w:tc>
      </w:tr>
      <w:tr w14:paraId="6611246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B0745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8</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DE8E55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86D7D00">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违约责任与解决争议的方法</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54C1F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1.采购方违约责任 （1）采购方无正当理由拒收货物的，采购方应偿付合同总价百分之十的违约金；因采购方原因造成人员劳务成本、物流仓储成本等超出的费用，由采购方承担； （2）采购方逾期支付货款的，除应及时付足货款外，应向中标供应商偿付欠款总额万分之伍/天的违约金；逾期付款超过30天的，每日按欠款总额的万分之十支付违约金；中标供应商有权终止合同；但因采购方不可抗力的原因导致不能付款的情形除外； （3）采购方偿付的违约金不足以弥补中标供应商损失的，还应按中标供应商损失尚未弥补的部分，支付赔偿金给中标供应商。 2.中标供应商违约责任 （1）中标供应商交付的货物质量不符合规定的，中标供应商应向采购方支付合同总价的万分之五的违约金，并须在合同规定的交货时间内更换合格的货物给采购方，否则，视作中标供应商不能交付货物而违约，按本条本款下述第“（2）”项规定由中标供应商偿付违约赔偿金给采购方，非因中标供应商原因造成的货物质量不符合合同规定的除外。 （2）中标供应商不能交付货物或逾期交付货物而违约的，除应及时交足货物外，应向采购方偿付逾期交货部分货款总额的万分之贰/天的违约金；逾期交货超过30天，采购方有权终止合同，中标供应商应按合同总价的万分之十/天的款额向采购方偿付赔偿金。 （3）中标供应商保证本合同货物的权利无瑕疵，包括货物所有权及知识产权等权利无瑕疵。如任何第三方经法院（或仲裁机构）裁决有权对上述货物主张权利或国家机关依法对货物进行没收查处的，中标供应商除应向采购方返还已收款项外，还应另按合同总价的百分之五向采购方支付违约金并赔偿因此给采购方造成的一切损失。 （4）中标供应商偿付的违约金不足以弥补采购方损失的，还应按采购方损失尚未弥补的部分，支付赔偿金给采购方。 3.解决争议的方式： （1）在本项目的履行过程中发生的与本项目有关的争议，双方承诺通过友好协商解决。协商不成的，双方同意将争议提交采购人所在地有管辖权的人民法院通过诉讼方式解决。 （2）在诉讼期间，除正在进行诉讼的部分外，合同其他部分继续执行。</w:t>
            </w:r>
          </w:p>
        </w:tc>
      </w:tr>
    </w:tbl>
    <w:p w14:paraId="4E883BB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3.4.其他要求</w:t>
      </w:r>
    </w:p>
    <w:p w14:paraId="7329D88E">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p w14:paraId="6A93B60A">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供应商对此约定要求可不作文字响应，但供应商参与本项目投标则视同供应商对以下要求已完全知晓、理解并同意接受或按相关规定提供相应证明材料： 1、本项目标的物名称，因采购人不能穷尽详列或通俗认知等原因，供应商提供的报价明细表中标的物名称、产品所对应的证书、证明材料对产品命名可能存在差别，在满足技术参数要求前提下，本项目给予认可。 2、本文件引用技术规范或标准有误或截止投标已废止的，供应商在响应时可自行修正并作出说明，也可按文件引用技术规范或标准进行响应待合同签订时予以修正。截止合同签订时才废止的，也按现行有效、更新的技术规范或标准执行。供应商不得以此为由拒绝签订或履行合同。 3、供应商为本项目提供的所有货物、辅材中属于《国家强制性产品认证目录》范围内货物的，均应通过国家强制性认证并取得认证证书。 4、供应商为本项目提供的所有货物及其制造商属于国家规定须取得备案、生产等许可的，无论本项目采购文件是否要求在投标/响应文件中提供证明材料，供应商均应提供符合国家相关规定的货物。 5、供应商应对所提供材料、承诺或声明的真实性、合法性及有效性负责。除本项目采购文件已明确要求在投标/响应文件中提供证明材料外，在合同签订前，采购人将重点对中标/成交供应商提供的包括但不限于检验（测）报告、资质证书、强制节能产品认证证书、强制性产品认证证书（3C认证）、产品备案或生产许可材料等采取原件核查或法定第三方平台查询或发函核实等方式进行真实性、合法性及有效性核查。经核查发现不能提供或未查询到或应作无效的，将报同级财政部门处理，供应商自行承担不利后果和相关责任。 6、供应商对技术参数中以“以上”、“以下”、“内”、“以内”、“不少于”、“≥”、“≤”等范围值形式表述的指标仍以范围值形式进行响应的，在合同签订时以供应商响应范围值本数作最低标准。同理，“不足”、“低于”、“超过”、“＜”、“＞”的则以优于但不含本数作最低标准。合同签订时，双方应按不低于上述要求确定准确值并作为验收的依据。但投标产品品牌规格型号未指向唯一的除外。 7、本项目采购文件提供的“拟签订合同文本”中为通用版本，签订合同时对采购文件已有表述或要求的则按采购文件签订，采购文件没有约定的则由合同双方在公平公正且不违反相关法律法规前提下协商签订以及增加本项目必要的相关条款。 8、本项目《中小企业声明函》填写： (1)本项目属性为货物。 (2)供应商所报产品制造商属于同一制造商的，允许在声明函“标的物名称”处将同一制造商的所有标的物一并逐一列出作合并声明；标的物名称相同且所报产品制造商属于同一制造商的，允许只作一次声明。 (3)声明函中从业人员、营业收入、资产总额应填报上一自然年度数据，其上一年度数据尚未统计或审计时（例如年初参与投标），可填报在税务系统申报的上一会计年度数据。 9、本项目《关于符合本国产品标准的声明函》填写： （1）本项目是否适用本国产品标准见本章3.1条，适用时的《声明函》格式见第六章。 （2）此声明是针对项目中的货物类标的物。 （3）请注意《声明函》格式末两个提示，特别是“产品名称”栏的填写（此与《中小企业声明函》有区别），未提供符合要求的《声明函》则不能给予价格评审优惠。 （4）《声明函》内容含义不明确、同类事项与投标（响应）文件表述不一致或者有明显文字错误等情况的，评审委员会应当要求供应商作出必要的澄清、说明或者补正。经澄清、说明或者补正的《声明函》仍然不符合规定要求的，供应商提供的相关产品视为不符合本国产品标准。 （5）采购文件价格扣除评审（标)办法中“仅有本国产品参与竞争的政府采购项目，本国产品不享受价格扣除评审优惠”是指若所有供应商均提供了符合要求的本国产品和符合要求的《声明函》时，不再执行价格扣除评审。 10、本项目允许供应商投标产品为代工生产(即产品品牌/商标/商号持有者委托他人生产，本文件分别称为制造商和生产厂)，并作以下提醒: (1)涉及产品检测报告的送检单位或委托方可能会与产品制造商或生产厂不同一，不影响其报告有效性。 (2)3C认证证书、节能产品认证证书或其他认证证书中生产厂与制造商会不同一，不影响其证书有效性。 (3)国家有涉及产品生产许可的，证书持有者与制造商（即品牌方）会不同一，不影响其产品生产合规性。 (4)《关于符合本国产品标准的声明函》声明的核心是判断产品是否“在中国境内生产”，故其生产厂必须填写实际生产厂名称。但《报价表》中的生产厂家将作为相同品牌的认定依据，必须以制造商（即品牌方）为准。 (5)依据《政府采购促进中小企业发展管理办法》(财库〔2020〕46号)第四条“在货物采购项目中，货物由中小企业制造，即货物由中小企业生产且使用该中小企业商号或者注册商标”规定，投标产品为代工生产的供应商不符合中小企业扶持政策。</w:t>
      </w:r>
    </w:p>
    <w:p w14:paraId="7864D588">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E00455"/>
    <w:rsid w:val="7CE004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1">
    <w:name w:val="Default Paragraph Font"/>
    <w:semiHidden/>
    <w:qFormat/>
    <w:uiPriority w:val="0"/>
  </w:style>
  <w:style w:type="table" w:default="1" w:styleId="9">
    <w:name w:val="Normal Table"/>
    <w:semiHidden/>
    <w:uiPriority w:val="0"/>
    <w:tblPr>
      <w:tblCellMar>
        <w:top w:w="0" w:type="dxa"/>
        <w:left w:w="108" w:type="dxa"/>
        <w:bottom w:w="0" w:type="dxa"/>
        <w:right w:w="108" w:type="dxa"/>
      </w:tblCellMar>
    </w:tblPr>
  </w:style>
  <w:style w:type="paragraph" w:styleId="5">
    <w:name w:val="Body Text"/>
    <w:next w:val="6"/>
    <w:qFormat/>
    <w:uiPriority w:val="1"/>
    <w:pPr>
      <w:widowControl w:val="0"/>
      <w:jc w:val="both"/>
    </w:pPr>
    <w:rPr>
      <w:rFonts w:asciiTheme="minorHAnsi" w:hAnsiTheme="minorHAnsi" w:eastAsiaTheme="minorEastAsia" w:cstheme="minorBidi"/>
      <w:kern w:val="2"/>
      <w:sz w:val="32"/>
      <w:szCs w:val="32"/>
      <w:lang w:val="en-US" w:eastAsia="zh-CN" w:bidi="ar-SA"/>
    </w:rPr>
  </w:style>
  <w:style w:type="paragraph" w:styleId="6">
    <w:name w:val="Subtitle"/>
    <w:basedOn w:val="1"/>
    <w:next w:val="1"/>
    <w:qFormat/>
    <w:uiPriority w:val="11"/>
    <w:pPr>
      <w:spacing w:before="240" w:after="60" w:line="312" w:lineRule="auto"/>
      <w:jc w:val="center"/>
      <w:outlineLvl w:val="1"/>
    </w:pPr>
    <w:rPr>
      <w:rFonts w:cs="Times New Roman"/>
      <w:b/>
      <w:bCs/>
      <w:kern w:val="28"/>
      <w:sz w:val="32"/>
      <w:szCs w:val="32"/>
    </w:rPr>
  </w:style>
  <w:style w:type="paragraph" w:styleId="7">
    <w:name w:val="Normal (Web)"/>
    <w:basedOn w:val="1"/>
    <w:uiPriority w:val="0"/>
    <w:pPr>
      <w:spacing w:before="0" w:beforeAutospacing="1" w:after="0" w:afterAutospacing="1"/>
      <w:ind w:left="0" w:right="0"/>
      <w:jc w:val="left"/>
    </w:pPr>
    <w:rPr>
      <w:kern w:val="0"/>
      <w:sz w:val="24"/>
      <w:lang w:val="en-US" w:eastAsia="zh-CN" w:bidi="ar"/>
    </w:rPr>
  </w:style>
  <w:style w:type="paragraph" w:styleId="8">
    <w:name w:val="Body Text First Indent"/>
    <w:basedOn w:val="5"/>
    <w:unhideWhenUsed/>
    <w:qFormat/>
    <w:uiPriority w:val="99"/>
    <w:pPr>
      <w:ind w:firstLine="420" w:firstLineChars="100"/>
    </w:pPr>
    <w:rPr>
      <w:rFonts w:cs="Times New Roman"/>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2026-09-21T06:48:00Z</dcterms:created>
  <dc:creator>徐磊</dc:creator>
  <cp:lastModifiedBy>徐磊</cp:lastModifiedBy>
  <dcterms:modified xsi:type="dcterms:W3CDTF">2026-09-21T06:49:17Z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C48191E7641C48A3B480C90CEEE35ECF_11</vt:lpwstr>
  </property>
  <property fmtid="{D5CDD505-2E9C-101B-9397-08002B2CF9AE}" pid="4" name="KSOTemplateDocerSaveRecord">
    <vt:lpwstr>eyJoZGlkIjoiYjczZmY4NzI2NzMwNDZjYzhkZjgxMWI2Y2U2NTQzNGMiLCJ1c2VySWQiOiIxNzc5NzIxNzcxIn0=</vt:lpwstr>
  </property>
</Properties>
</file>