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EB9226">
      <w:pPr>
        <w:pStyle w:val="10"/>
        <w:jc w:val="center"/>
        <w:outlineLvl w:val="1"/>
        <w:rPr>
          <w:rFonts w:hint="default"/>
        </w:rPr>
      </w:pPr>
      <w:r>
        <w:rPr>
          <w:b/>
          <w:sz w:val="36"/>
        </w:rPr>
        <w:t>第二章 采购需求</w:t>
      </w:r>
    </w:p>
    <w:p w14:paraId="45E962E8">
      <w:pPr>
        <w:pStyle w:val="10"/>
        <w:outlineLvl w:val="2"/>
        <w:rPr>
          <w:b/>
          <w:sz w:val="28"/>
        </w:rPr>
      </w:pPr>
      <w:r>
        <w:rPr>
          <w:b/>
          <w:sz w:val="28"/>
        </w:rPr>
        <w:t>如无特别说明，以下描述同时适用于所有采购包</w:t>
      </w:r>
    </w:p>
    <w:p w14:paraId="01E57C95">
      <w:pPr>
        <w:pStyle w:val="10"/>
        <w:outlineLvl w:val="2"/>
        <w:rPr>
          <w:rFonts w:hint="default"/>
        </w:rPr>
      </w:pPr>
      <w:r>
        <w:rPr>
          <w:b/>
          <w:sz w:val="28"/>
        </w:rPr>
        <w:t>一、项目概况：</w:t>
      </w:r>
    </w:p>
    <w:p w14:paraId="32B3B3C0">
      <w:pPr>
        <w:pStyle w:val="10"/>
        <w:rPr>
          <w:rFonts w:hint="eastAsia" w:ascii="宋体" w:hAnsi="宋体" w:eastAsia="宋体" w:cs="宋体"/>
          <w:sz w:val="21"/>
          <w:szCs w:val="21"/>
          <w:lang w:eastAsia="zh-CN"/>
        </w:rPr>
      </w:pPr>
      <w:r>
        <w:rPr>
          <w:rFonts w:ascii="宋体" w:hAnsi="宋体" w:cs="宋体"/>
          <w:sz w:val="21"/>
          <w:szCs w:val="21"/>
        </w:rPr>
        <w:t>项目属性：服务类</w:t>
      </w:r>
      <w:r>
        <w:rPr>
          <w:rFonts w:hint="eastAsia" w:ascii="宋体" w:hAnsi="宋体" w:cs="宋体"/>
          <w:sz w:val="21"/>
          <w:szCs w:val="21"/>
          <w:lang w:eastAsia="zh-CN"/>
        </w:rPr>
        <w:t>。依据财政部《政府采购促进中小企业发展政策问答》：服务类采购项目以服务的承接商作为中小企业认定主体，无需对项目所涉及的货物的制造商提出中小企业资质要求。本项目为服务类，服务的承接商对应的行业是软件和信息技术服务业。</w:t>
      </w:r>
    </w:p>
    <w:p w14:paraId="71F9952B">
      <w:pPr>
        <w:pStyle w:val="10"/>
        <w:rPr>
          <w:rFonts w:ascii="宋体" w:hAnsi="宋体" w:cs="宋体"/>
          <w:sz w:val="21"/>
          <w:szCs w:val="21"/>
        </w:rPr>
      </w:pPr>
      <w:r>
        <w:rPr>
          <w:rFonts w:ascii="宋体" w:hAnsi="宋体" w:cs="宋体"/>
          <w:sz w:val="21"/>
          <w:szCs w:val="21"/>
        </w:rPr>
        <w:t>政策要求：</w:t>
      </w:r>
    </w:p>
    <w:p w14:paraId="100A2FA1">
      <w:pPr>
        <w:pStyle w:val="10"/>
        <w:rPr>
          <w:rFonts w:ascii="宋体" w:hAnsi="宋体" w:cs="宋体"/>
          <w:sz w:val="21"/>
          <w:szCs w:val="21"/>
        </w:rPr>
      </w:pPr>
      <w:r>
        <w:rPr>
          <w:rFonts w:ascii="宋体" w:hAnsi="宋体" w:cs="宋体"/>
          <w:sz w:val="21"/>
          <w:szCs w:val="21"/>
        </w:rPr>
        <w:t>本项目属于不专门面向中小微企业预留采购份额的项目，原因和情形为：</w:t>
      </w:r>
    </w:p>
    <w:p w14:paraId="3C32DA87">
      <w:pPr>
        <w:pStyle w:val="10"/>
        <w:rPr>
          <w:rFonts w:ascii="宋体" w:hAnsi="宋体" w:cs="宋体"/>
          <w:sz w:val="21"/>
          <w:szCs w:val="21"/>
        </w:rPr>
      </w:pPr>
      <w:r>
        <w:rPr>
          <w:rFonts w:ascii="宋体" w:hAnsi="宋体" w:cs="宋体"/>
          <w:sz w:val="21"/>
          <w:szCs w:val="21"/>
        </w:rPr>
        <w:t>按照《政府采购促进中小企业发展管理办法》规定预留采购份额无法确保充分供应、充分竞争，或者存在可能影响政府采购目标实现的情形。</w:t>
      </w:r>
    </w:p>
    <w:p w14:paraId="05B48E33">
      <w:pPr>
        <w:pStyle w:val="10"/>
        <w:rPr>
          <w:rFonts w:ascii="宋体" w:hAnsi="宋体" w:cs="宋体"/>
          <w:sz w:val="21"/>
          <w:szCs w:val="21"/>
        </w:rPr>
      </w:pPr>
      <w:r>
        <w:rPr>
          <w:rFonts w:ascii="宋体" w:hAnsi="宋体" w:cs="宋体"/>
          <w:sz w:val="21"/>
          <w:szCs w:val="21"/>
        </w:rPr>
        <w:t>中标人须在中标结果公告之日起2个工作日内向采购人提供与提交投标电子标书内容一致且每页加盖单位公章的纸质投标文件3套及电子文件1套。</w:t>
      </w:r>
    </w:p>
    <w:p w14:paraId="6C157869">
      <w:pPr>
        <w:rPr>
          <w:rFonts w:hint="eastAsia" w:ascii="仿宋_GB2312" w:hAnsi="仿宋_GB2312" w:cs="仿宋_GB2312"/>
          <w:b w:val="0"/>
          <w:bCs w:val="0"/>
        </w:rPr>
      </w:pPr>
    </w:p>
    <w:p w14:paraId="7226E509">
      <w:pPr>
        <w:spacing w:line="360" w:lineRule="auto"/>
        <w:outlineLvl w:val="1"/>
        <w:rPr>
          <w:rFonts w:hint="eastAsia" w:ascii="宋体" w:hAnsi="宋体" w:eastAsia="宋体"/>
          <w:sz w:val="21"/>
          <w:szCs w:val="21"/>
        </w:rPr>
      </w:pPr>
      <w:r>
        <w:rPr>
          <w:rFonts w:hint="eastAsia" w:ascii="宋体" w:hAnsi="宋体" w:eastAsia="宋体"/>
          <w:sz w:val="21"/>
          <w:szCs w:val="21"/>
        </w:rPr>
        <w:t>项目背景</w:t>
      </w:r>
    </w:p>
    <w:p w14:paraId="292CAA8B">
      <w:pPr>
        <w:spacing w:line="360" w:lineRule="auto"/>
        <w:rPr>
          <w:rFonts w:hint="eastAsia" w:ascii="宋体" w:hAnsi="宋体" w:cs="Arial"/>
        </w:rPr>
      </w:pPr>
      <w:r>
        <w:rPr>
          <w:rFonts w:hint="eastAsia" w:ascii="宋体" w:hAnsi="宋体" w:cs="Arial"/>
        </w:rPr>
        <w:t>　</w:t>
      </w:r>
      <w:r>
        <w:rPr>
          <w:rFonts w:hint="eastAsia" w:ascii="宋体" w:hAnsi="宋体" w:cs="Arial"/>
          <w:b w:val="0"/>
          <w:bCs w:val="0"/>
        </w:rPr>
        <w:t>　</w:t>
      </w:r>
      <w:r>
        <w:rPr>
          <w:rFonts w:hint="eastAsia" w:ascii="宋体" w:hAnsi="宋体" w:eastAsia="宋体"/>
          <w:b w:val="0"/>
          <w:bCs w:val="0"/>
          <w:sz w:val="21"/>
          <w:szCs w:val="21"/>
        </w:rPr>
        <w:t>为加强我市居民身份证制证服务软硬件信息技术安全可控，保障制证服务稳定性、安全性，推动本国化应用持续创新。</w:t>
      </w:r>
    </w:p>
    <w:p w14:paraId="51C2CFC0">
      <w:pPr>
        <w:pStyle w:val="10"/>
        <w:spacing w:line="360" w:lineRule="auto"/>
        <w:outlineLvl w:val="2"/>
        <w:rPr>
          <w:rFonts w:hint="default"/>
          <w:b/>
          <w:sz w:val="28"/>
          <w:szCs w:val="22"/>
        </w:rPr>
      </w:pPr>
      <w:r>
        <w:rPr>
          <w:b/>
          <w:sz w:val="28"/>
          <w:szCs w:val="22"/>
        </w:rPr>
        <w:t>二、采购内容</w:t>
      </w:r>
    </w:p>
    <w:p w14:paraId="4AAC4C55">
      <w:pPr>
        <w:spacing w:line="360" w:lineRule="auto"/>
        <w:jc w:val="left"/>
        <w:outlineLvl w:val="2"/>
        <w:rPr>
          <w:rFonts w:hint="eastAsia" w:ascii="宋体" w:hAnsi="宋体" w:eastAsia="宋体"/>
          <w:b w:val="0"/>
          <w:bCs w:val="0"/>
          <w:sz w:val="21"/>
          <w:szCs w:val="21"/>
        </w:rPr>
      </w:pPr>
      <w:r>
        <w:rPr>
          <w:rFonts w:hint="eastAsia" w:ascii="宋体" w:hAnsi="宋体" w:eastAsia="宋体"/>
          <w:b w:val="0"/>
          <w:bCs w:val="0"/>
          <w:sz w:val="21"/>
          <w:szCs w:val="21"/>
        </w:rPr>
        <w:t>（一）</w:t>
      </w:r>
      <w:r>
        <w:rPr>
          <w:rFonts w:hint="eastAsia" w:ascii="宋体" w:hAnsi="宋体" w:eastAsia="宋体"/>
          <w:b w:val="0"/>
          <w:bCs w:val="0"/>
          <w:sz w:val="21"/>
          <w:szCs w:val="21"/>
          <w:lang w:eastAsia="zh-CN"/>
        </w:rPr>
        <w:t>采购包1</w:t>
      </w:r>
      <w:r>
        <w:rPr>
          <w:rFonts w:hint="eastAsia" w:ascii="宋体" w:hAnsi="宋体" w:eastAsia="宋体"/>
          <w:b w:val="0"/>
          <w:bCs w:val="0"/>
          <w:sz w:val="21"/>
          <w:szCs w:val="21"/>
        </w:rPr>
        <w:t>：广州市居民身份证制证信息平台租赁及制证辅助管理系统升级改造项目</w:t>
      </w:r>
    </w:p>
    <w:p w14:paraId="00B3CE9C">
      <w:pPr>
        <w:spacing w:line="360" w:lineRule="auto"/>
        <w:jc w:val="left"/>
        <w:rPr>
          <w:rFonts w:hint="eastAsia" w:ascii="宋体" w:hAnsi="宋体"/>
          <w:b w:val="0"/>
          <w:bCs w:val="0"/>
        </w:rPr>
      </w:pPr>
      <w:r>
        <w:rPr>
          <w:rFonts w:hint="eastAsia" w:ascii="宋体" w:hAnsi="宋体" w:eastAsia="宋体"/>
          <w:sz w:val="21"/>
          <w:szCs w:val="21"/>
        </w:rPr>
        <w:t>采购内容简述：</w:t>
      </w:r>
      <w:r>
        <w:rPr>
          <w:rFonts w:hint="eastAsia" w:ascii="宋体" w:hAnsi="宋体" w:eastAsia="宋体"/>
          <w:b w:val="0"/>
          <w:bCs w:val="0"/>
          <w:sz w:val="21"/>
          <w:szCs w:val="21"/>
        </w:rPr>
        <w:t>包括：1.成品软件租赁服务(许可)，租赁期三年，租赁居民身份证制证信息服务平台1套，实现基于</w:t>
      </w:r>
      <w:r>
        <w:rPr>
          <w:rFonts w:hint="eastAsia" w:ascii="宋体" w:hAnsi="宋体" w:eastAsia="宋体"/>
          <w:b w:val="0"/>
          <w:bCs w:val="0"/>
          <w:sz w:val="21"/>
          <w:szCs w:val="21"/>
          <w:lang w:eastAsia="zh-CN"/>
        </w:rPr>
        <w:t>本国化适配</w:t>
      </w:r>
      <w:r>
        <w:rPr>
          <w:rFonts w:hint="eastAsia" w:ascii="宋体" w:hAnsi="宋体" w:eastAsia="宋体"/>
          <w:b w:val="0"/>
          <w:bCs w:val="0"/>
          <w:sz w:val="21"/>
          <w:szCs w:val="21"/>
        </w:rPr>
        <w:t>平台下的居民身份证制证功能；2.对“广州市第二代居民身份证制证辅助管理系统”进行</w:t>
      </w:r>
      <w:r>
        <w:rPr>
          <w:rFonts w:hint="eastAsia" w:ascii="宋体" w:hAnsi="宋体" w:eastAsia="宋体"/>
          <w:b w:val="0"/>
          <w:bCs w:val="0"/>
          <w:sz w:val="21"/>
          <w:szCs w:val="21"/>
          <w:lang w:eastAsia="zh-CN"/>
        </w:rPr>
        <w:t>本国化适配</w:t>
      </w:r>
      <w:r>
        <w:rPr>
          <w:rFonts w:hint="eastAsia" w:ascii="宋体" w:hAnsi="宋体" w:eastAsia="宋体"/>
          <w:b w:val="0"/>
          <w:bCs w:val="0"/>
          <w:sz w:val="21"/>
          <w:szCs w:val="21"/>
        </w:rPr>
        <w:t>升级改造，实现制证数据调度、制证流程工序管理、物料管理和制证情况查询统计等制证辅助功能。</w:t>
      </w:r>
      <w:r>
        <w:rPr>
          <w:rFonts w:hint="eastAsia" w:ascii="宋体" w:hAnsi="宋体"/>
          <w:b w:val="0"/>
          <w:bCs w:val="0"/>
        </w:rPr>
        <w:t xml:space="preserve"> </w:t>
      </w:r>
    </w:p>
    <w:p w14:paraId="1FA6AC73">
      <w:pPr>
        <w:spacing w:line="360" w:lineRule="auto"/>
        <w:jc w:val="left"/>
        <w:rPr>
          <w:rFonts w:hint="eastAsia" w:ascii="宋体" w:hAnsi="宋体" w:eastAsia="宋体"/>
          <w:b w:val="0"/>
          <w:bCs w:val="0"/>
          <w:sz w:val="21"/>
          <w:szCs w:val="21"/>
        </w:rPr>
      </w:pPr>
      <w:r>
        <w:rPr>
          <w:rFonts w:hint="eastAsia" w:ascii="宋体" w:hAnsi="宋体" w:eastAsia="宋体"/>
          <w:sz w:val="21"/>
          <w:szCs w:val="21"/>
        </w:rPr>
        <w:t>项目预算：</w:t>
      </w:r>
      <w:r>
        <w:rPr>
          <w:rFonts w:hint="eastAsia" w:ascii="宋体" w:hAnsi="宋体" w:eastAsia="宋体"/>
          <w:b w:val="0"/>
          <w:bCs w:val="0"/>
          <w:sz w:val="21"/>
          <w:szCs w:val="21"/>
        </w:rPr>
        <w:t>2026年度预算56.12万元，2027年度预算37.42万元，2028年度预算37.42万元，2029年度预算56.1113万元。</w:t>
      </w:r>
    </w:p>
    <w:p w14:paraId="4172CCBC">
      <w:pPr>
        <w:spacing w:line="360" w:lineRule="auto"/>
        <w:jc w:val="left"/>
        <w:rPr>
          <w:rFonts w:hint="eastAsia" w:ascii="宋体" w:hAnsi="宋体" w:eastAsia="宋体"/>
          <w:sz w:val="21"/>
          <w:szCs w:val="21"/>
        </w:rPr>
      </w:pPr>
      <w:r>
        <w:rPr>
          <w:rFonts w:hint="eastAsia" w:ascii="宋体" w:hAnsi="宋体" w:eastAsia="宋体"/>
          <w:sz w:val="21"/>
          <w:szCs w:val="21"/>
        </w:rPr>
        <w:t>采购包1★本项目实行双限价，投标人在《开标一览表》中的投标报价总价超过采购包预算、分项报价超过下列“分项报价限额”清单相应分项报价限额的报价均为无效投标（投标人需要在投标文件中另外列出分项报价限额）</w:t>
      </w:r>
    </w:p>
    <w:p w14:paraId="009EE6BD">
      <w:pPr>
        <w:spacing w:line="360" w:lineRule="auto"/>
        <w:jc w:val="left"/>
        <w:rPr>
          <w:rFonts w:hint="eastAsia" w:ascii="宋体" w:hAnsi="宋体" w:eastAsia="宋体"/>
          <w:sz w:val="21"/>
          <w:szCs w:val="21"/>
        </w:rPr>
      </w:pPr>
      <w:r>
        <w:rPr>
          <w:rFonts w:hint="eastAsia" w:ascii="宋体" w:hAnsi="宋体" w:eastAsia="宋体"/>
          <w:sz w:val="21"/>
          <w:szCs w:val="21"/>
        </w:rPr>
        <w:t>分项报价限额：</w:t>
      </w:r>
    </w:p>
    <w:tbl>
      <w:tblPr>
        <w:tblStyle w:val="7"/>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48"/>
        <w:gridCol w:w="780"/>
        <w:gridCol w:w="675"/>
        <w:gridCol w:w="2295"/>
        <w:gridCol w:w="1422"/>
      </w:tblGrid>
      <w:tr w14:paraId="4956B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8" w:type="dxa"/>
            <w:noWrap w:val="0"/>
            <w:vAlign w:val="top"/>
          </w:tcPr>
          <w:p w14:paraId="7BC91F25">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采购分项名称</w:t>
            </w:r>
          </w:p>
        </w:tc>
        <w:tc>
          <w:tcPr>
            <w:tcW w:w="780" w:type="dxa"/>
            <w:noWrap w:val="0"/>
            <w:vAlign w:val="top"/>
          </w:tcPr>
          <w:p w14:paraId="332AE748">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单位</w:t>
            </w:r>
          </w:p>
        </w:tc>
        <w:tc>
          <w:tcPr>
            <w:tcW w:w="675" w:type="dxa"/>
            <w:noWrap w:val="0"/>
            <w:vAlign w:val="top"/>
          </w:tcPr>
          <w:p w14:paraId="2EF170E3">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数量</w:t>
            </w:r>
          </w:p>
        </w:tc>
        <w:tc>
          <w:tcPr>
            <w:tcW w:w="2295" w:type="dxa"/>
            <w:noWrap w:val="0"/>
            <w:vAlign w:val="top"/>
          </w:tcPr>
          <w:p w14:paraId="67352966">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分项报价限额（万元）</w:t>
            </w:r>
          </w:p>
        </w:tc>
        <w:tc>
          <w:tcPr>
            <w:tcW w:w="1422" w:type="dxa"/>
            <w:noWrap w:val="0"/>
            <w:vAlign w:val="top"/>
          </w:tcPr>
          <w:p w14:paraId="0334815C">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备注</w:t>
            </w:r>
          </w:p>
        </w:tc>
      </w:tr>
      <w:tr w14:paraId="5180A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8" w:type="dxa"/>
            <w:noWrap w:val="0"/>
            <w:vAlign w:val="top"/>
          </w:tcPr>
          <w:p w14:paraId="410F3DAE">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成品软件租赁</w:t>
            </w:r>
          </w:p>
        </w:tc>
        <w:tc>
          <w:tcPr>
            <w:tcW w:w="780" w:type="dxa"/>
            <w:noWrap w:val="0"/>
            <w:vAlign w:val="top"/>
          </w:tcPr>
          <w:p w14:paraId="426795EC">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套</w:t>
            </w:r>
          </w:p>
        </w:tc>
        <w:tc>
          <w:tcPr>
            <w:tcW w:w="675" w:type="dxa"/>
            <w:noWrap w:val="0"/>
            <w:vAlign w:val="top"/>
          </w:tcPr>
          <w:p w14:paraId="6EB16128">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1</w:t>
            </w:r>
          </w:p>
        </w:tc>
        <w:tc>
          <w:tcPr>
            <w:tcW w:w="2295" w:type="dxa"/>
            <w:noWrap w:val="0"/>
            <w:vAlign w:val="top"/>
          </w:tcPr>
          <w:p w14:paraId="7552813C">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162</w:t>
            </w:r>
          </w:p>
        </w:tc>
        <w:tc>
          <w:tcPr>
            <w:tcW w:w="1422" w:type="dxa"/>
            <w:noWrap w:val="0"/>
            <w:vAlign w:val="top"/>
          </w:tcPr>
          <w:p w14:paraId="3A1EC95D">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租赁期三年</w:t>
            </w:r>
          </w:p>
        </w:tc>
      </w:tr>
      <w:tr w14:paraId="0691E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8" w:type="dxa"/>
            <w:noWrap w:val="0"/>
            <w:vAlign w:val="top"/>
          </w:tcPr>
          <w:p w14:paraId="21C3E030">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对“广州市第二代居民身份证制证辅助管理系统”进行</w:t>
            </w:r>
            <w:r>
              <w:rPr>
                <w:rFonts w:hint="eastAsia" w:ascii="宋体" w:hAnsi="宋体" w:eastAsia="宋体"/>
                <w:b w:val="0"/>
                <w:bCs w:val="0"/>
                <w:sz w:val="21"/>
                <w:szCs w:val="21"/>
                <w:lang w:eastAsia="zh-CN"/>
              </w:rPr>
              <w:t>本国化适配</w:t>
            </w:r>
            <w:r>
              <w:rPr>
                <w:rFonts w:hint="eastAsia" w:ascii="宋体" w:hAnsi="宋体" w:eastAsia="宋体"/>
                <w:b w:val="0"/>
                <w:bCs w:val="0"/>
                <w:sz w:val="21"/>
                <w:szCs w:val="21"/>
              </w:rPr>
              <w:t>升级改造</w:t>
            </w:r>
          </w:p>
        </w:tc>
        <w:tc>
          <w:tcPr>
            <w:tcW w:w="780" w:type="dxa"/>
            <w:noWrap w:val="0"/>
            <w:vAlign w:val="top"/>
          </w:tcPr>
          <w:p w14:paraId="4B4B18A2">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项</w:t>
            </w:r>
          </w:p>
        </w:tc>
        <w:tc>
          <w:tcPr>
            <w:tcW w:w="675" w:type="dxa"/>
            <w:noWrap w:val="0"/>
            <w:vAlign w:val="top"/>
          </w:tcPr>
          <w:p w14:paraId="0CA29D2D">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1</w:t>
            </w:r>
          </w:p>
        </w:tc>
        <w:tc>
          <w:tcPr>
            <w:tcW w:w="2295" w:type="dxa"/>
            <w:noWrap w:val="0"/>
            <w:vAlign w:val="top"/>
          </w:tcPr>
          <w:p w14:paraId="425F7269">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25.0713</w:t>
            </w:r>
          </w:p>
        </w:tc>
        <w:tc>
          <w:tcPr>
            <w:tcW w:w="1422" w:type="dxa"/>
            <w:noWrap w:val="0"/>
            <w:vAlign w:val="top"/>
          </w:tcPr>
          <w:p w14:paraId="43F4768B">
            <w:pPr>
              <w:spacing w:line="360" w:lineRule="auto"/>
              <w:jc w:val="center"/>
              <w:rPr>
                <w:rFonts w:hint="eastAsia" w:ascii="宋体" w:hAnsi="宋体" w:eastAsia="宋体"/>
                <w:b w:val="0"/>
                <w:bCs w:val="0"/>
                <w:sz w:val="21"/>
                <w:szCs w:val="21"/>
              </w:rPr>
            </w:pPr>
          </w:p>
        </w:tc>
      </w:tr>
    </w:tbl>
    <w:p w14:paraId="5CA02B47">
      <w:pPr>
        <w:spacing w:line="360" w:lineRule="auto"/>
        <w:jc w:val="left"/>
        <w:rPr>
          <w:rFonts w:hint="eastAsia" w:ascii="宋体" w:hAnsi="宋体" w:eastAsia="宋体"/>
          <w:b w:val="0"/>
          <w:bCs w:val="0"/>
          <w:sz w:val="21"/>
          <w:szCs w:val="21"/>
        </w:rPr>
      </w:pPr>
    </w:p>
    <w:p w14:paraId="12C31BEC">
      <w:pPr>
        <w:spacing w:line="360" w:lineRule="auto"/>
        <w:jc w:val="left"/>
        <w:rPr>
          <w:rFonts w:hint="eastAsia" w:ascii="宋体" w:hAnsi="宋体"/>
          <w:b w:val="0"/>
          <w:bCs w:val="0"/>
        </w:rPr>
      </w:pPr>
    </w:p>
    <w:p w14:paraId="79DE2186">
      <w:pPr>
        <w:numPr>
          <w:ilvl w:val="0"/>
          <w:numId w:val="0"/>
        </w:numPr>
        <w:spacing w:line="360" w:lineRule="auto"/>
        <w:jc w:val="left"/>
        <w:rPr>
          <w:rFonts w:hint="eastAsia" w:ascii="宋体" w:hAnsi="宋体"/>
          <w:b w:val="0"/>
          <w:bCs w:val="0"/>
        </w:rPr>
      </w:pPr>
      <w:r>
        <w:rPr>
          <w:rFonts w:hint="default" w:ascii="仿宋_GB2312" w:hAnsi="仿宋_GB2312" w:eastAsia="仿宋_GB2312" w:cs="仿宋_GB2312"/>
          <w:b/>
          <w:bCs/>
          <w:kern w:val="2"/>
          <w:sz w:val="24"/>
          <w:szCs w:val="24"/>
          <w:lang w:val="en-US" w:eastAsia="zh-CN" w:bidi="ar-SA"/>
        </w:rPr>
        <w:t>1.</w:t>
      </w:r>
      <w:r>
        <w:rPr>
          <w:rFonts w:hint="eastAsia" w:ascii="宋体" w:hAnsi="宋体" w:eastAsia="宋体"/>
          <w:sz w:val="21"/>
          <w:szCs w:val="21"/>
        </w:rPr>
        <w:t>成品软件租赁服务要求</w:t>
      </w:r>
    </w:p>
    <w:p w14:paraId="2119229C">
      <w:pPr>
        <w:numPr>
          <w:ilvl w:val="-1"/>
          <w:numId w:val="0"/>
        </w:numPr>
        <w:spacing w:line="360" w:lineRule="auto"/>
        <w:jc w:val="left"/>
        <w:rPr>
          <w:rFonts w:hint="eastAsia" w:ascii="宋体" w:hAnsi="宋体"/>
          <w:b w:val="0"/>
          <w:bCs w:val="0"/>
        </w:rPr>
      </w:pPr>
      <w:r>
        <w:rPr>
          <w:rFonts w:hint="eastAsia" w:ascii="宋体" w:hAnsi="宋体" w:eastAsia="宋体"/>
          <w:b w:val="0"/>
          <w:bCs w:val="0"/>
          <w:sz w:val="21"/>
          <w:szCs w:val="21"/>
        </w:rPr>
        <w:t>租赁期三年，分项报价最高限额162万元。</w:t>
      </w:r>
    </w:p>
    <w:p w14:paraId="39129BB3">
      <w:pPr>
        <w:pStyle w:val="10"/>
        <w:spacing w:line="360" w:lineRule="auto"/>
        <w:rPr>
          <w:rFonts w:ascii="宋体" w:hAnsi="宋体" w:cs="宋体"/>
          <w:sz w:val="21"/>
          <w:szCs w:val="21"/>
        </w:rPr>
      </w:pPr>
      <w:r>
        <w:rPr>
          <w:rFonts w:ascii="宋体" w:hAnsi="宋体" w:cs="宋体"/>
          <w:sz w:val="21"/>
          <w:szCs w:val="21"/>
        </w:rPr>
        <w:t>1.1总体技术要求</w:t>
      </w:r>
    </w:p>
    <w:p w14:paraId="209CA50F">
      <w:pPr>
        <w:pStyle w:val="10"/>
        <w:spacing w:line="360" w:lineRule="auto"/>
        <w:ind w:firstLine="420" w:firstLineChars="200"/>
        <w:rPr>
          <w:rFonts w:ascii="宋体" w:hAnsi="宋体" w:cs="宋体"/>
          <w:sz w:val="21"/>
          <w:szCs w:val="21"/>
        </w:rPr>
      </w:pPr>
      <w:r>
        <w:rPr>
          <w:rFonts w:ascii="宋体" w:hAnsi="宋体" w:cs="宋体"/>
          <w:sz w:val="21"/>
          <w:szCs w:val="21"/>
        </w:rPr>
        <w:t>本项目需要适配（X86）架构芯片，基于本国化操作系统和本国化数据库开发。本项目的技术路线选型采用“技术先进、安全可靠、自主掌控”的原则，充分考虑通过安全可靠的基础开发环境，实现统一的项目、需求、代码、测试、运维监测管理，通过将本国化主流芯片架构、操作系统、数据库、中间件适配，待运行成功且无问题后，平滑迁移至本国化架构中，以保障软件系统在本国化环境中平稳运行。</w:t>
      </w:r>
    </w:p>
    <w:p w14:paraId="02C239E5">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1.2成品软件功能模块要求。</w:t>
      </w:r>
    </w:p>
    <w:tbl>
      <w:tblPr>
        <w:tblStyle w:val="6"/>
        <w:tblpPr w:leftFromText="180" w:rightFromText="180" w:vertAnchor="text" w:horzAnchor="page" w:tblpX="1448" w:tblpY="383"/>
        <w:tblOverlap w:val="never"/>
        <w:tblW w:w="83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7"/>
        <w:gridCol w:w="1831"/>
        <w:gridCol w:w="2091"/>
        <w:gridCol w:w="3143"/>
      </w:tblGrid>
      <w:tr w14:paraId="44C44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7CF4C4EC">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序号</w:t>
            </w:r>
          </w:p>
        </w:tc>
        <w:tc>
          <w:tcPr>
            <w:tcW w:w="1831" w:type="dxa"/>
            <w:noWrap w:val="0"/>
            <w:vAlign w:val="center"/>
          </w:tcPr>
          <w:p w14:paraId="66F0E8EF">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功能模块</w:t>
            </w:r>
          </w:p>
        </w:tc>
        <w:tc>
          <w:tcPr>
            <w:tcW w:w="2091" w:type="dxa"/>
            <w:noWrap w:val="0"/>
            <w:vAlign w:val="center"/>
          </w:tcPr>
          <w:p w14:paraId="000F86C7">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功能点</w:t>
            </w:r>
          </w:p>
        </w:tc>
        <w:tc>
          <w:tcPr>
            <w:tcW w:w="3143" w:type="dxa"/>
            <w:noWrap w:val="0"/>
            <w:vAlign w:val="center"/>
          </w:tcPr>
          <w:p w14:paraId="45C439E1">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功能需求描述</w:t>
            </w:r>
          </w:p>
        </w:tc>
      </w:tr>
      <w:tr w14:paraId="3D4B6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4167557C">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w:t>
            </w:r>
          </w:p>
        </w:tc>
        <w:tc>
          <w:tcPr>
            <w:tcW w:w="1831" w:type="dxa"/>
            <w:vMerge w:val="restart"/>
            <w:noWrap w:val="0"/>
            <w:vAlign w:val="center"/>
          </w:tcPr>
          <w:p w14:paraId="004E0D4C">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信息服务系统</w:t>
            </w:r>
          </w:p>
        </w:tc>
        <w:tc>
          <w:tcPr>
            <w:tcW w:w="2091" w:type="dxa"/>
            <w:noWrap w:val="0"/>
            <w:vAlign w:val="center"/>
          </w:tcPr>
          <w:p w14:paraId="090CAE8C">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文字质量检测服务</w:t>
            </w:r>
          </w:p>
        </w:tc>
        <w:tc>
          <w:tcPr>
            <w:tcW w:w="3143" w:type="dxa"/>
            <w:noWrap w:val="0"/>
            <w:vAlign w:val="center"/>
          </w:tcPr>
          <w:p w14:paraId="7671FDB9">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对数据包格式、文字信息内容进行质量检查</w:t>
            </w:r>
          </w:p>
        </w:tc>
      </w:tr>
      <w:tr w14:paraId="424CE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23298AAF">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w:t>
            </w:r>
          </w:p>
        </w:tc>
        <w:tc>
          <w:tcPr>
            <w:tcW w:w="1831" w:type="dxa"/>
            <w:vMerge w:val="continue"/>
            <w:noWrap w:val="0"/>
            <w:vAlign w:val="center"/>
          </w:tcPr>
          <w:p w14:paraId="36BE5D31">
            <w:pPr>
              <w:widowControl/>
              <w:adjustRightInd w:val="0"/>
              <w:snapToGrid w:val="0"/>
              <w:spacing w:line="400" w:lineRule="exact"/>
              <w:jc w:val="center"/>
              <w:rPr>
                <w:rFonts w:hint="eastAsia" w:ascii="宋体" w:hAnsi="宋体" w:eastAsia="宋体"/>
                <w:b w:val="0"/>
                <w:bCs w:val="0"/>
                <w:sz w:val="21"/>
                <w:szCs w:val="21"/>
              </w:rPr>
            </w:pPr>
          </w:p>
        </w:tc>
        <w:tc>
          <w:tcPr>
            <w:tcW w:w="2091" w:type="dxa"/>
            <w:noWrap w:val="0"/>
            <w:vAlign w:val="center"/>
          </w:tcPr>
          <w:p w14:paraId="049FDAC7">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指纹质量检测服务</w:t>
            </w:r>
          </w:p>
        </w:tc>
        <w:tc>
          <w:tcPr>
            <w:tcW w:w="3143" w:type="dxa"/>
            <w:noWrap w:val="0"/>
            <w:vAlign w:val="center"/>
          </w:tcPr>
          <w:p w14:paraId="17C124A6">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对制证指纹数据进行正确性检查和质量检查</w:t>
            </w:r>
          </w:p>
        </w:tc>
      </w:tr>
      <w:tr w14:paraId="1EB79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1F0321DA">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3</w:t>
            </w:r>
          </w:p>
        </w:tc>
        <w:tc>
          <w:tcPr>
            <w:tcW w:w="1831" w:type="dxa"/>
            <w:vMerge w:val="continue"/>
            <w:noWrap w:val="0"/>
            <w:vAlign w:val="center"/>
          </w:tcPr>
          <w:p w14:paraId="03730BCC">
            <w:pPr>
              <w:widowControl/>
              <w:adjustRightInd w:val="0"/>
              <w:snapToGrid w:val="0"/>
              <w:spacing w:line="400" w:lineRule="exact"/>
              <w:jc w:val="center"/>
              <w:rPr>
                <w:rFonts w:hint="eastAsia" w:ascii="宋体" w:hAnsi="宋体" w:eastAsia="宋体"/>
                <w:b w:val="0"/>
                <w:bCs w:val="0"/>
                <w:sz w:val="21"/>
                <w:szCs w:val="21"/>
              </w:rPr>
            </w:pPr>
          </w:p>
        </w:tc>
        <w:tc>
          <w:tcPr>
            <w:tcW w:w="2091" w:type="dxa"/>
            <w:noWrap w:val="0"/>
            <w:vAlign w:val="center"/>
          </w:tcPr>
          <w:p w14:paraId="34DC1C25">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相片质量检测服务</w:t>
            </w:r>
          </w:p>
        </w:tc>
        <w:tc>
          <w:tcPr>
            <w:tcW w:w="3143" w:type="dxa"/>
            <w:noWrap w:val="0"/>
            <w:vAlign w:val="center"/>
          </w:tcPr>
          <w:p w14:paraId="69D7D987">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对制证相片质量进行质量检查</w:t>
            </w:r>
          </w:p>
        </w:tc>
      </w:tr>
      <w:tr w14:paraId="295F2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32390340">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4</w:t>
            </w:r>
          </w:p>
        </w:tc>
        <w:tc>
          <w:tcPr>
            <w:tcW w:w="1831" w:type="dxa"/>
            <w:vMerge w:val="continue"/>
            <w:noWrap w:val="0"/>
            <w:vAlign w:val="center"/>
          </w:tcPr>
          <w:p w14:paraId="313DC8A0">
            <w:pPr>
              <w:widowControl/>
              <w:adjustRightInd w:val="0"/>
              <w:snapToGrid w:val="0"/>
              <w:spacing w:line="400" w:lineRule="exact"/>
              <w:jc w:val="center"/>
              <w:rPr>
                <w:rFonts w:hint="eastAsia" w:ascii="宋体" w:hAnsi="宋体" w:eastAsia="宋体"/>
                <w:b w:val="0"/>
                <w:bCs w:val="0"/>
                <w:sz w:val="21"/>
                <w:szCs w:val="21"/>
              </w:rPr>
            </w:pPr>
          </w:p>
        </w:tc>
        <w:tc>
          <w:tcPr>
            <w:tcW w:w="2091" w:type="dxa"/>
            <w:noWrap w:val="0"/>
            <w:vAlign w:val="center"/>
          </w:tcPr>
          <w:p w14:paraId="13EC6722">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生成压缩相片</w:t>
            </w:r>
          </w:p>
        </w:tc>
        <w:tc>
          <w:tcPr>
            <w:tcW w:w="3143" w:type="dxa"/>
            <w:noWrap w:val="0"/>
            <w:vAlign w:val="center"/>
          </w:tcPr>
          <w:p w14:paraId="2900790B">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使用二代证专用相片压缩算法对制证相片进行压缩，形成标准的能够存入芯片的压缩相片</w:t>
            </w:r>
          </w:p>
        </w:tc>
      </w:tr>
      <w:tr w14:paraId="36E90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0317D0B3">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5</w:t>
            </w:r>
          </w:p>
        </w:tc>
        <w:tc>
          <w:tcPr>
            <w:tcW w:w="1831" w:type="dxa"/>
            <w:vMerge w:val="continue"/>
            <w:noWrap w:val="0"/>
            <w:vAlign w:val="center"/>
          </w:tcPr>
          <w:p w14:paraId="33D058BD">
            <w:pPr>
              <w:widowControl/>
              <w:adjustRightInd w:val="0"/>
              <w:snapToGrid w:val="0"/>
              <w:spacing w:line="400" w:lineRule="exact"/>
              <w:jc w:val="center"/>
              <w:rPr>
                <w:rFonts w:hint="eastAsia" w:ascii="宋体" w:hAnsi="宋体" w:eastAsia="宋体"/>
                <w:b w:val="0"/>
                <w:bCs w:val="0"/>
                <w:sz w:val="21"/>
                <w:szCs w:val="21"/>
              </w:rPr>
            </w:pPr>
          </w:p>
        </w:tc>
        <w:tc>
          <w:tcPr>
            <w:tcW w:w="2091" w:type="dxa"/>
            <w:noWrap w:val="0"/>
            <w:vAlign w:val="center"/>
          </w:tcPr>
          <w:p w14:paraId="436CF5C5">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人脸比对服务</w:t>
            </w:r>
          </w:p>
        </w:tc>
        <w:tc>
          <w:tcPr>
            <w:tcW w:w="3143" w:type="dxa"/>
            <w:noWrap w:val="0"/>
            <w:vAlign w:val="center"/>
          </w:tcPr>
          <w:p w14:paraId="7F7878A0">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比对历史制证数据，检查是否为换头证等</w:t>
            </w:r>
          </w:p>
        </w:tc>
      </w:tr>
      <w:tr w14:paraId="066F5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36647287">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6</w:t>
            </w:r>
          </w:p>
        </w:tc>
        <w:tc>
          <w:tcPr>
            <w:tcW w:w="1831" w:type="dxa"/>
            <w:vMerge w:val="continue"/>
            <w:noWrap w:val="0"/>
            <w:vAlign w:val="center"/>
          </w:tcPr>
          <w:p w14:paraId="0C05DFB2">
            <w:pPr>
              <w:widowControl/>
              <w:adjustRightInd w:val="0"/>
              <w:snapToGrid w:val="0"/>
              <w:spacing w:line="400" w:lineRule="exact"/>
              <w:jc w:val="center"/>
              <w:rPr>
                <w:rFonts w:hint="eastAsia" w:ascii="宋体" w:hAnsi="宋体" w:eastAsia="宋体"/>
                <w:b w:val="0"/>
                <w:bCs w:val="0"/>
                <w:sz w:val="21"/>
                <w:szCs w:val="21"/>
              </w:rPr>
            </w:pPr>
          </w:p>
        </w:tc>
        <w:tc>
          <w:tcPr>
            <w:tcW w:w="2091" w:type="dxa"/>
            <w:noWrap w:val="0"/>
            <w:vAlign w:val="center"/>
          </w:tcPr>
          <w:p w14:paraId="4D7D7EC7">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字典数据维护服务</w:t>
            </w:r>
          </w:p>
        </w:tc>
        <w:tc>
          <w:tcPr>
            <w:tcW w:w="3143" w:type="dxa"/>
            <w:noWrap w:val="0"/>
            <w:vAlign w:val="center"/>
          </w:tcPr>
          <w:p w14:paraId="7034B2CE">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维护各省字典表数据</w:t>
            </w:r>
          </w:p>
        </w:tc>
      </w:tr>
      <w:tr w14:paraId="6B593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12E3A4D6">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7</w:t>
            </w:r>
          </w:p>
        </w:tc>
        <w:tc>
          <w:tcPr>
            <w:tcW w:w="1831" w:type="dxa"/>
            <w:vMerge w:val="continue"/>
            <w:noWrap w:val="0"/>
            <w:vAlign w:val="center"/>
          </w:tcPr>
          <w:p w14:paraId="67B42DDE">
            <w:pPr>
              <w:widowControl/>
              <w:adjustRightInd w:val="0"/>
              <w:snapToGrid w:val="0"/>
              <w:spacing w:line="400" w:lineRule="exact"/>
              <w:jc w:val="center"/>
              <w:rPr>
                <w:rFonts w:hint="eastAsia" w:ascii="宋体" w:hAnsi="宋体" w:eastAsia="宋体"/>
                <w:b w:val="0"/>
                <w:bCs w:val="0"/>
                <w:sz w:val="21"/>
                <w:szCs w:val="21"/>
              </w:rPr>
            </w:pPr>
          </w:p>
        </w:tc>
        <w:tc>
          <w:tcPr>
            <w:tcW w:w="2091" w:type="dxa"/>
            <w:noWrap w:val="0"/>
            <w:vAlign w:val="center"/>
          </w:tcPr>
          <w:p w14:paraId="5F7D8F8B">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数据统计分析</w:t>
            </w:r>
          </w:p>
        </w:tc>
        <w:tc>
          <w:tcPr>
            <w:tcW w:w="3143" w:type="dxa"/>
            <w:noWrap w:val="0"/>
            <w:vAlign w:val="center"/>
          </w:tcPr>
          <w:p w14:paraId="783B5412">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按照需要统计分析所需内容，并图形展示</w:t>
            </w:r>
          </w:p>
        </w:tc>
      </w:tr>
      <w:tr w14:paraId="391FD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0D80FD9D">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8</w:t>
            </w:r>
          </w:p>
        </w:tc>
        <w:tc>
          <w:tcPr>
            <w:tcW w:w="1831" w:type="dxa"/>
            <w:vMerge w:val="continue"/>
            <w:noWrap w:val="0"/>
            <w:vAlign w:val="center"/>
          </w:tcPr>
          <w:p w14:paraId="28F0CAF2">
            <w:pPr>
              <w:widowControl/>
              <w:adjustRightInd w:val="0"/>
              <w:snapToGrid w:val="0"/>
              <w:spacing w:line="400" w:lineRule="exact"/>
              <w:jc w:val="center"/>
              <w:rPr>
                <w:rFonts w:hint="eastAsia" w:ascii="宋体" w:hAnsi="宋体" w:eastAsia="宋体"/>
                <w:b w:val="0"/>
                <w:bCs w:val="0"/>
                <w:sz w:val="21"/>
                <w:szCs w:val="21"/>
              </w:rPr>
            </w:pPr>
          </w:p>
        </w:tc>
        <w:tc>
          <w:tcPr>
            <w:tcW w:w="2091" w:type="dxa"/>
            <w:noWrap w:val="0"/>
            <w:vAlign w:val="center"/>
          </w:tcPr>
          <w:p w14:paraId="0A868958">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安全服务</w:t>
            </w:r>
          </w:p>
        </w:tc>
        <w:tc>
          <w:tcPr>
            <w:tcW w:w="3143" w:type="dxa"/>
            <w:noWrap w:val="0"/>
            <w:vAlign w:val="center"/>
          </w:tcPr>
          <w:p w14:paraId="27681123">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系统运行过程中的各种安全策略，包括接入安全、传输安全、数据安全等</w:t>
            </w:r>
          </w:p>
        </w:tc>
      </w:tr>
      <w:tr w14:paraId="06712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5390C406">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9</w:t>
            </w:r>
          </w:p>
        </w:tc>
        <w:tc>
          <w:tcPr>
            <w:tcW w:w="1831" w:type="dxa"/>
            <w:vMerge w:val="continue"/>
            <w:noWrap w:val="0"/>
            <w:vAlign w:val="center"/>
          </w:tcPr>
          <w:p w14:paraId="6B362449">
            <w:pPr>
              <w:widowControl/>
              <w:adjustRightInd w:val="0"/>
              <w:snapToGrid w:val="0"/>
              <w:spacing w:line="400" w:lineRule="exact"/>
              <w:rPr>
                <w:rFonts w:hint="eastAsia" w:ascii="宋体" w:hAnsi="宋体" w:eastAsia="宋体"/>
                <w:b w:val="0"/>
                <w:bCs w:val="0"/>
                <w:sz w:val="21"/>
                <w:szCs w:val="21"/>
              </w:rPr>
            </w:pPr>
          </w:p>
        </w:tc>
        <w:tc>
          <w:tcPr>
            <w:tcW w:w="2091" w:type="dxa"/>
            <w:noWrap w:val="0"/>
            <w:vAlign w:val="center"/>
          </w:tcPr>
          <w:p w14:paraId="20AD71DB">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服务调用前端系统/接口</w:t>
            </w:r>
          </w:p>
        </w:tc>
        <w:tc>
          <w:tcPr>
            <w:tcW w:w="3143" w:type="dxa"/>
            <w:noWrap w:val="0"/>
            <w:vAlign w:val="center"/>
          </w:tcPr>
          <w:p w14:paraId="2AE58587">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信息服务系统的前端系统，部署在制证中心端，可以完成信息服务系统各种服务的调用</w:t>
            </w:r>
          </w:p>
        </w:tc>
      </w:tr>
      <w:tr w14:paraId="68A39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35A829EC">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10</w:t>
            </w:r>
          </w:p>
        </w:tc>
        <w:tc>
          <w:tcPr>
            <w:tcW w:w="1831" w:type="dxa"/>
            <w:vMerge w:val="restart"/>
            <w:noWrap w:val="0"/>
            <w:vAlign w:val="center"/>
          </w:tcPr>
          <w:p w14:paraId="6750ACEF">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生产服务系统</w:t>
            </w:r>
          </w:p>
        </w:tc>
        <w:tc>
          <w:tcPr>
            <w:tcW w:w="2091" w:type="dxa"/>
            <w:noWrap w:val="0"/>
            <w:vAlign w:val="center"/>
          </w:tcPr>
          <w:p w14:paraId="24DF1203">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制证数据解析入库</w:t>
            </w:r>
          </w:p>
        </w:tc>
        <w:tc>
          <w:tcPr>
            <w:tcW w:w="3143" w:type="dxa"/>
            <w:noWrap w:val="0"/>
            <w:vAlign w:val="center"/>
          </w:tcPr>
          <w:p w14:paraId="4A65C592">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接收解析收到的制证数据包/生产数据包，对 数据包格式和数据项内容（包括文字、指纹、相片）进行检查， 并对视读相片进行压缩，存入制证数据库中</w:t>
            </w:r>
          </w:p>
        </w:tc>
      </w:tr>
      <w:tr w14:paraId="0AE9B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2A24146F">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11</w:t>
            </w:r>
          </w:p>
        </w:tc>
        <w:tc>
          <w:tcPr>
            <w:tcW w:w="1831" w:type="dxa"/>
            <w:vMerge w:val="continue"/>
            <w:noWrap w:val="0"/>
            <w:vAlign w:val="center"/>
          </w:tcPr>
          <w:p w14:paraId="3C81FC7A">
            <w:pPr>
              <w:widowControl/>
              <w:adjustRightInd w:val="0"/>
              <w:snapToGrid w:val="0"/>
              <w:spacing w:line="400" w:lineRule="exact"/>
              <w:jc w:val="center"/>
              <w:rPr>
                <w:rFonts w:hint="eastAsia" w:ascii="宋体" w:hAnsi="宋体" w:eastAsia="宋体"/>
                <w:b w:val="0"/>
                <w:bCs w:val="0"/>
                <w:sz w:val="21"/>
                <w:szCs w:val="21"/>
              </w:rPr>
            </w:pPr>
          </w:p>
        </w:tc>
        <w:tc>
          <w:tcPr>
            <w:tcW w:w="2091" w:type="dxa"/>
            <w:noWrap w:val="0"/>
            <w:vAlign w:val="center"/>
          </w:tcPr>
          <w:p w14:paraId="3281C3EB">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快速质量信息回馈</w:t>
            </w:r>
          </w:p>
        </w:tc>
        <w:tc>
          <w:tcPr>
            <w:tcW w:w="3143" w:type="dxa"/>
            <w:noWrap w:val="0"/>
            <w:vAlign w:val="center"/>
          </w:tcPr>
          <w:p w14:paraId="6433990D">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若数据质量检查过程中发现质量问题，可实 现立即回馈</w:t>
            </w:r>
          </w:p>
        </w:tc>
      </w:tr>
      <w:tr w14:paraId="2FE98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7908F393">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12</w:t>
            </w:r>
          </w:p>
        </w:tc>
        <w:tc>
          <w:tcPr>
            <w:tcW w:w="1831" w:type="dxa"/>
            <w:vMerge w:val="continue"/>
            <w:noWrap w:val="0"/>
            <w:vAlign w:val="center"/>
          </w:tcPr>
          <w:p w14:paraId="1F9ADADA">
            <w:pPr>
              <w:widowControl/>
              <w:adjustRightInd w:val="0"/>
              <w:snapToGrid w:val="0"/>
              <w:spacing w:line="400" w:lineRule="exact"/>
              <w:jc w:val="center"/>
              <w:rPr>
                <w:rFonts w:hint="eastAsia" w:ascii="宋体" w:hAnsi="宋体" w:eastAsia="宋体"/>
                <w:b w:val="0"/>
                <w:bCs w:val="0"/>
                <w:sz w:val="21"/>
                <w:szCs w:val="21"/>
              </w:rPr>
            </w:pPr>
          </w:p>
        </w:tc>
        <w:tc>
          <w:tcPr>
            <w:tcW w:w="2091" w:type="dxa"/>
            <w:noWrap w:val="0"/>
            <w:vAlign w:val="center"/>
          </w:tcPr>
          <w:p w14:paraId="2750026A">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制证流程定制</w:t>
            </w:r>
          </w:p>
        </w:tc>
        <w:tc>
          <w:tcPr>
            <w:tcW w:w="3143" w:type="dxa"/>
            <w:noWrap w:val="0"/>
            <w:vAlign w:val="center"/>
          </w:tcPr>
          <w:p w14:paraId="7683C642">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可根据制证中心（所）实际使用情况，跳过部分制证环节，比如数据核验、综合处理、证件入库等环节，或者定制部分自动化工位，比如数据转出、数据迁移工位</w:t>
            </w:r>
          </w:p>
        </w:tc>
      </w:tr>
      <w:tr w14:paraId="4C011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5DFB665A">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13</w:t>
            </w:r>
          </w:p>
        </w:tc>
        <w:tc>
          <w:tcPr>
            <w:tcW w:w="1831" w:type="dxa"/>
            <w:vMerge w:val="continue"/>
            <w:noWrap w:val="0"/>
            <w:vAlign w:val="center"/>
          </w:tcPr>
          <w:p w14:paraId="1703D4E9">
            <w:pPr>
              <w:widowControl/>
              <w:adjustRightInd w:val="0"/>
              <w:snapToGrid w:val="0"/>
              <w:spacing w:line="400" w:lineRule="exact"/>
              <w:jc w:val="center"/>
              <w:rPr>
                <w:rFonts w:hint="eastAsia" w:ascii="宋体" w:hAnsi="宋体" w:eastAsia="宋体"/>
                <w:b w:val="0"/>
                <w:bCs w:val="0"/>
                <w:sz w:val="21"/>
                <w:szCs w:val="21"/>
              </w:rPr>
            </w:pPr>
          </w:p>
        </w:tc>
        <w:tc>
          <w:tcPr>
            <w:tcW w:w="2091" w:type="dxa"/>
            <w:noWrap w:val="0"/>
            <w:vAlign w:val="center"/>
          </w:tcPr>
          <w:p w14:paraId="311D3989">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特殊流程处理</w:t>
            </w:r>
          </w:p>
        </w:tc>
        <w:tc>
          <w:tcPr>
            <w:tcW w:w="3143" w:type="dxa"/>
            <w:noWrap w:val="0"/>
            <w:vAlign w:val="center"/>
          </w:tcPr>
          <w:p w14:paraId="1095B2F4">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通过特出流程处理异常制证情况，比如信息回迁、 重新电写入、不合格数据设置、补证设置等</w:t>
            </w:r>
          </w:p>
        </w:tc>
      </w:tr>
      <w:tr w14:paraId="1D179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2AD881D5">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14</w:t>
            </w:r>
          </w:p>
        </w:tc>
        <w:tc>
          <w:tcPr>
            <w:tcW w:w="1831" w:type="dxa"/>
            <w:vMerge w:val="continue"/>
            <w:noWrap w:val="0"/>
            <w:vAlign w:val="center"/>
          </w:tcPr>
          <w:p w14:paraId="509D7183">
            <w:pPr>
              <w:widowControl/>
              <w:adjustRightInd w:val="0"/>
              <w:snapToGrid w:val="0"/>
              <w:spacing w:line="400" w:lineRule="exact"/>
              <w:jc w:val="center"/>
              <w:rPr>
                <w:rFonts w:hint="eastAsia" w:ascii="宋体" w:hAnsi="宋体" w:eastAsia="宋体"/>
                <w:b w:val="0"/>
                <w:bCs w:val="0"/>
                <w:sz w:val="21"/>
                <w:szCs w:val="21"/>
              </w:rPr>
            </w:pPr>
          </w:p>
        </w:tc>
        <w:tc>
          <w:tcPr>
            <w:tcW w:w="2091" w:type="dxa"/>
            <w:noWrap w:val="0"/>
            <w:vAlign w:val="center"/>
          </w:tcPr>
          <w:p w14:paraId="7E961D99">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工位管理</w:t>
            </w:r>
          </w:p>
        </w:tc>
        <w:tc>
          <w:tcPr>
            <w:tcW w:w="3143" w:type="dxa"/>
            <w:noWrap w:val="0"/>
            <w:vAlign w:val="center"/>
          </w:tcPr>
          <w:p w14:paraId="7BDCDF08">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管理预定位、平压冲切、膜打印等工位的操作人员、工作量等。后续可扩展管理证件分拣、证件质检等工位</w:t>
            </w:r>
          </w:p>
        </w:tc>
      </w:tr>
      <w:tr w14:paraId="30FB8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07BC5581">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15</w:t>
            </w:r>
          </w:p>
        </w:tc>
        <w:tc>
          <w:tcPr>
            <w:tcW w:w="1831" w:type="dxa"/>
            <w:vMerge w:val="continue"/>
            <w:noWrap w:val="0"/>
            <w:vAlign w:val="center"/>
          </w:tcPr>
          <w:p w14:paraId="359C9ACC">
            <w:pPr>
              <w:widowControl/>
              <w:adjustRightInd w:val="0"/>
              <w:snapToGrid w:val="0"/>
              <w:spacing w:line="400" w:lineRule="exact"/>
              <w:jc w:val="center"/>
              <w:rPr>
                <w:rFonts w:hint="eastAsia" w:ascii="宋体" w:hAnsi="宋体" w:eastAsia="宋体"/>
                <w:b w:val="0"/>
                <w:bCs w:val="0"/>
                <w:sz w:val="21"/>
                <w:szCs w:val="21"/>
              </w:rPr>
            </w:pPr>
          </w:p>
        </w:tc>
        <w:tc>
          <w:tcPr>
            <w:tcW w:w="2091" w:type="dxa"/>
            <w:noWrap w:val="0"/>
            <w:vAlign w:val="center"/>
          </w:tcPr>
          <w:p w14:paraId="46573ABD">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设备管理</w:t>
            </w:r>
          </w:p>
        </w:tc>
        <w:tc>
          <w:tcPr>
            <w:tcW w:w="3143" w:type="dxa"/>
            <w:noWrap w:val="0"/>
            <w:vAlign w:val="center"/>
          </w:tcPr>
          <w:p w14:paraId="753EDF00">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集成管理新升级的自动化制证设备</w:t>
            </w:r>
          </w:p>
        </w:tc>
      </w:tr>
      <w:tr w14:paraId="4D8F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1F287706">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16</w:t>
            </w:r>
          </w:p>
        </w:tc>
        <w:tc>
          <w:tcPr>
            <w:tcW w:w="1831" w:type="dxa"/>
            <w:vMerge w:val="continue"/>
            <w:noWrap w:val="0"/>
            <w:vAlign w:val="center"/>
          </w:tcPr>
          <w:p w14:paraId="6CF2EBE4">
            <w:pPr>
              <w:widowControl/>
              <w:adjustRightInd w:val="0"/>
              <w:snapToGrid w:val="0"/>
              <w:spacing w:line="400" w:lineRule="exact"/>
              <w:jc w:val="center"/>
              <w:rPr>
                <w:rFonts w:hint="eastAsia" w:ascii="宋体" w:hAnsi="宋体" w:eastAsia="宋体"/>
                <w:b w:val="0"/>
                <w:bCs w:val="0"/>
                <w:sz w:val="21"/>
                <w:szCs w:val="21"/>
              </w:rPr>
            </w:pPr>
          </w:p>
        </w:tc>
        <w:tc>
          <w:tcPr>
            <w:tcW w:w="2091" w:type="dxa"/>
            <w:noWrap w:val="0"/>
            <w:vAlign w:val="center"/>
          </w:tcPr>
          <w:p w14:paraId="458821D5">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数据分析</w:t>
            </w:r>
          </w:p>
        </w:tc>
        <w:tc>
          <w:tcPr>
            <w:tcW w:w="3143" w:type="dxa"/>
            <w:noWrap w:val="0"/>
            <w:vAlign w:val="center"/>
          </w:tcPr>
          <w:p w14:paraId="7E3DD552">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包括证件制作轨迹跟踪、数据质量分析、数据变更管 理、证件超期告警、生产峰值预警、生产情况监控等功能</w:t>
            </w:r>
          </w:p>
        </w:tc>
      </w:tr>
      <w:tr w14:paraId="733A8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4D6F8194">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17</w:t>
            </w:r>
          </w:p>
        </w:tc>
        <w:tc>
          <w:tcPr>
            <w:tcW w:w="1831" w:type="dxa"/>
            <w:vMerge w:val="continue"/>
            <w:noWrap w:val="0"/>
            <w:vAlign w:val="center"/>
          </w:tcPr>
          <w:p w14:paraId="30A676BC">
            <w:pPr>
              <w:widowControl/>
              <w:adjustRightInd w:val="0"/>
              <w:snapToGrid w:val="0"/>
              <w:spacing w:line="400" w:lineRule="exact"/>
              <w:jc w:val="center"/>
              <w:rPr>
                <w:rFonts w:hint="eastAsia" w:ascii="宋体" w:hAnsi="宋体" w:eastAsia="宋体"/>
                <w:b w:val="0"/>
                <w:bCs w:val="0"/>
                <w:sz w:val="21"/>
                <w:szCs w:val="21"/>
              </w:rPr>
            </w:pPr>
          </w:p>
        </w:tc>
        <w:tc>
          <w:tcPr>
            <w:tcW w:w="2091" w:type="dxa"/>
            <w:noWrap w:val="0"/>
            <w:vAlign w:val="center"/>
          </w:tcPr>
          <w:p w14:paraId="655CB293">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查询统计</w:t>
            </w:r>
          </w:p>
        </w:tc>
        <w:tc>
          <w:tcPr>
            <w:tcW w:w="3143" w:type="dxa"/>
            <w:noWrap w:val="0"/>
            <w:vAlign w:val="center"/>
          </w:tcPr>
          <w:p w14:paraId="7BE0CF3D">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包括制证量查询、个人工作量查询、操作记录查询、 详细制证记录查询等功能</w:t>
            </w:r>
          </w:p>
        </w:tc>
      </w:tr>
      <w:tr w14:paraId="6854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09EECFEA">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18</w:t>
            </w:r>
          </w:p>
        </w:tc>
        <w:tc>
          <w:tcPr>
            <w:tcW w:w="1831" w:type="dxa"/>
            <w:vMerge w:val="continue"/>
            <w:noWrap w:val="0"/>
            <w:vAlign w:val="center"/>
          </w:tcPr>
          <w:p w14:paraId="422E2F6E">
            <w:pPr>
              <w:widowControl/>
              <w:adjustRightInd w:val="0"/>
              <w:snapToGrid w:val="0"/>
              <w:spacing w:line="400" w:lineRule="exact"/>
              <w:jc w:val="center"/>
              <w:rPr>
                <w:rFonts w:hint="eastAsia" w:ascii="宋体" w:hAnsi="宋体" w:eastAsia="宋体"/>
                <w:b w:val="0"/>
                <w:bCs w:val="0"/>
                <w:sz w:val="21"/>
                <w:szCs w:val="21"/>
              </w:rPr>
            </w:pPr>
          </w:p>
        </w:tc>
        <w:tc>
          <w:tcPr>
            <w:tcW w:w="2091" w:type="dxa"/>
            <w:noWrap w:val="0"/>
            <w:vAlign w:val="center"/>
          </w:tcPr>
          <w:p w14:paraId="55FE4BD8">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大屏展示</w:t>
            </w:r>
          </w:p>
        </w:tc>
        <w:tc>
          <w:tcPr>
            <w:tcW w:w="3143" w:type="dxa"/>
            <w:noWrap w:val="0"/>
            <w:vAlign w:val="center"/>
          </w:tcPr>
          <w:p w14:paraId="5FA0DA1C">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集中展示管理者关注的生产状态及关键指标，包括生 产峰值预警、超期证件报警、各类制证量统计、设备状态监控、 生产监控等</w:t>
            </w:r>
          </w:p>
        </w:tc>
      </w:tr>
      <w:tr w14:paraId="28FE9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6B445515">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19</w:t>
            </w:r>
          </w:p>
        </w:tc>
        <w:tc>
          <w:tcPr>
            <w:tcW w:w="1831" w:type="dxa"/>
            <w:vMerge w:val="continue"/>
            <w:noWrap w:val="0"/>
            <w:vAlign w:val="center"/>
          </w:tcPr>
          <w:p w14:paraId="0F06821D">
            <w:pPr>
              <w:widowControl/>
              <w:adjustRightInd w:val="0"/>
              <w:snapToGrid w:val="0"/>
              <w:spacing w:line="400" w:lineRule="exact"/>
              <w:jc w:val="center"/>
              <w:rPr>
                <w:rFonts w:hint="eastAsia" w:ascii="宋体" w:hAnsi="宋体" w:eastAsia="宋体"/>
                <w:b w:val="0"/>
                <w:bCs w:val="0"/>
                <w:sz w:val="21"/>
                <w:szCs w:val="21"/>
              </w:rPr>
            </w:pPr>
          </w:p>
        </w:tc>
        <w:tc>
          <w:tcPr>
            <w:tcW w:w="2091" w:type="dxa"/>
            <w:noWrap w:val="0"/>
            <w:vAlign w:val="center"/>
          </w:tcPr>
          <w:p w14:paraId="40865D61">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原材料管理</w:t>
            </w:r>
          </w:p>
        </w:tc>
        <w:tc>
          <w:tcPr>
            <w:tcW w:w="3143" w:type="dxa"/>
            <w:noWrap w:val="0"/>
            <w:vAlign w:val="center"/>
          </w:tcPr>
          <w:p w14:paraId="175B7368">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对制证中心（所）原材料的出入库、库存、生产线 上正在使用的原材料进行管理</w:t>
            </w:r>
          </w:p>
        </w:tc>
      </w:tr>
      <w:tr w14:paraId="72590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24954972">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20</w:t>
            </w:r>
          </w:p>
        </w:tc>
        <w:tc>
          <w:tcPr>
            <w:tcW w:w="1831" w:type="dxa"/>
            <w:vMerge w:val="restart"/>
            <w:noWrap w:val="0"/>
            <w:vAlign w:val="center"/>
          </w:tcPr>
          <w:p w14:paraId="702DCA2F">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备份服务系统</w:t>
            </w:r>
          </w:p>
        </w:tc>
        <w:tc>
          <w:tcPr>
            <w:tcW w:w="2091" w:type="dxa"/>
            <w:noWrap w:val="0"/>
            <w:vAlign w:val="center"/>
          </w:tcPr>
          <w:p w14:paraId="59F69AAA">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数据备份与恢复</w:t>
            </w:r>
          </w:p>
        </w:tc>
        <w:tc>
          <w:tcPr>
            <w:tcW w:w="3143" w:type="dxa"/>
            <w:noWrap w:val="0"/>
            <w:vAlign w:val="center"/>
          </w:tcPr>
          <w:p w14:paraId="383E90A0">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对制证中心（所）历史库制证数据进行备份； 可依据制证中心（所）的业务需求，提供所需要的数据恢复服务，帮助制证中心（所）进行历史库数据库的恢复</w:t>
            </w:r>
          </w:p>
        </w:tc>
      </w:tr>
      <w:tr w14:paraId="35167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40231F0B">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21</w:t>
            </w:r>
          </w:p>
        </w:tc>
        <w:tc>
          <w:tcPr>
            <w:tcW w:w="1831" w:type="dxa"/>
            <w:vMerge w:val="continue"/>
            <w:noWrap w:val="0"/>
            <w:vAlign w:val="center"/>
          </w:tcPr>
          <w:p w14:paraId="65C724FD">
            <w:pPr>
              <w:widowControl/>
              <w:adjustRightInd w:val="0"/>
              <w:snapToGrid w:val="0"/>
              <w:spacing w:line="400" w:lineRule="exact"/>
              <w:jc w:val="center"/>
              <w:rPr>
                <w:rFonts w:hint="eastAsia" w:ascii="宋体" w:hAnsi="宋体" w:eastAsia="宋体"/>
                <w:b w:val="0"/>
                <w:bCs w:val="0"/>
                <w:sz w:val="21"/>
                <w:szCs w:val="21"/>
              </w:rPr>
            </w:pPr>
          </w:p>
        </w:tc>
        <w:tc>
          <w:tcPr>
            <w:tcW w:w="2091" w:type="dxa"/>
            <w:noWrap w:val="0"/>
            <w:vAlign w:val="center"/>
          </w:tcPr>
          <w:p w14:paraId="09864ECC">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数据传输</w:t>
            </w:r>
          </w:p>
        </w:tc>
        <w:tc>
          <w:tcPr>
            <w:tcW w:w="3143" w:type="dxa"/>
            <w:noWrap w:val="0"/>
            <w:vAlign w:val="center"/>
          </w:tcPr>
          <w:p w14:paraId="0B27178A">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制证中心（所）通过安全可靠的通道，将历史库增量 数据备份到一所的备份服务系统中</w:t>
            </w:r>
          </w:p>
        </w:tc>
      </w:tr>
      <w:tr w14:paraId="0A3CE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0D097692">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22</w:t>
            </w:r>
          </w:p>
        </w:tc>
        <w:tc>
          <w:tcPr>
            <w:tcW w:w="1831" w:type="dxa"/>
            <w:vMerge w:val="continue"/>
            <w:noWrap w:val="0"/>
            <w:vAlign w:val="center"/>
          </w:tcPr>
          <w:p w14:paraId="78189ABA">
            <w:pPr>
              <w:widowControl/>
              <w:adjustRightInd w:val="0"/>
              <w:snapToGrid w:val="0"/>
              <w:spacing w:line="400" w:lineRule="exact"/>
              <w:rPr>
                <w:rFonts w:hint="eastAsia" w:ascii="宋体" w:hAnsi="宋体" w:eastAsia="宋体"/>
                <w:b w:val="0"/>
                <w:bCs w:val="0"/>
                <w:sz w:val="21"/>
                <w:szCs w:val="21"/>
              </w:rPr>
            </w:pPr>
          </w:p>
        </w:tc>
        <w:tc>
          <w:tcPr>
            <w:tcW w:w="2091" w:type="dxa"/>
            <w:noWrap w:val="0"/>
            <w:vAlign w:val="center"/>
          </w:tcPr>
          <w:p w14:paraId="03F5AF98">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数据安全服务</w:t>
            </w:r>
          </w:p>
        </w:tc>
        <w:tc>
          <w:tcPr>
            <w:tcW w:w="3143" w:type="dxa"/>
            <w:noWrap w:val="0"/>
            <w:vAlign w:val="center"/>
          </w:tcPr>
          <w:p w14:paraId="20E101E1">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提供完整的数据传输、数据存储等安全策略和设施</w:t>
            </w:r>
          </w:p>
        </w:tc>
      </w:tr>
      <w:tr w14:paraId="68056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0B119143">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23</w:t>
            </w:r>
          </w:p>
        </w:tc>
        <w:tc>
          <w:tcPr>
            <w:tcW w:w="1831" w:type="dxa"/>
            <w:vMerge w:val="continue"/>
            <w:noWrap w:val="0"/>
            <w:vAlign w:val="center"/>
          </w:tcPr>
          <w:p w14:paraId="4CA8400A">
            <w:pPr>
              <w:widowControl/>
              <w:adjustRightInd w:val="0"/>
              <w:snapToGrid w:val="0"/>
              <w:spacing w:line="400" w:lineRule="exact"/>
              <w:rPr>
                <w:rFonts w:hint="eastAsia" w:ascii="宋体" w:hAnsi="宋体" w:eastAsia="宋体"/>
                <w:b w:val="0"/>
                <w:bCs w:val="0"/>
                <w:sz w:val="21"/>
                <w:szCs w:val="21"/>
              </w:rPr>
            </w:pPr>
          </w:p>
        </w:tc>
        <w:tc>
          <w:tcPr>
            <w:tcW w:w="2091" w:type="dxa"/>
            <w:noWrap w:val="0"/>
            <w:vAlign w:val="center"/>
          </w:tcPr>
          <w:p w14:paraId="702D2EA9">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　备份任务管理</w:t>
            </w:r>
          </w:p>
        </w:tc>
        <w:tc>
          <w:tcPr>
            <w:tcW w:w="3143" w:type="dxa"/>
            <w:noWrap w:val="0"/>
            <w:vAlign w:val="center"/>
          </w:tcPr>
          <w:p w14:paraId="3E8B9E78">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管理已完成或正在进行中的备份任务</w:t>
            </w:r>
          </w:p>
        </w:tc>
      </w:tr>
      <w:tr w14:paraId="5CF3E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0810428C">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24</w:t>
            </w:r>
          </w:p>
        </w:tc>
        <w:tc>
          <w:tcPr>
            <w:tcW w:w="1831" w:type="dxa"/>
            <w:vMerge w:val="continue"/>
            <w:noWrap w:val="0"/>
            <w:vAlign w:val="center"/>
          </w:tcPr>
          <w:p w14:paraId="6F7E0EB6">
            <w:pPr>
              <w:widowControl/>
              <w:adjustRightInd w:val="0"/>
              <w:snapToGrid w:val="0"/>
              <w:spacing w:line="400" w:lineRule="exact"/>
              <w:rPr>
                <w:rFonts w:hint="eastAsia" w:ascii="宋体" w:hAnsi="宋体" w:eastAsia="宋体"/>
                <w:b w:val="0"/>
                <w:bCs w:val="0"/>
                <w:sz w:val="21"/>
                <w:szCs w:val="21"/>
              </w:rPr>
            </w:pPr>
          </w:p>
        </w:tc>
        <w:tc>
          <w:tcPr>
            <w:tcW w:w="2091" w:type="dxa"/>
            <w:noWrap w:val="0"/>
            <w:vAlign w:val="center"/>
          </w:tcPr>
          <w:p w14:paraId="1C87BA17">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　查询统计</w:t>
            </w:r>
          </w:p>
        </w:tc>
        <w:tc>
          <w:tcPr>
            <w:tcW w:w="3143" w:type="dxa"/>
            <w:noWrap w:val="0"/>
            <w:vAlign w:val="center"/>
          </w:tcPr>
          <w:p w14:paraId="3FD4BF0B">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按照需要进行查询统计，提供可视化图表展示</w:t>
            </w:r>
          </w:p>
        </w:tc>
      </w:tr>
      <w:tr w14:paraId="13238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07" w:type="dxa"/>
            <w:noWrap w:val="0"/>
            <w:vAlign w:val="center"/>
          </w:tcPr>
          <w:p w14:paraId="54F2199E">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25</w:t>
            </w:r>
          </w:p>
        </w:tc>
        <w:tc>
          <w:tcPr>
            <w:tcW w:w="1831" w:type="dxa"/>
            <w:vMerge w:val="continue"/>
            <w:noWrap w:val="0"/>
            <w:vAlign w:val="center"/>
          </w:tcPr>
          <w:p w14:paraId="2D717B48">
            <w:pPr>
              <w:widowControl/>
              <w:adjustRightInd w:val="0"/>
              <w:snapToGrid w:val="0"/>
              <w:spacing w:line="400" w:lineRule="exact"/>
              <w:rPr>
                <w:rFonts w:hint="eastAsia" w:ascii="宋体" w:hAnsi="宋体" w:eastAsia="宋体"/>
                <w:b w:val="0"/>
                <w:bCs w:val="0"/>
                <w:sz w:val="21"/>
                <w:szCs w:val="21"/>
              </w:rPr>
            </w:pPr>
          </w:p>
        </w:tc>
        <w:tc>
          <w:tcPr>
            <w:tcW w:w="2091" w:type="dxa"/>
            <w:noWrap w:val="0"/>
            <w:vAlign w:val="center"/>
          </w:tcPr>
          <w:p w14:paraId="3E0BE379">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用户定制的备份应用</w:t>
            </w:r>
          </w:p>
        </w:tc>
        <w:tc>
          <w:tcPr>
            <w:tcW w:w="3143" w:type="dxa"/>
            <w:noWrap w:val="0"/>
            <w:vAlign w:val="center"/>
          </w:tcPr>
          <w:p w14:paraId="16FE70D0">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可根据不同制证中心（所）的不同需求， 提供定制备份应用</w:t>
            </w:r>
          </w:p>
        </w:tc>
      </w:tr>
    </w:tbl>
    <w:p w14:paraId="0DF324C9">
      <w:pPr>
        <w:spacing w:line="360" w:lineRule="auto"/>
        <w:jc w:val="left"/>
        <w:rPr>
          <w:rFonts w:hint="eastAsia" w:ascii="宋体" w:hAnsi="宋体" w:eastAsia="宋体"/>
          <w:b w:val="0"/>
          <w:bCs w:val="0"/>
          <w:sz w:val="21"/>
          <w:szCs w:val="21"/>
        </w:rPr>
      </w:pPr>
    </w:p>
    <w:p w14:paraId="63344633">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1.3成品软件运行支撑环境要求</w:t>
      </w:r>
    </w:p>
    <w:p w14:paraId="0C5FA447">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包含提供专用签名验签服务（含相关软硬件设备）、算法保护服务（含相关软硬件设备）、数据库加密授权服务（含相关软硬件设备）。</w:t>
      </w:r>
    </w:p>
    <w:p w14:paraId="0D75AA46">
      <w:pPr>
        <w:pStyle w:val="10"/>
        <w:spacing w:line="360" w:lineRule="auto"/>
        <w:rPr>
          <w:rFonts w:ascii="宋体" w:hAnsi="宋体" w:cs="宋体"/>
          <w:sz w:val="21"/>
          <w:szCs w:val="21"/>
        </w:rPr>
      </w:pPr>
      <w:r>
        <w:rPr>
          <w:rFonts w:ascii="宋体" w:hAnsi="宋体" w:cs="宋体"/>
          <w:sz w:val="21"/>
          <w:szCs w:val="21"/>
        </w:rPr>
        <w:t>1.4非功能性要求</w:t>
      </w:r>
    </w:p>
    <w:p w14:paraId="7AC5E2CA">
      <w:pPr>
        <w:pStyle w:val="10"/>
        <w:spacing w:line="360" w:lineRule="auto"/>
        <w:rPr>
          <w:rFonts w:ascii="宋体" w:hAnsi="宋体" w:cs="宋体"/>
          <w:sz w:val="21"/>
          <w:szCs w:val="21"/>
        </w:rPr>
      </w:pPr>
      <w:r>
        <w:rPr>
          <w:rFonts w:ascii="宋体" w:hAnsi="宋体" w:cs="宋体"/>
          <w:sz w:val="21"/>
          <w:szCs w:val="21"/>
        </w:rPr>
        <w:t>（1）性能要求</w:t>
      </w:r>
    </w:p>
    <w:p w14:paraId="41EC9774">
      <w:pPr>
        <w:pStyle w:val="10"/>
        <w:spacing w:line="360" w:lineRule="auto"/>
        <w:rPr>
          <w:rFonts w:ascii="宋体" w:hAnsi="宋体" w:cs="宋体"/>
          <w:sz w:val="21"/>
          <w:szCs w:val="21"/>
        </w:rPr>
      </w:pPr>
      <w:r>
        <w:rPr>
          <w:rFonts w:ascii="宋体" w:hAnsi="宋体" w:cs="宋体"/>
          <w:sz w:val="21"/>
          <w:szCs w:val="21"/>
        </w:rPr>
        <w:t>质量指标：系统正常运行率（99.99%）；</w:t>
      </w:r>
    </w:p>
    <w:p w14:paraId="03438536">
      <w:pPr>
        <w:pStyle w:val="10"/>
        <w:spacing w:line="360" w:lineRule="auto"/>
        <w:rPr>
          <w:rFonts w:ascii="宋体" w:hAnsi="宋体" w:cs="宋体"/>
          <w:sz w:val="21"/>
          <w:szCs w:val="21"/>
        </w:rPr>
      </w:pPr>
      <w:r>
        <w:rPr>
          <w:rFonts w:ascii="宋体" w:hAnsi="宋体" w:cs="宋体"/>
          <w:sz w:val="21"/>
          <w:szCs w:val="21"/>
        </w:rPr>
        <w:t>时效指标：系统严重故障立即响应，一般故障120分钟以内响应；业务系统页面响应时间≤5秒，复杂业务≤10秒。</w:t>
      </w:r>
    </w:p>
    <w:p w14:paraId="1A1376FE">
      <w:pPr>
        <w:pStyle w:val="10"/>
        <w:spacing w:line="360" w:lineRule="auto"/>
        <w:rPr>
          <w:rFonts w:ascii="宋体" w:hAnsi="宋体" w:cs="宋体"/>
          <w:sz w:val="21"/>
          <w:szCs w:val="21"/>
        </w:rPr>
      </w:pPr>
      <w:r>
        <w:rPr>
          <w:rFonts w:ascii="宋体" w:hAnsi="宋体" w:cs="宋体"/>
          <w:sz w:val="21"/>
          <w:szCs w:val="21"/>
        </w:rPr>
        <w:t>（2）平台界面要求</w:t>
      </w:r>
    </w:p>
    <w:p w14:paraId="65672379">
      <w:pPr>
        <w:pStyle w:val="10"/>
        <w:spacing w:line="360" w:lineRule="auto"/>
        <w:ind w:firstLine="420" w:firstLineChars="200"/>
        <w:rPr>
          <w:rFonts w:ascii="宋体" w:hAnsi="宋体" w:cs="宋体"/>
          <w:sz w:val="21"/>
          <w:szCs w:val="21"/>
        </w:rPr>
      </w:pPr>
      <w:r>
        <w:rPr>
          <w:rFonts w:ascii="宋体" w:hAnsi="宋体" w:cs="宋体"/>
          <w:sz w:val="21"/>
          <w:szCs w:val="21"/>
        </w:rPr>
        <w:t>用户友好的界面：设计直观易用的界面，减少用户的培训成本。</w:t>
      </w:r>
    </w:p>
    <w:p w14:paraId="62E6EC44">
      <w:pPr>
        <w:pStyle w:val="10"/>
        <w:spacing w:line="360" w:lineRule="auto"/>
        <w:ind w:firstLine="420" w:firstLineChars="200"/>
        <w:rPr>
          <w:rFonts w:ascii="宋体" w:hAnsi="宋体" w:cs="宋体"/>
          <w:sz w:val="21"/>
          <w:szCs w:val="21"/>
        </w:rPr>
      </w:pPr>
      <w:r>
        <w:rPr>
          <w:rFonts w:ascii="宋体" w:hAnsi="宋体" w:cs="宋体"/>
          <w:sz w:val="21"/>
          <w:szCs w:val="21"/>
        </w:rPr>
        <w:t>适应性：系统应能够适应不同用户的工作习惯和偏好。</w:t>
      </w:r>
    </w:p>
    <w:p w14:paraId="32E4AD37">
      <w:pPr>
        <w:pStyle w:val="10"/>
        <w:spacing w:line="360" w:lineRule="auto"/>
        <w:rPr>
          <w:rFonts w:ascii="宋体" w:hAnsi="宋体" w:cs="宋体"/>
          <w:sz w:val="21"/>
          <w:szCs w:val="21"/>
        </w:rPr>
      </w:pPr>
      <w:r>
        <w:rPr>
          <w:rFonts w:ascii="宋体" w:hAnsi="宋体" w:cs="宋体"/>
          <w:sz w:val="21"/>
          <w:szCs w:val="21"/>
        </w:rPr>
        <w:t>（3）其他要求</w:t>
      </w:r>
    </w:p>
    <w:p w14:paraId="45A48E62">
      <w:pPr>
        <w:pStyle w:val="10"/>
        <w:spacing w:line="360" w:lineRule="auto"/>
        <w:ind w:firstLine="420" w:firstLineChars="200"/>
        <w:rPr>
          <w:rFonts w:ascii="宋体" w:hAnsi="宋体" w:cs="宋体"/>
          <w:sz w:val="21"/>
          <w:szCs w:val="21"/>
        </w:rPr>
      </w:pPr>
      <w:r>
        <w:rPr>
          <w:rFonts w:ascii="宋体" w:hAnsi="宋体" w:cs="宋体"/>
          <w:sz w:val="21"/>
          <w:szCs w:val="21"/>
        </w:rPr>
        <w:t>必须具有较好的可扩展性，适应业务的发展，通过良好的架构设计和系统配置管理，保证系统的适应性。</w:t>
      </w:r>
    </w:p>
    <w:p w14:paraId="1089FF9A">
      <w:pPr>
        <w:pStyle w:val="10"/>
        <w:spacing w:line="360" w:lineRule="auto"/>
        <w:ind w:firstLine="420" w:firstLineChars="200"/>
        <w:rPr>
          <w:rFonts w:ascii="宋体" w:hAnsi="宋体" w:cs="宋体"/>
          <w:sz w:val="21"/>
          <w:szCs w:val="21"/>
        </w:rPr>
      </w:pPr>
      <w:r>
        <w:rPr>
          <w:rFonts w:ascii="宋体" w:hAnsi="宋体" w:cs="宋体"/>
          <w:sz w:val="21"/>
          <w:szCs w:val="21"/>
        </w:rPr>
        <w:t>设计和开发过程中，在保证实用、可靠的前提下，需结合业界先进的设计思想和软件技术、数据库技术，构建平台。</w:t>
      </w:r>
    </w:p>
    <w:p w14:paraId="42BD7190">
      <w:pPr>
        <w:pStyle w:val="10"/>
        <w:spacing w:line="360" w:lineRule="auto"/>
        <w:ind w:firstLine="420" w:firstLineChars="200"/>
        <w:rPr>
          <w:rFonts w:ascii="宋体" w:hAnsi="宋体" w:cs="宋体"/>
          <w:sz w:val="21"/>
          <w:szCs w:val="21"/>
        </w:rPr>
      </w:pPr>
      <w:r>
        <w:rPr>
          <w:rFonts w:ascii="宋体" w:hAnsi="宋体" w:cs="宋体"/>
          <w:sz w:val="21"/>
          <w:szCs w:val="21"/>
        </w:rPr>
        <w:t>系统可运行在不同的软硬件平台上，易于以后系统升级和移植；系统开发需遵循主流的标准和协议，便于系统内部各功能模块对接，满足系统扩充性的要求。</w:t>
      </w:r>
    </w:p>
    <w:p w14:paraId="29C01C11">
      <w:pPr>
        <w:pStyle w:val="10"/>
        <w:spacing w:line="360" w:lineRule="auto"/>
        <w:rPr>
          <w:rFonts w:ascii="宋体" w:hAnsi="宋体" w:cs="宋体"/>
          <w:sz w:val="21"/>
          <w:szCs w:val="21"/>
        </w:rPr>
      </w:pPr>
      <w:bookmarkStart w:id="0" w:name="_Toc1374741809"/>
      <w:bookmarkStart w:id="1" w:name="_Toc1677645910"/>
      <w:bookmarkStart w:id="2" w:name="_Toc704153411"/>
      <w:bookmarkStart w:id="3" w:name="_Toc531840554"/>
      <w:r>
        <w:rPr>
          <w:rFonts w:ascii="宋体" w:hAnsi="宋体" w:cs="宋体"/>
          <w:sz w:val="21"/>
          <w:szCs w:val="21"/>
        </w:rPr>
        <w:t>1.5信息安全要求</w:t>
      </w:r>
      <w:bookmarkEnd w:id="0"/>
      <w:bookmarkEnd w:id="1"/>
      <w:bookmarkEnd w:id="2"/>
      <w:bookmarkEnd w:id="3"/>
    </w:p>
    <w:p w14:paraId="250E38AD">
      <w:pPr>
        <w:pStyle w:val="10"/>
        <w:spacing w:line="360" w:lineRule="auto"/>
        <w:ind w:firstLine="420" w:firstLineChars="200"/>
        <w:rPr>
          <w:rFonts w:ascii="宋体" w:hAnsi="宋体" w:cs="宋体"/>
          <w:sz w:val="21"/>
          <w:szCs w:val="21"/>
        </w:rPr>
      </w:pPr>
      <w:r>
        <w:rPr>
          <w:rFonts w:ascii="宋体" w:hAnsi="宋体" w:cs="宋体"/>
          <w:sz w:val="21"/>
          <w:szCs w:val="21"/>
        </w:rPr>
        <w:t>需符合GB/T 22239-2019《信息安全技术 网络安全等级保护基本要求》第三级要求，以及GB/T 39786-2021《信息安全技术 信息系统密码应用基本要求》第三级要求。</w:t>
      </w:r>
    </w:p>
    <w:p w14:paraId="6866DBF2">
      <w:pPr>
        <w:pStyle w:val="10"/>
        <w:spacing w:line="360" w:lineRule="auto"/>
        <w:ind w:firstLine="420" w:firstLineChars="200"/>
        <w:rPr>
          <w:rFonts w:ascii="宋体" w:hAnsi="宋体" w:cs="宋体"/>
          <w:sz w:val="21"/>
          <w:szCs w:val="21"/>
        </w:rPr>
      </w:pPr>
      <w:r>
        <w:rPr>
          <w:rFonts w:ascii="宋体" w:hAnsi="宋体" w:cs="宋体"/>
          <w:sz w:val="21"/>
          <w:szCs w:val="21"/>
        </w:rPr>
        <w:t>系统密码应用测评：中标人需根据测评结果，协助采购人完成租赁平台相关整改建议的落实，确保系统符合测评要求。测评服务及密码设备等测评所需资源由采购人提供。</w:t>
      </w:r>
    </w:p>
    <w:p w14:paraId="79F67500">
      <w:pPr>
        <w:spacing w:line="360" w:lineRule="auto"/>
        <w:jc w:val="left"/>
        <w:rPr>
          <w:rFonts w:hint="eastAsia" w:ascii="宋体" w:hAnsi="宋体" w:eastAsia="宋体"/>
          <w:b w:val="0"/>
          <w:bCs w:val="0"/>
          <w:sz w:val="21"/>
          <w:szCs w:val="21"/>
        </w:rPr>
      </w:pPr>
    </w:p>
    <w:p w14:paraId="2F80F100">
      <w:pPr>
        <w:numPr>
          <w:ilvl w:val="0"/>
          <w:numId w:val="0"/>
        </w:numPr>
        <w:spacing w:line="360" w:lineRule="auto"/>
        <w:jc w:val="left"/>
        <w:rPr>
          <w:rFonts w:hint="eastAsia" w:ascii="宋体" w:hAnsi="宋体" w:eastAsia="宋体"/>
          <w:sz w:val="21"/>
          <w:szCs w:val="21"/>
        </w:rPr>
      </w:pPr>
      <w:r>
        <w:rPr>
          <w:rFonts w:hint="eastAsia" w:ascii="宋体" w:hAnsi="宋体" w:eastAsia="宋体" w:cs="宋体"/>
          <w:b/>
          <w:bCs/>
          <w:kern w:val="2"/>
          <w:sz w:val="21"/>
          <w:szCs w:val="21"/>
          <w:lang w:val="en-US" w:eastAsia="zh-CN" w:bidi="ar-SA"/>
        </w:rPr>
        <w:t>2.</w:t>
      </w:r>
      <w:r>
        <w:rPr>
          <w:rFonts w:hint="eastAsia" w:ascii="宋体" w:hAnsi="宋体" w:eastAsia="宋体"/>
          <w:sz w:val="21"/>
          <w:szCs w:val="21"/>
        </w:rPr>
        <w:t>对“广州市第二代居民身份证制证辅助管理系统”进行</w:t>
      </w:r>
      <w:r>
        <w:rPr>
          <w:rFonts w:hint="eastAsia" w:ascii="宋体" w:hAnsi="宋体" w:eastAsia="宋体"/>
          <w:b/>
          <w:bCs/>
          <w:sz w:val="21"/>
          <w:szCs w:val="21"/>
          <w:lang w:eastAsia="zh-CN"/>
        </w:rPr>
        <w:t>本国化适配</w:t>
      </w:r>
      <w:r>
        <w:rPr>
          <w:rFonts w:hint="eastAsia" w:ascii="宋体" w:hAnsi="宋体" w:eastAsia="宋体"/>
          <w:sz w:val="21"/>
          <w:szCs w:val="21"/>
        </w:rPr>
        <w:t>升级改造。</w:t>
      </w:r>
    </w:p>
    <w:p w14:paraId="609DF1F8">
      <w:pPr>
        <w:numPr>
          <w:ilvl w:val="-1"/>
          <w:numId w:val="0"/>
        </w:numPr>
        <w:spacing w:line="360" w:lineRule="auto"/>
        <w:ind w:firstLine="420" w:firstLineChars="200"/>
        <w:jc w:val="left"/>
        <w:rPr>
          <w:rFonts w:hint="eastAsia" w:ascii="宋体" w:hAnsi="宋体" w:eastAsia="宋体"/>
          <w:b w:val="0"/>
          <w:bCs w:val="0"/>
          <w:sz w:val="21"/>
          <w:szCs w:val="21"/>
        </w:rPr>
      </w:pPr>
      <w:r>
        <w:rPr>
          <w:rFonts w:hint="eastAsia" w:ascii="宋体" w:hAnsi="宋体" w:eastAsia="宋体"/>
          <w:b w:val="0"/>
          <w:bCs w:val="0"/>
          <w:sz w:val="21"/>
          <w:szCs w:val="21"/>
        </w:rPr>
        <w:t>分项报价最高限额</w:t>
      </w:r>
      <w:r>
        <w:rPr>
          <w:rFonts w:hint="eastAsia" w:ascii="宋体" w:hAnsi="宋体" w:eastAsia="宋体"/>
          <w:b w:val="0"/>
          <w:color w:val="000000"/>
          <w:kern w:val="0"/>
          <w:sz w:val="21"/>
          <w:szCs w:val="21"/>
        </w:rPr>
        <w:t>25.0713</w:t>
      </w:r>
      <w:r>
        <w:rPr>
          <w:rFonts w:hint="eastAsia" w:ascii="宋体" w:hAnsi="宋体" w:eastAsia="宋体"/>
          <w:b w:val="0"/>
          <w:bCs w:val="0"/>
          <w:sz w:val="21"/>
          <w:szCs w:val="21"/>
        </w:rPr>
        <w:t>万元。</w:t>
      </w:r>
      <w:r>
        <w:rPr>
          <w:rFonts w:hint="eastAsia" w:ascii="宋体" w:hAnsi="宋体"/>
        </w:rPr>
        <w:br w:type="textWrapping"/>
      </w:r>
      <w:r>
        <w:rPr>
          <w:rFonts w:hint="eastAsia" w:ascii="宋体" w:hAnsi="宋体"/>
        </w:rPr>
        <w:t>　　</w:t>
      </w:r>
      <w:r>
        <w:rPr>
          <w:rFonts w:hint="eastAsia" w:ascii="宋体" w:hAnsi="宋体" w:eastAsia="宋体"/>
          <w:b w:val="0"/>
          <w:bCs w:val="0"/>
          <w:sz w:val="21"/>
          <w:szCs w:val="21"/>
        </w:rPr>
        <w:t>对原使用的非本国化开发使用的“广州市第二代居民身份证制证辅助管理系统”进行</w:t>
      </w:r>
      <w:r>
        <w:rPr>
          <w:rFonts w:hint="eastAsia" w:ascii="宋体" w:hAnsi="宋体" w:eastAsia="宋体" w:cs="宋体"/>
          <w:b w:val="0"/>
          <w:bCs w:val="0"/>
          <w:sz w:val="21"/>
          <w:szCs w:val="21"/>
          <w:lang w:eastAsia="zh-CN"/>
        </w:rPr>
        <w:t>本国化适配</w:t>
      </w:r>
      <w:r>
        <w:rPr>
          <w:rFonts w:hint="eastAsia" w:ascii="宋体" w:hAnsi="宋体" w:eastAsia="宋体"/>
          <w:b w:val="0"/>
          <w:bCs w:val="0"/>
          <w:sz w:val="21"/>
          <w:szCs w:val="21"/>
        </w:rPr>
        <w:t>升级改造，包括制证数据调度、制证流程工序管理、制证管理、证件成品管理、证件物料管理和制证情况查询统计等功能。</w:t>
      </w:r>
    </w:p>
    <w:p w14:paraId="1F2517D4">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2.1软件开发总体技术要求</w:t>
      </w:r>
    </w:p>
    <w:p w14:paraId="77F3CB01">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　　本项目需要适配（X86）架构芯片，基于本国化操作系统和本国化数据库开发。本项目的技术路线选型采用“技术先进、安全可靠、自主</w:t>
      </w:r>
      <w:r>
        <w:rPr>
          <w:rFonts w:hint="eastAsia" w:ascii="宋体" w:hAnsi="宋体"/>
          <w:sz w:val="21"/>
          <w:szCs w:val="21"/>
        </w:rPr>
        <w:t>掌</w:t>
      </w:r>
      <w:r>
        <w:rPr>
          <w:rFonts w:hint="eastAsia" w:ascii="宋体" w:hAnsi="宋体" w:eastAsia="宋体"/>
          <w:b w:val="0"/>
          <w:bCs w:val="0"/>
          <w:sz w:val="21"/>
          <w:szCs w:val="21"/>
        </w:rPr>
        <w:t>控”的原则，充分考虑通过安全可靠的基础开发环境，实现统一的项目、需求、代码、测试、运维监测管理，通过将本国化主流芯片架构、操作系统、数据库、中间件适配，待运行成功且无问题后，平滑迁移至本国化架构中，以保障软件系统在本国化环境中平稳运行。</w:t>
      </w:r>
    </w:p>
    <w:p w14:paraId="1CDCB80D">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　　制证辅助管理系统通过建立有效的制作流程和质量监控预警机制，杜绝漏制和错发身份证的现象，提高制证工作效率，提升制证中心制证业务能力。</w:t>
      </w:r>
    </w:p>
    <w:p w14:paraId="1C1001D5">
      <w:pPr>
        <w:spacing w:line="360" w:lineRule="auto"/>
        <w:ind w:firstLine="420"/>
        <w:jc w:val="left"/>
        <w:rPr>
          <w:rFonts w:hint="eastAsia" w:ascii="宋体" w:hAnsi="宋体" w:eastAsia="宋体"/>
          <w:b w:val="0"/>
          <w:bCs w:val="0"/>
          <w:sz w:val="21"/>
          <w:szCs w:val="21"/>
        </w:rPr>
      </w:pPr>
      <w:r>
        <w:rPr>
          <w:rFonts w:hint="eastAsia" w:ascii="宋体" w:hAnsi="宋体" w:eastAsia="宋体"/>
          <w:b w:val="0"/>
          <w:bCs w:val="0"/>
          <w:sz w:val="21"/>
          <w:szCs w:val="21"/>
        </w:rPr>
        <w:t>制证辅助管理系统须在居民身份证制证系统基础上，通过信息服务平台（租赁软件）的数据接口，结合广东省人口信息系统的数据规则及反馈机制，辅助居民身份证制证系统制作证件，提升制证能力。</w:t>
      </w:r>
    </w:p>
    <w:p w14:paraId="21F89E9A">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2.2本国化适配要求</w:t>
      </w:r>
    </w:p>
    <w:p w14:paraId="1D427737">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本项目中建设制证辅助管理系统开发采用本国化技术路线，所用的操作系统、数据库、中间件等技术路线及关键部署资源，均须支撑本国化适配要求。（提供承诺函，格式自拟。）</w:t>
      </w:r>
    </w:p>
    <w:p w14:paraId="404B46C6">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2.3功能模块要求</w:t>
      </w:r>
    </w:p>
    <w:tbl>
      <w:tblPr>
        <w:tblStyle w:val="6"/>
        <w:tblpPr w:leftFromText="180" w:rightFromText="180" w:vertAnchor="text" w:horzAnchor="page" w:tblpX="1448" w:tblpY="383"/>
        <w:tblOverlap w:val="never"/>
        <w:tblW w:w="8582" w:type="dxa"/>
        <w:tblInd w:w="0" w:type="dxa"/>
        <w:tblLayout w:type="fixed"/>
        <w:tblCellMar>
          <w:top w:w="0" w:type="dxa"/>
          <w:left w:w="108" w:type="dxa"/>
          <w:bottom w:w="0" w:type="dxa"/>
          <w:right w:w="108" w:type="dxa"/>
        </w:tblCellMar>
      </w:tblPr>
      <w:tblGrid>
        <w:gridCol w:w="1307"/>
        <w:gridCol w:w="1831"/>
        <w:gridCol w:w="1928"/>
        <w:gridCol w:w="3516"/>
      </w:tblGrid>
      <w:tr w14:paraId="7B5A2342">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1D7B1A46">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序号</w:t>
            </w:r>
          </w:p>
        </w:tc>
        <w:tc>
          <w:tcPr>
            <w:tcW w:w="1831" w:type="dxa"/>
            <w:tcBorders>
              <w:top w:val="single" w:color="000000" w:sz="4" w:space="0"/>
              <w:left w:val="single" w:color="000000" w:sz="4" w:space="0"/>
              <w:bottom w:val="single" w:color="000000" w:sz="4" w:space="0"/>
              <w:right w:val="single" w:color="000000" w:sz="4" w:space="0"/>
            </w:tcBorders>
            <w:noWrap w:val="0"/>
            <w:vAlign w:val="center"/>
          </w:tcPr>
          <w:p w14:paraId="5BB8A15B">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功能模块</w:t>
            </w: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23764F01">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功能点</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12BD9E15">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功能需求描述</w:t>
            </w:r>
          </w:p>
        </w:tc>
      </w:tr>
      <w:tr w14:paraId="688EEE8A">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1E1CFEA6">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w:t>
            </w:r>
          </w:p>
        </w:tc>
        <w:tc>
          <w:tcPr>
            <w:tcW w:w="1831" w:type="dxa"/>
            <w:vMerge w:val="restart"/>
            <w:tcBorders>
              <w:top w:val="single" w:color="000000" w:sz="4" w:space="0"/>
              <w:left w:val="single" w:color="000000" w:sz="4" w:space="0"/>
              <w:right w:val="single" w:color="000000" w:sz="4" w:space="0"/>
            </w:tcBorders>
            <w:noWrap w:val="0"/>
            <w:vAlign w:val="center"/>
          </w:tcPr>
          <w:p w14:paraId="576A86D4">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制证数据调度（将数据包制证模式从包合成批次，</w:t>
            </w:r>
            <w:bookmarkStart w:id="4" w:name="OLE_LINK4"/>
            <w:r>
              <w:rPr>
                <w:rFonts w:hint="eastAsia" w:ascii="宋体" w:hAnsi="宋体" w:eastAsia="宋体"/>
                <w:b w:val="0"/>
                <w:bCs w:val="0"/>
                <w:sz w:val="21"/>
                <w:szCs w:val="21"/>
              </w:rPr>
              <w:t>将1-80人的数据包通过数据计算，按照我省的区县分布合成批次，实现800人为一批，以批次做为车间生产单位，控制大批量制证的漏制</w:t>
            </w:r>
            <w:bookmarkEnd w:id="4"/>
            <w:r>
              <w:rPr>
                <w:rFonts w:hint="eastAsia" w:ascii="宋体" w:hAnsi="宋体" w:eastAsia="宋体"/>
                <w:b w:val="0"/>
                <w:bCs w:val="0"/>
                <w:sz w:val="21"/>
                <w:szCs w:val="21"/>
              </w:rPr>
              <w:t>。）</w:t>
            </w: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342B9B8C">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XML文件接收解析</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3D864203">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通过XML文件传送的制证数据，自动识别数据格式，读取数据转入生产调度。</w:t>
            </w:r>
          </w:p>
        </w:tc>
      </w:tr>
      <w:tr w14:paraId="6674BB54">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15A5F8D0">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w:t>
            </w:r>
          </w:p>
        </w:tc>
        <w:tc>
          <w:tcPr>
            <w:tcW w:w="1831" w:type="dxa"/>
            <w:vMerge w:val="continue"/>
            <w:tcBorders>
              <w:left w:val="single" w:color="000000" w:sz="4" w:space="0"/>
              <w:right w:val="single" w:color="000000" w:sz="4" w:space="0"/>
            </w:tcBorders>
            <w:noWrap w:val="0"/>
            <w:vAlign w:val="center"/>
          </w:tcPr>
          <w:p w14:paraId="537A0B32">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05BF411D">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省人口系统数据调度</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2B4A553F">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对接省人口系统，读取数据项，按照定义规则进行生产调度，组成规定的生产批次</w:t>
            </w:r>
          </w:p>
        </w:tc>
      </w:tr>
      <w:tr w14:paraId="709798DC">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38EE6707">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3</w:t>
            </w:r>
          </w:p>
        </w:tc>
        <w:tc>
          <w:tcPr>
            <w:tcW w:w="1831" w:type="dxa"/>
            <w:vMerge w:val="continue"/>
            <w:tcBorders>
              <w:left w:val="single" w:color="000000" w:sz="4" w:space="0"/>
              <w:right w:val="single" w:color="000000" w:sz="4" w:space="0"/>
            </w:tcBorders>
            <w:noWrap w:val="0"/>
            <w:vAlign w:val="center"/>
          </w:tcPr>
          <w:p w14:paraId="066F4265">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7813B06F">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全国跨省受理系统数据调度</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57548387">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对接省人口系统，识别特定格式，读取数据项，按照定义规则进行生产调度，组成规定的生产批次</w:t>
            </w:r>
          </w:p>
        </w:tc>
      </w:tr>
      <w:tr w14:paraId="0B3E4C12">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69979A11">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4</w:t>
            </w:r>
          </w:p>
        </w:tc>
        <w:tc>
          <w:tcPr>
            <w:tcW w:w="1831" w:type="dxa"/>
            <w:vMerge w:val="continue"/>
            <w:tcBorders>
              <w:left w:val="single" w:color="000000" w:sz="4" w:space="0"/>
              <w:right w:val="single" w:color="000000" w:sz="4" w:space="0"/>
            </w:tcBorders>
            <w:noWrap w:val="0"/>
            <w:vAlign w:val="center"/>
          </w:tcPr>
          <w:p w14:paraId="53682C27">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42BF188B">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现役军人身份证数据调度</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6A72BE85">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识别规定格式数据，读取数据项，按照定义规则进行生产调度，组成规定的生产批次</w:t>
            </w:r>
          </w:p>
        </w:tc>
      </w:tr>
      <w:tr w14:paraId="75F71703">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33B6331C">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5</w:t>
            </w:r>
          </w:p>
        </w:tc>
        <w:tc>
          <w:tcPr>
            <w:tcW w:w="1831" w:type="dxa"/>
            <w:vMerge w:val="continue"/>
            <w:tcBorders>
              <w:left w:val="single" w:color="000000" w:sz="4" w:space="0"/>
              <w:right w:val="single" w:color="000000" w:sz="4" w:space="0"/>
            </w:tcBorders>
            <w:noWrap w:val="0"/>
            <w:vAlign w:val="center"/>
          </w:tcPr>
          <w:p w14:paraId="2CBC7E5D">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1BB74478">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港澳居民居住证数据调度</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1EEEF995">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识别规定格式数据，读取数据项，按照定义规则进行生产调度，组成规定的生产批次</w:t>
            </w:r>
          </w:p>
        </w:tc>
      </w:tr>
      <w:tr w14:paraId="2ED72A55">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416EE5E6">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6</w:t>
            </w:r>
          </w:p>
        </w:tc>
        <w:tc>
          <w:tcPr>
            <w:tcW w:w="1831" w:type="dxa"/>
            <w:vMerge w:val="continue"/>
            <w:tcBorders>
              <w:left w:val="single" w:color="000000" w:sz="4" w:space="0"/>
              <w:right w:val="single" w:color="000000" w:sz="4" w:space="0"/>
            </w:tcBorders>
            <w:noWrap w:val="0"/>
            <w:vAlign w:val="center"/>
          </w:tcPr>
          <w:p w14:paraId="5218CB57">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7C907077">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台湾居民居住证数据调度</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751264EC">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识别规定格式数据，读取数据项，按照定义规则进行生产调度，组成规定的生产批次</w:t>
            </w:r>
          </w:p>
        </w:tc>
      </w:tr>
      <w:tr w14:paraId="7F08E632">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4726FD29">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7</w:t>
            </w:r>
          </w:p>
        </w:tc>
        <w:tc>
          <w:tcPr>
            <w:tcW w:w="1831" w:type="dxa"/>
            <w:vMerge w:val="continue"/>
            <w:tcBorders>
              <w:left w:val="single" w:color="000000" w:sz="4" w:space="0"/>
              <w:right w:val="single" w:color="000000" w:sz="4" w:space="0"/>
            </w:tcBorders>
            <w:noWrap w:val="0"/>
            <w:vAlign w:val="center"/>
          </w:tcPr>
          <w:p w14:paraId="698413E6">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5D8D9A7B">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自动调度</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56C00904">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按照定义规则，如数量、所属地市区县批量生成生产批次</w:t>
            </w:r>
          </w:p>
        </w:tc>
      </w:tr>
      <w:tr w14:paraId="3497184F">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653B46BD">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8</w:t>
            </w:r>
          </w:p>
        </w:tc>
        <w:tc>
          <w:tcPr>
            <w:tcW w:w="1831" w:type="dxa"/>
            <w:vMerge w:val="continue"/>
            <w:tcBorders>
              <w:left w:val="single" w:color="000000" w:sz="4" w:space="0"/>
              <w:bottom w:val="single" w:color="000000" w:sz="4" w:space="0"/>
              <w:right w:val="single" w:color="000000" w:sz="4" w:space="0"/>
            </w:tcBorders>
            <w:noWrap w:val="0"/>
            <w:vAlign w:val="center"/>
          </w:tcPr>
          <w:p w14:paraId="12151448">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7F669627">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手工调度</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5685EDFE">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通过所属地市、区县、数据包号、或者身份证号，人工组成生产批次</w:t>
            </w:r>
          </w:p>
        </w:tc>
      </w:tr>
      <w:tr w14:paraId="79445CC2">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7E3E7902">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9</w:t>
            </w:r>
          </w:p>
        </w:tc>
        <w:tc>
          <w:tcPr>
            <w:tcW w:w="1831" w:type="dxa"/>
            <w:vMerge w:val="restart"/>
            <w:tcBorders>
              <w:top w:val="single" w:color="000000" w:sz="4" w:space="0"/>
              <w:left w:val="single" w:color="000000" w:sz="4" w:space="0"/>
              <w:right w:val="single" w:color="000000" w:sz="4" w:space="0"/>
            </w:tcBorders>
            <w:noWrap w:val="0"/>
            <w:vAlign w:val="center"/>
          </w:tcPr>
          <w:p w14:paraId="132DBF0C">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制证工序管理（对整个制证流程，包括从制证信息调度到成品分发中各道工序的管理，跟踪每条制证信息在每道工序的完成情况，并对异常情况进行处理、分析，通过对这些工序的监督、审核，可以反映各部门的实际工作情况，方便管理者轻松掌控整个制证过程，使整个流程有条不紊地进行下去。）</w:t>
            </w: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63F8BDA4">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开始生产</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29669392">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对调度的生产批次，比对数据数量，按批次数量检查通过进入生产环节</w:t>
            </w:r>
          </w:p>
        </w:tc>
      </w:tr>
      <w:tr w14:paraId="7D1A8576">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0E49DE82">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10</w:t>
            </w:r>
          </w:p>
        </w:tc>
        <w:tc>
          <w:tcPr>
            <w:tcW w:w="1831" w:type="dxa"/>
            <w:vMerge w:val="continue"/>
            <w:tcBorders>
              <w:left w:val="single" w:color="000000" w:sz="4" w:space="0"/>
              <w:right w:val="single" w:color="000000" w:sz="4" w:space="0"/>
            </w:tcBorders>
            <w:noWrap w:val="0"/>
            <w:vAlign w:val="center"/>
          </w:tcPr>
          <w:p w14:paraId="2855DBB9">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2901C95C">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数据处理</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06537601">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按批次对公安部居民身份证制证中心信息服务平台数据处理情况进行检查，同步生产组号、异常数据等</w:t>
            </w:r>
          </w:p>
        </w:tc>
      </w:tr>
      <w:tr w14:paraId="172032BB">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2DAF7B8A">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11</w:t>
            </w:r>
          </w:p>
        </w:tc>
        <w:tc>
          <w:tcPr>
            <w:tcW w:w="1831" w:type="dxa"/>
            <w:vMerge w:val="continue"/>
            <w:tcBorders>
              <w:left w:val="single" w:color="000000" w:sz="4" w:space="0"/>
              <w:right w:val="single" w:color="000000" w:sz="4" w:space="0"/>
            </w:tcBorders>
            <w:noWrap w:val="0"/>
            <w:vAlign w:val="center"/>
          </w:tcPr>
          <w:p w14:paraId="45FA4912">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5CD0420F">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膜打印</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0E077014">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按批次进行印膜工位处理，获取批次、余数处理、工序完成等</w:t>
            </w:r>
          </w:p>
        </w:tc>
      </w:tr>
      <w:tr w14:paraId="5CA5D0CE">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0DE5EAD6">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12</w:t>
            </w:r>
          </w:p>
        </w:tc>
        <w:tc>
          <w:tcPr>
            <w:tcW w:w="1831" w:type="dxa"/>
            <w:vMerge w:val="continue"/>
            <w:tcBorders>
              <w:left w:val="single" w:color="000000" w:sz="4" w:space="0"/>
              <w:right w:val="single" w:color="000000" w:sz="4" w:space="0"/>
            </w:tcBorders>
            <w:noWrap w:val="0"/>
            <w:vAlign w:val="center"/>
          </w:tcPr>
          <w:p w14:paraId="132368C5">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44B16BCC">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预定位</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397BB7CD">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按批次进行预定位工位处理，获取批次、8联同板自动登记、工序完成等</w:t>
            </w:r>
          </w:p>
        </w:tc>
      </w:tr>
      <w:tr w14:paraId="1A540682">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19734036">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13</w:t>
            </w:r>
          </w:p>
        </w:tc>
        <w:tc>
          <w:tcPr>
            <w:tcW w:w="1831" w:type="dxa"/>
            <w:vMerge w:val="continue"/>
            <w:tcBorders>
              <w:left w:val="single" w:color="000000" w:sz="4" w:space="0"/>
              <w:right w:val="single" w:color="000000" w:sz="4" w:space="0"/>
            </w:tcBorders>
            <w:noWrap w:val="0"/>
            <w:vAlign w:val="center"/>
          </w:tcPr>
          <w:p w14:paraId="69B09C9E">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1CA5C2C3">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检膜</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5BBB0636">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按批次进行检膜工位处理，获取批次、8联同板自动登记、工序完成等</w:t>
            </w:r>
          </w:p>
        </w:tc>
      </w:tr>
      <w:tr w14:paraId="754FF224">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351EC38D">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14</w:t>
            </w:r>
          </w:p>
        </w:tc>
        <w:tc>
          <w:tcPr>
            <w:tcW w:w="1831" w:type="dxa"/>
            <w:vMerge w:val="continue"/>
            <w:tcBorders>
              <w:left w:val="single" w:color="000000" w:sz="4" w:space="0"/>
              <w:right w:val="single" w:color="000000" w:sz="4" w:space="0"/>
            </w:tcBorders>
            <w:noWrap w:val="0"/>
            <w:vAlign w:val="center"/>
          </w:tcPr>
          <w:p w14:paraId="4E22A029">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2E695C8D">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平压冲切</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7A5D57C8">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按批次进行平压冲切工位处理，获取批次、工序完成等</w:t>
            </w:r>
          </w:p>
        </w:tc>
      </w:tr>
      <w:tr w14:paraId="5087A9AD">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4896221C">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15</w:t>
            </w:r>
          </w:p>
        </w:tc>
        <w:tc>
          <w:tcPr>
            <w:tcW w:w="1831" w:type="dxa"/>
            <w:vMerge w:val="continue"/>
            <w:tcBorders>
              <w:left w:val="single" w:color="000000" w:sz="4" w:space="0"/>
              <w:right w:val="single" w:color="000000" w:sz="4" w:space="0"/>
            </w:tcBorders>
            <w:noWrap w:val="0"/>
            <w:vAlign w:val="center"/>
          </w:tcPr>
          <w:p w14:paraId="09D6F57E">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36FF9F33">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电写入</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758BF99A">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按批次进行点写入工位处理，获取批次、芯片写入状态检查同步、工序完成等</w:t>
            </w:r>
          </w:p>
        </w:tc>
      </w:tr>
      <w:tr w14:paraId="14F8C2EB">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7BA2A34A">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16</w:t>
            </w:r>
          </w:p>
        </w:tc>
        <w:tc>
          <w:tcPr>
            <w:tcW w:w="1831" w:type="dxa"/>
            <w:vMerge w:val="continue"/>
            <w:tcBorders>
              <w:left w:val="single" w:color="000000" w:sz="4" w:space="0"/>
              <w:right w:val="single" w:color="000000" w:sz="4" w:space="0"/>
            </w:tcBorders>
            <w:noWrap w:val="0"/>
            <w:vAlign w:val="center"/>
          </w:tcPr>
          <w:p w14:paraId="092D09EF">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77410334">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成品分拣</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7F6AC930">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按批次进行成品分拣工位处理，获取批次、工序完成等</w:t>
            </w:r>
          </w:p>
        </w:tc>
      </w:tr>
      <w:tr w14:paraId="1B02D3FC">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0B0353C4">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17</w:t>
            </w:r>
          </w:p>
        </w:tc>
        <w:tc>
          <w:tcPr>
            <w:tcW w:w="1831" w:type="dxa"/>
            <w:vMerge w:val="continue"/>
            <w:tcBorders>
              <w:left w:val="single" w:color="000000" w:sz="4" w:space="0"/>
              <w:right w:val="single" w:color="000000" w:sz="4" w:space="0"/>
            </w:tcBorders>
            <w:noWrap w:val="0"/>
            <w:vAlign w:val="center"/>
          </w:tcPr>
          <w:p w14:paraId="7C44B761">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0AFADEB4">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工序确认</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6FEB96F4">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按批次对需要人工交接的工序进行再次确认、工序完成等</w:t>
            </w:r>
          </w:p>
        </w:tc>
      </w:tr>
      <w:tr w14:paraId="08953AF2">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2AC22B1C">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18</w:t>
            </w:r>
          </w:p>
        </w:tc>
        <w:tc>
          <w:tcPr>
            <w:tcW w:w="1831" w:type="dxa"/>
            <w:vMerge w:val="continue"/>
            <w:tcBorders>
              <w:left w:val="single" w:color="000000" w:sz="4" w:space="0"/>
              <w:right w:val="single" w:color="000000" w:sz="4" w:space="0"/>
            </w:tcBorders>
            <w:noWrap w:val="0"/>
            <w:vAlign w:val="center"/>
          </w:tcPr>
          <w:p w14:paraId="444BE773">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55244079">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补证登记</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7803DD3F">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制作过程中产生不合格的环节，登记对应数据进入补证环节</w:t>
            </w:r>
          </w:p>
        </w:tc>
      </w:tr>
      <w:tr w14:paraId="6D3554A4">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38964BDE">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19</w:t>
            </w:r>
          </w:p>
        </w:tc>
        <w:tc>
          <w:tcPr>
            <w:tcW w:w="1831" w:type="dxa"/>
            <w:vMerge w:val="continue"/>
            <w:tcBorders>
              <w:left w:val="single" w:color="000000" w:sz="4" w:space="0"/>
              <w:right w:val="single" w:color="000000" w:sz="4" w:space="0"/>
            </w:tcBorders>
            <w:noWrap w:val="0"/>
            <w:vAlign w:val="center"/>
          </w:tcPr>
          <w:p w14:paraId="2CD2AA94">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2558ED51">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补证调度</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7BEADBC1">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对登记补证的数据，按照设定数量、数据类型进行再次生产调度</w:t>
            </w:r>
          </w:p>
        </w:tc>
      </w:tr>
      <w:tr w14:paraId="43A61877">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77A9CFB6">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20</w:t>
            </w:r>
          </w:p>
        </w:tc>
        <w:tc>
          <w:tcPr>
            <w:tcW w:w="1831" w:type="dxa"/>
            <w:vMerge w:val="continue"/>
            <w:tcBorders>
              <w:left w:val="single" w:color="000000" w:sz="4" w:space="0"/>
              <w:right w:val="single" w:color="000000" w:sz="4" w:space="0"/>
            </w:tcBorders>
            <w:noWrap w:val="0"/>
            <w:vAlign w:val="center"/>
          </w:tcPr>
          <w:p w14:paraId="064F714F">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5A016FA3">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生产调度流程单打印</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29036676">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对自动调度、人工调度形成的批次，按批次查询、打印生产流程单</w:t>
            </w:r>
          </w:p>
        </w:tc>
      </w:tr>
      <w:tr w14:paraId="11D1AC99">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5036E828">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21</w:t>
            </w:r>
          </w:p>
        </w:tc>
        <w:tc>
          <w:tcPr>
            <w:tcW w:w="1831" w:type="dxa"/>
            <w:vMerge w:val="continue"/>
            <w:tcBorders>
              <w:left w:val="single" w:color="000000" w:sz="4" w:space="0"/>
              <w:bottom w:val="single" w:color="000000" w:sz="4" w:space="0"/>
              <w:right w:val="single" w:color="000000" w:sz="4" w:space="0"/>
            </w:tcBorders>
            <w:noWrap w:val="0"/>
            <w:vAlign w:val="center"/>
          </w:tcPr>
          <w:p w14:paraId="1016C0A9">
            <w:pPr>
              <w:widowControl/>
              <w:adjustRightInd w:val="0"/>
              <w:snapToGrid w:val="0"/>
              <w:spacing w:line="400" w:lineRule="exact"/>
              <w:jc w:val="center"/>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6AF0CE53">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补证调度流程单打印</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0B29E372">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对补证调度形成的批次，打印流程单、补证名单</w:t>
            </w:r>
          </w:p>
        </w:tc>
      </w:tr>
      <w:tr w14:paraId="1BD9B88E">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68D506D9">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22</w:t>
            </w:r>
          </w:p>
        </w:tc>
        <w:tc>
          <w:tcPr>
            <w:tcW w:w="1831" w:type="dxa"/>
            <w:vMerge w:val="restart"/>
            <w:tcBorders>
              <w:top w:val="single" w:color="000000" w:sz="4" w:space="0"/>
              <w:left w:val="single" w:color="000000" w:sz="4" w:space="0"/>
              <w:right w:val="single" w:color="000000" w:sz="4" w:space="0"/>
            </w:tcBorders>
            <w:noWrap w:val="0"/>
            <w:vAlign w:val="center"/>
          </w:tcPr>
          <w:p w14:paraId="66DD4040">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制证管理（通过对制证流程各工序中制证信息等待数量和工序异常情况百分比的设定，使管理者能够防患于未然，及时得到预警信息，对相关部门出现的等待情况和异常情况进行及时处理，保障整个制证流程的畅通、有序。通过对员工的产量、工作时间、废品率等方面的量化考核，实现科学高效的绩效考核）</w:t>
            </w: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33E32B09">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工序预警</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459B46E4">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对生产工序设定和警告提醒待生产数量的最大值，管理员针对生产任务调整生产时间、操作人员数量等</w:t>
            </w:r>
          </w:p>
        </w:tc>
      </w:tr>
      <w:tr w14:paraId="4A556B26">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5D880956">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23</w:t>
            </w:r>
          </w:p>
        </w:tc>
        <w:tc>
          <w:tcPr>
            <w:tcW w:w="1831" w:type="dxa"/>
            <w:vMerge w:val="continue"/>
            <w:tcBorders>
              <w:left w:val="single" w:color="000000" w:sz="4" w:space="0"/>
              <w:right w:val="single" w:color="000000" w:sz="4" w:space="0"/>
            </w:tcBorders>
            <w:noWrap w:val="0"/>
            <w:vAlign w:val="center"/>
          </w:tcPr>
          <w:p w14:paraId="2C95CE5E">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454F68C8">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工序回退</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50A077E7">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对批次在生产流程环节中往前调整工序状态，从调整后工序继续生产</w:t>
            </w:r>
          </w:p>
        </w:tc>
      </w:tr>
      <w:tr w14:paraId="5BFDEDA9">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1F3554A8">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24</w:t>
            </w:r>
          </w:p>
        </w:tc>
        <w:tc>
          <w:tcPr>
            <w:tcW w:w="1831" w:type="dxa"/>
            <w:vMerge w:val="continue"/>
            <w:tcBorders>
              <w:left w:val="single" w:color="000000" w:sz="4" w:space="0"/>
              <w:right w:val="single" w:color="000000" w:sz="4" w:space="0"/>
            </w:tcBorders>
            <w:noWrap w:val="0"/>
            <w:vAlign w:val="center"/>
          </w:tcPr>
          <w:p w14:paraId="2158F861">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4B5DB55E">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综合处理</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18486261">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对批次的当前操作员重新分配，从而调节生产流程</w:t>
            </w:r>
          </w:p>
        </w:tc>
      </w:tr>
      <w:tr w14:paraId="37FEDE5D">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3C183E75">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25</w:t>
            </w:r>
          </w:p>
        </w:tc>
        <w:tc>
          <w:tcPr>
            <w:tcW w:w="1831" w:type="dxa"/>
            <w:vMerge w:val="continue"/>
            <w:tcBorders>
              <w:left w:val="single" w:color="000000" w:sz="4" w:space="0"/>
              <w:right w:val="single" w:color="000000" w:sz="4" w:space="0"/>
            </w:tcBorders>
            <w:noWrap w:val="0"/>
            <w:vAlign w:val="center"/>
          </w:tcPr>
          <w:p w14:paraId="2A198536">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54597AE9">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加急证件登记</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0011EF57">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登记特殊原因需要加快制作的证件</w:t>
            </w:r>
          </w:p>
        </w:tc>
      </w:tr>
      <w:tr w14:paraId="00FDC405">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01F43B96">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26</w:t>
            </w:r>
          </w:p>
        </w:tc>
        <w:tc>
          <w:tcPr>
            <w:tcW w:w="1831" w:type="dxa"/>
            <w:vMerge w:val="continue"/>
            <w:tcBorders>
              <w:left w:val="single" w:color="000000" w:sz="4" w:space="0"/>
              <w:right w:val="single" w:color="000000" w:sz="4" w:space="0"/>
            </w:tcBorders>
            <w:noWrap w:val="0"/>
            <w:vAlign w:val="center"/>
          </w:tcPr>
          <w:p w14:paraId="582AC1D2">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4A426872">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加急证件审批</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491AAC5A">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对登记加快制作的证件信息，进行审核，审核通过的调整数据的制作优先级，后续工序优先制作</w:t>
            </w:r>
          </w:p>
        </w:tc>
      </w:tr>
      <w:tr w14:paraId="401B7838">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5025E59D">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27</w:t>
            </w:r>
          </w:p>
        </w:tc>
        <w:tc>
          <w:tcPr>
            <w:tcW w:w="1831" w:type="dxa"/>
            <w:vMerge w:val="continue"/>
            <w:tcBorders>
              <w:left w:val="single" w:color="000000" w:sz="4" w:space="0"/>
              <w:right w:val="single" w:color="000000" w:sz="4" w:space="0"/>
            </w:tcBorders>
            <w:noWrap w:val="0"/>
            <w:vAlign w:val="center"/>
          </w:tcPr>
          <w:p w14:paraId="720ECBDE">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0AA3D44A">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制证反馈</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5BE04918">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接收的制证数据，证件制作成功，按规定格式形成制作成功数据</w:t>
            </w:r>
          </w:p>
        </w:tc>
      </w:tr>
      <w:tr w14:paraId="02E3FD4A">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28850398">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28</w:t>
            </w:r>
          </w:p>
        </w:tc>
        <w:tc>
          <w:tcPr>
            <w:tcW w:w="1831" w:type="dxa"/>
            <w:vMerge w:val="continue"/>
            <w:tcBorders>
              <w:left w:val="single" w:color="000000" w:sz="4" w:space="0"/>
              <w:right w:val="single" w:color="000000" w:sz="4" w:space="0"/>
            </w:tcBorders>
            <w:noWrap w:val="0"/>
            <w:vAlign w:val="center"/>
          </w:tcPr>
          <w:p w14:paraId="7FF51722">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533AD94E">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质量反馈</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4EC9D94A">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接收的制证数据，证件制作失败，按规定格式形成制作失败数据，如失败原因</w:t>
            </w:r>
          </w:p>
        </w:tc>
      </w:tr>
      <w:tr w14:paraId="1033AF55">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2C4ADF8F">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29</w:t>
            </w:r>
          </w:p>
        </w:tc>
        <w:tc>
          <w:tcPr>
            <w:tcW w:w="1831" w:type="dxa"/>
            <w:vMerge w:val="continue"/>
            <w:tcBorders>
              <w:left w:val="single" w:color="000000" w:sz="4" w:space="0"/>
              <w:bottom w:val="single" w:color="000000" w:sz="4" w:space="0"/>
              <w:right w:val="single" w:color="000000" w:sz="4" w:space="0"/>
            </w:tcBorders>
            <w:noWrap w:val="0"/>
            <w:vAlign w:val="center"/>
          </w:tcPr>
          <w:p w14:paraId="3CE5A557">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3B220513">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批次锁定处理</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4ABA0DAC">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对批次进行状态锁定，从生产流程隔离出来，处理完成后解除锁定，从当前状态继续生产流程</w:t>
            </w:r>
          </w:p>
        </w:tc>
      </w:tr>
      <w:tr w14:paraId="5B0F266E">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1454348A">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30</w:t>
            </w:r>
          </w:p>
        </w:tc>
        <w:tc>
          <w:tcPr>
            <w:tcW w:w="1831" w:type="dxa"/>
            <w:vMerge w:val="restart"/>
            <w:tcBorders>
              <w:top w:val="single" w:color="000000" w:sz="4" w:space="0"/>
              <w:left w:val="single" w:color="000000" w:sz="4" w:space="0"/>
              <w:right w:val="single" w:color="000000" w:sz="4" w:space="0"/>
            </w:tcBorders>
            <w:noWrap w:val="0"/>
            <w:vAlign w:val="center"/>
          </w:tcPr>
          <w:p w14:paraId="1B649DA4">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制证成品管理（对证件成品的登记、管理。对成品的出入库登记和查询，使成品出入有据，保障制证流程的完整性，通过移动介质导入快递信息）</w:t>
            </w: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77486A20">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证件查询</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07FD72B9">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按批次查询当前批次、受理单位的成品证件数量、异常数量等</w:t>
            </w:r>
          </w:p>
        </w:tc>
      </w:tr>
      <w:tr w14:paraId="28D4C0E9">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0D0608B3">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31</w:t>
            </w:r>
          </w:p>
        </w:tc>
        <w:tc>
          <w:tcPr>
            <w:tcW w:w="1831" w:type="dxa"/>
            <w:vMerge w:val="continue"/>
            <w:tcBorders>
              <w:left w:val="single" w:color="000000" w:sz="4" w:space="0"/>
              <w:right w:val="single" w:color="000000" w:sz="4" w:space="0"/>
            </w:tcBorders>
            <w:noWrap w:val="0"/>
            <w:vAlign w:val="center"/>
          </w:tcPr>
          <w:p w14:paraId="2A8F3A75">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05AE671A">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证件入库</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24A1DD3C">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按批次、组、受理单位核对数量与成品证件数量一致性，登记进入仓库</w:t>
            </w:r>
          </w:p>
        </w:tc>
      </w:tr>
      <w:tr w14:paraId="455275FD">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3A3827D2">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32</w:t>
            </w:r>
          </w:p>
        </w:tc>
        <w:tc>
          <w:tcPr>
            <w:tcW w:w="1831" w:type="dxa"/>
            <w:vMerge w:val="continue"/>
            <w:tcBorders>
              <w:left w:val="single" w:color="000000" w:sz="4" w:space="0"/>
              <w:right w:val="single" w:color="000000" w:sz="4" w:space="0"/>
            </w:tcBorders>
            <w:noWrap w:val="0"/>
            <w:vAlign w:val="center"/>
          </w:tcPr>
          <w:p w14:paraId="7433F0D9">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09C1974A">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证件出库</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461DEF2D">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按受理单位、地市仓库存有的证件数量，分组登记发放出库</w:t>
            </w:r>
          </w:p>
        </w:tc>
      </w:tr>
      <w:tr w14:paraId="44C7954B">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31D0C977">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33</w:t>
            </w:r>
          </w:p>
        </w:tc>
        <w:tc>
          <w:tcPr>
            <w:tcW w:w="1831" w:type="dxa"/>
            <w:vMerge w:val="continue"/>
            <w:tcBorders>
              <w:left w:val="single" w:color="000000" w:sz="4" w:space="0"/>
              <w:right w:val="single" w:color="000000" w:sz="4" w:space="0"/>
            </w:tcBorders>
            <w:noWrap w:val="0"/>
            <w:vAlign w:val="center"/>
          </w:tcPr>
          <w:p w14:paraId="6AF2DAD7">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6F16B021">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证件代领登记</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17A4D996">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按证件信息登记从仓库领取的时间，交接人员等</w:t>
            </w:r>
          </w:p>
        </w:tc>
      </w:tr>
      <w:tr w14:paraId="22F2A7F0">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1D334509">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34</w:t>
            </w:r>
          </w:p>
        </w:tc>
        <w:tc>
          <w:tcPr>
            <w:tcW w:w="1831" w:type="dxa"/>
            <w:vMerge w:val="continue"/>
            <w:tcBorders>
              <w:left w:val="single" w:color="000000" w:sz="4" w:space="0"/>
              <w:right w:val="single" w:color="000000" w:sz="4" w:space="0"/>
            </w:tcBorders>
            <w:noWrap w:val="0"/>
            <w:vAlign w:val="center"/>
          </w:tcPr>
          <w:p w14:paraId="16133CE4">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48855F8F">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库存查询</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58167EC2">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按地市、受理单位查询当前库存证件数量情况</w:t>
            </w:r>
          </w:p>
        </w:tc>
      </w:tr>
      <w:tr w14:paraId="1649FC52">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2AA63A89">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35</w:t>
            </w:r>
          </w:p>
        </w:tc>
        <w:tc>
          <w:tcPr>
            <w:tcW w:w="1831" w:type="dxa"/>
            <w:vMerge w:val="continue"/>
            <w:tcBorders>
              <w:left w:val="single" w:color="000000" w:sz="4" w:space="0"/>
              <w:right w:val="single" w:color="000000" w:sz="4" w:space="0"/>
            </w:tcBorders>
            <w:noWrap w:val="0"/>
            <w:vAlign w:val="center"/>
          </w:tcPr>
          <w:p w14:paraId="589D558E">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7BE6ADA4">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邮递证件出库</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6D4B3651">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按受理单位批量移交证件和分发数据给邮政快递，交接确认</w:t>
            </w:r>
          </w:p>
        </w:tc>
      </w:tr>
      <w:tr w14:paraId="4D1B0FCF">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51869959">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36</w:t>
            </w:r>
          </w:p>
        </w:tc>
        <w:tc>
          <w:tcPr>
            <w:tcW w:w="1831" w:type="dxa"/>
            <w:vMerge w:val="continue"/>
            <w:tcBorders>
              <w:left w:val="single" w:color="000000" w:sz="4" w:space="0"/>
              <w:right w:val="single" w:color="000000" w:sz="4" w:space="0"/>
            </w:tcBorders>
            <w:noWrap w:val="0"/>
            <w:vAlign w:val="center"/>
          </w:tcPr>
          <w:p w14:paraId="01FE56D7">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2DBA8C36">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邮递退回登记</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15F93CFE">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对应投递不成功的证件，回收到仓库，按受理单位再次分发</w:t>
            </w:r>
          </w:p>
        </w:tc>
      </w:tr>
      <w:tr w14:paraId="6F68D55D">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33A4F6F8">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37</w:t>
            </w:r>
          </w:p>
        </w:tc>
        <w:tc>
          <w:tcPr>
            <w:tcW w:w="1831" w:type="dxa"/>
            <w:vMerge w:val="continue"/>
            <w:tcBorders>
              <w:left w:val="single" w:color="000000" w:sz="4" w:space="0"/>
              <w:bottom w:val="single" w:color="000000" w:sz="4" w:space="0"/>
              <w:right w:val="single" w:color="000000" w:sz="4" w:space="0"/>
            </w:tcBorders>
            <w:noWrap w:val="0"/>
            <w:vAlign w:val="center"/>
          </w:tcPr>
          <w:p w14:paraId="254FF732">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7635E426">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邮递物流信息同步</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4135E80F">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导入同步邮递单号、签收信息到辅助管理系统，跟踪查询</w:t>
            </w:r>
          </w:p>
        </w:tc>
      </w:tr>
      <w:tr w14:paraId="68F478C5">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30CE2571">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38</w:t>
            </w:r>
          </w:p>
        </w:tc>
        <w:tc>
          <w:tcPr>
            <w:tcW w:w="1831" w:type="dxa"/>
            <w:vMerge w:val="restart"/>
            <w:tcBorders>
              <w:top w:val="single" w:color="000000" w:sz="4" w:space="0"/>
              <w:left w:val="single" w:color="000000" w:sz="4" w:space="0"/>
              <w:right w:val="single" w:color="000000" w:sz="4" w:space="0"/>
            </w:tcBorders>
            <w:noWrap w:val="0"/>
            <w:vAlign w:val="center"/>
          </w:tcPr>
          <w:p w14:paraId="1EA97F16">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证件物料管理（对物料的登记、管理。记录整个制证流程中物料的损耗，达到控制物料成本的目的）</w:t>
            </w: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69DD7EFE">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物料仓库初始化</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2E21196E">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对物流种类、数量建立仓库管理</w:t>
            </w:r>
          </w:p>
        </w:tc>
      </w:tr>
      <w:tr w14:paraId="325EDA70">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29F894DD">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39</w:t>
            </w:r>
          </w:p>
        </w:tc>
        <w:tc>
          <w:tcPr>
            <w:tcW w:w="1831" w:type="dxa"/>
            <w:vMerge w:val="continue"/>
            <w:tcBorders>
              <w:left w:val="single" w:color="000000" w:sz="4" w:space="0"/>
              <w:right w:val="single" w:color="000000" w:sz="4" w:space="0"/>
            </w:tcBorders>
            <w:noWrap w:val="0"/>
            <w:vAlign w:val="center"/>
          </w:tcPr>
          <w:p w14:paraId="441DAC0E">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50342789">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物料入库</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049F11FA">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按物料种类进行数量入库登记</w:t>
            </w:r>
          </w:p>
        </w:tc>
      </w:tr>
      <w:tr w14:paraId="1EE3BA4E">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0F090717">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40</w:t>
            </w:r>
          </w:p>
        </w:tc>
        <w:tc>
          <w:tcPr>
            <w:tcW w:w="1831" w:type="dxa"/>
            <w:vMerge w:val="continue"/>
            <w:tcBorders>
              <w:left w:val="single" w:color="000000" w:sz="4" w:space="0"/>
              <w:right w:val="single" w:color="000000" w:sz="4" w:space="0"/>
            </w:tcBorders>
            <w:noWrap w:val="0"/>
            <w:vAlign w:val="center"/>
          </w:tcPr>
          <w:p w14:paraId="148444A2">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005C35C8">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物料发放</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10F4F57C">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按物料种类、数量发放到生产操作员</w:t>
            </w:r>
          </w:p>
        </w:tc>
      </w:tr>
      <w:tr w14:paraId="074CDCFC">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2CE21D0A">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41</w:t>
            </w:r>
          </w:p>
        </w:tc>
        <w:tc>
          <w:tcPr>
            <w:tcW w:w="1831" w:type="dxa"/>
            <w:vMerge w:val="continue"/>
            <w:tcBorders>
              <w:left w:val="single" w:color="000000" w:sz="4" w:space="0"/>
              <w:right w:val="single" w:color="000000" w:sz="4" w:space="0"/>
            </w:tcBorders>
            <w:noWrap w:val="0"/>
            <w:vAlign w:val="center"/>
          </w:tcPr>
          <w:p w14:paraId="211810F5">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61444E63">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物料生产登记</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3C5B81F0">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通过批次工序登记完成，自动关联使用的物料数量</w:t>
            </w:r>
          </w:p>
        </w:tc>
      </w:tr>
      <w:tr w14:paraId="552D22F6">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7B38146C">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42</w:t>
            </w:r>
          </w:p>
        </w:tc>
        <w:tc>
          <w:tcPr>
            <w:tcW w:w="1831" w:type="dxa"/>
            <w:vMerge w:val="continue"/>
            <w:tcBorders>
              <w:left w:val="single" w:color="000000" w:sz="4" w:space="0"/>
              <w:right w:val="single" w:color="000000" w:sz="4" w:space="0"/>
            </w:tcBorders>
            <w:noWrap w:val="0"/>
            <w:vAlign w:val="center"/>
          </w:tcPr>
          <w:p w14:paraId="353FED0E">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49E4D3E8">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物料信息查询</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4DCFE7AB">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查询物料当前的库存数量、使用数量等</w:t>
            </w:r>
          </w:p>
        </w:tc>
      </w:tr>
      <w:tr w14:paraId="538BE991">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72C5932D">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43</w:t>
            </w:r>
          </w:p>
        </w:tc>
        <w:tc>
          <w:tcPr>
            <w:tcW w:w="1831" w:type="dxa"/>
            <w:vMerge w:val="continue"/>
            <w:tcBorders>
              <w:left w:val="single" w:color="000000" w:sz="4" w:space="0"/>
              <w:bottom w:val="single" w:color="000000" w:sz="4" w:space="0"/>
              <w:right w:val="single" w:color="000000" w:sz="4" w:space="0"/>
            </w:tcBorders>
            <w:noWrap w:val="0"/>
            <w:vAlign w:val="center"/>
          </w:tcPr>
          <w:p w14:paraId="436707C7">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58D538C2">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物料人工补录</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5774EAE9">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对生产过程中测试、损耗等产生的物料使用进行登记</w:t>
            </w:r>
          </w:p>
        </w:tc>
      </w:tr>
      <w:tr w14:paraId="0A674364">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61B5F155">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44</w:t>
            </w:r>
          </w:p>
        </w:tc>
        <w:tc>
          <w:tcPr>
            <w:tcW w:w="1831" w:type="dxa"/>
            <w:vMerge w:val="restart"/>
            <w:tcBorders>
              <w:top w:val="single" w:color="000000" w:sz="4" w:space="0"/>
              <w:left w:val="single" w:color="000000" w:sz="4" w:space="0"/>
              <w:right w:val="single" w:color="000000" w:sz="4" w:space="0"/>
            </w:tcBorders>
            <w:noWrap w:val="0"/>
            <w:vAlign w:val="center"/>
          </w:tcPr>
          <w:p w14:paraId="6ACACEFD">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制证查询统计（对制证情况综合数据的查询和统计，包括两方面：一方面对各地市地区制证任务总量和完成量的查询、统计，另一方面对各制证工序产量、制证总量以及异常信息的查询、统计）</w:t>
            </w: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62B82026">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数据状态查询</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508907BE">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按身份证号、姓名、受理号等查询制证数据当前制作状态</w:t>
            </w:r>
          </w:p>
        </w:tc>
      </w:tr>
      <w:tr w14:paraId="5694EDB4">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527BC477">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45</w:t>
            </w:r>
          </w:p>
        </w:tc>
        <w:tc>
          <w:tcPr>
            <w:tcW w:w="1831" w:type="dxa"/>
            <w:vMerge w:val="continue"/>
            <w:tcBorders>
              <w:left w:val="single" w:color="000000" w:sz="4" w:space="0"/>
              <w:right w:val="single" w:color="000000" w:sz="4" w:space="0"/>
            </w:tcBorders>
            <w:noWrap w:val="0"/>
            <w:vAlign w:val="center"/>
          </w:tcPr>
          <w:p w14:paraId="6E9925DA">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4F389701">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批次流程查询</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35849351">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按批次号查询生产流程中每个工序的开始、完成时间、操作员等</w:t>
            </w:r>
          </w:p>
        </w:tc>
      </w:tr>
      <w:tr w14:paraId="7DD202C5">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4784079A">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46</w:t>
            </w:r>
          </w:p>
        </w:tc>
        <w:tc>
          <w:tcPr>
            <w:tcW w:w="1831" w:type="dxa"/>
            <w:vMerge w:val="continue"/>
            <w:tcBorders>
              <w:left w:val="single" w:color="000000" w:sz="4" w:space="0"/>
              <w:right w:val="single" w:color="000000" w:sz="4" w:space="0"/>
            </w:tcBorders>
            <w:noWrap w:val="0"/>
            <w:vAlign w:val="center"/>
          </w:tcPr>
          <w:p w14:paraId="45A35AEC">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1A80635F">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工序异常关联查询</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572462B8">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按批次号查询对应工序产生的异常数据情况</w:t>
            </w:r>
          </w:p>
        </w:tc>
      </w:tr>
      <w:tr w14:paraId="63E217B1">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08D27CC9">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47</w:t>
            </w:r>
          </w:p>
        </w:tc>
        <w:tc>
          <w:tcPr>
            <w:tcW w:w="1831" w:type="dxa"/>
            <w:vMerge w:val="continue"/>
            <w:tcBorders>
              <w:left w:val="single" w:color="000000" w:sz="4" w:space="0"/>
              <w:right w:val="single" w:color="000000" w:sz="4" w:space="0"/>
            </w:tcBorders>
            <w:noWrap w:val="0"/>
            <w:vAlign w:val="center"/>
          </w:tcPr>
          <w:p w14:paraId="1B695862">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2017A606">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员工产量统计</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2E1EC027">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按操作员统计每天、每个月或选定时间内的生产完成数量</w:t>
            </w:r>
          </w:p>
        </w:tc>
      </w:tr>
      <w:tr w14:paraId="7A0A67AE">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6F620433">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48</w:t>
            </w:r>
          </w:p>
        </w:tc>
        <w:tc>
          <w:tcPr>
            <w:tcW w:w="1831" w:type="dxa"/>
            <w:vMerge w:val="continue"/>
            <w:tcBorders>
              <w:left w:val="single" w:color="000000" w:sz="4" w:space="0"/>
              <w:right w:val="single" w:color="000000" w:sz="4" w:space="0"/>
            </w:tcBorders>
            <w:noWrap w:val="0"/>
            <w:vAlign w:val="center"/>
          </w:tcPr>
          <w:p w14:paraId="1A6A213F">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41C4393C">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工序日产量统计</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63440E22">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按制作工序统计当天制作数量</w:t>
            </w:r>
          </w:p>
        </w:tc>
      </w:tr>
      <w:tr w14:paraId="090F0B8E">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2BA94267">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49</w:t>
            </w:r>
          </w:p>
        </w:tc>
        <w:tc>
          <w:tcPr>
            <w:tcW w:w="1831" w:type="dxa"/>
            <w:vMerge w:val="continue"/>
            <w:tcBorders>
              <w:left w:val="single" w:color="000000" w:sz="4" w:space="0"/>
              <w:right w:val="single" w:color="000000" w:sz="4" w:space="0"/>
            </w:tcBorders>
            <w:noWrap w:val="0"/>
            <w:vAlign w:val="center"/>
          </w:tcPr>
          <w:p w14:paraId="3175C88B">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4E704A6A">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地市办证数据统计</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77973C85">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按地市，选定时间统计制证接收的数量</w:t>
            </w:r>
          </w:p>
        </w:tc>
      </w:tr>
      <w:tr w14:paraId="6D09C72F">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2CB35A2B">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50</w:t>
            </w:r>
          </w:p>
        </w:tc>
        <w:tc>
          <w:tcPr>
            <w:tcW w:w="1831" w:type="dxa"/>
            <w:vMerge w:val="continue"/>
            <w:tcBorders>
              <w:left w:val="single" w:color="000000" w:sz="4" w:space="0"/>
              <w:right w:val="single" w:color="000000" w:sz="4" w:space="0"/>
            </w:tcBorders>
            <w:noWrap w:val="0"/>
            <w:vAlign w:val="center"/>
          </w:tcPr>
          <w:p w14:paraId="2655A799">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461711F6">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地市领证数据统计</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35DE646A">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按地市，选定的出库时间统计制证制作成功的数量</w:t>
            </w:r>
          </w:p>
        </w:tc>
      </w:tr>
      <w:tr w14:paraId="210D0BFA">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7F05BE49">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51</w:t>
            </w:r>
          </w:p>
        </w:tc>
        <w:tc>
          <w:tcPr>
            <w:tcW w:w="1831" w:type="dxa"/>
            <w:vMerge w:val="continue"/>
            <w:tcBorders>
              <w:left w:val="single" w:color="000000" w:sz="4" w:space="0"/>
              <w:right w:val="single" w:color="000000" w:sz="4" w:space="0"/>
            </w:tcBorders>
            <w:noWrap w:val="0"/>
            <w:vAlign w:val="center"/>
          </w:tcPr>
          <w:p w14:paraId="16400483">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065BA578">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邮递数据统计</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268AE77F">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通过制证数据的所属单位、接收时间统计邮递领证的数量</w:t>
            </w:r>
          </w:p>
        </w:tc>
      </w:tr>
      <w:tr w14:paraId="7C49DD82">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2B72EFD3">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52</w:t>
            </w:r>
          </w:p>
        </w:tc>
        <w:tc>
          <w:tcPr>
            <w:tcW w:w="1831" w:type="dxa"/>
            <w:vMerge w:val="continue"/>
            <w:tcBorders>
              <w:left w:val="single" w:color="000000" w:sz="4" w:space="0"/>
              <w:right w:val="single" w:color="000000" w:sz="4" w:space="0"/>
            </w:tcBorders>
            <w:noWrap w:val="0"/>
            <w:vAlign w:val="center"/>
          </w:tcPr>
          <w:p w14:paraId="03222F9F">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129457B4">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出入库数据统计</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78B6E551">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按地市、区县、登记时间统计入库或出库的证件数量</w:t>
            </w:r>
          </w:p>
        </w:tc>
      </w:tr>
      <w:tr w14:paraId="5F7FD8E5">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5895F040">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53</w:t>
            </w:r>
          </w:p>
        </w:tc>
        <w:tc>
          <w:tcPr>
            <w:tcW w:w="1831" w:type="dxa"/>
            <w:vMerge w:val="continue"/>
            <w:tcBorders>
              <w:left w:val="single" w:color="000000" w:sz="4" w:space="0"/>
              <w:right w:val="single" w:color="000000" w:sz="4" w:space="0"/>
            </w:tcBorders>
            <w:noWrap w:val="0"/>
            <w:vAlign w:val="center"/>
          </w:tcPr>
          <w:p w14:paraId="6073A039">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02E49BB3">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身份证查询</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07A5FC86">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按身份证号查询当前制作状态和历史制证数据</w:t>
            </w:r>
          </w:p>
        </w:tc>
      </w:tr>
      <w:tr w14:paraId="455B3ADC">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7E342C49">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54</w:t>
            </w:r>
          </w:p>
        </w:tc>
        <w:tc>
          <w:tcPr>
            <w:tcW w:w="1831" w:type="dxa"/>
            <w:vMerge w:val="continue"/>
            <w:tcBorders>
              <w:left w:val="single" w:color="000000" w:sz="4" w:space="0"/>
              <w:bottom w:val="single" w:color="000000" w:sz="4" w:space="0"/>
              <w:right w:val="single" w:color="000000" w:sz="4" w:space="0"/>
            </w:tcBorders>
            <w:noWrap w:val="0"/>
            <w:vAlign w:val="center"/>
          </w:tcPr>
          <w:p w14:paraId="0AA154A7">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6D727E3D">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工序情况一览表</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651E3823">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按制证工序统计每个工序当前等待接收的数量，直观呈现各工序生产任务情况</w:t>
            </w:r>
          </w:p>
        </w:tc>
      </w:tr>
      <w:tr w14:paraId="1C8C7527">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5BA4AFDF">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55</w:t>
            </w:r>
          </w:p>
        </w:tc>
        <w:tc>
          <w:tcPr>
            <w:tcW w:w="1831" w:type="dxa"/>
            <w:vMerge w:val="restart"/>
            <w:tcBorders>
              <w:top w:val="single" w:color="000000" w:sz="4" w:space="0"/>
              <w:left w:val="single" w:color="000000" w:sz="4" w:space="0"/>
              <w:right w:val="single" w:color="000000" w:sz="4" w:space="0"/>
            </w:tcBorders>
            <w:noWrap w:val="0"/>
            <w:vAlign w:val="center"/>
          </w:tcPr>
          <w:p w14:paraId="1EB2900D">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系统管理（对整个管理信息系统用户、规则、参数以及界面等的设置、管理，一般是系统管理员才能有的操作权限，通过对本系统后台数据库参数、规则的设定，可以更安全、高效地运行本系统）</w:t>
            </w: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03FA35C2">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工作组管理</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057F8B98">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新增、修改、删除工作组，对操作员按工序分组管理</w:t>
            </w:r>
          </w:p>
        </w:tc>
      </w:tr>
      <w:tr w14:paraId="2DFE32DE">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0DBD1E62">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56</w:t>
            </w:r>
          </w:p>
        </w:tc>
        <w:tc>
          <w:tcPr>
            <w:tcW w:w="1831" w:type="dxa"/>
            <w:vMerge w:val="continue"/>
            <w:tcBorders>
              <w:left w:val="single" w:color="000000" w:sz="4" w:space="0"/>
              <w:right w:val="single" w:color="000000" w:sz="4" w:space="0"/>
            </w:tcBorders>
            <w:noWrap w:val="0"/>
            <w:vAlign w:val="center"/>
          </w:tcPr>
          <w:p w14:paraId="548C32BB">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71939D07">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角色管理</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3DB867D5">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新增、修改、删除权限角色，对操作员按角色赋予操作权限</w:t>
            </w:r>
          </w:p>
        </w:tc>
      </w:tr>
      <w:tr w14:paraId="3B94F180">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0CC57184">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57</w:t>
            </w:r>
          </w:p>
        </w:tc>
        <w:tc>
          <w:tcPr>
            <w:tcW w:w="1831" w:type="dxa"/>
            <w:vMerge w:val="continue"/>
            <w:tcBorders>
              <w:left w:val="single" w:color="000000" w:sz="4" w:space="0"/>
              <w:right w:val="single" w:color="000000" w:sz="4" w:space="0"/>
            </w:tcBorders>
            <w:noWrap w:val="0"/>
            <w:vAlign w:val="center"/>
          </w:tcPr>
          <w:p w14:paraId="7936440C">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4EC84E02">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功能权限管理</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42CD3D86">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对角色赋予系统不同的操作权限</w:t>
            </w:r>
          </w:p>
        </w:tc>
      </w:tr>
      <w:tr w14:paraId="70CB2AE0">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45FA0C45">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58</w:t>
            </w:r>
          </w:p>
        </w:tc>
        <w:tc>
          <w:tcPr>
            <w:tcW w:w="1831" w:type="dxa"/>
            <w:vMerge w:val="continue"/>
            <w:tcBorders>
              <w:left w:val="single" w:color="000000" w:sz="4" w:space="0"/>
              <w:right w:val="single" w:color="000000" w:sz="4" w:space="0"/>
            </w:tcBorders>
            <w:noWrap w:val="0"/>
            <w:vAlign w:val="center"/>
          </w:tcPr>
          <w:p w14:paraId="43E622E0">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5D573990">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用户管理</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4758033B">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新增、修改、删除用户，操作员按用户、密码登录辅助管理系统</w:t>
            </w:r>
          </w:p>
        </w:tc>
      </w:tr>
      <w:tr w14:paraId="76023346">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1022485A">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59</w:t>
            </w:r>
          </w:p>
        </w:tc>
        <w:tc>
          <w:tcPr>
            <w:tcW w:w="1831" w:type="dxa"/>
            <w:vMerge w:val="continue"/>
            <w:tcBorders>
              <w:left w:val="single" w:color="000000" w:sz="4" w:space="0"/>
              <w:right w:val="single" w:color="000000" w:sz="4" w:space="0"/>
            </w:tcBorders>
            <w:noWrap w:val="0"/>
            <w:vAlign w:val="center"/>
          </w:tcPr>
          <w:p w14:paraId="5B761332">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1F0B93C3">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字典管理</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1897C0A0">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对辅助系统中使用到的字典和内容进行新增、修改、删除操作</w:t>
            </w:r>
          </w:p>
        </w:tc>
      </w:tr>
      <w:tr w14:paraId="66517F69">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469D4A10">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60</w:t>
            </w:r>
          </w:p>
        </w:tc>
        <w:tc>
          <w:tcPr>
            <w:tcW w:w="1831" w:type="dxa"/>
            <w:vMerge w:val="continue"/>
            <w:tcBorders>
              <w:left w:val="single" w:color="000000" w:sz="4" w:space="0"/>
              <w:right w:val="single" w:color="000000" w:sz="4" w:space="0"/>
            </w:tcBorders>
            <w:noWrap w:val="0"/>
            <w:vAlign w:val="center"/>
          </w:tcPr>
          <w:p w14:paraId="6DCBDA26">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61B85ED8">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工序定义</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5A4E49EA">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设定生产流程的工序名称、前后顺序、是否需要人工交接等</w:t>
            </w:r>
          </w:p>
        </w:tc>
      </w:tr>
      <w:tr w14:paraId="41D4ED89">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49EF0E52">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61</w:t>
            </w:r>
          </w:p>
        </w:tc>
        <w:tc>
          <w:tcPr>
            <w:tcW w:w="1831" w:type="dxa"/>
            <w:vMerge w:val="continue"/>
            <w:tcBorders>
              <w:left w:val="single" w:color="000000" w:sz="4" w:space="0"/>
              <w:right w:val="single" w:color="000000" w:sz="4" w:space="0"/>
            </w:tcBorders>
            <w:noWrap w:val="0"/>
            <w:vAlign w:val="center"/>
          </w:tcPr>
          <w:p w14:paraId="53DACE3E">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29FF9644">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调度管理</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30D4C233">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设定调度生产批次组成的数据包数量、数量量等参数</w:t>
            </w:r>
          </w:p>
        </w:tc>
      </w:tr>
      <w:tr w14:paraId="6B76C02A">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72202EE6">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62</w:t>
            </w:r>
          </w:p>
        </w:tc>
        <w:tc>
          <w:tcPr>
            <w:tcW w:w="1831" w:type="dxa"/>
            <w:vMerge w:val="continue"/>
            <w:tcBorders>
              <w:left w:val="single" w:color="000000" w:sz="4" w:space="0"/>
              <w:right w:val="single" w:color="000000" w:sz="4" w:space="0"/>
            </w:tcBorders>
            <w:noWrap w:val="0"/>
            <w:vAlign w:val="center"/>
          </w:tcPr>
          <w:p w14:paraId="4817F9B6">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018C6237">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用户信息修改</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12397750">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当前登录的用户，可以修改自己的姓名、联系方式等信息</w:t>
            </w:r>
          </w:p>
        </w:tc>
      </w:tr>
      <w:tr w14:paraId="3D1B465E">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3297CB2F">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63</w:t>
            </w:r>
          </w:p>
        </w:tc>
        <w:tc>
          <w:tcPr>
            <w:tcW w:w="1831" w:type="dxa"/>
            <w:vMerge w:val="continue"/>
            <w:tcBorders>
              <w:left w:val="single" w:color="000000" w:sz="4" w:space="0"/>
              <w:right w:val="single" w:color="000000" w:sz="4" w:space="0"/>
            </w:tcBorders>
            <w:noWrap w:val="0"/>
            <w:vAlign w:val="center"/>
          </w:tcPr>
          <w:p w14:paraId="0E4947ED">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5FC69433">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登录密码修改</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7DA1F72D">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当前登录的用户，可以修改登录辅助系统的密码</w:t>
            </w:r>
          </w:p>
        </w:tc>
      </w:tr>
      <w:tr w14:paraId="563582DC">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343ABDF7">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64</w:t>
            </w:r>
          </w:p>
        </w:tc>
        <w:tc>
          <w:tcPr>
            <w:tcW w:w="1831" w:type="dxa"/>
            <w:vMerge w:val="continue"/>
            <w:tcBorders>
              <w:left w:val="single" w:color="000000" w:sz="4" w:space="0"/>
              <w:bottom w:val="single" w:color="000000" w:sz="4" w:space="0"/>
              <w:right w:val="single" w:color="000000" w:sz="4" w:space="0"/>
            </w:tcBorders>
            <w:noWrap w:val="0"/>
            <w:vAlign w:val="center"/>
          </w:tcPr>
          <w:p w14:paraId="57CBCB48">
            <w:pPr>
              <w:widowControl/>
              <w:adjustRightInd w:val="0"/>
              <w:snapToGrid w:val="0"/>
              <w:spacing w:line="400" w:lineRule="exact"/>
              <w:rPr>
                <w:rFonts w:hint="eastAsia" w:ascii="宋体" w:hAnsi="宋体" w:eastAsia="宋体"/>
                <w:b w:val="0"/>
                <w:bCs w:val="0"/>
                <w:sz w:val="21"/>
                <w:szCs w:val="21"/>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19BBD17B">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退出系统</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1B647CCB">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当前登录的用户，退出辅助系统，记录登录状态</w:t>
            </w:r>
          </w:p>
        </w:tc>
      </w:tr>
      <w:tr w14:paraId="567961D7">
        <w:tblPrEx>
          <w:tblCellMar>
            <w:top w:w="0" w:type="dxa"/>
            <w:left w:w="108" w:type="dxa"/>
            <w:bottom w:w="0" w:type="dxa"/>
            <w:right w:w="108" w:type="dxa"/>
          </w:tblCellMar>
        </w:tblPrEx>
        <w:trPr>
          <w:trHeight w:val="800" w:hRule="atLeast"/>
        </w:trPr>
        <w:tc>
          <w:tcPr>
            <w:tcW w:w="1307" w:type="dxa"/>
            <w:tcBorders>
              <w:top w:val="single" w:color="000000" w:sz="4" w:space="0"/>
              <w:left w:val="single" w:color="000000" w:sz="4" w:space="0"/>
              <w:bottom w:val="single" w:color="000000" w:sz="4" w:space="0"/>
              <w:right w:val="single" w:color="000000" w:sz="4" w:space="0"/>
            </w:tcBorders>
            <w:noWrap w:val="0"/>
            <w:vAlign w:val="center"/>
          </w:tcPr>
          <w:p w14:paraId="5770A3CA">
            <w:pPr>
              <w:widowControl/>
              <w:adjustRightInd w:val="0"/>
              <w:snapToGrid w:val="0"/>
              <w:spacing w:line="400" w:lineRule="exact"/>
              <w:jc w:val="center"/>
              <w:rPr>
                <w:rFonts w:hint="eastAsia" w:ascii="宋体" w:hAnsi="宋体" w:eastAsia="宋体"/>
                <w:b w:val="0"/>
                <w:bCs w:val="0"/>
                <w:sz w:val="21"/>
                <w:szCs w:val="21"/>
              </w:rPr>
            </w:pPr>
            <w:r>
              <w:rPr>
                <w:rFonts w:hint="eastAsia" w:ascii="宋体" w:hAnsi="宋体" w:eastAsia="宋体"/>
                <w:b w:val="0"/>
                <w:bCs w:val="0"/>
                <w:sz w:val="21"/>
                <w:szCs w:val="21"/>
              </w:rPr>
              <w:t>65</w:t>
            </w:r>
          </w:p>
        </w:tc>
        <w:tc>
          <w:tcPr>
            <w:tcW w:w="1831" w:type="dxa"/>
            <w:tcBorders>
              <w:top w:val="single" w:color="000000" w:sz="4" w:space="0"/>
              <w:left w:val="single" w:color="000000" w:sz="4" w:space="0"/>
              <w:bottom w:val="single" w:color="000000" w:sz="4" w:space="0"/>
              <w:right w:val="single" w:color="000000" w:sz="4" w:space="0"/>
            </w:tcBorders>
            <w:noWrap w:val="0"/>
            <w:vAlign w:val="center"/>
          </w:tcPr>
          <w:p w14:paraId="3B42AEF4">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接口对接</w:t>
            </w: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7E66001A">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接口对接</w:t>
            </w:r>
          </w:p>
        </w:tc>
        <w:tc>
          <w:tcPr>
            <w:tcW w:w="3516" w:type="dxa"/>
            <w:tcBorders>
              <w:top w:val="single" w:color="000000" w:sz="4" w:space="0"/>
              <w:left w:val="single" w:color="000000" w:sz="4" w:space="0"/>
              <w:bottom w:val="single" w:color="000000" w:sz="4" w:space="0"/>
              <w:right w:val="single" w:color="000000" w:sz="4" w:space="0"/>
            </w:tcBorders>
            <w:noWrap w:val="0"/>
            <w:vAlign w:val="center"/>
          </w:tcPr>
          <w:p w14:paraId="0967AF29">
            <w:pPr>
              <w:widowControl/>
              <w:adjustRightInd w:val="0"/>
              <w:snapToGrid w:val="0"/>
              <w:spacing w:line="400" w:lineRule="exact"/>
              <w:rPr>
                <w:rFonts w:hint="eastAsia" w:ascii="宋体" w:hAnsi="宋体" w:eastAsia="宋体"/>
                <w:b w:val="0"/>
                <w:bCs w:val="0"/>
                <w:sz w:val="21"/>
                <w:szCs w:val="21"/>
              </w:rPr>
            </w:pPr>
            <w:r>
              <w:rPr>
                <w:rFonts w:hint="eastAsia" w:ascii="宋体" w:hAnsi="宋体" w:eastAsia="宋体"/>
                <w:b w:val="0"/>
                <w:bCs w:val="0"/>
                <w:sz w:val="21"/>
                <w:szCs w:val="21"/>
              </w:rPr>
              <w:t>制证辅助管理系统根据与公安部第一研究所信息服务平台的接口对接规范，进行开发和联调，完成接口对接。以有效辅助居民身份证制证系统开展制证工作。</w:t>
            </w:r>
          </w:p>
        </w:tc>
      </w:tr>
    </w:tbl>
    <w:p w14:paraId="4697CCEE">
      <w:pPr>
        <w:spacing w:line="360" w:lineRule="auto"/>
        <w:jc w:val="left"/>
        <w:rPr>
          <w:rFonts w:hint="eastAsia" w:ascii="宋体" w:hAnsi="宋体" w:eastAsia="宋体"/>
          <w:b w:val="0"/>
          <w:bCs w:val="0"/>
          <w:sz w:val="21"/>
          <w:szCs w:val="21"/>
        </w:rPr>
        <w:sectPr>
          <w:pgSz w:w="11906" w:h="16838"/>
          <w:pgMar w:top="1440" w:right="1800" w:bottom="1440" w:left="1800" w:header="851" w:footer="992" w:gutter="0"/>
          <w:cols w:space="720" w:num="1"/>
          <w:docGrid w:type="lines" w:linePitch="312" w:charSpace="0"/>
        </w:sectPr>
      </w:pPr>
    </w:p>
    <w:p w14:paraId="6F3B3958">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2.4非功能性要求</w:t>
      </w:r>
    </w:p>
    <w:p w14:paraId="57E860BF">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（1）性能要求</w:t>
      </w:r>
    </w:p>
    <w:p w14:paraId="3737323A">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质量指标：系统运行稳定、可靠，不因系统本身的原因造成死机、停止等故障，系统有效运行时间≥99.9%，系统故障平均间隔时间≥180天；</w:t>
      </w:r>
    </w:p>
    <w:p w14:paraId="0D09245B">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时效指标：系统严重故障立即响应，一般故障120分钟以内响应；业务系统页面响应时间≤5秒，复杂业务≤10秒。</w:t>
      </w:r>
    </w:p>
    <w:p w14:paraId="08588441">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并发性指标：支持日常100个以上用户的在线连接，70个用户同时并发操作。</w:t>
      </w:r>
    </w:p>
    <w:p w14:paraId="2481C47A">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（2）可靠性要求</w:t>
      </w:r>
    </w:p>
    <w:p w14:paraId="56F870D2">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高可用性：系统应能够在故障发生时快速恢复。</w:t>
      </w:r>
    </w:p>
    <w:p w14:paraId="4271D50A">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故障转移：系统应能够在主要服务器出现故障时切换到备份服务器。</w:t>
      </w:r>
    </w:p>
    <w:p w14:paraId="6AB02DCD">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错误处理：系统应能够快速地处理错误，并提供错误报告。</w:t>
      </w:r>
    </w:p>
    <w:p w14:paraId="444A059D">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（3）安全要求</w:t>
      </w:r>
    </w:p>
    <w:p w14:paraId="37B736F7">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数据保护：确保所有数据的安全性，防止数据泄露。</w:t>
      </w:r>
    </w:p>
    <w:p w14:paraId="2F8F50C5">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访问控制：实现不同角色的用户权限管理，确保敏感数据的安全。</w:t>
      </w:r>
    </w:p>
    <w:p w14:paraId="716C0BF9">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审计追踪：记录所有操作日志，以便于审计和合规检查。</w:t>
      </w:r>
    </w:p>
    <w:p w14:paraId="59BE645E">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（4）平台界面要求</w:t>
      </w:r>
    </w:p>
    <w:p w14:paraId="3878C1A1">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用户友好的界面：设计直观易用的界面，减少用户的培训成本。</w:t>
      </w:r>
    </w:p>
    <w:p w14:paraId="56231F3A">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适应性：系统应能够适应不同用户的工作习惯和偏好。</w:t>
      </w:r>
    </w:p>
    <w:p w14:paraId="1EA0FDAC">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（5）其他要求</w:t>
      </w:r>
    </w:p>
    <w:p w14:paraId="28606574">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必须具有较好的可扩展性，适应业务的发展，通过良好的架构设计和系统配置管理，保证系统的适应性。</w:t>
      </w:r>
    </w:p>
    <w:p w14:paraId="64374724">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设计和开发过程中，在保证实用、可靠的前提下，需结合业界先进的设计思想和软件技术、数据库技术，构建平台。</w:t>
      </w:r>
    </w:p>
    <w:p w14:paraId="793AF41B">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系统可运行在不同的软硬件平台上，易于以后系统升级和移植；系统开发需遵循主流的标准和协议，便于系统内部各功能模块对接，满足系统扩充性的要求。</w:t>
      </w:r>
    </w:p>
    <w:p w14:paraId="619870DA">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2.5信息安全要求</w:t>
      </w:r>
    </w:p>
    <w:p w14:paraId="5F5C45BC">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本系统设计和实施可参照GB/T 22239-2019 《信息安全技术 网络安全等级保护基本要求》、GB/T 39786-2021《信息安全技术 信息系统密码应用基本要求》第三级要求，最终安全等级由评审委员会根据系统重要性和接口风险评估确定。中标人需提供系统测试环境（含API接口、数据库权限）及相关文档，并指派专人配合测评机构完成现场测试、问题复现及整改支持，对于技术方面需要整改的，中标人应进行免费整改，根据测评结果，协助采购人完成系统方面相关整改建议的落实，确保系统符合测评要求。测评服务及密码设备等测评所需资源由采购人提供。（提供承诺函，格式自拟。）</w:t>
      </w:r>
    </w:p>
    <w:p w14:paraId="002AE105">
      <w:pPr>
        <w:jc w:val="left"/>
        <w:rPr>
          <w:rFonts w:hint="eastAsia" w:ascii="仿宋_GB2312" w:hAnsi="仿宋_GB2312" w:cs="仿宋_GB2312"/>
          <w:b w:val="0"/>
          <w:bCs w:val="0"/>
        </w:rPr>
      </w:pPr>
    </w:p>
    <w:p w14:paraId="21A4E9C7">
      <w:pPr>
        <w:numPr>
          <w:ilvl w:val="0"/>
          <w:numId w:val="0"/>
        </w:numPr>
        <w:jc w:val="left"/>
        <w:rPr>
          <w:rFonts w:hint="eastAsia" w:ascii="宋体" w:hAnsi="宋体" w:eastAsia="宋体"/>
          <w:sz w:val="21"/>
          <w:szCs w:val="21"/>
        </w:rPr>
      </w:pPr>
      <w:r>
        <w:rPr>
          <w:rFonts w:hint="default" w:ascii="仿宋_GB2312" w:hAnsi="仿宋_GB2312" w:eastAsia="仿宋_GB2312" w:cs="仿宋_GB2312"/>
          <w:b/>
          <w:bCs/>
          <w:kern w:val="2"/>
          <w:sz w:val="24"/>
          <w:szCs w:val="24"/>
          <w:lang w:val="en-US" w:eastAsia="zh-CN" w:bidi="ar-SA"/>
        </w:rPr>
        <w:t>3.</w:t>
      </w:r>
      <w:r>
        <w:rPr>
          <w:rFonts w:hint="eastAsia" w:ascii="宋体" w:hAnsi="宋体" w:eastAsia="宋体"/>
          <w:sz w:val="21"/>
          <w:szCs w:val="21"/>
        </w:rPr>
        <w:t>商务要求</w:t>
      </w:r>
    </w:p>
    <w:p w14:paraId="413455D8">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3.1服务期要求</w:t>
      </w:r>
    </w:p>
    <w:p w14:paraId="55BA5057">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自项目合同签订生效之日起1个月内完成租赁的成品软件部署、测试、上线工作，成品软件租赁期三年；4个月内完成“广州市第二代居民身份证制证辅助管理系统”进行</w:t>
      </w:r>
      <w:r>
        <w:rPr>
          <w:rFonts w:hint="eastAsia" w:ascii="宋体" w:hAnsi="宋体" w:eastAsia="宋体" w:cs="宋体"/>
          <w:b w:val="0"/>
          <w:bCs w:val="0"/>
          <w:sz w:val="21"/>
          <w:szCs w:val="21"/>
          <w:lang w:eastAsia="zh-CN"/>
        </w:rPr>
        <w:t>本国化适配</w:t>
      </w:r>
      <w:r>
        <w:rPr>
          <w:rFonts w:hint="eastAsia" w:ascii="宋体" w:hAnsi="宋体" w:eastAsia="宋体"/>
          <w:b w:val="0"/>
          <w:bCs w:val="0"/>
          <w:sz w:val="21"/>
          <w:szCs w:val="21"/>
        </w:rPr>
        <w:t>升级改造开发、部署、测试、上线，并通过初步验收后进入试运行期（试运行期不少于3个月）。</w:t>
      </w:r>
    </w:p>
    <w:p w14:paraId="2EB266DF">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3.2实施团队人员要求</w:t>
      </w:r>
    </w:p>
    <w:p w14:paraId="614934C7">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（1）中标人一旦成交后必须提供详细工作计划和人员配备方案，明确工作地点、起止时间，项目负责人及主要人员，并经采购人审核、批准。</w:t>
      </w:r>
    </w:p>
    <w:p w14:paraId="0F4DA0F0">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（2）中标人需提供项目组成员分工安排说明，项目团队人员不少于5人。</w:t>
      </w:r>
    </w:p>
    <w:p w14:paraId="6B215200">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（3）中标人在项目实施过程中必须保证人员稳定，任何变更应书面征得采购人的同意。对此中标人必须无条件接受采购人的监督检查，并承担人员不足、不到位所导致的相关质量、进度等违约责任。</w:t>
      </w:r>
    </w:p>
    <w:p w14:paraId="578D09F0">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（4）中标人在项目实施过程中出现资源、进度、质量协调控制不力的情况，采购人有权要求更换相关项目人员，中标人必须予以配合，并确保不影响项目建设的进度和质量。</w:t>
      </w:r>
    </w:p>
    <w:p w14:paraId="2941241D">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（5）项目建设期及系统维保期间，中标人所产生的工作费用，培训费用和工作所需的电脑终端、办公设备由中标人承担。</w:t>
      </w:r>
    </w:p>
    <w:p w14:paraId="06587823">
      <w:pPr>
        <w:spacing w:line="360" w:lineRule="auto"/>
        <w:rPr>
          <w:rFonts w:hint="eastAsia" w:ascii="宋体" w:hAnsi="宋体" w:eastAsia="宋体"/>
          <w:b w:val="0"/>
          <w:bCs w:val="0"/>
          <w:sz w:val="21"/>
          <w:szCs w:val="21"/>
        </w:rPr>
      </w:pPr>
      <w:r>
        <w:rPr>
          <w:rFonts w:hint="eastAsia" w:ascii="宋体" w:hAnsi="宋体" w:eastAsia="宋体"/>
          <w:b w:val="0"/>
          <w:bCs w:val="0"/>
          <w:sz w:val="21"/>
          <w:szCs w:val="21"/>
        </w:rPr>
        <w:t>(6)中标人须完全遵守《中华人民共和国劳动合同法》有关规定和《中华人民共和国妇女权益保障法》中关于“劳动和社会保障权益”的有关要求。</w:t>
      </w:r>
    </w:p>
    <w:p w14:paraId="373E213E">
      <w:pPr>
        <w:pStyle w:val="5"/>
        <w:ind w:firstLine="0"/>
      </w:pPr>
    </w:p>
    <w:p w14:paraId="52618F4F">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3.3保密要求</w:t>
      </w:r>
    </w:p>
    <w:p w14:paraId="3AC6BF86">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（1）中标人对履行本合同期间知悉的采购人秘密负有保密责任，且中标人的保密责任不因本项目合同的终止而终止。</w:t>
      </w:r>
    </w:p>
    <w:p w14:paraId="603F009F">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（2）中标人不得向任何第三方透露采购人工作人员的信息。</w:t>
      </w:r>
    </w:p>
    <w:p w14:paraId="1721DB9E">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未经采购人同意，中标人服务人员不得擅自记录、复印、拍摄、摘抄、收藏采购人单位的任何文件资料和信息，不得随意翻阅与工作无关的文件和资料，严禁将采购人单位内部会议、谈话内容泄露给第三方。</w:t>
      </w:r>
    </w:p>
    <w:p w14:paraId="4F989435">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4）中标人须严格遵守采购人有关安全管理工作要求，签订安全保密协议，严禁私自下载、拷贝采购人计算机内的信息资料，不得擅自携带采购人记载工作内容的硬盘、软盘和打印资料外出；严禁将工作中使用计算机储存的敏感内容、内部程序、口令、密码等泄露给无关人员。</w:t>
      </w:r>
    </w:p>
    <w:p w14:paraId="6A255A89">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（5）在对外部门、单位交流中，不得泄露和发表涉及采购人及警务工作秘密的技术文档和论文。</w:t>
      </w:r>
    </w:p>
    <w:p w14:paraId="3BC3CC04">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（6）不得带领无关人员进入办公场所。</w:t>
      </w:r>
    </w:p>
    <w:p w14:paraId="16647658">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（7）中标人工作人员如离开采购人工作岗位，不得泄露从采购人处所知悉的资料信息。</w:t>
      </w:r>
    </w:p>
    <w:p w14:paraId="5B63DE9B">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3.4项目培训要求</w:t>
      </w:r>
    </w:p>
    <w:p w14:paraId="57DD9606">
      <w:pPr>
        <w:spacing w:line="360" w:lineRule="auto"/>
        <w:ind w:firstLine="420" w:firstLineChars="200"/>
        <w:jc w:val="left"/>
        <w:rPr>
          <w:rFonts w:hint="eastAsia" w:ascii="宋体" w:hAnsi="宋体" w:eastAsia="宋体"/>
          <w:b w:val="0"/>
          <w:bCs w:val="0"/>
          <w:sz w:val="21"/>
          <w:szCs w:val="21"/>
        </w:rPr>
      </w:pPr>
      <w:r>
        <w:rPr>
          <w:rFonts w:hint="eastAsia" w:ascii="宋体" w:hAnsi="宋体" w:eastAsia="宋体"/>
          <w:b w:val="0"/>
          <w:bCs w:val="0"/>
          <w:sz w:val="21"/>
          <w:szCs w:val="21"/>
        </w:rPr>
        <w:t>投标人应提供培训方案，提供完善的技术培训，负责完成对所有使用“广州市第二代居民身份证制证辅助管理系统”相关人员熟练操作，培训方案包括但不限于以下内容：</w:t>
      </w:r>
    </w:p>
    <w:p w14:paraId="71EDA27B">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培训内容：包括但不限于涉及的“广州市第二代居民身份证制证辅助管理系统”功能模块操作、系统维护等。</w:t>
      </w:r>
    </w:p>
    <w:p w14:paraId="739AFF67">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培训对象：广州市公安局居民身份证制作所民警和员工等，暂定约50人次。针对数据处理员、膜打印操作员、电写操作员、仓管员、系统管理员等不同岗位开展分层次培训。</w:t>
      </w:r>
    </w:p>
    <w:p w14:paraId="2754FDC2">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培训师要求：提供不少于2名项目实施工程师且具备培训经验的专职培训讲师。</w:t>
      </w:r>
    </w:p>
    <w:p w14:paraId="0C31EF99">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培训地点：采购人指定的培训地点。</w:t>
      </w:r>
    </w:p>
    <w:p w14:paraId="42F0077D">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培训考核：培训后组织考核，考核以实操为主，参训人员考核通过率≧95%,考核不及格人员需免费补训，直至全部通过。提供完整的培训教材电子版，培训签到表、考核成绩单。</w:t>
      </w:r>
    </w:p>
    <w:p w14:paraId="04501AD4">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培训时间：采购人根据需要安排具体时间；现场集中培训不少于2场，每场培训不少于2学时。</w:t>
      </w:r>
    </w:p>
    <w:p w14:paraId="1BEED622">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培训费用：培训所产生的所有培训场地、讲师、讲义、上机演练等费用均由中标人承担。采购人参加培训的交通费和食宿费由采购人自行负责。</w:t>
      </w:r>
    </w:p>
    <w:p w14:paraId="07B23C77">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3.5售后服务要求</w:t>
      </w:r>
    </w:p>
    <w:p w14:paraId="2D257D15">
      <w:pPr>
        <w:numPr>
          <w:ilvl w:val="0"/>
          <w:numId w:val="1"/>
        </w:num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成品软件租赁服务的维保期为整个租赁期内（三年内），中标人需为所提供的平台提供免费升级和维护服务，服务期内需保障系统正常运行。</w:t>
      </w:r>
    </w:p>
    <w:p w14:paraId="0888841B">
      <w:pPr>
        <w:numPr>
          <w:ilvl w:val="0"/>
          <w:numId w:val="1"/>
        </w:num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“广州市第二代居民身份证制证辅助管理系统”</w:t>
      </w:r>
      <w:r>
        <w:rPr>
          <w:rFonts w:hint="eastAsia" w:ascii="宋体" w:hAnsi="宋体" w:eastAsia="宋体" w:cs="宋体"/>
          <w:b w:val="0"/>
          <w:bCs w:val="0"/>
          <w:sz w:val="21"/>
          <w:szCs w:val="21"/>
          <w:lang w:eastAsia="zh-CN"/>
        </w:rPr>
        <w:t>本国化适配</w:t>
      </w:r>
      <w:r>
        <w:rPr>
          <w:rFonts w:hint="eastAsia" w:ascii="宋体" w:hAnsi="宋体" w:eastAsia="宋体"/>
          <w:b w:val="0"/>
          <w:bCs w:val="0"/>
          <w:sz w:val="21"/>
          <w:szCs w:val="21"/>
        </w:rPr>
        <w:t>升级改造验收后提供1年免费维保服务，时间自项目合同验收通过之日起计算，中标人需为所提供的软件系统提供免费升级和维护服务，服务期内需保障系统正常运行。</w:t>
      </w:r>
    </w:p>
    <w:p w14:paraId="6B160AEC">
      <w:pPr>
        <w:numPr>
          <w:ilvl w:val="0"/>
          <w:numId w:val="1"/>
        </w:num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系统交付使用后，</w:t>
      </w:r>
      <w:r>
        <w:rPr>
          <w:rFonts w:hint="eastAsia" w:ascii="宋体" w:hAnsi="宋体" w:eastAsia="宋体"/>
          <w:b w:val="0"/>
          <w:bCs w:val="0"/>
          <w:sz w:val="21"/>
          <w:szCs w:val="21"/>
        </w:rPr>
        <w:t>中标人</w:t>
      </w:r>
      <w:r>
        <w:rPr>
          <w:rFonts w:ascii="宋体" w:hAnsi="宋体" w:eastAsia="宋体"/>
          <w:b w:val="0"/>
          <w:bCs w:val="0"/>
          <w:sz w:val="21"/>
          <w:szCs w:val="21"/>
        </w:rPr>
        <w:t>应负责技术支持服务，日常运维服务人数不少于2人，提供7*24小时的电话支持，并在敏感时期、重大节假日提供技术人员专门值守服务。7*24小时的技术支持和故障响应时间应小于1小时，若电话中无法解决，</w:t>
      </w:r>
      <w:r>
        <w:rPr>
          <w:rFonts w:hint="eastAsia" w:ascii="宋体" w:hAnsi="宋体" w:eastAsia="宋体"/>
          <w:b w:val="0"/>
          <w:bCs w:val="0"/>
          <w:sz w:val="21"/>
          <w:szCs w:val="21"/>
        </w:rPr>
        <w:t>8</w:t>
      </w:r>
      <w:r>
        <w:rPr>
          <w:rFonts w:ascii="宋体" w:hAnsi="宋体" w:eastAsia="宋体"/>
          <w:b w:val="0"/>
          <w:bCs w:val="0"/>
          <w:sz w:val="21"/>
          <w:szCs w:val="21"/>
        </w:rPr>
        <w:t>小时内到达现场进行维护</w:t>
      </w:r>
      <w:r>
        <w:rPr>
          <w:rFonts w:hint="eastAsia" w:ascii="宋体" w:hAnsi="宋体" w:eastAsia="宋体"/>
          <w:b w:val="0"/>
          <w:bCs w:val="0"/>
          <w:sz w:val="21"/>
          <w:szCs w:val="21"/>
        </w:rPr>
        <w:t>，</w:t>
      </w:r>
      <w:r>
        <w:rPr>
          <w:rFonts w:ascii="宋体" w:hAnsi="宋体" w:eastAsia="宋体"/>
          <w:b w:val="0"/>
          <w:bCs w:val="0"/>
          <w:sz w:val="21"/>
          <w:szCs w:val="21"/>
        </w:rPr>
        <w:t>8 小时内对故障做出初步判断，一般故障 24</w:t>
      </w:r>
      <w:r>
        <w:rPr>
          <w:rFonts w:hint="eastAsia" w:ascii="宋体" w:hAnsi="宋体" w:eastAsia="宋体"/>
          <w:b w:val="0"/>
          <w:bCs w:val="0"/>
          <w:sz w:val="21"/>
          <w:szCs w:val="21"/>
        </w:rPr>
        <w:t>小时</w:t>
      </w:r>
      <w:r>
        <w:rPr>
          <w:rFonts w:ascii="宋体" w:hAnsi="宋体" w:eastAsia="宋体"/>
          <w:b w:val="0"/>
          <w:bCs w:val="0"/>
          <w:sz w:val="21"/>
          <w:szCs w:val="21"/>
        </w:rPr>
        <w:t>内解决，重大故障48</w:t>
      </w:r>
      <w:r>
        <w:rPr>
          <w:rFonts w:hint="eastAsia" w:ascii="宋体" w:hAnsi="宋体" w:eastAsia="宋体"/>
          <w:b w:val="0"/>
          <w:bCs w:val="0"/>
          <w:sz w:val="21"/>
          <w:szCs w:val="21"/>
        </w:rPr>
        <w:t>小时</w:t>
      </w:r>
      <w:r>
        <w:rPr>
          <w:rFonts w:ascii="宋体" w:hAnsi="宋体" w:eastAsia="宋体"/>
          <w:b w:val="0"/>
          <w:bCs w:val="0"/>
          <w:sz w:val="21"/>
          <w:szCs w:val="21"/>
        </w:rPr>
        <w:t>内解决。</w:t>
      </w:r>
    </w:p>
    <w:p w14:paraId="71DFB38D">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3.6验收要求</w:t>
      </w:r>
    </w:p>
    <w:p w14:paraId="75F0317E">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（1）验收标准：</w:t>
      </w:r>
    </w:p>
    <w:p w14:paraId="450B2B50">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　　验收应在采购人、中标人、采购人委托的监理单位（若有）共同参加下进行，按照国家有关规定、规范进行；采购人组织项目验收小组按国家有关规定、规范进行验收，必要时邀请相关专业人员或者第三方机构参与验收，同时验收要符合广州市政务服务数据管理局的相关规定。</w:t>
      </w:r>
    </w:p>
    <w:p w14:paraId="480B66BA">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　项目的验收必须符合以下要求：</w:t>
      </w:r>
    </w:p>
    <w:p w14:paraId="0892BF5E">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1）实现合同和采购文件中列举的全部功能和非功能要求；</w:t>
      </w:r>
    </w:p>
    <w:p w14:paraId="1AC098EF">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2）达到合同和采购文件中列举的全部指标；</w:t>
      </w:r>
    </w:p>
    <w:p w14:paraId="5AB5726A">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3）文档齐全，符合合同和采购文件及相关标准要求；</w:t>
      </w:r>
    </w:p>
    <w:p w14:paraId="13449BE8">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4）验收项目包括按照合同和采购文件中所标明的软件系统、硬件设备及相关的技术维护文档、培训教材、使用说明书等；</w:t>
      </w:r>
    </w:p>
    <w:p w14:paraId="5BCE1171">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5）符合中华人民共和国国家和履约地相关行业技术规范标准。</w:t>
      </w:r>
    </w:p>
    <w:p w14:paraId="101AD05D">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注：上述各类标准与法规是有关官方机构最新发布的现行标准版本。</w:t>
      </w:r>
    </w:p>
    <w:p w14:paraId="2ECAE89F">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（2）验收阶段</w:t>
      </w:r>
    </w:p>
    <w:p w14:paraId="3BCF3260">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1）用户验收</w:t>
      </w:r>
    </w:p>
    <w:p w14:paraId="5B7E8F1F">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第一期阶段性验收:</w:t>
      </w:r>
    </w:p>
    <w:p w14:paraId="631A2DC7">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中标人完成所有软件系统开发部署、测试、上线后，由采购人、中标人、采购人委托的监理单位（若有）共同制定和签署初步验收测试报告，并根据验收标准进行项目初步验收。</w:t>
      </w:r>
    </w:p>
    <w:p w14:paraId="64C4D9E5">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第二期阶段性验收：成品软件租赁服务满12个月时，成品软件运行稳定，“广州市第二代居民身份证制证辅助管理系统”</w:t>
      </w:r>
      <w:r>
        <w:rPr>
          <w:rFonts w:hint="eastAsia" w:ascii="宋体" w:hAnsi="宋体" w:eastAsia="宋体" w:cs="宋体"/>
          <w:b w:val="0"/>
          <w:bCs w:val="0"/>
          <w:sz w:val="21"/>
          <w:szCs w:val="21"/>
          <w:lang w:eastAsia="zh-CN"/>
        </w:rPr>
        <w:t>本国化适配</w:t>
      </w:r>
      <w:r>
        <w:rPr>
          <w:rFonts w:hint="eastAsia" w:ascii="宋体" w:hAnsi="宋体" w:eastAsia="宋体"/>
          <w:b w:val="0"/>
          <w:bCs w:val="0"/>
          <w:sz w:val="21"/>
          <w:szCs w:val="21"/>
        </w:rPr>
        <w:t>升级改造本子系统上线试运行不少于3个月且试运行期间连续稳定，中标人完成所有软件系统建设以及项目培训，并通过软件系统验收测评、等级保护测评、商用密码安全性评估、信息技术应用创新符合性测试（信息技术应用创新符合性测试所产生的费用由中标人负责）等第三方测评并取得相应的测试报告后，投标人将系统的全部有关产品说明书、技术文资料和安装、调试、测试等文档交付采购人，由采购人及采购人委托的监理单位（若有）进行验收前审核通过后，经由采购人同意后，中标人可向采购人申请第二期阶段性验收，采购人按规定组织验收评审。</w:t>
      </w:r>
    </w:p>
    <w:p w14:paraId="4BDAB780">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第三期阶段性验收：</w:t>
      </w:r>
    </w:p>
    <w:p w14:paraId="28B72376">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　成品软件租赁服务满24个月时，成品软件运行稳定，经由采购人同意后，中标人可向采购人申请第三期阶段性验收，采购人按规定组织验收评审；</w:t>
      </w:r>
    </w:p>
    <w:p w14:paraId="3ADB4192">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2）合同验收：租赁服务满36个月时，中标人完成所有合同要求的工作，由采购人按照验收标准组织项目合同验收</w:t>
      </w:r>
    </w:p>
    <w:p w14:paraId="43441E31">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3）终验：完成合同验收后，按照上级验收要求及时间安排申请终验评审，并出具最终验收意见。</w:t>
      </w:r>
    </w:p>
    <w:p w14:paraId="51F5BC1F">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3.7付款方式</w:t>
      </w:r>
    </w:p>
    <w:p w14:paraId="37257AC8">
      <w:p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第1期为(预付款)：项目签订合同后，</w:t>
      </w:r>
      <w:r>
        <w:rPr>
          <w:rFonts w:hint="eastAsia" w:ascii="宋体" w:hAnsi="宋体" w:eastAsia="宋体"/>
          <w:b w:val="0"/>
          <w:bCs w:val="0"/>
          <w:sz w:val="21"/>
          <w:szCs w:val="21"/>
        </w:rPr>
        <w:t>中标人</w:t>
      </w:r>
      <w:r>
        <w:rPr>
          <w:rFonts w:ascii="宋体" w:hAnsi="宋体" w:eastAsia="宋体"/>
          <w:b w:val="0"/>
          <w:bCs w:val="0"/>
          <w:sz w:val="21"/>
          <w:szCs w:val="21"/>
        </w:rPr>
        <w:t>开具发票，采购人在收到发票</w:t>
      </w:r>
      <w:r>
        <w:rPr>
          <w:rFonts w:hint="eastAsia" w:ascii="宋体" w:hAnsi="宋体" w:eastAsia="宋体"/>
          <w:b w:val="0"/>
          <w:bCs w:val="0"/>
          <w:sz w:val="21"/>
          <w:szCs w:val="21"/>
        </w:rPr>
        <w:t>5</w:t>
      </w:r>
      <w:r>
        <w:rPr>
          <w:rFonts w:ascii="宋体" w:hAnsi="宋体" w:eastAsia="宋体"/>
          <w:b w:val="0"/>
          <w:bCs w:val="0"/>
          <w:sz w:val="21"/>
          <w:szCs w:val="21"/>
        </w:rPr>
        <w:t>个工作日内向</w:t>
      </w:r>
      <w:r>
        <w:rPr>
          <w:rFonts w:hint="eastAsia" w:ascii="宋体" w:hAnsi="宋体" w:eastAsia="宋体"/>
          <w:b w:val="0"/>
          <w:bCs w:val="0"/>
          <w:sz w:val="21"/>
          <w:szCs w:val="21"/>
        </w:rPr>
        <w:t>中标人</w:t>
      </w:r>
      <w:r>
        <w:rPr>
          <w:rFonts w:ascii="宋体" w:hAnsi="宋体" w:eastAsia="宋体"/>
          <w:b w:val="0"/>
          <w:bCs w:val="0"/>
          <w:sz w:val="21"/>
          <w:szCs w:val="21"/>
        </w:rPr>
        <w:t>支付合同款总金额的</w:t>
      </w:r>
      <w:r>
        <w:rPr>
          <w:rFonts w:hint="eastAsia" w:ascii="宋体" w:hAnsi="宋体" w:eastAsia="宋体"/>
          <w:b w:val="0"/>
          <w:bCs w:val="0"/>
          <w:sz w:val="21"/>
          <w:szCs w:val="21"/>
        </w:rPr>
        <w:t>3</w:t>
      </w:r>
      <w:r>
        <w:rPr>
          <w:rFonts w:ascii="宋体" w:hAnsi="宋体" w:eastAsia="宋体"/>
          <w:b w:val="0"/>
          <w:bCs w:val="0"/>
          <w:sz w:val="21"/>
          <w:szCs w:val="21"/>
        </w:rPr>
        <w:t>0%作为预付款；</w:t>
      </w:r>
    </w:p>
    <w:p w14:paraId="4B5C981A">
      <w:p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第2期为(进度款)：支付比例</w:t>
      </w:r>
      <w:r>
        <w:rPr>
          <w:rFonts w:hint="eastAsia" w:ascii="宋体" w:hAnsi="宋体" w:eastAsia="宋体"/>
          <w:b w:val="0"/>
          <w:bCs w:val="0"/>
          <w:sz w:val="21"/>
          <w:szCs w:val="21"/>
        </w:rPr>
        <w:t>20</w:t>
      </w:r>
      <w:r>
        <w:rPr>
          <w:rFonts w:ascii="宋体" w:hAnsi="宋体" w:eastAsia="宋体"/>
          <w:b w:val="0"/>
          <w:bCs w:val="0"/>
          <w:sz w:val="21"/>
          <w:szCs w:val="21"/>
        </w:rPr>
        <w:t>%，租赁服务满12个月且</w:t>
      </w:r>
      <w:r>
        <w:rPr>
          <w:rFonts w:hint="eastAsia" w:ascii="宋体" w:hAnsi="宋体" w:eastAsia="宋体"/>
          <w:b w:val="0"/>
          <w:bCs w:val="0"/>
          <w:sz w:val="21"/>
          <w:szCs w:val="21"/>
        </w:rPr>
        <w:t>用户验收</w:t>
      </w:r>
      <w:r>
        <w:rPr>
          <w:rFonts w:ascii="宋体" w:hAnsi="宋体" w:eastAsia="宋体"/>
          <w:b w:val="0"/>
          <w:bCs w:val="0"/>
          <w:sz w:val="21"/>
          <w:szCs w:val="21"/>
        </w:rPr>
        <w:t>第</w:t>
      </w:r>
      <w:r>
        <w:rPr>
          <w:rFonts w:hint="eastAsia" w:ascii="宋体" w:hAnsi="宋体" w:eastAsia="宋体"/>
          <w:b w:val="0"/>
          <w:bCs w:val="0"/>
          <w:sz w:val="21"/>
          <w:szCs w:val="21"/>
        </w:rPr>
        <w:t>二</w:t>
      </w:r>
      <w:r>
        <w:rPr>
          <w:rFonts w:ascii="宋体" w:hAnsi="宋体" w:eastAsia="宋体"/>
          <w:b w:val="0"/>
          <w:bCs w:val="0"/>
          <w:sz w:val="21"/>
          <w:szCs w:val="21"/>
        </w:rPr>
        <w:t>期阶段性验收合格后，经采购人书面确认，</w:t>
      </w:r>
      <w:r>
        <w:rPr>
          <w:rFonts w:hint="eastAsia" w:ascii="宋体" w:hAnsi="宋体" w:eastAsia="宋体"/>
          <w:b w:val="0"/>
          <w:bCs w:val="0"/>
          <w:sz w:val="21"/>
          <w:szCs w:val="21"/>
        </w:rPr>
        <w:t>中标人</w:t>
      </w:r>
      <w:r>
        <w:rPr>
          <w:rFonts w:ascii="宋体" w:hAnsi="宋体" w:eastAsia="宋体"/>
          <w:b w:val="0"/>
          <w:bCs w:val="0"/>
          <w:sz w:val="21"/>
          <w:szCs w:val="21"/>
        </w:rPr>
        <w:t>开具发票，采购人在收到发票后</w:t>
      </w:r>
      <w:r>
        <w:rPr>
          <w:rFonts w:hint="eastAsia" w:ascii="宋体" w:hAnsi="宋体" w:eastAsia="宋体"/>
          <w:b w:val="0"/>
          <w:bCs w:val="0"/>
          <w:sz w:val="21"/>
          <w:szCs w:val="21"/>
        </w:rPr>
        <w:t>5</w:t>
      </w:r>
      <w:r>
        <w:rPr>
          <w:rFonts w:ascii="宋体" w:hAnsi="宋体" w:eastAsia="宋体"/>
          <w:b w:val="0"/>
          <w:bCs w:val="0"/>
          <w:sz w:val="21"/>
          <w:szCs w:val="21"/>
        </w:rPr>
        <w:t>个工作日内向</w:t>
      </w:r>
      <w:r>
        <w:rPr>
          <w:rFonts w:hint="eastAsia" w:ascii="宋体" w:hAnsi="宋体" w:eastAsia="宋体"/>
          <w:b w:val="0"/>
          <w:bCs w:val="0"/>
          <w:sz w:val="21"/>
          <w:szCs w:val="21"/>
        </w:rPr>
        <w:t>中标人</w:t>
      </w:r>
      <w:r>
        <w:rPr>
          <w:rFonts w:ascii="宋体" w:hAnsi="宋体" w:eastAsia="宋体"/>
          <w:b w:val="0"/>
          <w:bCs w:val="0"/>
          <w:sz w:val="21"/>
          <w:szCs w:val="21"/>
        </w:rPr>
        <w:t>支付合同总额的</w:t>
      </w:r>
      <w:r>
        <w:rPr>
          <w:rFonts w:hint="eastAsia" w:ascii="宋体" w:hAnsi="宋体" w:eastAsia="宋体"/>
          <w:b w:val="0"/>
          <w:bCs w:val="0"/>
          <w:sz w:val="21"/>
          <w:szCs w:val="21"/>
          <w:lang w:val="en-US" w:eastAsia="zh-CN"/>
        </w:rPr>
        <w:t>2</w:t>
      </w:r>
      <w:r>
        <w:rPr>
          <w:rFonts w:hint="eastAsia" w:ascii="宋体" w:hAnsi="宋体" w:eastAsia="宋体"/>
          <w:b w:val="0"/>
          <w:bCs w:val="0"/>
          <w:sz w:val="21"/>
          <w:szCs w:val="21"/>
        </w:rPr>
        <w:t>0</w:t>
      </w:r>
      <w:r>
        <w:rPr>
          <w:rFonts w:ascii="宋体" w:hAnsi="宋体" w:eastAsia="宋体"/>
          <w:b w:val="0"/>
          <w:bCs w:val="0"/>
          <w:sz w:val="21"/>
          <w:szCs w:val="21"/>
        </w:rPr>
        <w:t>%；</w:t>
      </w:r>
    </w:p>
    <w:p w14:paraId="4F381BC4">
      <w:pPr>
        <w:spacing w:line="360" w:lineRule="auto"/>
        <w:jc w:val="left"/>
        <w:rPr>
          <w:rFonts w:hint="eastAsia" w:ascii="宋体" w:hAnsi="宋体" w:eastAsia="宋体"/>
          <w:b w:val="0"/>
          <w:bCs w:val="0"/>
          <w:sz w:val="21"/>
          <w:szCs w:val="21"/>
          <w:lang w:val="en-US" w:eastAsia="zh-CN"/>
        </w:rPr>
      </w:pPr>
      <w:r>
        <w:rPr>
          <w:rFonts w:ascii="宋体" w:hAnsi="宋体" w:eastAsia="宋体"/>
          <w:b w:val="0"/>
          <w:bCs w:val="0"/>
          <w:sz w:val="21"/>
          <w:szCs w:val="21"/>
        </w:rPr>
        <w:t>第3期为(进度款)：支付比例</w:t>
      </w:r>
      <w:r>
        <w:rPr>
          <w:rFonts w:hint="eastAsia" w:ascii="宋体" w:hAnsi="宋体" w:eastAsia="宋体"/>
          <w:b w:val="0"/>
          <w:bCs w:val="0"/>
          <w:sz w:val="21"/>
          <w:szCs w:val="21"/>
        </w:rPr>
        <w:t>20</w:t>
      </w:r>
      <w:r>
        <w:rPr>
          <w:rFonts w:ascii="宋体" w:hAnsi="宋体" w:eastAsia="宋体"/>
          <w:b w:val="0"/>
          <w:bCs w:val="0"/>
          <w:sz w:val="21"/>
          <w:szCs w:val="21"/>
        </w:rPr>
        <w:t>%，租赁服务满24个月且</w:t>
      </w:r>
      <w:r>
        <w:rPr>
          <w:rFonts w:hint="eastAsia" w:ascii="宋体" w:hAnsi="宋体" w:eastAsia="宋体"/>
          <w:b w:val="0"/>
          <w:bCs w:val="0"/>
          <w:sz w:val="21"/>
          <w:szCs w:val="21"/>
        </w:rPr>
        <w:t>用户验收</w:t>
      </w:r>
      <w:r>
        <w:rPr>
          <w:rFonts w:ascii="宋体" w:hAnsi="宋体" w:eastAsia="宋体"/>
          <w:b w:val="0"/>
          <w:bCs w:val="0"/>
          <w:sz w:val="21"/>
          <w:szCs w:val="21"/>
        </w:rPr>
        <w:t>第</w:t>
      </w:r>
      <w:r>
        <w:rPr>
          <w:rFonts w:hint="eastAsia" w:ascii="宋体" w:hAnsi="宋体" w:eastAsia="宋体"/>
          <w:b w:val="0"/>
          <w:bCs w:val="0"/>
          <w:sz w:val="21"/>
          <w:szCs w:val="21"/>
        </w:rPr>
        <w:t>三</w:t>
      </w:r>
      <w:r>
        <w:rPr>
          <w:rFonts w:ascii="宋体" w:hAnsi="宋体" w:eastAsia="宋体"/>
          <w:b w:val="0"/>
          <w:bCs w:val="0"/>
          <w:sz w:val="21"/>
          <w:szCs w:val="21"/>
        </w:rPr>
        <w:t>期阶段性验收合格后，经采购人书面确认，</w:t>
      </w:r>
      <w:r>
        <w:rPr>
          <w:rFonts w:hint="eastAsia" w:ascii="宋体" w:hAnsi="宋体" w:eastAsia="宋体"/>
          <w:b w:val="0"/>
          <w:bCs w:val="0"/>
          <w:sz w:val="21"/>
          <w:szCs w:val="21"/>
        </w:rPr>
        <w:t>中标人</w:t>
      </w:r>
      <w:r>
        <w:rPr>
          <w:rFonts w:ascii="宋体" w:hAnsi="宋体" w:eastAsia="宋体"/>
          <w:b w:val="0"/>
          <w:bCs w:val="0"/>
          <w:sz w:val="21"/>
          <w:szCs w:val="21"/>
        </w:rPr>
        <w:t>开具发票，采购人在收到发票后</w:t>
      </w:r>
      <w:r>
        <w:rPr>
          <w:rFonts w:hint="eastAsia" w:ascii="宋体" w:hAnsi="宋体" w:eastAsia="宋体"/>
          <w:b w:val="0"/>
          <w:bCs w:val="0"/>
          <w:sz w:val="21"/>
          <w:szCs w:val="21"/>
        </w:rPr>
        <w:t>5</w:t>
      </w:r>
      <w:r>
        <w:rPr>
          <w:rFonts w:ascii="宋体" w:hAnsi="宋体" w:eastAsia="宋体"/>
          <w:b w:val="0"/>
          <w:bCs w:val="0"/>
          <w:sz w:val="21"/>
          <w:szCs w:val="21"/>
        </w:rPr>
        <w:t>个工作日内向</w:t>
      </w:r>
      <w:r>
        <w:rPr>
          <w:rFonts w:hint="eastAsia" w:ascii="宋体" w:hAnsi="宋体" w:eastAsia="宋体"/>
          <w:b w:val="0"/>
          <w:bCs w:val="0"/>
          <w:sz w:val="21"/>
          <w:szCs w:val="21"/>
        </w:rPr>
        <w:t>中标人</w:t>
      </w:r>
      <w:r>
        <w:rPr>
          <w:rFonts w:ascii="宋体" w:hAnsi="宋体" w:eastAsia="宋体"/>
          <w:b w:val="0"/>
          <w:bCs w:val="0"/>
          <w:sz w:val="21"/>
          <w:szCs w:val="21"/>
        </w:rPr>
        <w:t>支付合同总额的</w:t>
      </w:r>
      <w:r>
        <w:rPr>
          <w:rFonts w:hint="eastAsia" w:ascii="宋体" w:hAnsi="宋体" w:eastAsia="宋体"/>
          <w:b w:val="0"/>
          <w:bCs w:val="0"/>
          <w:sz w:val="21"/>
          <w:szCs w:val="21"/>
          <w:lang w:val="en-US" w:eastAsia="zh-CN"/>
        </w:rPr>
        <w:t>2</w:t>
      </w:r>
      <w:r>
        <w:rPr>
          <w:rFonts w:hint="eastAsia" w:ascii="宋体" w:hAnsi="宋体" w:eastAsia="宋体"/>
          <w:b w:val="0"/>
          <w:bCs w:val="0"/>
          <w:sz w:val="21"/>
          <w:szCs w:val="21"/>
        </w:rPr>
        <w:t>0</w:t>
      </w:r>
      <w:r>
        <w:rPr>
          <w:rFonts w:ascii="宋体" w:hAnsi="宋体" w:eastAsia="宋体"/>
          <w:b w:val="0"/>
          <w:bCs w:val="0"/>
          <w:sz w:val="21"/>
          <w:szCs w:val="21"/>
        </w:rPr>
        <w:t>%；</w:t>
      </w:r>
      <w:r>
        <w:rPr>
          <w:rFonts w:hint="eastAsia" w:ascii="宋体" w:hAnsi="宋体" w:eastAsia="宋体"/>
          <w:b w:val="0"/>
          <w:bCs w:val="0"/>
          <w:sz w:val="21"/>
          <w:szCs w:val="21"/>
          <w:lang w:val="en-US" w:eastAsia="zh-CN"/>
        </w:rPr>
        <w:t xml:space="preserve"> </w:t>
      </w:r>
    </w:p>
    <w:p w14:paraId="4000DD87">
      <w:p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第4期为(尾款)：支付比例</w:t>
      </w:r>
      <w:r>
        <w:rPr>
          <w:rFonts w:hint="eastAsia" w:ascii="宋体" w:hAnsi="宋体" w:eastAsia="宋体"/>
          <w:b w:val="0"/>
          <w:bCs w:val="0"/>
          <w:sz w:val="21"/>
          <w:szCs w:val="21"/>
        </w:rPr>
        <w:t>3</w:t>
      </w:r>
      <w:r>
        <w:rPr>
          <w:rFonts w:ascii="宋体" w:hAnsi="宋体" w:eastAsia="宋体"/>
          <w:b w:val="0"/>
          <w:bCs w:val="0"/>
          <w:sz w:val="21"/>
          <w:szCs w:val="21"/>
        </w:rPr>
        <w:t>0%，租赁服务满36个月且</w:t>
      </w:r>
      <w:r>
        <w:rPr>
          <w:rFonts w:hint="eastAsia" w:ascii="宋体" w:hAnsi="宋体" w:eastAsia="宋体"/>
          <w:b w:val="0"/>
          <w:bCs w:val="0"/>
          <w:sz w:val="21"/>
          <w:szCs w:val="21"/>
        </w:rPr>
        <w:t>合同验收</w:t>
      </w:r>
      <w:r>
        <w:rPr>
          <w:rFonts w:ascii="宋体" w:hAnsi="宋体" w:eastAsia="宋体"/>
          <w:b w:val="0"/>
          <w:bCs w:val="0"/>
          <w:sz w:val="21"/>
          <w:szCs w:val="21"/>
        </w:rPr>
        <w:t>合格后，</w:t>
      </w:r>
      <w:r>
        <w:rPr>
          <w:rFonts w:hint="eastAsia" w:ascii="宋体" w:hAnsi="宋体" w:eastAsia="宋体"/>
          <w:b w:val="0"/>
          <w:bCs w:val="0"/>
          <w:sz w:val="21"/>
          <w:szCs w:val="21"/>
        </w:rPr>
        <w:t>中标人</w:t>
      </w:r>
      <w:r>
        <w:rPr>
          <w:rFonts w:ascii="宋体" w:hAnsi="宋体" w:eastAsia="宋体"/>
          <w:b w:val="0"/>
          <w:bCs w:val="0"/>
          <w:sz w:val="21"/>
          <w:szCs w:val="21"/>
        </w:rPr>
        <w:t>向采购人提交项目结算书，经采购人审核后，采购人在收到发票后</w:t>
      </w:r>
      <w:r>
        <w:rPr>
          <w:rFonts w:hint="eastAsia" w:ascii="宋体" w:hAnsi="宋体" w:eastAsia="宋体"/>
          <w:b w:val="0"/>
          <w:bCs w:val="0"/>
          <w:sz w:val="21"/>
          <w:szCs w:val="21"/>
        </w:rPr>
        <w:t>5</w:t>
      </w:r>
      <w:r>
        <w:rPr>
          <w:rFonts w:ascii="宋体" w:hAnsi="宋体" w:eastAsia="宋体"/>
          <w:b w:val="0"/>
          <w:bCs w:val="0"/>
          <w:sz w:val="21"/>
          <w:szCs w:val="21"/>
        </w:rPr>
        <w:t>个工作日内向</w:t>
      </w:r>
      <w:r>
        <w:rPr>
          <w:rFonts w:hint="eastAsia" w:ascii="宋体" w:hAnsi="宋体" w:eastAsia="宋体"/>
          <w:b w:val="0"/>
          <w:bCs w:val="0"/>
          <w:sz w:val="21"/>
          <w:szCs w:val="21"/>
        </w:rPr>
        <w:t>中标人</w:t>
      </w:r>
      <w:r>
        <w:rPr>
          <w:rFonts w:ascii="宋体" w:hAnsi="宋体" w:eastAsia="宋体"/>
          <w:b w:val="0"/>
          <w:bCs w:val="0"/>
          <w:sz w:val="21"/>
          <w:szCs w:val="21"/>
        </w:rPr>
        <w:t>支付至结算价的100%。</w:t>
      </w:r>
    </w:p>
    <w:p w14:paraId="274A7957">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　　</w:t>
      </w:r>
      <w:r>
        <w:rPr>
          <w:rFonts w:ascii="宋体" w:hAnsi="宋体" w:eastAsia="宋体"/>
          <w:b w:val="0"/>
          <w:bCs w:val="0"/>
          <w:sz w:val="21"/>
          <w:szCs w:val="21"/>
        </w:rPr>
        <w:t>因采购人使用的是财政资金，付款时间为采购人向政府采购支付部门提出支付申请的时间（不含政府采购支付部门的审查时间和支付时间），在规定时间内提交付款申请即视采购人已履行付款义务，中标人不得以资金付款期限已过为由向采购人索赔或要求支付违约金，且此情况不能成为中标人拒绝提供服务或延期提供服务的理由。但采购人有义务配合相关拨付部门完成付款。</w:t>
      </w:r>
    </w:p>
    <w:p w14:paraId="2083AB29">
      <w:pPr>
        <w:pStyle w:val="4"/>
        <w:spacing w:line="360" w:lineRule="auto"/>
        <w:rPr>
          <w:b w:val="0"/>
          <w:bCs w:val="0"/>
          <w:sz w:val="21"/>
          <w:szCs w:val="21"/>
        </w:rPr>
      </w:pPr>
    </w:p>
    <w:p w14:paraId="4B374730">
      <w:pPr>
        <w:spacing w:line="360" w:lineRule="auto"/>
        <w:jc w:val="left"/>
        <w:rPr>
          <w:rFonts w:hint="eastAsia" w:ascii="宋体" w:hAnsi="宋体" w:eastAsia="宋体"/>
          <w:b w:val="0"/>
          <w:bCs w:val="0"/>
          <w:sz w:val="21"/>
          <w:szCs w:val="21"/>
        </w:rPr>
        <w:sectPr>
          <w:pgSz w:w="11906" w:h="16838"/>
          <w:pgMar w:top="1440" w:right="1800" w:bottom="1440" w:left="1800" w:header="851" w:footer="992" w:gutter="0"/>
          <w:cols w:space="720" w:num="1"/>
          <w:docGrid w:type="lines" w:linePitch="312" w:charSpace="0"/>
        </w:sectPr>
      </w:pPr>
    </w:p>
    <w:p w14:paraId="53E15ED6">
      <w:pPr>
        <w:spacing w:line="360" w:lineRule="auto"/>
        <w:jc w:val="left"/>
        <w:outlineLvl w:val="2"/>
        <w:rPr>
          <w:rFonts w:hint="eastAsia" w:ascii="仿宋_GB2312" w:hAnsi="仿宋_GB2312" w:cs="仿宋_GB2312"/>
          <w:b w:val="0"/>
          <w:bCs w:val="0"/>
        </w:rPr>
      </w:pPr>
      <w:r>
        <w:rPr>
          <w:rFonts w:hint="eastAsia" w:ascii="宋体" w:hAnsi="宋体" w:eastAsia="宋体"/>
          <w:b w:val="0"/>
          <w:bCs w:val="0"/>
          <w:sz w:val="21"/>
          <w:szCs w:val="21"/>
        </w:rPr>
        <w:t>　</w:t>
      </w:r>
      <w:r>
        <w:rPr>
          <w:rFonts w:hint="eastAsia" w:ascii="宋体" w:hAnsi="宋体" w:eastAsia="宋体"/>
          <w:sz w:val="21"/>
          <w:szCs w:val="21"/>
        </w:rPr>
        <w:t>（二）</w:t>
      </w:r>
      <w:r>
        <w:rPr>
          <w:rFonts w:hint="eastAsia" w:ascii="宋体" w:hAnsi="宋体" w:eastAsia="宋体"/>
          <w:sz w:val="21"/>
          <w:szCs w:val="21"/>
          <w:lang w:eastAsia="zh-CN"/>
        </w:rPr>
        <w:t>采购包2</w:t>
      </w:r>
      <w:r>
        <w:rPr>
          <w:rFonts w:hint="eastAsia" w:ascii="宋体" w:hAnsi="宋体" w:eastAsia="宋体"/>
          <w:sz w:val="21"/>
          <w:szCs w:val="21"/>
        </w:rPr>
        <w:t>：广州市居民身份证制证管理系统基础环境升级改造项目</w:t>
      </w:r>
    </w:p>
    <w:p w14:paraId="5AB044C1">
      <w:pPr>
        <w:spacing w:line="360" w:lineRule="auto"/>
        <w:jc w:val="left"/>
        <w:rPr>
          <w:rFonts w:hint="eastAsia" w:ascii="宋体" w:hAnsi="宋体" w:eastAsia="宋体"/>
          <w:sz w:val="21"/>
          <w:szCs w:val="21"/>
        </w:rPr>
      </w:pPr>
      <w:r>
        <w:rPr>
          <w:rFonts w:hint="eastAsia" w:ascii="宋体" w:hAnsi="宋体" w:eastAsia="宋体"/>
          <w:sz w:val="21"/>
          <w:szCs w:val="21"/>
        </w:rPr>
        <w:t>项目属性：服务类。依据财政部《政府采购促进中小企业发展政策问答》：服务类采购项目以服务的承接商作为中小企业认定主体，无需对项目所涉及的货物的制造商提出中小企业资质要求。本项目为服务类，服务的承接商对应的行业是软件和信息技术服务业。</w:t>
      </w:r>
    </w:p>
    <w:p w14:paraId="4FBD85DE">
      <w:pPr>
        <w:spacing w:line="360" w:lineRule="auto"/>
        <w:jc w:val="left"/>
        <w:rPr>
          <w:rFonts w:hint="eastAsia" w:ascii="宋体" w:hAnsi="宋体" w:eastAsia="宋体"/>
          <w:b w:val="0"/>
          <w:bCs w:val="0"/>
          <w:sz w:val="21"/>
          <w:szCs w:val="21"/>
        </w:rPr>
      </w:pPr>
      <w:r>
        <w:rPr>
          <w:rFonts w:hint="eastAsia" w:ascii="宋体" w:hAnsi="宋体" w:eastAsia="宋体"/>
          <w:sz w:val="21"/>
          <w:szCs w:val="21"/>
        </w:rPr>
        <w:t>采购内容简述：</w:t>
      </w:r>
      <w:r>
        <w:rPr>
          <w:rFonts w:hint="eastAsia" w:ascii="宋体" w:hAnsi="宋体" w:eastAsia="宋体"/>
          <w:b w:val="0"/>
          <w:bCs w:val="0"/>
          <w:sz w:val="21"/>
          <w:szCs w:val="21"/>
        </w:rPr>
        <w:t>交换机、服务器(含操作系统)、存储阵列和数据库，以实现原有系统</w:t>
      </w:r>
      <w:r>
        <w:rPr>
          <w:rFonts w:hint="eastAsia" w:ascii="宋体" w:hAnsi="宋体" w:eastAsia="宋体"/>
          <w:b w:val="0"/>
          <w:bCs w:val="0"/>
          <w:sz w:val="21"/>
          <w:szCs w:val="21"/>
          <w:lang w:eastAsia="zh-CN"/>
        </w:rPr>
        <w:t>本国化适配</w:t>
      </w:r>
      <w:r>
        <w:rPr>
          <w:rFonts w:hint="eastAsia" w:ascii="宋体" w:hAnsi="宋体" w:eastAsia="宋体"/>
          <w:b w:val="0"/>
          <w:bCs w:val="0"/>
          <w:sz w:val="21"/>
          <w:szCs w:val="21"/>
        </w:rPr>
        <w:t>改造需求，实现广州市公安局的居民身份证制证系统硬件平台的升级改造，具体包括：1.应用服务器14台；2.存储阵列3套；3.光纤交换机2台；4.核心网络交换机1台；5.汇聚交换机1台；6.机柜2个；7.正版数据库7套；8.数据备份迁移服务1项；</w:t>
      </w:r>
    </w:p>
    <w:p w14:paraId="72715540">
      <w:pPr>
        <w:spacing w:line="360" w:lineRule="auto"/>
        <w:jc w:val="left"/>
        <w:rPr>
          <w:rFonts w:hint="eastAsia" w:ascii="宋体" w:hAnsi="宋体" w:eastAsia="宋体"/>
          <w:b w:val="0"/>
          <w:bCs w:val="0"/>
          <w:sz w:val="21"/>
          <w:szCs w:val="21"/>
        </w:rPr>
      </w:pPr>
      <w:r>
        <w:rPr>
          <w:rFonts w:hint="eastAsia" w:ascii="宋体" w:hAnsi="宋体" w:eastAsia="宋体"/>
          <w:sz w:val="21"/>
          <w:szCs w:val="21"/>
        </w:rPr>
        <w:t>项目预算：</w:t>
      </w:r>
      <w:r>
        <w:rPr>
          <w:rFonts w:hint="eastAsia" w:ascii="宋体" w:hAnsi="宋体" w:eastAsia="宋体"/>
          <w:b w:val="0"/>
          <w:bCs w:val="0"/>
          <w:sz w:val="21"/>
          <w:szCs w:val="21"/>
        </w:rPr>
        <w:t>2026年度预算85.32万元，2027年度预算184.86万元，2029年度预算14.22万元。</w:t>
      </w:r>
    </w:p>
    <w:p w14:paraId="1EA640A8">
      <w:pPr>
        <w:spacing w:line="360" w:lineRule="auto"/>
        <w:jc w:val="left"/>
        <w:rPr>
          <w:rFonts w:hint="eastAsia" w:ascii="宋体" w:hAnsi="宋体"/>
          <w:b w:val="0"/>
          <w:bCs w:val="0"/>
        </w:rPr>
      </w:pPr>
      <w:r>
        <w:rPr>
          <w:rFonts w:hint="eastAsia" w:ascii="宋体" w:hAnsi="宋体" w:eastAsia="宋体"/>
          <w:b w:val="0"/>
          <w:bCs w:val="0"/>
          <w:sz w:val="21"/>
          <w:szCs w:val="21"/>
        </w:rPr>
        <w:t>★本采购包实行双限价，投标人在《开标一览表》中的投标报价总价超过采购包预算、分项报价超过下列“分项报价限额”清单相应分项报价限额的报价均为无效投标（投标人需要在投标文件中另外列出分项报价限额）</w:t>
      </w:r>
    </w:p>
    <w:p w14:paraId="5FD63734">
      <w:pPr>
        <w:spacing w:line="360" w:lineRule="auto"/>
        <w:jc w:val="left"/>
        <w:rPr>
          <w:rFonts w:hint="eastAsia" w:ascii="宋体" w:hAnsi="宋体" w:eastAsia="宋体"/>
          <w:sz w:val="21"/>
          <w:szCs w:val="21"/>
        </w:rPr>
      </w:pPr>
      <w:r>
        <w:rPr>
          <w:rFonts w:hint="eastAsia" w:ascii="宋体" w:hAnsi="宋体" w:eastAsia="宋体"/>
          <w:sz w:val="21"/>
          <w:szCs w:val="21"/>
        </w:rPr>
        <w:t>分项报价限额：</w:t>
      </w:r>
    </w:p>
    <w:tbl>
      <w:tblPr>
        <w:tblStyle w:val="7"/>
        <w:tblW w:w="8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0"/>
        <w:gridCol w:w="846"/>
        <w:gridCol w:w="750"/>
        <w:gridCol w:w="2459"/>
        <w:gridCol w:w="1305"/>
      </w:tblGrid>
      <w:tr w14:paraId="53EB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0" w:type="dxa"/>
            <w:noWrap w:val="0"/>
            <w:vAlign w:val="top"/>
          </w:tcPr>
          <w:p w14:paraId="0BD2E9E4">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采购分项名称</w:t>
            </w:r>
          </w:p>
        </w:tc>
        <w:tc>
          <w:tcPr>
            <w:tcW w:w="846" w:type="dxa"/>
            <w:noWrap w:val="0"/>
            <w:vAlign w:val="top"/>
          </w:tcPr>
          <w:p w14:paraId="5090594A">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单位</w:t>
            </w:r>
          </w:p>
        </w:tc>
        <w:tc>
          <w:tcPr>
            <w:tcW w:w="750" w:type="dxa"/>
            <w:noWrap w:val="0"/>
            <w:vAlign w:val="top"/>
          </w:tcPr>
          <w:p w14:paraId="5A0544C5">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数量</w:t>
            </w:r>
          </w:p>
        </w:tc>
        <w:tc>
          <w:tcPr>
            <w:tcW w:w="2459" w:type="dxa"/>
            <w:noWrap w:val="0"/>
            <w:vAlign w:val="top"/>
          </w:tcPr>
          <w:p w14:paraId="6B196565">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分项报价限额（万元）</w:t>
            </w:r>
          </w:p>
        </w:tc>
        <w:tc>
          <w:tcPr>
            <w:tcW w:w="1305" w:type="dxa"/>
            <w:noWrap w:val="0"/>
            <w:vAlign w:val="top"/>
          </w:tcPr>
          <w:p w14:paraId="50D22CCE">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品目</w:t>
            </w:r>
          </w:p>
        </w:tc>
      </w:tr>
      <w:tr w14:paraId="717AC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0" w:type="dxa"/>
            <w:noWrap w:val="0"/>
            <w:vAlign w:val="top"/>
          </w:tcPr>
          <w:p w14:paraId="08D3EEFC">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应用服务器</w:t>
            </w:r>
          </w:p>
        </w:tc>
        <w:tc>
          <w:tcPr>
            <w:tcW w:w="846" w:type="dxa"/>
            <w:noWrap w:val="0"/>
            <w:vAlign w:val="top"/>
          </w:tcPr>
          <w:p w14:paraId="39958563">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台</w:t>
            </w:r>
          </w:p>
        </w:tc>
        <w:tc>
          <w:tcPr>
            <w:tcW w:w="750" w:type="dxa"/>
            <w:noWrap w:val="0"/>
            <w:vAlign w:val="top"/>
          </w:tcPr>
          <w:p w14:paraId="0EE3C867">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14</w:t>
            </w:r>
          </w:p>
        </w:tc>
        <w:tc>
          <w:tcPr>
            <w:tcW w:w="2459" w:type="dxa"/>
            <w:noWrap w:val="0"/>
            <w:vAlign w:val="top"/>
          </w:tcPr>
          <w:p w14:paraId="429E1B79">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105.</w:t>
            </w:r>
            <w:r>
              <w:rPr>
                <w:rFonts w:hint="eastAsia" w:ascii="宋体" w:hAnsi="宋体" w:eastAsia="宋体"/>
                <w:b w:val="0"/>
                <w:bCs w:val="0"/>
                <w:sz w:val="21"/>
                <w:szCs w:val="21"/>
                <w:lang w:val="en-US" w:eastAsia="zh-CN"/>
              </w:rPr>
              <w:t>1988</w:t>
            </w:r>
          </w:p>
        </w:tc>
        <w:tc>
          <w:tcPr>
            <w:tcW w:w="1305" w:type="dxa"/>
            <w:noWrap w:val="0"/>
            <w:vAlign w:val="top"/>
          </w:tcPr>
          <w:p w14:paraId="215A2CBF">
            <w:pPr>
              <w:spacing w:line="360" w:lineRule="auto"/>
              <w:jc w:val="center"/>
              <w:rPr>
                <w:rFonts w:hint="default" w:ascii="宋体" w:hAnsi="宋体" w:eastAsia="宋体"/>
                <w:b w:val="0"/>
                <w:bCs w:val="0"/>
                <w:sz w:val="21"/>
                <w:szCs w:val="21"/>
                <w:lang w:val="en-US" w:eastAsia="zh-CN"/>
              </w:rPr>
            </w:pPr>
            <w:r>
              <w:rPr>
                <w:rFonts w:hint="eastAsia" w:ascii="宋体" w:hAnsi="宋体" w:eastAsia="宋体"/>
                <w:b w:val="0"/>
                <w:bCs w:val="0"/>
                <w:sz w:val="21"/>
                <w:szCs w:val="21"/>
                <w:lang w:eastAsia="zh-CN"/>
              </w:rPr>
              <w:t>服务器（</w:t>
            </w:r>
            <w:r>
              <w:rPr>
                <w:rFonts w:hint="eastAsia" w:ascii="宋体" w:hAnsi="宋体" w:eastAsia="宋体"/>
                <w:b w:val="0"/>
                <w:bCs w:val="0"/>
                <w:sz w:val="21"/>
                <w:szCs w:val="21"/>
                <w:lang w:val="en-US" w:eastAsia="zh-CN"/>
              </w:rPr>
              <w:t>A02010104）</w:t>
            </w:r>
          </w:p>
        </w:tc>
      </w:tr>
      <w:tr w14:paraId="5EDDC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0" w:type="dxa"/>
            <w:noWrap w:val="0"/>
            <w:vAlign w:val="top"/>
          </w:tcPr>
          <w:p w14:paraId="2A2995CB">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存储阵列</w:t>
            </w:r>
          </w:p>
        </w:tc>
        <w:tc>
          <w:tcPr>
            <w:tcW w:w="846" w:type="dxa"/>
            <w:noWrap w:val="0"/>
            <w:vAlign w:val="top"/>
          </w:tcPr>
          <w:p w14:paraId="60A23364">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套</w:t>
            </w:r>
          </w:p>
        </w:tc>
        <w:tc>
          <w:tcPr>
            <w:tcW w:w="750" w:type="dxa"/>
            <w:noWrap w:val="0"/>
            <w:vAlign w:val="top"/>
          </w:tcPr>
          <w:p w14:paraId="6BC0B82A">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3</w:t>
            </w:r>
          </w:p>
        </w:tc>
        <w:tc>
          <w:tcPr>
            <w:tcW w:w="2459" w:type="dxa"/>
            <w:noWrap w:val="0"/>
            <w:vAlign w:val="top"/>
          </w:tcPr>
          <w:p w14:paraId="79C82C34">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120</w:t>
            </w:r>
          </w:p>
        </w:tc>
        <w:tc>
          <w:tcPr>
            <w:tcW w:w="1305" w:type="dxa"/>
            <w:noWrap w:val="0"/>
            <w:vAlign w:val="top"/>
          </w:tcPr>
          <w:p w14:paraId="5BFB86BB">
            <w:pPr>
              <w:spacing w:line="360" w:lineRule="auto"/>
              <w:jc w:val="center"/>
              <w:rPr>
                <w:rFonts w:hint="default" w:ascii="宋体" w:hAnsi="宋体" w:eastAsia="宋体"/>
                <w:b w:val="0"/>
                <w:bCs w:val="0"/>
                <w:sz w:val="21"/>
                <w:szCs w:val="21"/>
                <w:lang w:val="en-US" w:eastAsia="zh-CN"/>
              </w:rPr>
            </w:pPr>
            <w:r>
              <w:rPr>
                <w:rFonts w:hint="eastAsia" w:ascii="宋体" w:hAnsi="宋体" w:eastAsia="宋体"/>
                <w:b w:val="0"/>
                <w:bCs w:val="0"/>
                <w:sz w:val="21"/>
                <w:szCs w:val="21"/>
                <w:lang w:eastAsia="zh-CN"/>
              </w:rPr>
              <w:t>磁盘阵列（</w:t>
            </w:r>
            <w:r>
              <w:rPr>
                <w:rFonts w:hint="eastAsia" w:ascii="宋体" w:hAnsi="宋体" w:eastAsia="宋体"/>
                <w:b w:val="0"/>
                <w:bCs w:val="0"/>
                <w:sz w:val="21"/>
                <w:szCs w:val="21"/>
                <w:lang w:val="en-US" w:eastAsia="zh-CN"/>
              </w:rPr>
              <w:t>A02010502)</w:t>
            </w:r>
          </w:p>
        </w:tc>
      </w:tr>
      <w:tr w14:paraId="42D70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0" w:type="dxa"/>
            <w:noWrap w:val="0"/>
            <w:vAlign w:val="top"/>
          </w:tcPr>
          <w:p w14:paraId="27E47AFD">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光纤交换机</w:t>
            </w:r>
          </w:p>
        </w:tc>
        <w:tc>
          <w:tcPr>
            <w:tcW w:w="846" w:type="dxa"/>
            <w:noWrap w:val="0"/>
            <w:vAlign w:val="top"/>
          </w:tcPr>
          <w:p w14:paraId="4E6DE0BE">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台</w:t>
            </w:r>
          </w:p>
        </w:tc>
        <w:tc>
          <w:tcPr>
            <w:tcW w:w="750" w:type="dxa"/>
            <w:noWrap w:val="0"/>
            <w:vAlign w:val="top"/>
          </w:tcPr>
          <w:p w14:paraId="550A317B">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2</w:t>
            </w:r>
          </w:p>
        </w:tc>
        <w:tc>
          <w:tcPr>
            <w:tcW w:w="2459" w:type="dxa"/>
            <w:noWrap w:val="0"/>
            <w:vAlign w:val="top"/>
          </w:tcPr>
          <w:p w14:paraId="3C85725B">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6</w:t>
            </w:r>
          </w:p>
        </w:tc>
        <w:tc>
          <w:tcPr>
            <w:tcW w:w="1305" w:type="dxa"/>
            <w:noWrap w:val="0"/>
            <w:vAlign w:val="top"/>
          </w:tcPr>
          <w:p w14:paraId="4E0168C4">
            <w:pPr>
              <w:spacing w:line="360" w:lineRule="auto"/>
              <w:jc w:val="center"/>
              <w:rPr>
                <w:rFonts w:hint="default" w:ascii="宋体" w:hAnsi="宋体" w:eastAsia="宋体"/>
                <w:b w:val="0"/>
                <w:bCs w:val="0"/>
                <w:sz w:val="21"/>
                <w:szCs w:val="21"/>
                <w:lang w:val="en-US" w:eastAsia="zh-CN"/>
              </w:rPr>
            </w:pPr>
            <w:r>
              <w:rPr>
                <w:rFonts w:hint="eastAsia" w:ascii="宋体" w:hAnsi="宋体" w:eastAsia="宋体"/>
                <w:b w:val="0"/>
                <w:bCs w:val="0"/>
                <w:sz w:val="21"/>
                <w:szCs w:val="21"/>
                <w:lang w:val="en-US" w:eastAsia="zh-CN"/>
              </w:rPr>
              <w:t>交换设备（A02010202）</w:t>
            </w:r>
          </w:p>
        </w:tc>
      </w:tr>
      <w:tr w14:paraId="4097D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0" w:type="dxa"/>
            <w:noWrap w:val="0"/>
            <w:vAlign w:val="top"/>
          </w:tcPr>
          <w:p w14:paraId="4D58FC9A">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核心网络交换机</w:t>
            </w:r>
          </w:p>
        </w:tc>
        <w:tc>
          <w:tcPr>
            <w:tcW w:w="846" w:type="dxa"/>
            <w:noWrap w:val="0"/>
            <w:vAlign w:val="top"/>
          </w:tcPr>
          <w:p w14:paraId="765C3C60">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台</w:t>
            </w:r>
          </w:p>
        </w:tc>
        <w:tc>
          <w:tcPr>
            <w:tcW w:w="750" w:type="dxa"/>
            <w:noWrap w:val="0"/>
            <w:vAlign w:val="top"/>
          </w:tcPr>
          <w:p w14:paraId="5383A729">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1</w:t>
            </w:r>
          </w:p>
        </w:tc>
        <w:tc>
          <w:tcPr>
            <w:tcW w:w="2459" w:type="dxa"/>
            <w:noWrap w:val="0"/>
            <w:vAlign w:val="top"/>
          </w:tcPr>
          <w:p w14:paraId="7670A7B7">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10</w:t>
            </w:r>
          </w:p>
        </w:tc>
        <w:tc>
          <w:tcPr>
            <w:tcW w:w="1305" w:type="dxa"/>
            <w:noWrap w:val="0"/>
            <w:vAlign w:val="top"/>
          </w:tcPr>
          <w:p w14:paraId="4AEC3BDE">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lang w:val="en-US" w:eastAsia="zh-CN"/>
              </w:rPr>
              <w:t>交换设备（A02010202）</w:t>
            </w:r>
          </w:p>
        </w:tc>
      </w:tr>
      <w:tr w14:paraId="67CBD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0" w:type="dxa"/>
            <w:noWrap w:val="0"/>
            <w:vAlign w:val="top"/>
          </w:tcPr>
          <w:p w14:paraId="03A6F76B">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汇聚交换机</w:t>
            </w:r>
          </w:p>
        </w:tc>
        <w:tc>
          <w:tcPr>
            <w:tcW w:w="846" w:type="dxa"/>
            <w:noWrap w:val="0"/>
            <w:vAlign w:val="top"/>
          </w:tcPr>
          <w:p w14:paraId="321854B5">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台</w:t>
            </w:r>
          </w:p>
        </w:tc>
        <w:tc>
          <w:tcPr>
            <w:tcW w:w="750" w:type="dxa"/>
            <w:noWrap w:val="0"/>
            <w:vAlign w:val="top"/>
          </w:tcPr>
          <w:p w14:paraId="589BED93">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1</w:t>
            </w:r>
          </w:p>
        </w:tc>
        <w:tc>
          <w:tcPr>
            <w:tcW w:w="2459" w:type="dxa"/>
            <w:noWrap w:val="0"/>
            <w:vAlign w:val="top"/>
          </w:tcPr>
          <w:p w14:paraId="5BFD4909">
            <w:pPr>
              <w:spacing w:line="360" w:lineRule="auto"/>
              <w:jc w:val="center"/>
              <w:rPr>
                <w:rFonts w:hint="default" w:ascii="宋体" w:hAnsi="宋体" w:eastAsia="宋体"/>
                <w:b w:val="0"/>
                <w:bCs w:val="0"/>
                <w:sz w:val="21"/>
                <w:szCs w:val="21"/>
                <w:lang w:val="en-US" w:eastAsia="zh-CN"/>
              </w:rPr>
            </w:pPr>
            <w:r>
              <w:rPr>
                <w:rFonts w:hint="eastAsia" w:ascii="宋体" w:hAnsi="宋体" w:eastAsia="宋体"/>
                <w:b w:val="0"/>
                <w:bCs w:val="0"/>
                <w:sz w:val="21"/>
                <w:szCs w:val="21"/>
              </w:rPr>
              <w:t>4</w:t>
            </w:r>
            <w:r>
              <w:rPr>
                <w:rFonts w:hint="eastAsia" w:ascii="宋体" w:hAnsi="宋体" w:eastAsia="宋体"/>
                <w:b w:val="0"/>
                <w:bCs w:val="0"/>
                <w:sz w:val="21"/>
                <w:szCs w:val="21"/>
                <w:lang w:val="en-US" w:eastAsia="zh-CN"/>
              </w:rPr>
              <w:t>.0012</w:t>
            </w:r>
          </w:p>
        </w:tc>
        <w:tc>
          <w:tcPr>
            <w:tcW w:w="1305" w:type="dxa"/>
            <w:noWrap w:val="0"/>
            <w:vAlign w:val="top"/>
          </w:tcPr>
          <w:p w14:paraId="39EDDE66">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lang w:val="en-US" w:eastAsia="zh-CN"/>
              </w:rPr>
              <w:t>交换设备（A02010202）</w:t>
            </w:r>
          </w:p>
        </w:tc>
      </w:tr>
      <w:tr w14:paraId="2C826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0" w:type="dxa"/>
            <w:noWrap w:val="0"/>
            <w:vAlign w:val="top"/>
          </w:tcPr>
          <w:p w14:paraId="687942E4">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机柜</w:t>
            </w:r>
          </w:p>
        </w:tc>
        <w:tc>
          <w:tcPr>
            <w:tcW w:w="846" w:type="dxa"/>
            <w:noWrap w:val="0"/>
            <w:vAlign w:val="top"/>
          </w:tcPr>
          <w:p w14:paraId="5C161695">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台</w:t>
            </w:r>
          </w:p>
        </w:tc>
        <w:tc>
          <w:tcPr>
            <w:tcW w:w="750" w:type="dxa"/>
            <w:noWrap w:val="0"/>
            <w:vAlign w:val="top"/>
          </w:tcPr>
          <w:p w14:paraId="3523658E">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2</w:t>
            </w:r>
          </w:p>
        </w:tc>
        <w:tc>
          <w:tcPr>
            <w:tcW w:w="2459" w:type="dxa"/>
            <w:noWrap w:val="0"/>
            <w:vAlign w:val="top"/>
          </w:tcPr>
          <w:p w14:paraId="0525B98F">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1.2</w:t>
            </w:r>
          </w:p>
        </w:tc>
        <w:tc>
          <w:tcPr>
            <w:tcW w:w="1305" w:type="dxa"/>
            <w:noWrap w:val="0"/>
            <w:vAlign w:val="top"/>
          </w:tcPr>
          <w:p w14:paraId="3A586160">
            <w:pPr>
              <w:spacing w:line="360" w:lineRule="auto"/>
              <w:jc w:val="center"/>
              <w:rPr>
                <w:rFonts w:hint="default" w:ascii="宋体" w:hAnsi="宋体" w:eastAsia="宋体"/>
                <w:b w:val="0"/>
                <w:bCs w:val="0"/>
                <w:sz w:val="21"/>
                <w:szCs w:val="21"/>
                <w:lang w:val="en-US" w:eastAsia="zh-CN"/>
              </w:rPr>
            </w:pPr>
            <w:r>
              <w:rPr>
                <w:rFonts w:hint="eastAsia" w:ascii="宋体" w:hAnsi="宋体" w:eastAsia="宋体"/>
                <w:b w:val="0"/>
                <w:bCs w:val="0"/>
                <w:sz w:val="21"/>
                <w:szCs w:val="21"/>
                <w:lang w:eastAsia="zh-CN"/>
              </w:rPr>
              <w:t>机柜（</w:t>
            </w:r>
            <w:r>
              <w:rPr>
                <w:rFonts w:hint="eastAsia" w:ascii="宋体" w:hAnsi="宋体" w:eastAsia="宋体"/>
                <w:b w:val="0"/>
                <w:bCs w:val="0"/>
                <w:sz w:val="21"/>
                <w:szCs w:val="21"/>
                <w:lang w:val="en-US" w:eastAsia="zh-CN"/>
              </w:rPr>
              <w:t>A02010601）</w:t>
            </w:r>
          </w:p>
        </w:tc>
      </w:tr>
      <w:tr w14:paraId="38EC2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0" w:type="dxa"/>
            <w:noWrap w:val="0"/>
            <w:vAlign w:val="top"/>
          </w:tcPr>
          <w:p w14:paraId="16D8B521">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正版本国化数据库</w:t>
            </w:r>
          </w:p>
        </w:tc>
        <w:tc>
          <w:tcPr>
            <w:tcW w:w="846" w:type="dxa"/>
            <w:noWrap w:val="0"/>
            <w:vAlign w:val="top"/>
          </w:tcPr>
          <w:p w14:paraId="2B193AD9">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套</w:t>
            </w:r>
          </w:p>
        </w:tc>
        <w:tc>
          <w:tcPr>
            <w:tcW w:w="750" w:type="dxa"/>
            <w:noWrap w:val="0"/>
            <w:vAlign w:val="top"/>
          </w:tcPr>
          <w:p w14:paraId="18B152DA">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7</w:t>
            </w:r>
          </w:p>
        </w:tc>
        <w:tc>
          <w:tcPr>
            <w:tcW w:w="2459" w:type="dxa"/>
            <w:noWrap w:val="0"/>
            <w:vAlign w:val="top"/>
          </w:tcPr>
          <w:p w14:paraId="065E34D9">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28</w:t>
            </w:r>
          </w:p>
        </w:tc>
        <w:tc>
          <w:tcPr>
            <w:tcW w:w="1305" w:type="dxa"/>
            <w:noWrap w:val="0"/>
            <w:vAlign w:val="top"/>
          </w:tcPr>
          <w:p w14:paraId="3B65A823">
            <w:pPr>
              <w:spacing w:line="360" w:lineRule="auto"/>
              <w:jc w:val="center"/>
              <w:rPr>
                <w:rFonts w:hint="default" w:ascii="宋体" w:hAnsi="宋体" w:eastAsia="宋体"/>
                <w:b w:val="0"/>
                <w:bCs w:val="0"/>
                <w:sz w:val="21"/>
                <w:szCs w:val="21"/>
                <w:lang w:val="en-US" w:eastAsia="zh-CN"/>
              </w:rPr>
            </w:pPr>
            <w:r>
              <w:rPr>
                <w:rFonts w:hint="eastAsia" w:ascii="宋体" w:hAnsi="宋体" w:eastAsia="宋体"/>
                <w:b w:val="0"/>
                <w:bCs w:val="0"/>
                <w:sz w:val="21"/>
                <w:szCs w:val="21"/>
                <w:lang w:eastAsia="zh-CN"/>
              </w:rPr>
              <w:t>基础软件（</w:t>
            </w:r>
            <w:r>
              <w:rPr>
                <w:rFonts w:hint="eastAsia" w:ascii="宋体" w:hAnsi="宋体" w:eastAsia="宋体"/>
                <w:b w:val="0"/>
                <w:bCs w:val="0"/>
                <w:sz w:val="21"/>
                <w:szCs w:val="21"/>
                <w:lang w:val="en-US" w:eastAsia="zh-CN"/>
              </w:rPr>
              <w:t>A08060301）</w:t>
            </w:r>
          </w:p>
        </w:tc>
      </w:tr>
      <w:tr w14:paraId="29341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0" w:type="dxa"/>
            <w:noWrap w:val="0"/>
            <w:vAlign w:val="top"/>
          </w:tcPr>
          <w:p w14:paraId="233B96EF">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数据备份迁移服务</w:t>
            </w:r>
          </w:p>
        </w:tc>
        <w:tc>
          <w:tcPr>
            <w:tcW w:w="846" w:type="dxa"/>
            <w:noWrap w:val="0"/>
            <w:vAlign w:val="top"/>
          </w:tcPr>
          <w:p w14:paraId="355C4A08">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项</w:t>
            </w:r>
          </w:p>
        </w:tc>
        <w:tc>
          <w:tcPr>
            <w:tcW w:w="750" w:type="dxa"/>
            <w:noWrap w:val="0"/>
            <w:vAlign w:val="top"/>
          </w:tcPr>
          <w:p w14:paraId="7EC7F483">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1</w:t>
            </w:r>
          </w:p>
        </w:tc>
        <w:tc>
          <w:tcPr>
            <w:tcW w:w="2459" w:type="dxa"/>
            <w:noWrap w:val="0"/>
            <w:vAlign w:val="top"/>
          </w:tcPr>
          <w:p w14:paraId="47FE368B">
            <w:pPr>
              <w:spacing w:line="360" w:lineRule="auto"/>
              <w:jc w:val="center"/>
              <w:rPr>
                <w:rFonts w:hint="eastAsia" w:ascii="宋体" w:hAnsi="宋体" w:eastAsia="宋体"/>
                <w:b w:val="0"/>
                <w:bCs w:val="0"/>
                <w:sz w:val="21"/>
                <w:szCs w:val="21"/>
              </w:rPr>
            </w:pPr>
            <w:r>
              <w:rPr>
                <w:rFonts w:hint="eastAsia" w:ascii="宋体" w:hAnsi="宋体" w:eastAsia="宋体"/>
                <w:b w:val="0"/>
                <w:bCs w:val="0"/>
                <w:sz w:val="21"/>
                <w:szCs w:val="21"/>
              </w:rPr>
              <w:t>10</w:t>
            </w:r>
          </w:p>
        </w:tc>
        <w:tc>
          <w:tcPr>
            <w:tcW w:w="1305" w:type="dxa"/>
            <w:noWrap w:val="0"/>
            <w:vAlign w:val="top"/>
          </w:tcPr>
          <w:p w14:paraId="1C8CAF47">
            <w:pPr>
              <w:spacing w:line="360" w:lineRule="auto"/>
              <w:jc w:val="center"/>
              <w:rPr>
                <w:rFonts w:hint="default" w:ascii="宋体" w:hAnsi="宋体" w:eastAsia="宋体"/>
                <w:b w:val="0"/>
                <w:bCs w:val="0"/>
                <w:sz w:val="21"/>
                <w:szCs w:val="21"/>
                <w:lang w:val="en-US" w:eastAsia="zh-CN"/>
              </w:rPr>
            </w:pPr>
            <w:r>
              <w:rPr>
                <w:rFonts w:hint="eastAsia" w:ascii="宋体" w:hAnsi="宋体" w:eastAsia="宋体"/>
                <w:b w:val="0"/>
                <w:bCs w:val="0"/>
                <w:sz w:val="21"/>
                <w:szCs w:val="21"/>
                <w:lang w:eastAsia="zh-CN"/>
              </w:rPr>
              <w:t>其他数据处理服务（</w:t>
            </w:r>
            <w:r>
              <w:rPr>
                <w:rFonts w:hint="eastAsia" w:ascii="宋体" w:hAnsi="宋体" w:eastAsia="宋体"/>
                <w:b w:val="0"/>
                <w:bCs w:val="0"/>
                <w:sz w:val="21"/>
                <w:szCs w:val="21"/>
                <w:lang w:val="en-US" w:eastAsia="zh-CN"/>
              </w:rPr>
              <w:t>C16039900)</w:t>
            </w:r>
          </w:p>
        </w:tc>
      </w:tr>
    </w:tbl>
    <w:p w14:paraId="03FF4F0A">
      <w:pPr>
        <w:spacing w:line="360" w:lineRule="auto"/>
        <w:jc w:val="left"/>
        <w:rPr>
          <w:rFonts w:hint="eastAsia" w:ascii="仿宋_GB2312" w:hAnsi="仿宋_GB2312" w:cs="仿宋_GB2312"/>
          <w:b w:val="0"/>
          <w:bCs w:val="0"/>
        </w:rPr>
      </w:pPr>
    </w:p>
    <w:p w14:paraId="61D5A3F6">
      <w:pPr>
        <w:pStyle w:val="10"/>
        <w:spacing w:line="360" w:lineRule="auto"/>
        <w:outlineLvl w:val="3"/>
        <w:rPr>
          <w:rFonts w:ascii="宋体" w:hAnsi="宋体" w:cs="宋体"/>
          <w:sz w:val="21"/>
          <w:szCs w:val="21"/>
        </w:rPr>
      </w:pPr>
      <w:r>
        <w:rPr>
          <w:rFonts w:ascii="宋体" w:hAnsi="宋体" w:cs="宋体"/>
          <w:sz w:val="21"/>
          <w:szCs w:val="21"/>
        </w:rPr>
        <w:t>（1）★凡属于《中华人民共和国实施强制性产品认证的产品目录》的产品，投标人应当在投标文件中承诺在交货时提供该产品的“中国强制性产品认证”（CCC认证）证书。</w:t>
      </w:r>
    </w:p>
    <w:p w14:paraId="63A0151C">
      <w:pPr>
        <w:pStyle w:val="10"/>
        <w:spacing w:line="360" w:lineRule="auto"/>
        <w:outlineLvl w:val="3"/>
        <w:rPr>
          <w:rFonts w:hint="eastAsia" w:ascii="宋体" w:hAnsi="宋体" w:cs="宋体"/>
          <w:sz w:val="21"/>
          <w:szCs w:val="21"/>
        </w:rPr>
      </w:pPr>
      <w:r>
        <w:rPr>
          <w:rFonts w:hint="eastAsia" w:ascii="宋体" w:hAnsi="宋体" w:cs="宋体"/>
          <w:sz w:val="21"/>
          <w:szCs w:val="21"/>
        </w:rPr>
        <w:t>（</w:t>
      </w:r>
      <w:r>
        <w:rPr>
          <w:rFonts w:hint="eastAsia" w:ascii="宋体" w:hAnsi="宋体" w:cs="宋体"/>
          <w:sz w:val="21"/>
          <w:szCs w:val="21"/>
          <w:lang w:eastAsia="zh-CN"/>
        </w:rPr>
        <w:t>2</w:t>
      </w:r>
      <w:r>
        <w:rPr>
          <w:rFonts w:hint="eastAsia" w:ascii="宋体" w:hAnsi="宋体" w:cs="宋体"/>
          <w:sz w:val="21"/>
          <w:szCs w:val="21"/>
        </w:rPr>
        <w:t>）★本次采购产品为非进口产品（进口产品指通过中国海关报关验放进入中国境内且产自关境外的产品）。</w:t>
      </w:r>
    </w:p>
    <w:p w14:paraId="602D8B7A">
      <w:pPr>
        <w:pStyle w:val="10"/>
        <w:spacing w:line="360" w:lineRule="auto"/>
        <w:outlineLvl w:val="3"/>
        <w:rPr>
          <w:rFonts w:ascii="宋体" w:hAnsi="宋体" w:cs="宋体"/>
          <w:sz w:val="21"/>
          <w:szCs w:val="21"/>
        </w:rPr>
      </w:pPr>
      <w:r>
        <w:rPr>
          <w:rFonts w:hint="eastAsia" w:ascii="宋体" w:hAnsi="宋体" w:cs="宋体"/>
          <w:sz w:val="21"/>
          <w:szCs w:val="21"/>
        </w:rPr>
        <w:t xml:space="preserve">  投标人所投货物属于本国产品的，投标人需填写《关于符合本国产品标准的声明函》《关于本国产品比例的声明函》（见招标文件第六章-格式五中附件2、附件3）作为价格评审的依据。因本项目采购标的的中国境内生产的组件成本占比相关要求、关键组件要求及关键工序要求暂未实施，因此《关于符合本国产品标准的声明函》中的“规定比例”栏、“关键组件”栏、“关键工序”栏无需填写。</w:t>
      </w:r>
    </w:p>
    <w:p w14:paraId="28BD149D">
      <w:pPr>
        <w:pStyle w:val="10"/>
        <w:spacing w:line="360" w:lineRule="auto"/>
        <w:outlineLvl w:val="3"/>
        <w:rPr>
          <w:rFonts w:ascii="宋体" w:hAnsi="宋体" w:cs="宋体"/>
          <w:sz w:val="21"/>
          <w:szCs w:val="21"/>
        </w:rPr>
      </w:pPr>
      <w:r>
        <w:rPr>
          <w:rFonts w:ascii="宋体" w:hAnsi="宋体" w:cs="宋体"/>
          <w:sz w:val="21"/>
          <w:szCs w:val="21"/>
        </w:rPr>
        <w:t>（</w:t>
      </w:r>
      <w:r>
        <w:rPr>
          <w:rFonts w:hint="eastAsia" w:ascii="宋体" w:hAnsi="宋体" w:cs="宋体"/>
          <w:sz w:val="21"/>
          <w:szCs w:val="21"/>
          <w:lang w:val="en-US" w:eastAsia="zh-CN"/>
        </w:rPr>
        <w:t>3</w:t>
      </w:r>
      <w:r>
        <w:rPr>
          <w:rFonts w:ascii="宋体" w:hAnsi="宋体" w:cs="宋体"/>
          <w:sz w:val="21"/>
          <w:szCs w:val="21"/>
        </w:rPr>
        <w:t>）采购人拟采购的</w:t>
      </w:r>
      <w:r>
        <w:rPr>
          <w:rFonts w:hint="eastAsia" w:ascii="宋体" w:hAnsi="宋体" w:cs="宋体"/>
          <w:sz w:val="21"/>
          <w:szCs w:val="21"/>
          <w:lang w:eastAsia="zh-CN"/>
        </w:rPr>
        <w:t>应用服务器</w:t>
      </w:r>
      <w:r>
        <w:rPr>
          <w:rFonts w:ascii="宋体" w:hAnsi="宋体" w:cs="宋体"/>
          <w:sz w:val="21"/>
          <w:szCs w:val="21"/>
        </w:rPr>
        <w:t>属于《环境标志产品政府采购品目清单》范围，投标人需填写《政策适用性说明》（见投标文件格式）并提交相关证明材料（证明材料包括：1.该产品属于《环境标志产品政府采购品目清单》范围的相关内容页，并对相关内容作圈记；2.市场监管总局公布的参与实施政府采购环境标志产品认证机构名录截图；3.该产品获得的由国家确定的认证机构出具的、处于有效期之内的环境标志产品认证证书），作为技术评审的依据（注：《环境标志产品政府采购品目清单》投标人可查询中国政府采购网，网址http://www.ccgp.gov.cn）。</w:t>
      </w:r>
    </w:p>
    <w:p w14:paraId="689AA3F6">
      <w:pPr>
        <w:pStyle w:val="10"/>
        <w:spacing w:line="360" w:lineRule="auto"/>
        <w:outlineLvl w:val="3"/>
        <w:rPr>
          <w:rFonts w:ascii="宋体" w:hAnsi="宋体" w:cs="宋体"/>
          <w:sz w:val="21"/>
          <w:szCs w:val="21"/>
        </w:rPr>
      </w:pPr>
      <w:r>
        <w:rPr>
          <w:rFonts w:ascii="宋体" w:hAnsi="宋体" w:cs="宋体"/>
          <w:sz w:val="21"/>
          <w:szCs w:val="21"/>
        </w:rPr>
        <w:t>1.总体技术要求</w:t>
      </w:r>
    </w:p>
    <w:p w14:paraId="50E03ED4">
      <w:pPr>
        <w:pStyle w:val="10"/>
        <w:spacing w:line="360" w:lineRule="auto"/>
        <w:ind w:firstLine="420" w:firstLineChars="200"/>
        <w:rPr>
          <w:rFonts w:ascii="宋体" w:hAnsi="宋体" w:cs="宋体"/>
          <w:sz w:val="21"/>
          <w:szCs w:val="21"/>
        </w:rPr>
      </w:pPr>
      <w:r>
        <w:rPr>
          <w:rFonts w:ascii="宋体" w:hAnsi="宋体"/>
          <w:sz w:val="21"/>
          <w:szCs w:val="21"/>
        </w:rPr>
        <w:t>★</w:t>
      </w:r>
      <w:r>
        <w:rPr>
          <w:rFonts w:ascii="宋体" w:hAnsi="宋体" w:cs="宋体"/>
          <w:b/>
          <w:bCs/>
          <w:sz w:val="21"/>
          <w:szCs w:val="21"/>
        </w:rPr>
        <w:t>本项目需要适配（X86）架构芯片，所有设备采用本国化架构，适应基于本国化操作系统和本国化数据库</w:t>
      </w:r>
      <w:r>
        <w:rPr>
          <w:rFonts w:ascii="宋体" w:hAnsi="宋体"/>
          <w:b/>
          <w:bCs/>
          <w:color w:val="000000"/>
          <w:sz w:val="21"/>
          <w:szCs w:val="21"/>
        </w:rPr>
        <w:t>（提供承诺函，格式参考附件《承诺函》）</w:t>
      </w:r>
      <w:r>
        <w:rPr>
          <w:rFonts w:ascii="宋体" w:hAnsi="宋体" w:cs="宋体"/>
          <w:sz w:val="21"/>
          <w:szCs w:val="21"/>
        </w:rPr>
        <w:t>。</w:t>
      </w:r>
    </w:p>
    <w:p w14:paraId="6E05EC9D">
      <w:pPr>
        <w:pStyle w:val="10"/>
        <w:spacing w:line="360" w:lineRule="auto"/>
        <w:ind w:firstLine="420" w:firstLineChars="200"/>
        <w:rPr>
          <w:rFonts w:ascii="宋体" w:hAnsi="宋体" w:cs="宋体"/>
          <w:sz w:val="21"/>
          <w:szCs w:val="21"/>
        </w:rPr>
      </w:pPr>
      <w:r>
        <w:rPr>
          <w:rFonts w:ascii="宋体" w:hAnsi="宋体" w:cs="宋体"/>
          <w:sz w:val="21"/>
          <w:szCs w:val="21"/>
        </w:rPr>
        <w:t>本项目的技术路线选型采用“技术先进、安全可靠、自主掌控”的原则，采购</w:t>
      </w:r>
      <w:r>
        <w:rPr>
          <w:rFonts w:ascii="宋体" w:hAnsi="宋体"/>
          <w:sz w:val="21"/>
          <w:szCs w:val="21"/>
        </w:rPr>
        <w:t>本国化</w:t>
      </w:r>
      <w:r>
        <w:rPr>
          <w:rFonts w:ascii="宋体" w:hAnsi="宋体" w:cs="宋体"/>
          <w:sz w:val="21"/>
          <w:szCs w:val="21"/>
        </w:rPr>
        <w:t>主流芯片架构、操作系统、数据库、中间件适配，以保障软件系统在</w:t>
      </w:r>
      <w:r>
        <w:rPr>
          <w:rFonts w:ascii="宋体" w:hAnsi="宋体"/>
          <w:sz w:val="21"/>
          <w:szCs w:val="21"/>
        </w:rPr>
        <w:t>本国化</w:t>
      </w:r>
      <w:r>
        <w:rPr>
          <w:rFonts w:ascii="宋体" w:hAnsi="宋体" w:cs="宋体"/>
          <w:sz w:val="21"/>
          <w:szCs w:val="21"/>
        </w:rPr>
        <w:t>环境中平稳运行。</w:t>
      </w:r>
    </w:p>
    <w:p w14:paraId="62779F90">
      <w:pPr>
        <w:pStyle w:val="10"/>
        <w:spacing w:line="360" w:lineRule="auto"/>
        <w:ind w:firstLine="420" w:firstLineChars="200"/>
        <w:rPr>
          <w:rFonts w:ascii="宋体" w:hAnsi="宋体" w:cs="宋体"/>
          <w:sz w:val="21"/>
          <w:szCs w:val="21"/>
        </w:rPr>
      </w:pPr>
      <w:r>
        <w:rPr>
          <w:rFonts w:ascii="宋体" w:hAnsi="宋体" w:cs="宋体"/>
          <w:sz w:val="21"/>
          <w:szCs w:val="21"/>
        </w:rPr>
        <w:t>本项目采购的存储设备应支持存储双活技术，两台磁盘阵列接入同一个SAN网络，建立相同的磁盘逻辑卷，通过双活存储集群功能可以将来自两台磁盘阵列的磁盘逻辑卷整合为一个虚拟卷交付至数据库服务器，数据库服务器的写操作能被自动镜像写入到两台磁盘阵列中，形成数据镜像保护，同时服务器的读操作能被自动分发到两台磁盘阵列中的一台执行，从而提高数据的读取速度。</w:t>
      </w:r>
    </w:p>
    <w:p w14:paraId="14D85FD5">
      <w:pPr>
        <w:pStyle w:val="10"/>
        <w:spacing w:line="360" w:lineRule="auto"/>
        <w:ind w:firstLine="420" w:firstLineChars="200"/>
        <w:rPr>
          <w:rFonts w:ascii="宋体" w:hAnsi="宋体" w:cs="宋体"/>
          <w:sz w:val="21"/>
          <w:szCs w:val="21"/>
        </w:rPr>
      </w:pPr>
    </w:p>
    <w:p w14:paraId="7FEFFCAB">
      <w:pPr>
        <w:pStyle w:val="10"/>
        <w:spacing w:line="360" w:lineRule="auto"/>
        <w:ind w:firstLine="420" w:firstLineChars="200"/>
        <w:rPr>
          <w:rFonts w:ascii="宋体" w:hAnsi="宋体" w:cs="宋体"/>
          <w:sz w:val="21"/>
          <w:szCs w:val="21"/>
        </w:rPr>
      </w:pPr>
    </w:p>
    <w:p w14:paraId="18BE4E36">
      <w:pPr>
        <w:pStyle w:val="10"/>
        <w:numPr>
          <w:ilvl w:val="0"/>
          <w:numId w:val="2"/>
        </w:numPr>
        <w:spacing w:line="360" w:lineRule="auto"/>
        <w:outlineLvl w:val="3"/>
        <w:rPr>
          <w:rFonts w:ascii="宋体" w:hAnsi="宋体" w:cs="宋体"/>
          <w:sz w:val="21"/>
          <w:szCs w:val="21"/>
        </w:rPr>
      </w:pPr>
      <w:r>
        <w:rPr>
          <w:rFonts w:ascii="宋体" w:hAnsi="宋体" w:cs="宋体"/>
          <w:sz w:val="21"/>
          <w:szCs w:val="21"/>
        </w:rPr>
        <w:t>技术指标要求</w:t>
      </w:r>
    </w:p>
    <w:p w14:paraId="2B474BA3">
      <w:pPr>
        <w:pStyle w:val="10"/>
        <w:spacing w:line="360" w:lineRule="auto"/>
        <w:outlineLvl w:val="4"/>
        <w:rPr>
          <w:rFonts w:ascii="宋体" w:hAnsi="宋体" w:cs="宋体"/>
          <w:sz w:val="21"/>
          <w:szCs w:val="21"/>
        </w:rPr>
      </w:pPr>
      <w:r>
        <w:rPr>
          <w:rFonts w:ascii="宋体" w:hAnsi="宋体" w:cs="宋体"/>
          <w:sz w:val="21"/>
          <w:szCs w:val="21"/>
        </w:rPr>
        <w:t>2.1应用服务器技术参数要求（14台），分项报价限额105.</w:t>
      </w:r>
      <w:r>
        <w:rPr>
          <w:rFonts w:hint="eastAsia" w:ascii="宋体" w:hAnsi="宋体" w:cs="宋体"/>
          <w:sz w:val="21"/>
          <w:szCs w:val="21"/>
          <w:lang w:val="en-US" w:eastAsia="zh-CN"/>
        </w:rPr>
        <w:t>1988</w:t>
      </w:r>
      <w:r>
        <w:rPr>
          <w:rFonts w:ascii="宋体" w:hAnsi="宋体" w:cs="宋体"/>
          <w:sz w:val="21"/>
          <w:szCs w:val="21"/>
        </w:rPr>
        <w:t>万元</w:t>
      </w:r>
      <w:r>
        <w:rPr>
          <w:rFonts w:ascii="仿宋_GB2312" w:hAnsi="仿宋_GB2312" w:cs="仿宋_GB2312"/>
          <w:szCs w:val="24"/>
        </w:rPr>
        <w:t>。</w:t>
      </w:r>
    </w:p>
    <w:tbl>
      <w:tblPr>
        <w:tblStyle w:val="6"/>
        <w:tblW w:w="8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6157"/>
        <w:gridCol w:w="720"/>
        <w:gridCol w:w="630"/>
      </w:tblGrid>
      <w:tr w14:paraId="66121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855" w:type="dxa"/>
            <w:noWrap w:val="0"/>
            <w:vAlign w:val="center"/>
          </w:tcPr>
          <w:p w14:paraId="1ACAEE52">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名称</w:t>
            </w:r>
          </w:p>
        </w:tc>
        <w:tc>
          <w:tcPr>
            <w:tcW w:w="6157" w:type="dxa"/>
            <w:noWrap w:val="0"/>
            <w:vAlign w:val="center"/>
          </w:tcPr>
          <w:p w14:paraId="0A2925C7">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技术参数</w:t>
            </w:r>
          </w:p>
        </w:tc>
        <w:tc>
          <w:tcPr>
            <w:tcW w:w="720" w:type="dxa"/>
            <w:noWrap w:val="0"/>
            <w:vAlign w:val="center"/>
          </w:tcPr>
          <w:p w14:paraId="70991129">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单位</w:t>
            </w:r>
          </w:p>
        </w:tc>
        <w:tc>
          <w:tcPr>
            <w:tcW w:w="630" w:type="dxa"/>
            <w:noWrap w:val="0"/>
            <w:vAlign w:val="center"/>
          </w:tcPr>
          <w:p w14:paraId="6E74330E">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数量</w:t>
            </w:r>
          </w:p>
        </w:tc>
      </w:tr>
      <w:tr w14:paraId="14890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855" w:type="dxa"/>
            <w:noWrap w:val="0"/>
            <w:vAlign w:val="center"/>
          </w:tcPr>
          <w:p w14:paraId="57203067">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应用</w:t>
            </w:r>
          </w:p>
          <w:p w14:paraId="6568E7AE">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服务器</w:t>
            </w:r>
          </w:p>
        </w:tc>
        <w:tc>
          <w:tcPr>
            <w:tcW w:w="6157" w:type="dxa"/>
            <w:noWrap w:val="0"/>
            <w:vAlign w:val="center"/>
          </w:tcPr>
          <w:p w14:paraId="61E11495">
            <w:pPr>
              <w:widowControl/>
              <w:rPr>
                <w:rFonts w:hint="eastAsia" w:ascii="宋体" w:hAnsi="宋体" w:eastAsia="宋体"/>
                <w:b w:val="0"/>
                <w:bCs w:val="0"/>
                <w:color w:val="000000"/>
                <w:kern w:val="0"/>
                <w:sz w:val="21"/>
                <w:szCs w:val="21"/>
              </w:rPr>
            </w:pPr>
            <w:r>
              <w:rPr>
                <w:rFonts w:ascii="宋体" w:hAnsi="宋体"/>
                <w:sz w:val="21"/>
                <w:szCs w:val="21"/>
              </w:rPr>
              <w:t>★</w:t>
            </w:r>
            <w:r>
              <w:rPr>
                <w:rFonts w:hint="eastAsia" w:ascii="宋体" w:hAnsi="宋体" w:eastAsia="宋体"/>
                <w:b w:val="0"/>
                <w:bCs w:val="0"/>
                <w:color w:val="000000"/>
                <w:kern w:val="0"/>
                <w:sz w:val="21"/>
                <w:szCs w:val="21"/>
              </w:rPr>
              <w:t>1、设备基于高性能处理器平台，可支持国产化操作系统和</w:t>
            </w:r>
            <w:r>
              <w:rPr>
                <w:rFonts w:hint="eastAsia" w:ascii="宋体" w:hAnsi="宋体" w:eastAsia="宋体"/>
                <w:b w:val="0"/>
                <w:bCs w:val="0"/>
                <w:color w:val="000000"/>
                <w:kern w:val="0"/>
                <w:sz w:val="21"/>
                <w:szCs w:val="21"/>
                <w:lang w:eastAsia="zh-CN"/>
              </w:rPr>
              <w:t>国产化</w:t>
            </w:r>
            <w:r>
              <w:rPr>
                <w:rFonts w:hint="eastAsia" w:ascii="宋体" w:hAnsi="宋体" w:eastAsia="宋体"/>
                <w:b w:val="0"/>
                <w:bCs w:val="0"/>
                <w:color w:val="000000"/>
                <w:kern w:val="0"/>
                <w:sz w:val="21"/>
                <w:szCs w:val="21"/>
              </w:rPr>
              <w:t>数据库运行；</w:t>
            </w:r>
          </w:p>
          <w:p w14:paraId="3BAD490E">
            <w:pPr>
              <w:widowControl/>
              <w:rPr>
                <w:rFonts w:hint="eastAsia" w:ascii="宋体" w:hAnsi="宋体" w:eastAsia="宋体"/>
                <w:b w:val="0"/>
                <w:bCs w:val="0"/>
                <w:color w:val="000000"/>
                <w:kern w:val="0"/>
                <w:sz w:val="21"/>
                <w:szCs w:val="21"/>
              </w:rPr>
            </w:pPr>
            <w:r>
              <w:rPr>
                <w:rFonts w:ascii="宋体" w:hAnsi="宋体"/>
                <w:sz w:val="21"/>
                <w:szCs w:val="21"/>
              </w:rPr>
              <w:t>★</w:t>
            </w:r>
            <w:r>
              <w:rPr>
                <w:rFonts w:hint="eastAsia" w:ascii="宋体" w:hAnsi="宋体" w:eastAsia="宋体"/>
                <w:b w:val="0"/>
                <w:bCs w:val="0"/>
                <w:color w:val="000000"/>
                <w:kern w:val="0"/>
                <w:sz w:val="21"/>
                <w:szCs w:val="21"/>
              </w:rPr>
              <w:t>2、X86架构CPU，配置颗数≥2颗，每颗CPU≥16核，每颗CPU主频≥2.2GHz；</w:t>
            </w:r>
          </w:p>
          <w:p w14:paraId="1AB81260">
            <w:pPr>
              <w:widowControl/>
              <w:rPr>
                <w:rFonts w:hint="eastAsia" w:ascii="宋体" w:hAnsi="宋体" w:eastAsia="宋体"/>
                <w:b w:val="0"/>
                <w:bCs w:val="0"/>
                <w:color w:val="000000"/>
                <w:kern w:val="0"/>
                <w:sz w:val="21"/>
                <w:szCs w:val="21"/>
              </w:rPr>
            </w:pPr>
            <w:r>
              <w:rPr>
                <w:rFonts w:ascii="宋体" w:hAnsi="宋体"/>
                <w:sz w:val="21"/>
                <w:szCs w:val="21"/>
              </w:rPr>
              <w:t>★</w:t>
            </w:r>
            <w:r>
              <w:rPr>
                <w:rFonts w:hint="eastAsia" w:ascii="宋体" w:hAnsi="宋体" w:eastAsia="宋体"/>
                <w:b w:val="0"/>
                <w:bCs w:val="0"/>
                <w:color w:val="000000"/>
                <w:kern w:val="0"/>
                <w:sz w:val="21"/>
                <w:szCs w:val="21"/>
              </w:rPr>
              <w:t>3、配置容量≥16*32GB DDR4内存；</w:t>
            </w:r>
          </w:p>
          <w:p w14:paraId="62D32F51">
            <w:pPr>
              <w:widowControl/>
              <w:rPr>
                <w:rFonts w:hint="eastAsia" w:ascii="宋体" w:hAnsi="宋体" w:eastAsia="宋体"/>
                <w:b w:val="0"/>
                <w:bCs w:val="0"/>
                <w:color w:val="000000"/>
                <w:kern w:val="0"/>
                <w:sz w:val="21"/>
                <w:szCs w:val="21"/>
              </w:rPr>
            </w:pPr>
            <w:r>
              <w:rPr>
                <w:rFonts w:ascii="宋体" w:hAnsi="宋体"/>
                <w:sz w:val="21"/>
                <w:szCs w:val="21"/>
              </w:rPr>
              <w:t>★</w:t>
            </w:r>
            <w:r>
              <w:rPr>
                <w:rFonts w:hint="eastAsia" w:ascii="宋体" w:hAnsi="宋体" w:eastAsia="宋体"/>
                <w:b w:val="0"/>
                <w:bCs w:val="0"/>
                <w:color w:val="000000"/>
                <w:kern w:val="0"/>
                <w:sz w:val="21"/>
                <w:szCs w:val="21"/>
              </w:rPr>
              <w:t>4、支持内存槽位≥24；</w:t>
            </w:r>
          </w:p>
          <w:p w14:paraId="4A18DDAD">
            <w:pPr>
              <w:widowControl/>
              <w:rPr>
                <w:rFonts w:hint="eastAsia" w:ascii="宋体" w:hAnsi="宋体" w:eastAsia="宋体"/>
                <w:b w:val="0"/>
                <w:bCs w:val="0"/>
                <w:color w:val="000000"/>
                <w:kern w:val="0"/>
                <w:sz w:val="21"/>
                <w:szCs w:val="21"/>
              </w:rPr>
            </w:pPr>
            <w:r>
              <w:rPr>
                <w:rFonts w:ascii="宋体" w:hAnsi="宋体"/>
                <w:sz w:val="21"/>
                <w:szCs w:val="21"/>
              </w:rPr>
              <w:t>★</w:t>
            </w:r>
            <w:r>
              <w:rPr>
                <w:rFonts w:hint="eastAsia" w:ascii="宋体" w:hAnsi="宋体" w:eastAsia="宋体"/>
                <w:b w:val="0"/>
                <w:bCs w:val="0"/>
                <w:color w:val="000000"/>
                <w:kern w:val="0"/>
                <w:sz w:val="21"/>
                <w:szCs w:val="21"/>
              </w:rPr>
              <w:t>5、配置1.2TB 10K SAS磁盘≥5个，整机最大可支持扩展硬盘位≥20个；</w:t>
            </w:r>
          </w:p>
          <w:p w14:paraId="7DE18EE5">
            <w:pPr>
              <w:widowControl/>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6、配置一块RAID卡，速率≥4GB，端口≥8个，支持RAID 0/1/10/5/50/6/60；</w:t>
            </w:r>
          </w:p>
          <w:p w14:paraId="47E9FDD1">
            <w:pPr>
              <w:widowControl/>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7、配置超级电容，支持掉电保护；</w:t>
            </w:r>
          </w:p>
          <w:p w14:paraId="59907F4F">
            <w:pPr>
              <w:widowControl/>
              <w:rPr>
                <w:rFonts w:hint="eastAsia" w:ascii="宋体" w:hAnsi="宋体" w:eastAsia="宋体"/>
                <w:b w:val="0"/>
                <w:bCs w:val="0"/>
                <w:color w:val="000000"/>
                <w:kern w:val="0"/>
                <w:sz w:val="21"/>
                <w:szCs w:val="21"/>
              </w:rPr>
            </w:pPr>
            <w:r>
              <w:rPr>
                <w:rFonts w:ascii="宋体" w:hAnsi="宋体"/>
                <w:sz w:val="21"/>
                <w:szCs w:val="21"/>
              </w:rPr>
              <w:t>★</w:t>
            </w:r>
            <w:r>
              <w:rPr>
                <w:rFonts w:hint="eastAsia" w:ascii="宋体" w:hAnsi="宋体" w:eastAsia="宋体"/>
                <w:b w:val="0"/>
                <w:bCs w:val="0"/>
                <w:color w:val="000000"/>
                <w:kern w:val="0"/>
                <w:sz w:val="21"/>
                <w:szCs w:val="21"/>
              </w:rPr>
              <w:t>8、千兆RJ45口≥4个，万兆以太网光口≥2个（含SFP光模块）；</w:t>
            </w:r>
          </w:p>
          <w:p w14:paraId="4DBC3F1E">
            <w:pPr>
              <w:widowControl/>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9、4 块单口 HBA 光纤卡（含光模块），单口速率≥16Gbps；</w:t>
            </w:r>
          </w:p>
          <w:p w14:paraId="4E539050">
            <w:pPr>
              <w:widowControl/>
              <w:rPr>
                <w:rFonts w:hint="eastAsia" w:ascii="宋体" w:hAnsi="宋体" w:eastAsia="宋体"/>
                <w:b w:val="0"/>
                <w:bCs w:val="0"/>
                <w:color w:val="000000"/>
                <w:kern w:val="0"/>
                <w:sz w:val="21"/>
                <w:szCs w:val="21"/>
              </w:rPr>
            </w:pPr>
            <w:r>
              <w:rPr>
                <w:rFonts w:ascii="宋体" w:hAnsi="宋体"/>
                <w:sz w:val="21"/>
                <w:szCs w:val="21"/>
              </w:rPr>
              <w:t>★</w:t>
            </w:r>
            <w:r>
              <w:rPr>
                <w:rFonts w:hint="eastAsia" w:ascii="宋体" w:hAnsi="宋体" w:eastAsia="宋体"/>
                <w:b w:val="0"/>
                <w:bCs w:val="0"/>
                <w:color w:val="000000"/>
                <w:kern w:val="0"/>
                <w:sz w:val="21"/>
                <w:szCs w:val="21"/>
              </w:rPr>
              <w:t>10、PCI-E 插槽≥4；</w:t>
            </w:r>
          </w:p>
          <w:p w14:paraId="7DE0C3E6">
            <w:pPr>
              <w:widowControl/>
              <w:rPr>
                <w:rFonts w:hint="eastAsia" w:ascii="宋体" w:hAnsi="宋体" w:eastAsia="宋体"/>
                <w:b w:val="0"/>
                <w:bCs w:val="0"/>
                <w:color w:val="000000"/>
                <w:kern w:val="0"/>
                <w:sz w:val="21"/>
                <w:szCs w:val="21"/>
              </w:rPr>
            </w:pPr>
            <w:r>
              <w:rPr>
                <w:rFonts w:ascii="宋体" w:hAnsi="宋体"/>
                <w:sz w:val="21"/>
                <w:szCs w:val="21"/>
              </w:rPr>
              <w:t>★</w:t>
            </w:r>
            <w:r>
              <w:rPr>
                <w:rFonts w:hint="eastAsia" w:ascii="宋体" w:hAnsi="宋体" w:eastAsia="宋体"/>
                <w:b w:val="0"/>
                <w:bCs w:val="0"/>
                <w:color w:val="000000"/>
                <w:kern w:val="0"/>
                <w:sz w:val="21"/>
                <w:szCs w:val="21"/>
              </w:rPr>
              <w:t>11、配置2个热插拔电源，支持1+1冗余，并提供配套的电源连接线，配置冗余系统风扇；</w:t>
            </w:r>
          </w:p>
          <w:p w14:paraId="38BF2AA4">
            <w:pPr>
              <w:widowControl/>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12、提供上架用导轨及相关配件；</w:t>
            </w:r>
          </w:p>
          <w:p w14:paraId="07405EF1">
            <w:pPr>
              <w:widowControl/>
              <w:rPr>
                <w:rFonts w:hint="eastAsia" w:ascii="宋体" w:hAnsi="宋体" w:eastAsia="宋体"/>
                <w:b w:val="0"/>
                <w:bCs w:val="0"/>
                <w:color w:val="000000"/>
                <w:kern w:val="0"/>
                <w:sz w:val="21"/>
                <w:szCs w:val="21"/>
              </w:rPr>
            </w:pPr>
            <w:r>
              <w:rPr>
                <w:rFonts w:ascii="宋体" w:hAnsi="宋体"/>
                <w:sz w:val="21"/>
                <w:szCs w:val="21"/>
              </w:rPr>
              <w:t>★</w:t>
            </w:r>
            <w:r>
              <w:rPr>
                <w:rFonts w:hint="eastAsia" w:ascii="宋体" w:hAnsi="宋体" w:eastAsia="宋体"/>
                <w:b w:val="0"/>
                <w:bCs w:val="0"/>
                <w:color w:val="000000"/>
                <w:kern w:val="0"/>
                <w:sz w:val="21"/>
                <w:szCs w:val="21"/>
              </w:rPr>
              <w:t>13、提供主机前面板触摸式LED故障诊断面板，能够对主机内存/硬盘/网卡/风扇/温度/电源等关键部件的故障诊断报警功能；</w:t>
            </w:r>
          </w:p>
          <w:p w14:paraId="0D5F20B3">
            <w:pPr>
              <w:widowControl/>
              <w:rPr>
                <w:rFonts w:hint="eastAsia" w:ascii="宋体" w:hAnsi="宋体" w:eastAsia="宋体"/>
                <w:b w:val="0"/>
                <w:bCs w:val="0"/>
                <w:color w:val="000000"/>
                <w:kern w:val="0"/>
                <w:sz w:val="21"/>
                <w:szCs w:val="21"/>
              </w:rPr>
            </w:pPr>
            <w:r>
              <w:rPr>
                <w:rFonts w:ascii="宋体" w:hAnsi="宋体"/>
                <w:sz w:val="21"/>
                <w:szCs w:val="21"/>
              </w:rPr>
              <w:t>★</w:t>
            </w:r>
            <w:r>
              <w:rPr>
                <w:rFonts w:hint="eastAsia" w:ascii="宋体" w:hAnsi="宋体" w:eastAsia="宋体"/>
                <w:b w:val="0"/>
                <w:bCs w:val="0"/>
                <w:color w:val="000000"/>
                <w:kern w:val="0"/>
                <w:sz w:val="21"/>
                <w:szCs w:val="21"/>
              </w:rPr>
              <w:t>14、配置独立的远程管理控制端口，支持远程监控图形界面,可实现与操作系统无关的远程对服务器的完全控制，包括远程的开机、关机、重启等操作；</w:t>
            </w:r>
          </w:p>
          <w:p w14:paraId="588F9D39">
            <w:pPr>
              <w:widowControl/>
              <w:rPr>
                <w:rFonts w:hint="eastAsia" w:ascii="宋体" w:hAnsi="宋体" w:eastAsia="宋体"/>
                <w:b w:val="0"/>
                <w:bCs w:val="0"/>
                <w:color w:val="000000"/>
                <w:kern w:val="0"/>
                <w:sz w:val="21"/>
                <w:szCs w:val="21"/>
              </w:rPr>
            </w:pPr>
            <w:r>
              <w:rPr>
                <w:rFonts w:ascii="宋体" w:hAnsi="宋体"/>
                <w:sz w:val="21"/>
                <w:szCs w:val="21"/>
              </w:rPr>
              <w:t>★</w:t>
            </w:r>
            <w:r>
              <w:rPr>
                <w:rFonts w:hint="eastAsia" w:ascii="宋体" w:hAnsi="宋体" w:eastAsia="宋体"/>
                <w:b w:val="0"/>
                <w:bCs w:val="0"/>
                <w:color w:val="000000"/>
                <w:kern w:val="0"/>
                <w:sz w:val="21"/>
                <w:szCs w:val="21"/>
              </w:rPr>
              <w:t>15、原厂商三年维保服务，提供 3 年硬盘免回收；</w:t>
            </w:r>
          </w:p>
          <w:p w14:paraId="405A68DC">
            <w:pPr>
              <w:widowControl/>
              <w:rPr>
                <w:rFonts w:hint="eastAsia" w:ascii="宋体" w:hAnsi="宋体" w:eastAsia="宋体"/>
                <w:b w:val="0"/>
                <w:bCs w:val="0"/>
                <w:color w:val="000000"/>
                <w:kern w:val="0"/>
                <w:sz w:val="21"/>
                <w:szCs w:val="21"/>
              </w:rPr>
            </w:pPr>
            <w:r>
              <w:rPr>
                <w:rFonts w:ascii="宋体" w:hAnsi="宋体"/>
                <w:sz w:val="21"/>
                <w:szCs w:val="21"/>
              </w:rPr>
              <w:t>★</w:t>
            </w:r>
            <w:r>
              <w:rPr>
                <w:rFonts w:hint="eastAsia" w:ascii="宋体" w:hAnsi="宋体" w:eastAsia="宋体"/>
                <w:b w:val="0"/>
                <w:bCs w:val="0"/>
                <w:color w:val="000000"/>
                <w:kern w:val="0"/>
                <w:sz w:val="21"/>
                <w:szCs w:val="21"/>
              </w:rPr>
              <w:t>16、服务器须提供正版</w:t>
            </w:r>
            <w:r>
              <w:rPr>
                <w:rFonts w:hint="eastAsia" w:ascii="宋体" w:hAnsi="宋体" w:eastAsia="宋体"/>
                <w:b w:val="0"/>
                <w:bCs w:val="0"/>
                <w:sz w:val="21"/>
                <w:szCs w:val="21"/>
              </w:rPr>
              <w:t>本国化</w:t>
            </w:r>
            <w:r>
              <w:rPr>
                <w:rFonts w:hint="eastAsia" w:ascii="宋体" w:hAnsi="宋体" w:eastAsia="宋体"/>
                <w:b w:val="0"/>
                <w:bCs w:val="0"/>
                <w:color w:val="000000"/>
                <w:kern w:val="0"/>
                <w:sz w:val="21"/>
                <w:szCs w:val="21"/>
              </w:rPr>
              <w:t>操作系统，含三年技术服务，操作系统须支持项目部署的应用软件；</w:t>
            </w:r>
          </w:p>
          <w:p w14:paraId="61A82DE8">
            <w:pPr>
              <w:widowControl/>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17、提供系统安装部署服务（主机机柜安装、操作系统及软件安装部署等）；</w:t>
            </w:r>
          </w:p>
          <w:p w14:paraId="7D534268">
            <w:pPr>
              <w:widowControl/>
              <w:rPr>
                <w:rStyle w:val="9"/>
                <w:rFonts w:hint="eastAsia" w:ascii="宋体" w:hAnsi="宋体" w:eastAsia="宋体"/>
                <w:b w:val="0"/>
                <w:bCs w:val="0"/>
                <w:color w:val="000000"/>
                <w:kern w:val="0"/>
              </w:rPr>
            </w:pPr>
            <w:r>
              <w:rPr>
                <w:rFonts w:ascii="宋体" w:hAnsi="宋体"/>
                <w:sz w:val="21"/>
                <w:szCs w:val="21"/>
              </w:rPr>
              <w:t>★</w:t>
            </w:r>
            <w:r>
              <w:rPr>
                <w:rFonts w:hint="eastAsia" w:ascii="宋体" w:hAnsi="宋体" w:eastAsia="宋体"/>
                <w:b w:val="0"/>
                <w:bCs w:val="0"/>
                <w:color w:val="000000"/>
                <w:kern w:val="0"/>
                <w:sz w:val="21"/>
                <w:szCs w:val="21"/>
              </w:rPr>
              <w:t>18、CPU和操作系统等关键部件应当符合安全可靠测评要求；</w:t>
            </w:r>
          </w:p>
          <w:p w14:paraId="42347B00">
            <w:pPr>
              <w:widowControl/>
              <w:rPr>
                <w:rFonts w:hint="eastAsia" w:ascii="宋体" w:hAnsi="宋体" w:eastAsia="宋体"/>
                <w:b w:val="0"/>
                <w:bCs w:val="0"/>
                <w:color w:val="000000"/>
                <w:kern w:val="0"/>
                <w:sz w:val="21"/>
                <w:szCs w:val="21"/>
                <w:lang w:eastAsia="zh-CN"/>
              </w:rPr>
            </w:pPr>
            <w:r>
              <w:rPr>
                <w:rFonts w:ascii="宋体" w:hAnsi="宋体"/>
                <w:sz w:val="21"/>
                <w:szCs w:val="21"/>
              </w:rPr>
              <w:t>★</w:t>
            </w:r>
            <w:r>
              <w:rPr>
                <w:rFonts w:hint="eastAsia" w:ascii="宋体" w:hAnsi="宋体" w:eastAsia="宋体"/>
                <w:b w:val="0"/>
                <w:bCs w:val="0"/>
                <w:color w:val="000000"/>
                <w:kern w:val="0"/>
                <w:sz w:val="21"/>
                <w:szCs w:val="21"/>
              </w:rPr>
              <w:t>19、其他要求：服务器须符合财政部《通用服务器政府采购需求标准（2023年版）》中规定的其它*内容（其中第75项安全要求除外），操作系统须符合财政部《操作系统政府采购需求标准（2023年版）》中规定的其它内容。</w:t>
            </w:r>
            <w:r>
              <w:rPr>
                <w:rStyle w:val="9"/>
                <w:rFonts w:hint="eastAsia" w:ascii="宋体" w:hAnsi="宋体" w:eastAsia="宋体"/>
                <w:b w:val="0"/>
                <w:bCs w:val="0"/>
                <w:color w:val="000000"/>
                <w:kern w:val="0"/>
                <w:lang w:eastAsia="zh-CN"/>
              </w:rPr>
              <w:t>（</w:t>
            </w:r>
            <w:r>
              <w:rPr>
                <w:rStyle w:val="9"/>
                <w:rFonts w:hint="eastAsia" w:ascii="宋体" w:hAnsi="宋体" w:eastAsia="宋体"/>
                <w:b w:val="0"/>
                <w:bCs w:val="0"/>
                <w:color w:val="000000"/>
                <w:kern w:val="0"/>
                <w:lang w:val="en-US" w:eastAsia="zh-CN"/>
              </w:rPr>
              <w:t>在投标文件中提供承诺函，格式自拟</w:t>
            </w:r>
            <w:r>
              <w:rPr>
                <w:rStyle w:val="9"/>
                <w:rFonts w:hint="eastAsia" w:ascii="宋体" w:hAnsi="宋体" w:eastAsia="宋体"/>
                <w:b w:val="0"/>
                <w:bCs w:val="0"/>
                <w:color w:val="000000"/>
                <w:kern w:val="0"/>
                <w:lang w:eastAsia="zh-CN"/>
              </w:rPr>
              <w:t>）</w:t>
            </w:r>
          </w:p>
        </w:tc>
        <w:tc>
          <w:tcPr>
            <w:tcW w:w="720" w:type="dxa"/>
            <w:noWrap w:val="0"/>
            <w:vAlign w:val="center"/>
          </w:tcPr>
          <w:p w14:paraId="7936A945">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台</w:t>
            </w:r>
          </w:p>
        </w:tc>
        <w:tc>
          <w:tcPr>
            <w:tcW w:w="630" w:type="dxa"/>
            <w:noWrap w:val="0"/>
            <w:vAlign w:val="center"/>
          </w:tcPr>
          <w:p w14:paraId="5DA48ABD">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14</w:t>
            </w:r>
          </w:p>
        </w:tc>
      </w:tr>
    </w:tbl>
    <w:p w14:paraId="15EA9729">
      <w:pPr>
        <w:pStyle w:val="10"/>
        <w:spacing w:line="360" w:lineRule="auto"/>
        <w:outlineLvl w:val="4"/>
        <w:rPr>
          <w:rFonts w:ascii="宋体" w:hAnsi="宋体" w:cs="宋体"/>
          <w:sz w:val="21"/>
          <w:szCs w:val="21"/>
        </w:rPr>
      </w:pPr>
      <w:r>
        <w:rPr>
          <w:rFonts w:ascii="宋体" w:hAnsi="宋体" w:cs="宋体"/>
          <w:sz w:val="21"/>
          <w:szCs w:val="21"/>
        </w:rPr>
        <w:t>2.2存储阵列技术参数要求（3套），分项报价最高限额120万元。</w:t>
      </w:r>
    </w:p>
    <w:tbl>
      <w:tblPr>
        <w:tblStyle w:val="6"/>
        <w:tblW w:w="8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6157"/>
        <w:gridCol w:w="720"/>
        <w:gridCol w:w="630"/>
      </w:tblGrid>
      <w:tr w14:paraId="62BB4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855" w:type="dxa"/>
            <w:noWrap w:val="0"/>
            <w:vAlign w:val="center"/>
          </w:tcPr>
          <w:p w14:paraId="0B481801">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名称</w:t>
            </w:r>
          </w:p>
        </w:tc>
        <w:tc>
          <w:tcPr>
            <w:tcW w:w="6157" w:type="dxa"/>
            <w:noWrap w:val="0"/>
            <w:vAlign w:val="center"/>
          </w:tcPr>
          <w:p w14:paraId="6AF99EB9">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技术参数</w:t>
            </w:r>
          </w:p>
        </w:tc>
        <w:tc>
          <w:tcPr>
            <w:tcW w:w="720" w:type="dxa"/>
            <w:noWrap w:val="0"/>
            <w:vAlign w:val="center"/>
          </w:tcPr>
          <w:p w14:paraId="5D952F32">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单位</w:t>
            </w:r>
          </w:p>
        </w:tc>
        <w:tc>
          <w:tcPr>
            <w:tcW w:w="630" w:type="dxa"/>
            <w:noWrap w:val="0"/>
            <w:vAlign w:val="center"/>
          </w:tcPr>
          <w:p w14:paraId="382CF2EF">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数量</w:t>
            </w:r>
          </w:p>
        </w:tc>
      </w:tr>
      <w:tr w14:paraId="0D0A9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855" w:type="dxa"/>
            <w:noWrap w:val="0"/>
            <w:vAlign w:val="center"/>
          </w:tcPr>
          <w:p w14:paraId="7F49E743">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存储</w:t>
            </w:r>
          </w:p>
          <w:p w14:paraId="2EC3B49D">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阵列</w:t>
            </w:r>
          </w:p>
        </w:tc>
        <w:tc>
          <w:tcPr>
            <w:tcW w:w="6157" w:type="dxa"/>
            <w:noWrap w:val="0"/>
            <w:vAlign w:val="center"/>
          </w:tcPr>
          <w:p w14:paraId="10FA34FA">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1、非OEM产品；</w:t>
            </w:r>
          </w:p>
          <w:p w14:paraId="18B42684">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2、具有SPC-1 IOPS不小于90000；</w:t>
            </w:r>
          </w:p>
          <w:p w14:paraId="3EE5A19F">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3、同时支持NAS、IP SAN和FC SAN；</w:t>
            </w:r>
          </w:p>
          <w:p w14:paraId="44EDC939">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4、支持SAN和NAS一体化，不需额外配置NAS网关；</w:t>
            </w:r>
          </w:p>
          <w:p w14:paraId="3D13DF19">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5、多控架构，配置≥双控制器，每个控制器配置≥48GB缓存，共有≥96GB缓存；纯硬件缓存，不含任何性能加速模块、 FlashCache、 PAM 卡、 SSD Cache 等；</w:t>
            </w:r>
          </w:p>
          <w:p w14:paraId="40268F4C">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6、16Gbps FC端口≥8个（含光模块）；</w:t>
            </w:r>
          </w:p>
          <w:p w14:paraId="55F1B036">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7、4*12Gbps SAS3.0磁盘通道≥4；</w:t>
            </w:r>
          </w:p>
          <w:p w14:paraId="1C3E3C07">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8、支持SSD,SAS,NL-SAS中的3种类型硬盘；</w:t>
            </w:r>
          </w:p>
          <w:p w14:paraId="15BE2017">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9、配置2.5寸 2.4TB 10K SAS磁盘≥25个；</w:t>
            </w:r>
          </w:p>
          <w:p w14:paraId="3BB148CC">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10、可扩展支持1Gbps iSCSI、10Gbps iSCSI、10Gbps FCoE,16Gbps FC，56Gb IB以及SmartIO(4口，支持8/16Gb FC和FCoE)等板卡；</w:t>
            </w:r>
          </w:p>
          <w:p w14:paraId="39BDB2E4">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11、支持RAID 0、RAID 1、RAID3、RAID 10、RAID50、RAID 5、RAID6等；</w:t>
            </w:r>
          </w:p>
          <w:p w14:paraId="253D1D27">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12、配置存储多路径管理软件，支持链路冗余、负载均衡和链路故障切换；</w:t>
            </w:r>
          </w:p>
          <w:p w14:paraId="0D6D27C2">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13、支持基于 Web 的图形化管理界面，支持中文、英文两种模式；支持管理界面告警、声光告警、 Email 告警、短消息告警，支持远程 Modem 拨号连接以便进行远程故障处理，支持日志信息导出；</w:t>
            </w:r>
          </w:p>
          <w:p w14:paraId="39E9684B">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14、配置存储阵列双活功能，实现两套存储数据双活；主机能够并发读写同一双活卷，任何一套设备宕机均不影响上层业务系统运行；双活架构具备独立的第三方仲裁设备组网能力，仲裁设备故障时，不影响业务运行，同时双活卷仍能保持数据实时一致；存储双活数据传送必须支持 FC 协议；</w:t>
            </w:r>
          </w:p>
          <w:p w14:paraId="6CA144AB">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15、控制器自带掉电保护模块，保证掉电时缓存中的数据可安全写入硬盘永久保存；完全的硬件冗余，系统没有硬件级别的单点故障；</w:t>
            </w:r>
          </w:p>
          <w:p w14:paraId="4957B31B">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16、支持远程复制、缓存分区；</w:t>
            </w:r>
          </w:p>
          <w:p w14:paraId="7914B078">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17、磁盘、电源、IO模块可以不停机热插拔；</w:t>
            </w:r>
          </w:p>
          <w:p w14:paraId="4620D7A2">
            <w:pPr>
              <w:widowControl/>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18、服务商应根据自身存储双活系统部署需要，提供相应的仲裁服务器设备等设备。</w:t>
            </w:r>
          </w:p>
        </w:tc>
        <w:tc>
          <w:tcPr>
            <w:tcW w:w="720" w:type="dxa"/>
            <w:noWrap w:val="0"/>
            <w:vAlign w:val="center"/>
          </w:tcPr>
          <w:p w14:paraId="4DDA06C6">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套</w:t>
            </w:r>
          </w:p>
        </w:tc>
        <w:tc>
          <w:tcPr>
            <w:tcW w:w="630" w:type="dxa"/>
            <w:noWrap w:val="0"/>
            <w:vAlign w:val="center"/>
          </w:tcPr>
          <w:p w14:paraId="161D63A6">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3</w:t>
            </w:r>
          </w:p>
        </w:tc>
      </w:tr>
    </w:tbl>
    <w:p w14:paraId="06A13BFF">
      <w:pPr>
        <w:pStyle w:val="10"/>
        <w:spacing w:line="360" w:lineRule="auto"/>
        <w:outlineLvl w:val="4"/>
        <w:rPr>
          <w:rFonts w:ascii="宋体" w:hAnsi="宋体" w:cs="宋体"/>
          <w:sz w:val="21"/>
          <w:szCs w:val="21"/>
        </w:rPr>
      </w:pPr>
      <w:r>
        <w:rPr>
          <w:rFonts w:ascii="宋体" w:hAnsi="宋体" w:cs="宋体"/>
          <w:sz w:val="21"/>
          <w:szCs w:val="21"/>
        </w:rPr>
        <w:t>2.3光纤交换机技术参数要求（2台），分项报价最高限额6万元。</w:t>
      </w:r>
    </w:p>
    <w:tbl>
      <w:tblPr>
        <w:tblStyle w:val="6"/>
        <w:tblW w:w="8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6157"/>
        <w:gridCol w:w="720"/>
        <w:gridCol w:w="630"/>
      </w:tblGrid>
      <w:tr w14:paraId="19729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855" w:type="dxa"/>
            <w:noWrap w:val="0"/>
            <w:vAlign w:val="center"/>
          </w:tcPr>
          <w:p w14:paraId="6A88631F">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名称</w:t>
            </w:r>
          </w:p>
        </w:tc>
        <w:tc>
          <w:tcPr>
            <w:tcW w:w="6157" w:type="dxa"/>
            <w:noWrap w:val="0"/>
            <w:vAlign w:val="center"/>
          </w:tcPr>
          <w:p w14:paraId="4B8F6218">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技术参数</w:t>
            </w:r>
          </w:p>
        </w:tc>
        <w:tc>
          <w:tcPr>
            <w:tcW w:w="720" w:type="dxa"/>
            <w:noWrap w:val="0"/>
            <w:vAlign w:val="center"/>
          </w:tcPr>
          <w:p w14:paraId="26348600">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单位</w:t>
            </w:r>
          </w:p>
        </w:tc>
        <w:tc>
          <w:tcPr>
            <w:tcW w:w="630" w:type="dxa"/>
            <w:noWrap w:val="0"/>
            <w:vAlign w:val="center"/>
          </w:tcPr>
          <w:p w14:paraId="691626B7">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数量</w:t>
            </w:r>
          </w:p>
        </w:tc>
      </w:tr>
      <w:tr w14:paraId="6BBD5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855" w:type="dxa"/>
            <w:noWrap w:val="0"/>
            <w:vAlign w:val="center"/>
          </w:tcPr>
          <w:p w14:paraId="39FCBFBA">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光纤</w:t>
            </w:r>
          </w:p>
          <w:p w14:paraId="21AF5612">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交换机</w:t>
            </w:r>
          </w:p>
        </w:tc>
        <w:tc>
          <w:tcPr>
            <w:tcW w:w="6157" w:type="dxa"/>
            <w:noWrap w:val="0"/>
            <w:vAlign w:val="center"/>
          </w:tcPr>
          <w:p w14:paraId="2EFFF542">
            <w:pPr>
              <w:widowControl/>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1、24口光纤交换机，激活≥24端口，配置16G FC多模光纤模块≥24个；</w:t>
            </w:r>
          </w:p>
          <w:p w14:paraId="40304134">
            <w:pPr>
              <w:widowControl/>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2、基于全交换架构设计，支持所有 FC 端口达到全双工≥16Gbps 线性带宽；</w:t>
            </w:r>
          </w:p>
          <w:p w14:paraId="2A5A88BD">
            <w:pPr>
              <w:widowControl/>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3、配置冗余的风扇模块；</w:t>
            </w:r>
          </w:p>
          <w:p w14:paraId="1B8134C3">
            <w:pPr>
              <w:widowControl/>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4、电源热插拔冗余；</w:t>
            </w:r>
          </w:p>
          <w:p w14:paraId="02761D97">
            <w:pPr>
              <w:widowControl/>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5、兼容本项目磁盘阵列。</w:t>
            </w:r>
          </w:p>
        </w:tc>
        <w:tc>
          <w:tcPr>
            <w:tcW w:w="720" w:type="dxa"/>
            <w:noWrap w:val="0"/>
            <w:vAlign w:val="center"/>
          </w:tcPr>
          <w:p w14:paraId="3B3ED6FF">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台</w:t>
            </w:r>
          </w:p>
        </w:tc>
        <w:tc>
          <w:tcPr>
            <w:tcW w:w="630" w:type="dxa"/>
            <w:noWrap w:val="0"/>
            <w:vAlign w:val="center"/>
          </w:tcPr>
          <w:p w14:paraId="141A3FF9">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2</w:t>
            </w:r>
          </w:p>
        </w:tc>
      </w:tr>
    </w:tbl>
    <w:p w14:paraId="190C525E">
      <w:pPr>
        <w:pStyle w:val="10"/>
        <w:spacing w:line="360" w:lineRule="auto"/>
        <w:outlineLvl w:val="4"/>
        <w:rPr>
          <w:rFonts w:ascii="宋体" w:hAnsi="宋体" w:cs="宋体"/>
          <w:sz w:val="21"/>
          <w:szCs w:val="21"/>
        </w:rPr>
      </w:pPr>
      <w:r>
        <w:rPr>
          <w:rFonts w:ascii="宋体" w:hAnsi="宋体" w:cs="宋体"/>
          <w:sz w:val="21"/>
          <w:szCs w:val="21"/>
        </w:rPr>
        <w:t>2.4核心网络交换机技术参数要求（1台），分项报价最高限额10万元。</w:t>
      </w:r>
    </w:p>
    <w:tbl>
      <w:tblPr>
        <w:tblStyle w:val="6"/>
        <w:tblW w:w="8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6157"/>
        <w:gridCol w:w="720"/>
        <w:gridCol w:w="630"/>
      </w:tblGrid>
      <w:tr w14:paraId="173D7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855" w:type="dxa"/>
            <w:noWrap w:val="0"/>
            <w:vAlign w:val="center"/>
          </w:tcPr>
          <w:p w14:paraId="4004FABE">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名称</w:t>
            </w:r>
          </w:p>
        </w:tc>
        <w:tc>
          <w:tcPr>
            <w:tcW w:w="6157" w:type="dxa"/>
            <w:noWrap w:val="0"/>
            <w:vAlign w:val="center"/>
          </w:tcPr>
          <w:p w14:paraId="0422B6A6">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技术参数</w:t>
            </w:r>
          </w:p>
        </w:tc>
        <w:tc>
          <w:tcPr>
            <w:tcW w:w="720" w:type="dxa"/>
            <w:noWrap w:val="0"/>
            <w:vAlign w:val="center"/>
          </w:tcPr>
          <w:p w14:paraId="17CC0E00">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单位</w:t>
            </w:r>
          </w:p>
        </w:tc>
        <w:tc>
          <w:tcPr>
            <w:tcW w:w="630" w:type="dxa"/>
            <w:noWrap w:val="0"/>
            <w:vAlign w:val="center"/>
          </w:tcPr>
          <w:p w14:paraId="71B204CD">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数量</w:t>
            </w:r>
          </w:p>
        </w:tc>
      </w:tr>
      <w:tr w14:paraId="7E8F4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855" w:type="dxa"/>
            <w:noWrap w:val="0"/>
            <w:vAlign w:val="center"/>
          </w:tcPr>
          <w:p w14:paraId="270E4E58">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核心</w:t>
            </w:r>
          </w:p>
          <w:p w14:paraId="7A5B2B1A">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网络</w:t>
            </w:r>
          </w:p>
          <w:p w14:paraId="06533780">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交换机</w:t>
            </w:r>
          </w:p>
        </w:tc>
        <w:tc>
          <w:tcPr>
            <w:tcW w:w="6157" w:type="dxa"/>
            <w:noWrap w:val="0"/>
            <w:vAlign w:val="center"/>
          </w:tcPr>
          <w:p w14:paraId="504C066A">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1、设备关键芯片（CPU芯片.转发芯片）要求采用本国化芯片，提供第三方检测报告；</w:t>
            </w:r>
          </w:p>
          <w:p w14:paraId="2D706D52">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2、独立主控引擎插槽≥2，业务插槽≥8，独立交换网板插槽≥4，主控引擎与交换网板物理分离，独立交换网板全故障时，不影响业务转发；风扇槽位数≥4，电源槽位≥6，提供官网链接及设备示意图证明；</w:t>
            </w:r>
          </w:p>
          <w:p w14:paraId="512E0DD0">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3、配置万兆光口≥96个，配置千兆光口≥48个；</w:t>
            </w:r>
          </w:p>
          <w:p w14:paraId="2646FC35">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4、交换容量≥1900Tbps；包转发率≥460000Mpps，提供官网链接及截图证明；</w:t>
            </w:r>
          </w:p>
          <w:p w14:paraId="19867388">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5、支持静态路由、RIP、RIPng、OSPF、OSPFv3、BGP、BGP4+、ISIS、ISISv6等协议；支持VxLAN功能，支持VxLAN二层网关、三层网关，支持BGP EVPN；支持PQ、DRR、WDRR、PQ+WDRR、PQ+DRR等队列调度方式；支持ICMP、ICMPv6、支持ND（neighbor discover）、手工配置（自动创建）本地地址、IPv6 Ping、IPv6 Tracert；支持手动隧道，自动隧道，ISATAP，IPv4 over IPv6；</w:t>
            </w:r>
          </w:p>
          <w:p w14:paraId="7105B954">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6、支持防范DoS攻击、TCP的SYN Flood攻击、UDP Flood攻击、广播风暴攻击、大流量攻击；支持基础安全保护策略 ，可实现ARP、DHCP、ICMP、IP扫描、DHCP V6、ND等各种攻击的自动防御，具备防火墙和审计日志功能；</w:t>
            </w:r>
          </w:p>
          <w:p w14:paraId="54ABB156">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7、支持基础安全保护策略 ，可实现ARP、DHCP、ICMP、IP扫描、DHCP V6、ND等各种攻击的自动防御，具备防火墙和审计日志功能；</w:t>
            </w:r>
          </w:p>
          <w:p w14:paraId="4081F5E9">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8、支持独立的硬件监控板卡, 控制平面和监控平面物理槽位分离，支持1+1备份，能集中监控风扇.电源等模块，能调节能耗，提供设备示意图证明；</w:t>
            </w:r>
          </w:p>
          <w:p w14:paraId="060705EC">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9、为保证设备散热效果，符合机房的冷热风道设计，要求主机主体散热采用后出风的风道设计；风扇框冗余设计，且为保证设备散热效果和可靠性，要求设备支持模块化风扇框，可热插拔，当单个风扇框发生故障时，有其他风扇正常运行，保证设备散热，要求独立风扇框个数≥2；</w:t>
            </w:r>
          </w:p>
          <w:p w14:paraId="704AC726">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10、支持真实业务流的实时检测技术，实现对IP网络的精确丢包监控和快速故障定界能力；</w:t>
            </w:r>
          </w:p>
          <w:p w14:paraId="09F6B759">
            <w:pPr>
              <w:widowControl/>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11、提供至少三年原厂维保。</w:t>
            </w:r>
          </w:p>
        </w:tc>
        <w:tc>
          <w:tcPr>
            <w:tcW w:w="720" w:type="dxa"/>
            <w:noWrap w:val="0"/>
            <w:vAlign w:val="center"/>
          </w:tcPr>
          <w:p w14:paraId="1088026E">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台</w:t>
            </w:r>
          </w:p>
        </w:tc>
        <w:tc>
          <w:tcPr>
            <w:tcW w:w="630" w:type="dxa"/>
            <w:noWrap w:val="0"/>
            <w:vAlign w:val="center"/>
          </w:tcPr>
          <w:p w14:paraId="4DB25850">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w:t>
            </w:r>
          </w:p>
        </w:tc>
      </w:tr>
    </w:tbl>
    <w:p w14:paraId="34227CF7">
      <w:pPr>
        <w:pStyle w:val="10"/>
        <w:spacing w:line="360" w:lineRule="auto"/>
        <w:outlineLvl w:val="4"/>
        <w:rPr>
          <w:rFonts w:ascii="宋体" w:hAnsi="宋体" w:cs="宋体"/>
          <w:sz w:val="21"/>
          <w:szCs w:val="21"/>
        </w:rPr>
      </w:pPr>
      <w:r>
        <w:rPr>
          <w:rFonts w:ascii="宋体" w:hAnsi="宋体" w:cs="宋体"/>
          <w:sz w:val="21"/>
          <w:szCs w:val="21"/>
        </w:rPr>
        <w:t>　2.5汇聚交换机技术参数要求（1台），分项报价最高限额4</w:t>
      </w:r>
      <w:r>
        <w:rPr>
          <w:rFonts w:hint="eastAsia" w:ascii="宋体" w:hAnsi="宋体" w:cs="宋体"/>
          <w:sz w:val="21"/>
          <w:szCs w:val="21"/>
          <w:lang w:val="en-US" w:eastAsia="zh-CN"/>
        </w:rPr>
        <w:t>.0012</w:t>
      </w:r>
      <w:r>
        <w:rPr>
          <w:rFonts w:ascii="宋体" w:hAnsi="宋体" w:cs="宋体"/>
          <w:sz w:val="21"/>
          <w:szCs w:val="21"/>
        </w:rPr>
        <w:t>万元。</w:t>
      </w:r>
    </w:p>
    <w:tbl>
      <w:tblPr>
        <w:tblStyle w:val="6"/>
        <w:tblW w:w="8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6157"/>
        <w:gridCol w:w="720"/>
        <w:gridCol w:w="630"/>
      </w:tblGrid>
      <w:tr w14:paraId="56CCF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855" w:type="dxa"/>
            <w:noWrap w:val="0"/>
            <w:vAlign w:val="center"/>
          </w:tcPr>
          <w:p w14:paraId="19541E8C">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名称</w:t>
            </w:r>
          </w:p>
        </w:tc>
        <w:tc>
          <w:tcPr>
            <w:tcW w:w="6157" w:type="dxa"/>
            <w:noWrap w:val="0"/>
            <w:vAlign w:val="center"/>
          </w:tcPr>
          <w:p w14:paraId="0DBA2575">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技术参数</w:t>
            </w:r>
          </w:p>
        </w:tc>
        <w:tc>
          <w:tcPr>
            <w:tcW w:w="720" w:type="dxa"/>
            <w:noWrap w:val="0"/>
            <w:vAlign w:val="center"/>
          </w:tcPr>
          <w:p w14:paraId="50208F53">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单位</w:t>
            </w:r>
          </w:p>
        </w:tc>
        <w:tc>
          <w:tcPr>
            <w:tcW w:w="630" w:type="dxa"/>
            <w:noWrap w:val="0"/>
            <w:vAlign w:val="center"/>
          </w:tcPr>
          <w:p w14:paraId="334D8F7B">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数量</w:t>
            </w:r>
          </w:p>
        </w:tc>
      </w:tr>
      <w:tr w14:paraId="6657B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855" w:type="dxa"/>
            <w:noWrap w:val="0"/>
            <w:vAlign w:val="center"/>
          </w:tcPr>
          <w:p w14:paraId="7C96646E">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汇聚</w:t>
            </w:r>
          </w:p>
          <w:p w14:paraId="2D2D0E22">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交换机</w:t>
            </w:r>
          </w:p>
        </w:tc>
        <w:tc>
          <w:tcPr>
            <w:tcW w:w="6157" w:type="dxa"/>
            <w:noWrap w:val="0"/>
            <w:vAlign w:val="center"/>
          </w:tcPr>
          <w:p w14:paraId="7820C8A0">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1、设备关键芯片（CPU芯片.转发芯片）要求采用本国化芯片，提供第三方检测报告；</w:t>
            </w:r>
          </w:p>
          <w:p w14:paraId="1C085A22">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2、配置万兆光口≥48个（配48个LC万兆单模模块），配置24口千兆电口，提供官网链接及截图证明；</w:t>
            </w:r>
          </w:p>
          <w:p w14:paraId="25CF442F">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3、支持并实配可拔插双模块化电源，可拔插四模块化风扇，前后风道，提供官网链接及截图证明；</w:t>
            </w:r>
          </w:p>
          <w:p w14:paraId="21A29520">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4、支持静态路由、RIP、OSPF、RIPng、OSPFv3、ISIS、ISISv6、BGP、BGP4+等协议；支持基于Layer2协议头、Layer 3协议、Layer 4协议、802.1p优先级等的组合流分类；</w:t>
            </w:r>
          </w:p>
          <w:p w14:paraId="4371F2B8">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5、交换容量≥2.4Tbps；包转发率≥1600Mpps，提供官网链接及截图证明；</w:t>
            </w:r>
          </w:p>
          <w:p w14:paraId="5461C535">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6、设备支持ID指示灯，维护人员可以在后台点亮后去机房直接找到相对于设备，便于快速定位设备位置，提供设备示意图证明；</w:t>
            </w:r>
          </w:p>
          <w:p w14:paraId="54EF0677">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7、支持防DOS攻击、TCP的SYN Flood攻击、UDP Flood攻击、广播风暴攻击、大流量攻击；</w:t>
            </w:r>
          </w:p>
          <w:p w14:paraId="478726A7">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8、支持多虚一技术，可将多台物理设备虚拟化为一台逻辑设备统一管理，VSL故障恢复时间＜30ms；</w:t>
            </w:r>
          </w:p>
          <w:p w14:paraId="6EB32F34">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9、支持 Telemetry 技术，实现对CPU、内存等信息的周期性采集；</w:t>
            </w:r>
          </w:p>
          <w:p w14:paraId="30247C3B">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10、支持同时开启CPP、ACL、防ARP欺骗等功能不会相互冲突、制约；</w:t>
            </w:r>
          </w:p>
          <w:p w14:paraId="03DC8A1B">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11、支持VxLAN二层网关.三层网关，支持集中式网关，分布式网关；</w:t>
            </w:r>
          </w:p>
          <w:p w14:paraId="3127D579">
            <w:pPr>
              <w:widowControl/>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12、提供至少三年原厂维保。</w:t>
            </w:r>
          </w:p>
        </w:tc>
        <w:tc>
          <w:tcPr>
            <w:tcW w:w="720" w:type="dxa"/>
            <w:noWrap w:val="0"/>
            <w:vAlign w:val="center"/>
          </w:tcPr>
          <w:p w14:paraId="2938CDF8">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台</w:t>
            </w:r>
          </w:p>
        </w:tc>
        <w:tc>
          <w:tcPr>
            <w:tcW w:w="630" w:type="dxa"/>
            <w:noWrap w:val="0"/>
            <w:vAlign w:val="center"/>
          </w:tcPr>
          <w:p w14:paraId="7D373BF7">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w:t>
            </w:r>
          </w:p>
        </w:tc>
      </w:tr>
    </w:tbl>
    <w:p w14:paraId="5EF29854">
      <w:pPr>
        <w:pStyle w:val="10"/>
        <w:spacing w:line="360" w:lineRule="auto"/>
        <w:outlineLvl w:val="4"/>
        <w:rPr>
          <w:rFonts w:ascii="宋体" w:hAnsi="宋体" w:cs="宋体"/>
          <w:sz w:val="21"/>
          <w:szCs w:val="21"/>
        </w:rPr>
      </w:pPr>
      <w:r>
        <w:rPr>
          <w:rFonts w:ascii="宋体" w:hAnsi="宋体" w:cs="宋体"/>
          <w:sz w:val="21"/>
          <w:szCs w:val="21"/>
        </w:rPr>
        <w:t>2.6机柜技术参数要求（2台），分项报价最高限额1.2万元。</w:t>
      </w:r>
    </w:p>
    <w:tbl>
      <w:tblPr>
        <w:tblStyle w:val="6"/>
        <w:tblW w:w="8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6157"/>
        <w:gridCol w:w="720"/>
        <w:gridCol w:w="630"/>
      </w:tblGrid>
      <w:tr w14:paraId="7CDF7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855" w:type="dxa"/>
            <w:noWrap w:val="0"/>
            <w:vAlign w:val="center"/>
          </w:tcPr>
          <w:p w14:paraId="6073A25C">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名称</w:t>
            </w:r>
          </w:p>
        </w:tc>
        <w:tc>
          <w:tcPr>
            <w:tcW w:w="6157" w:type="dxa"/>
            <w:noWrap w:val="0"/>
            <w:vAlign w:val="center"/>
          </w:tcPr>
          <w:p w14:paraId="5D5B7230">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技术参数</w:t>
            </w:r>
          </w:p>
        </w:tc>
        <w:tc>
          <w:tcPr>
            <w:tcW w:w="720" w:type="dxa"/>
            <w:noWrap w:val="0"/>
            <w:vAlign w:val="center"/>
          </w:tcPr>
          <w:p w14:paraId="4B0F9D9E">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单位</w:t>
            </w:r>
          </w:p>
        </w:tc>
        <w:tc>
          <w:tcPr>
            <w:tcW w:w="630" w:type="dxa"/>
            <w:noWrap w:val="0"/>
            <w:vAlign w:val="center"/>
          </w:tcPr>
          <w:p w14:paraId="4B64FD52">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数量</w:t>
            </w:r>
          </w:p>
        </w:tc>
      </w:tr>
      <w:tr w14:paraId="2902D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855" w:type="dxa"/>
            <w:noWrap w:val="0"/>
            <w:vAlign w:val="center"/>
          </w:tcPr>
          <w:p w14:paraId="4BAA2A77">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机柜</w:t>
            </w:r>
          </w:p>
        </w:tc>
        <w:tc>
          <w:tcPr>
            <w:tcW w:w="6157" w:type="dxa"/>
            <w:noWrap w:val="0"/>
            <w:vAlign w:val="center"/>
          </w:tcPr>
          <w:p w14:paraId="3B373616">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w:t>
            </w:r>
            <w:r>
              <w:rPr>
                <w:rFonts w:hint="eastAsia" w:ascii="宋体" w:hAnsi="宋体" w:eastAsia="宋体"/>
                <w:b w:val="0"/>
                <w:bCs w:val="0"/>
                <w:color w:val="000000"/>
                <w:kern w:val="0"/>
                <w:sz w:val="21"/>
                <w:szCs w:val="21"/>
                <w:lang w:eastAsia="zh-CN"/>
              </w:rPr>
              <w:t>尺寸规格</w:t>
            </w:r>
            <w:r>
              <w:rPr>
                <w:rFonts w:hint="eastAsia" w:ascii="宋体" w:hAnsi="宋体" w:eastAsia="宋体"/>
                <w:b w:val="0"/>
                <w:bCs w:val="0"/>
                <w:color w:val="000000"/>
                <w:kern w:val="0"/>
                <w:sz w:val="21"/>
                <w:szCs w:val="21"/>
              </w:rPr>
              <w:t>42U</w:t>
            </w:r>
            <w:r>
              <w:rPr>
                <w:rFonts w:hint="eastAsia" w:ascii="宋体" w:hAnsi="宋体" w:eastAsia="宋体"/>
                <w:b w:val="0"/>
                <w:bCs w:val="0"/>
                <w:color w:val="000000"/>
                <w:kern w:val="0"/>
                <w:sz w:val="21"/>
                <w:szCs w:val="21"/>
                <w:lang w:eastAsia="zh-CN"/>
              </w:rPr>
              <w:t>标准</w:t>
            </w:r>
            <w:r>
              <w:rPr>
                <w:rFonts w:hint="eastAsia" w:ascii="宋体" w:hAnsi="宋体" w:eastAsia="宋体"/>
                <w:b w:val="0"/>
                <w:bCs w:val="0"/>
                <w:color w:val="000000"/>
                <w:kern w:val="0"/>
                <w:sz w:val="21"/>
                <w:szCs w:val="21"/>
              </w:rPr>
              <w:t>；</w:t>
            </w:r>
          </w:p>
          <w:p w14:paraId="7B60C5FD">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2、可按制证中心需求提供机柜托盘，黑色、静电粉末喷涂；</w:t>
            </w:r>
          </w:p>
          <w:p w14:paraId="2C63C49E">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3、优质冷轧钢板；</w:t>
            </w:r>
          </w:p>
          <w:p w14:paraId="5E7310C2">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4、前门是单开网孔门、铝合金门框，后门是双开网孔门。前进风后出风或其他合理的通风方式；</w:t>
            </w:r>
          </w:p>
          <w:p w14:paraId="653F5EAC">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5、柜门开孔率&gt;=60%；</w:t>
            </w:r>
          </w:p>
          <w:p w14:paraId="264B3F62">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6、机柜承重&gt;=1000kg；</w:t>
            </w:r>
          </w:p>
          <w:p w14:paraId="6A3C5EAB">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7、安装角轨厚度&gt;=2.5mm；立柱和安装角轨&gt;=5折；</w:t>
            </w:r>
          </w:p>
          <w:p w14:paraId="010593B4">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8、前门到前安装角轨的距离&gt;=65 mm；后门到后安装角轨的距离&gt;=180mm；前后安装角轨的距离&gt;=740 mm；</w:t>
            </w:r>
          </w:p>
          <w:p w14:paraId="6F3B83F1">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9、强弱电分开走线，左边走弱电右边走强电或左边走强电右边走弱电；</w:t>
            </w:r>
          </w:p>
          <w:p w14:paraId="2C29826D">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10、数据线垂直走线线槽截面&gt;=20mm*180mm、数据线垂直走线线槽全封闭；</w:t>
            </w:r>
          </w:p>
          <w:p w14:paraId="42C7A327">
            <w:pPr>
              <w:widowControl/>
              <w:jc w:val="left"/>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11、电源线垂直走线线槽截面&gt;=80mm*40mm；</w:t>
            </w:r>
          </w:p>
          <w:p w14:paraId="5F05A203">
            <w:pPr>
              <w:widowControl/>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12、机柜内含两个机柜专用PDU，每个PDU输入电压选配范围：250VAC，50/60Hz；输入电流选配范围：32A；输入不小于32A，输出应不少于12个国标10A插座、4个国标16A插座。</w:t>
            </w:r>
          </w:p>
        </w:tc>
        <w:tc>
          <w:tcPr>
            <w:tcW w:w="720" w:type="dxa"/>
            <w:noWrap w:val="0"/>
            <w:vAlign w:val="center"/>
          </w:tcPr>
          <w:p w14:paraId="104B765B">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台</w:t>
            </w:r>
          </w:p>
        </w:tc>
        <w:tc>
          <w:tcPr>
            <w:tcW w:w="630" w:type="dxa"/>
            <w:noWrap w:val="0"/>
            <w:vAlign w:val="center"/>
          </w:tcPr>
          <w:p w14:paraId="19DF5E19">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2</w:t>
            </w:r>
          </w:p>
        </w:tc>
      </w:tr>
    </w:tbl>
    <w:p w14:paraId="13114223">
      <w:pPr>
        <w:pStyle w:val="10"/>
        <w:spacing w:line="360" w:lineRule="auto"/>
        <w:outlineLvl w:val="4"/>
        <w:rPr>
          <w:rFonts w:ascii="宋体" w:hAnsi="宋体" w:cs="宋体"/>
          <w:sz w:val="21"/>
          <w:szCs w:val="21"/>
        </w:rPr>
      </w:pPr>
      <w:r>
        <w:rPr>
          <w:rFonts w:ascii="宋体" w:hAnsi="宋体" w:cs="宋体"/>
          <w:sz w:val="21"/>
          <w:szCs w:val="21"/>
        </w:rPr>
        <w:t>2.7</w:t>
      </w:r>
      <w:r>
        <w:rPr>
          <w:rFonts w:ascii="仿宋_GB2312" w:hAnsi="仿宋_GB2312" w:eastAsia="仿宋_GB2312" w:cs="仿宋_GB2312"/>
          <w:sz w:val="24"/>
          <w:szCs w:val="24"/>
        </w:rPr>
        <w:t>正版本国化数据库</w:t>
      </w:r>
      <w:r>
        <w:rPr>
          <w:rFonts w:ascii="宋体" w:hAnsi="宋体" w:cs="宋体"/>
          <w:sz w:val="21"/>
          <w:szCs w:val="21"/>
        </w:rPr>
        <w:t>技术参数要求（7套），分项报价最高限额28万元。</w:t>
      </w:r>
    </w:p>
    <w:tbl>
      <w:tblPr>
        <w:tblStyle w:val="6"/>
        <w:tblW w:w="8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6157"/>
        <w:gridCol w:w="720"/>
        <w:gridCol w:w="630"/>
      </w:tblGrid>
      <w:tr w14:paraId="176D1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855" w:type="dxa"/>
            <w:noWrap w:val="0"/>
            <w:vAlign w:val="center"/>
          </w:tcPr>
          <w:p w14:paraId="54CA68C4">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名称</w:t>
            </w:r>
          </w:p>
        </w:tc>
        <w:tc>
          <w:tcPr>
            <w:tcW w:w="6157" w:type="dxa"/>
            <w:noWrap w:val="0"/>
            <w:vAlign w:val="center"/>
          </w:tcPr>
          <w:p w14:paraId="442C6849">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技术参数</w:t>
            </w:r>
          </w:p>
        </w:tc>
        <w:tc>
          <w:tcPr>
            <w:tcW w:w="720" w:type="dxa"/>
            <w:noWrap w:val="0"/>
            <w:vAlign w:val="center"/>
          </w:tcPr>
          <w:p w14:paraId="4596ED91">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单位</w:t>
            </w:r>
          </w:p>
        </w:tc>
        <w:tc>
          <w:tcPr>
            <w:tcW w:w="630" w:type="dxa"/>
            <w:noWrap w:val="0"/>
            <w:vAlign w:val="center"/>
          </w:tcPr>
          <w:p w14:paraId="65DCAF41">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数量</w:t>
            </w:r>
          </w:p>
        </w:tc>
      </w:tr>
      <w:tr w14:paraId="4666E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855" w:type="dxa"/>
            <w:noWrap w:val="0"/>
            <w:vAlign w:val="center"/>
          </w:tcPr>
          <w:p w14:paraId="50CED60C">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sz w:val="21"/>
                <w:szCs w:val="21"/>
              </w:rPr>
              <w:t>正版本国化数据库</w:t>
            </w:r>
          </w:p>
        </w:tc>
        <w:tc>
          <w:tcPr>
            <w:tcW w:w="6157" w:type="dxa"/>
            <w:noWrap w:val="0"/>
            <w:vAlign w:val="center"/>
          </w:tcPr>
          <w:p w14:paraId="1BBB2922">
            <w:pPr>
              <w:pStyle w:val="3"/>
              <w:ind w:firstLine="0"/>
              <w:rPr>
                <w:rFonts w:hint="eastAsia" w:ascii="宋体" w:hAnsi="宋体" w:eastAsia="宋体"/>
                <w:b w:val="0"/>
                <w:bCs w:val="0"/>
                <w:color w:val="000000"/>
                <w:kern w:val="0"/>
                <w:sz w:val="21"/>
                <w:szCs w:val="21"/>
              </w:rPr>
            </w:pPr>
            <w:r>
              <w:rPr>
                <w:rFonts w:ascii="宋体" w:hAnsi="宋体" w:eastAsia="宋体"/>
                <w:sz w:val="21"/>
                <w:szCs w:val="21"/>
              </w:rPr>
              <w:t>★</w:t>
            </w:r>
            <w:r>
              <w:rPr>
                <w:rFonts w:hint="eastAsia" w:ascii="宋体" w:hAnsi="宋体" w:eastAsia="宋体"/>
                <w:color w:val="000000"/>
                <w:kern w:val="0"/>
                <w:sz w:val="21"/>
                <w:szCs w:val="21"/>
              </w:rPr>
              <w:t>1、本国化数据库系统，需与公安部部署的数据库实现平滑对接；提供承诺函，承诺签订合同前提供由第三方出具关于数据库与现有公安部建成的全国居民身份证制证中心信息服务平台适配的测试报告。</w:t>
            </w:r>
          </w:p>
          <w:p w14:paraId="6B665C5E">
            <w:pPr>
              <w:pStyle w:val="3"/>
              <w:ind w:firstLine="0"/>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2、产品拥有自主知识产权，完全自主掌控，且产品核心功能模块的核心源码自主代码比例不低于95%，须提供第三方评测机构的代码开源率证明和国家网络与信息系统安全产品质量监督检验中心颁发的信息技术产品自主原创性测评证书；</w:t>
            </w:r>
          </w:p>
          <w:p w14:paraId="3F639E52">
            <w:pPr>
              <w:pStyle w:val="3"/>
              <w:ind w:firstLine="0"/>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3、兼容Oracle的DBA_*、ALL_*和USER_*开头的数据字典视图、系统包；兼容PL/SQL语法和数据操作；兼容Oracle、Mysql、SQLServer、DB2、PostgreSQL的常用系统函数；实现对数据查询语言（DQL)、数据操纵语言(DML)和数据定义语言(DDL)的兼容。</w:t>
            </w:r>
          </w:p>
          <w:p w14:paraId="26B674DA">
            <w:pPr>
              <w:pStyle w:val="3"/>
              <w:ind w:firstLine="0"/>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4、支持多种索引，包括B树索引、聚集索引、唯一索引、非唯一索引、函数索引、分区索引（包括本地分区索引和全局分区索引）、位图索引、位图连接索引、空间索引、数组索引；支持创建索引时指定表空间；支持设置索引可见和不可见；支持设置索引失效；支持重建索引；支持索引监控；</w:t>
            </w:r>
          </w:p>
          <w:p w14:paraId="38D83D56">
            <w:pPr>
              <w:pStyle w:val="3"/>
              <w:ind w:firstLine="0"/>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5、</w:t>
            </w:r>
            <w:r>
              <w:rPr>
                <w:rFonts w:hint="eastAsia" w:ascii="宋体" w:hAnsi="宋体" w:eastAsia="宋体"/>
                <w:b w:val="0"/>
                <w:bCs w:val="0"/>
                <w:color w:val="000000"/>
                <w:kern w:val="0"/>
                <w:sz w:val="21"/>
                <w:szCs w:val="21"/>
                <w:lang w:eastAsia="zh-CN"/>
              </w:rPr>
              <w:t>可拓展</w:t>
            </w:r>
            <w:r>
              <w:rPr>
                <w:rFonts w:hint="eastAsia" w:ascii="宋体" w:hAnsi="宋体" w:eastAsia="宋体"/>
                <w:b w:val="0"/>
                <w:bCs w:val="0"/>
                <w:color w:val="000000"/>
                <w:kern w:val="0"/>
                <w:sz w:val="21"/>
                <w:szCs w:val="21"/>
              </w:rPr>
              <w:t>共享集群模式（采购数量含共享集群），匹配存储阵列双活功能，根据资源使用情况，自动将业务负载均衡到集群各节点；可实现备份功能，主机遇到的数据页损坏，可以通过备机修复；备机遇到的数据页损坏，可以通过主机修复；物理备份恢复，也可以恢复单独的数据页；</w:t>
            </w:r>
          </w:p>
          <w:p w14:paraId="3F3664A0">
            <w:pPr>
              <w:widowControl/>
              <w:rPr>
                <w:rFonts w:hint="eastAsia" w:ascii="宋体" w:hAnsi="宋体" w:eastAsia="宋体"/>
                <w:b w:val="0"/>
                <w:bCs w:val="0"/>
                <w:color w:val="000000"/>
                <w:kern w:val="0"/>
                <w:sz w:val="21"/>
                <w:szCs w:val="21"/>
              </w:rPr>
            </w:pPr>
            <w:r>
              <w:rPr>
                <w:rFonts w:ascii="宋体" w:hAnsi="宋体"/>
                <w:sz w:val="21"/>
                <w:szCs w:val="21"/>
              </w:rPr>
              <w:t>★</w:t>
            </w:r>
            <w:r>
              <w:rPr>
                <w:rFonts w:hint="eastAsia" w:ascii="宋体" w:hAnsi="宋体" w:eastAsia="宋体"/>
                <w:b w:val="0"/>
                <w:bCs w:val="0"/>
                <w:color w:val="000000"/>
                <w:kern w:val="0"/>
                <w:sz w:val="21"/>
                <w:szCs w:val="21"/>
              </w:rPr>
              <w:t>6、提供命令行客户端及基于跨平台风格统一的全图形化客户端工具，包括数据库对象管理、SQL开发、数据迁移、性能监视、数据库配置等多种图形化工具，并提供PL/SQL调试工具。</w:t>
            </w:r>
          </w:p>
          <w:p w14:paraId="5056F499">
            <w:pPr>
              <w:widowControl/>
              <w:rPr>
                <w:rStyle w:val="9"/>
                <w:rFonts w:hint="eastAsia" w:ascii="宋体" w:hAnsi="宋体" w:eastAsia="宋体"/>
                <w:b w:val="0"/>
                <w:bCs w:val="0"/>
                <w:color w:val="000000"/>
                <w:kern w:val="0"/>
              </w:rPr>
            </w:pPr>
            <w:r>
              <w:rPr>
                <w:rFonts w:ascii="宋体" w:hAnsi="宋体"/>
                <w:sz w:val="21"/>
                <w:szCs w:val="21"/>
              </w:rPr>
              <w:t>★</w:t>
            </w:r>
            <w:r>
              <w:rPr>
                <w:rFonts w:hint="eastAsia" w:ascii="宋体" w:hAnsi="宋体" w:eastAsia="宋体"/>
                <w:b w:val="0"/>
                <w:bCs w:val="0"/>
                <w:color w:val="000000"/>
                <w:kern w:val="0"/>
                <w:sz w:val="21"/>
                <w:szCs w:val="21"/>
              </w:rPr>
              <w:t>7.数据库应当符合安全可靠测评要求，安全可靠等级可在中国信息安全测评中心</w:t>
            </w:r>
            <w:r>
              <w:rPr>
                <w:rFonts w:hint="eastAsia" w:ascii="宋体" w:hAnsi="宋体" w:eastAsia="宋体"/>
                <w:b w:val="0"/>
                <w:bCs w:val="0"/>
                <w:color w:val="000000"/>
                <w:kern w:val="0"/>
                <w:sz w:val="21"/>
                <w:szCs w:val="21"/>
                <w:lang w:val="en-US" w:eastAsia="zh-CN"/>
              </w:rPr>
              <w:t>和</w:t>
            </w:r>
            <w:r>
              <w:rPr>
                <w:rFonts w:hint="eastAsia" w:ascii="宋体" w:hAnsi="宋体" w:eastAsia="宋体"/>
                <w:b w:val="0"/>
                <w:bCs w:val="0"/>
                <w:color w:val="000000"/>
                <w:kern w:val="0"/>
                <w:sz w:val="21"/>
                <w:szCs w:val="21"/>
              </w:rPr>
              <w:t>国家保密科技测评中心网站查询,并提供在相关网站找到的截图作为证明。</w:t>
            </w:r>
          </w:p>
          <w:p w14:paraId="68450762">
            <w:pPr>
              <w:pStyle w:val="2"/>
              <w:rPr>
                <w:rFonts w:hint="eastAsia"/>
              </w:rPr>
            </w:pPr>
            <w:r>
              <w:rPr>
                <w:rFonts w:ascii="宋体" w:hAnsi="宋体"/>
                <w:sz w:val="21"/>
                <w:szCs w:val="21"/>
              </w:rPr>
              <w:t>★</w:t>
            </w:r>
            <w:r>
              <w:rPr>
                <w:rFonts w:hint="eastAsia" w:ascii="宋体" w:hAnsi="宋体" w:eastAsia="宋体"/>
                <w:b w:val="0"/>
                <w:bCs w:val="0"/>
                <w:color w:val="000000"/>
                <w:kern w:val="0"/>
                <w:sz w:val="21"/>
                <w:szCs w:val="21"/>
                <w:lang w:val="en-US" w:eastAsia="zh-CN"/>
              </w:rPr>
              <w:t>8</w:t>
            </w:r>
            <w:r>
              <w:rPr>
                <w:rFonts w:hint="eastAsia" w:ascii="宋体" w:hAnsi="宋体" w:eastAsia="宋体"/>
                <w:b w:val="0"/>
                <w:bCs w:val="0"/>
                <w:color w:val="000000"/>
                <w:kern w:val="0"/>
                <w:sz w:val="21"/>
                <w:szCs w:val="21"/>
              </w:rPr>
              <w:t>、其他要求：</w:t>
            </w:r>
            <w:r>
              <w:rPr>
                <w:rFonts w:hint="eastAsia" w:ascii="宋体" w:hAnsi="宋体" w:eastAsia="宋体"/>
                <w:b w:val="0"/>
                <w:bCs w:val="0"/>
                <w:color w:val="000000"/>
                <w:kern w:val="0"/>
                <w:sz w:val="21"/>
                <w:szCs w:val="21"/>
                <w:lang w:eastAsia="zh-CN"/>
              </w:rPr>
              <w:t>数据库</w:t>
            </w:r>
            <w:r>
              <w:rPr>
                <w:rFonts w:hint="eastAsia" w:ascii="宋体" w:hAnsi="宋体" w:eastAsia="宋体"/>
                <w:b w:val="0"/>
                <w:bCs w:val="0"/>
                <w:color w:val="000000"/>
                <w:kern w:val="0"/>
                <w:sz w:val="21"/>
                <w:szCs w:val="21"/>
              </w:rPr>
              <w:t>须符合财政部《数据库政府采购需求标准（2023年版）》中规定的其它*内容，操作系统须符合财政部《操作系统政府采购需求标准（2023年版）》中规定的其它内容。</w:t>
            </w:r>
            <w:r>
              <w:rPr>
                <w:rStyle w:val="9"/>
                <w:rFonts w:hint="eastAsia" w:ascii="宋体" w:hAnsi="宋体" w:eastAsia="宋体"/>
                <w:b w:val="0"/>
                <w:bCs w:val="0"/>
                <w:color w:val="000000"/>
                <w:kern w:val="0"/>
                <w:lang w:eastAsia="zh-CN"/>
              </w:rPr>
              <w:t>（</w:t>
            </w:r>
            <w:r>
              <w:rPr>
                <w:rStyle w:val="9"/>
                <w:rFonts w:hint="eastAsia" w:ascii="宋体" w:hAnsi="宋体" w:eastAsia="宋体"/>
                <w:b w:val="0"/>
                <w:bCs w:val="0"/>
                <w:color w:val="000000"/>
                <w:kern w:val="0"/>
                <w:lang w:val="en-US" w:eastAsia="zh-CN"/>
              </w:rPr>
              <w:t>在投标文件中提供承诺函，格式自拟</w:t>
            </w:r>
            <w:r>
              <w:rPr>
                <w:rStyle w:val="9"/>
                <w:rFonts w:hint="eastAsia" w:ascii="宋体" w:hAnsi="宋体" w:eastAsia="宋体"/>
                <w:b w:val="0"/>
                <w:bCs w:val="0"/>
                <w:color w:val="000000"/>
                <w:kern w:val="0"/>
                <w:lang w:eastAsia="zh-CN"/>
              </w:rPr>
              <w:t>）</w:t>
            </w:r>
          </w:p>
        </w:tc>
        <w:tc>
          <w:tcPr>
            <w:tcW w:w="720" w:type="dxa"/>
            <w:noWrap w:val="0"/>
            <w:vAlign w:val="center"/>
          </w:tcPr>
          <w:p w14:paraId="5FC7922B">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套</w:t>
            </w:r>
          </w:p>
        </w:tc>
        <w:tc>
          <w:tcPr>
            <w:tcW w:w="630" w:type="dxa"/>
            <w:noWrap w:val="0"/>
            <w:vAlign w:val="center"/>
          </w:tcPr>
          <w:p w14:paraId="728B2779">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7</w:t>
            </w:r>
          </w:p>
        </w:tc>
      </w:tr>
    </w:tbl>
    <w:p w14:paraId="17736D21">
      <w:pPr>
        <w:pStyle w:val="10"/>
        <w:spacing w:line="360" w:lineRule="auto"/>
        <w:outlineLvl w:val="4"/>
        <w:rPr>
          <w:rFonts w:ascii="宋体" w:hAnsi="宋体" w:cs="宋体"/>
          <w:sz w:val="21"/>
          <w:szCs w:val="21"/>
        </w:rPr>
      </w:pPr>
      <w:r>
        <w:rPr>
          <w:rFonts w:ascii="宋体" w:hAnsi="宋体" w:cs="宋体"/>
          <w:sz w:val="21"/>
          <w:szCs w:val="21"/>
        </w:rPr>
        <w:t>2.8数据备份迁移服务技术参数要求（1项），分项报价最高限额10万元。</w:t>
      </w:r>
    </w:p>
    <w:tbl>
      <w:tblPr>
        <w:tblStyle w:val="6"/>
        <w:tblW w:w="8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6157"/>
        <w:gridCol w:w="720"/>
        <w:gridCol w:w="630"/>
      </w:tblGrid>
      <w:tr w14:paraId="36AE6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855" w:type="dxa"/>
            <w:noWrap w:val="0"/>
            <w:vAlign w:val="center"/>
          </w:tcPr>
          <w:p w14:paraId="42625E9C">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名称</w:t>
            </w:r>
          </w:p>
        </w:tc>
        <w:tc>
          <w:tcPr>
            <w:tcW w:w="6157" w:type="dxa"/>
            <w:noWrap w:val="0"/>
            <w:vAlign w:val="center"/>
          </w:tcPr>
          <w:p w14:paraId="221D0067">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技术参数</w:t>
            </w:r>
          </w:p>
        </w:tc>
        <w:tc>
          <w:tcPr>
            <w:tcW w:w="720" w:type="dxa"/>
            <w:noWrap w:val="0"/>
            <w:vAlign w:val="center"/>
          </w:tcPr>
          <w:p w14:paraId="72448527">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单位</w:t>
            </w:r>
          </w:p>
        </w:tc>
        <w:tc>
          <w:tcPr>
            <w:tcW w:w="630" w:type="dxa"/>
            <w:noWrap w:val="0"/>
            <w:vAlign w:val="center"/>
          </w:tcPr>
          <w:p w14:paraId="4F6DB19F">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数量</w:t>
            </w:r>
          </w:p>
        </w:tc>
      </w:tr>
      <w:tr w14:paraId="76ED6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855" w:type="dxa"/>
            <w:noWrap w:val="0"/>
            <w:vAlign w:val="center"/>
          </w:tcPr>
          <w:p w14:paraId="50B97630">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sz w:val="21"/>
                <w:szCs w:val="21"/>
              </w:rPr>
              <w:t>数据备份迁移服务</w:t>
            </w:r>
          </w:p>
        </w:tc>
        <w:tc>
          <w:tcPr>
            <w:tcW w:w="6157" w:type="dxa"/>
            <w:noWrap w:val="0"/>
            <w:vAlign w:val="center"/>
          </w:tcPr>
          <w:p w14:paraId="67E625F7">
            <w:pPr>
              <w:widowControl/>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提供数据备份和迁移服务，对本项目所涉及到的设备的上架和机柜的安装以及相关的配置、安装、调试等工程提供服务，包括但不限于系统运行对接时的测试调试、线路调整，线路调整造成的耗材，如：光纤跳线、网线、电源线、电源插板、线路标签、设备上架所需滑道抱轨等；需将现有硬件平台上的业务和数据迁移到本项目新购硬件平台上，在迁移过程中应做好备份工作，避免数据丢失风险。</w:t>
            </w:r>
          </w:p>
        </w:tc>
        <w:tc>
          <w:tcPr>
            <w:tcW w:w="720" w:type="dxa"/>
            <w:noWrap w:val="0"/>
            <w:vAlign w:val="center"/>
          </w:tcPr>
          <w:p w14:paraId="2E28ECC1">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项</w:t>
            </w:r>
          </w:p>
        </w:tc>
        <w:tc>
          <w:tcPr>
            <w:tcW w:w="630" w:type="dxa"/>
            <w:noWrap w:val="0"/>
            <w:vAlign w:val="center"/>
          </w:tcPr>
          <w:p w14:paraId="105D144E">
            <w:pPr>
              <w:widowControl/>
              <w:jc w:val="center"/>
              <w:rPr>
                <w:rFonts w:hint="eastAsia" w:ascii="宋体" w:hAnsi="宋体" w:eastAsia="宋体"/>
                <w:b w:val="0"/>
                <w:bCs w:val="0"/>
                <w:color w:val="000000"/>
                <w:kern w:val="0"/>
                <w:sz w:val="21"/>
                <w:szCs w:val="21"/>
              </w:rPr>
            </w:pPr>
            <w:r>
              <w:rPr>
                <w:rFonts w:hint="eastAsia" w:ascii="宋体" w:hAnsi="宋体" w:eastAsia="宋体"/>
                <w:b w:val="0"/>
                <w:bCs w:val="0"/>
                <w:color w:val="000000"/>
                <w:kern w:val="0"/>
                <w:sz w:val="21"/>
                <w:szCs w:val="21"/>
              </w:rPr>
              <w:t>1</w:t>
            </w:r>
          </w:p>
        </w:tc>
      </w:tr>
    </w:tbl>
    <w:p w14:paraId="06E7F462">
      <w:pPr>
        <w:jc w:val="left"/>
        <w:rPr>
          <w:rFonts w:hint="eastAsia" w:ascii="宋体" w:hAnsi="宋体" w:eastAsia="宋体"/>
          <w:b w:val="0"/>
          <w:bCs w:val="0"/>
          <w:sz w:val="21"/>
          <w:szCs w:val="21"/>
        </w:rPr>
      </w:pPr>
    </w:p>
    <w:p w14:paraId="12023466">
      <w:pPr>
        <w:numPr>
          <w:ilvl w:val="0"/>
          <w:numId w:val="2"/>
        </w:numPr>
        <w:jc w:val="left"/>
        <w:outlineLvl w:val="3"/>
        <w:rPr>
          <w:rFonts w:hint="eastAsia" w:ascii="宋体" w:hAnsi="宋体" w:eastAsia="宋体"/>
          <w:sz w:val="21"/>
          <w:szCs w:val="21"/>
        </w:rPr>
      </w:pPr>
      <w:r>
        <w:rPr>
          <w:rFonts w:hint="eastAsia" w:ascii="宋体" w:hAnsi="宋体" w:eastAsia="宋体"/>
          <w:sz w:val="21"/>
          <w:szCs w:val="21"/>
        </w:rPr>
        <w:t>商务要求</w:t>
      </w:r>
    </w:p>
    <w:p w14:paraId="0D9CA467">
      <w:pPr>
        <w:spacing w:line="360" w:lineRule="auto"/>
        <w:jc w:val="left"/>
        <w:outlineLvl w:val="4"/>
        <w:rPr>
          <w:rFonts w:hint="eastAsia" w:ascii="宋体" w:hAnsi="宋体" w:eastAsia="宋体"/>
          <w:b w:val="0"/>
          <w:bCs w:val="0"/>
          <w:sz w:val="21"/>
          <w:szCs w:val="21"/>
        </w:rPr>
      </w:pPr>
      <w:r>
        <w:rPr>
          <w:rFonts w:hint="eastAsia" w:ascii="宋体" w:hAnsi="宋体" w:eastAsia="宋体"/>
          <w:b w:val="0"/>
          <w:bCs w:val="0"/>
          <w:sz w:val="21"/>
          <w:szCs w:val="21"/>
        </w:rPr>
        <w:t>3.1服务期要求</w:t>
      </w:r>
    </w:p>
    <w:p w14:paraId="1F3A6033">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本项目服务期为自合同签订之日起</w:t>
      </w:r>
      <w:r>
        <w:rPr>
          <w:rFonts w:hint="eastAsia" w:ascii="宋体" w:hAnsi="宋体" w:eastAsia="宋体"/>
          <w:b w:val="0"/>
          <w:bCs w:val="0"/>
          <w:sz w:val="21"/>
          <w:szCs w:val="21"/>
          <w:lang w:val="en-US" w:eastAsia="zh-CN"/>
        </w:rPr>
        <w:t>3</w:t>
      </w:r>
      <w:r>
        <w:rPr>
          <w:rFonts w:hint="eastAsia" w:ascii="宋体" w:hAnsi="宋体" w:eastAsia="宋体"/>
          <w:b w:val="0"/>
          <w:bCs w:val="0"/>
          <w:sz w:val="21"/>
          <w:szCs w:val="21"/>
        </w:rPr>
        <w:t>年，采购内容建设期限1年，1年内完成用户验收，另外按信息化项目整体验收要求，根据“采购包1：广州市居民身份证制证信息平台租赁及制证辅助管理系统升级改造项目”实施及验收进度统一进行合同验收和终验。具体进度要求如下。</w:t>
      </w:r>
    </w:p>
    <w:p w14:paraId="6B4B4C5F">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1.设备购置和安装服务：自合同签订后3个月内完成需求调研、设备安装、部署上线。</w:t>
      </w:r>
    </w:p>
    <w:p w14:paraId="1E445A32">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2.数据备份和迁移服务：根据“</w:t>
      </w:r>
      <w:r>
        <w:rPr>
          <w:rFonts w:hint="eastAsia" w:ascii="宋体" w:hAnsi="宋体" w:eastAsia="宋体"/>
          <w:b w:val="0"/>
          <w:bCs w:val="0"/>
          <w:sz w:val="21"/>
          <w:szCs w:val="21"/>
          <w:lang w:eastAsia="zh-CN"/>
        </w:rPr>
        <w:t>采购包1</w:t>
      </w:r>
      <w:r>
        <w:rPr>
          <w:rFonts w:hint="eastAsia" w:ascii="宋体" w:hAnsi="宋体" w:eastAsia="宋体"/>
          <w:b w:val="0"/>
          <w:bCs w:val="0"/>
          <w:sz w:val="21"/>
          <w:szCs w:val="21"/>
        </w:rPr>
        <w:t>：广州市居民身份证制证信息平台租赁及制证辅助管理系统升级改造项目”进度进行，需要将现有硬件平台上的业务和数据迁移到本项目新购硬件平台上，在迁移过程中应做好备份工作，避免数据丢失风险。</w:t>
      </w:r>
    </w:p>
    <w:p w14:paraId="2E885A52">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在完成设备购置和安装服务及数据备份和迁移服务等全部采购内容后，试运行期不少于3个月，在试运行期间，中标人应对平台运行发生的故障进行详细分析，包括出现故障的次数、故障原因和采取的措施等，项目试运行结束，设备系统稳定，采购人未发现系统严重缺陷后，中标投标人可提出</w:t>
      </w:r>
      <w:r>
        <w:rPr>
          <w:rFonts w:hint="eastAsia" w:ascii="宋体" w:hAnsi="宋体" w:eastAsia="宋体"/>
          <w:b w:val="0"/>
          <w:bCs w:val="0"/>
          <w:sz w:val="21"/>
          <w:szCs w:val="21"/>
          <w:lang w:eastAsia="zh-CN"/>
        </w:rPr>
        <w:t>用户</w:t>
      </w:r>
      <w:r>
        <w:rPr>
          <w:rFonts w:hint="eastAsia" w:ascii="宋体" w:hAnsi="宋体" w:eastAsia="宋体"/>
          <w:b w:val="0"/>
          <w:bCs w:val="0"/>
          <w:sz w:val="21"/>
          <w:szCs w:val="21"/>
        </w:rPr>
        <w:t>验收申请，由采购人按照验收标准组织项目</w:t>
      </w:r>
      <w:r>
        <w:rPr>
          <w:rFonts w:hint="eastAsia" w:ascii="宋体" w:hAnsi="宋体" w:eastAsia="宋体"/>
          <w:b w:val="0"/>
          <w:bCs w:val="0"/>
          <w:sz w:val="21"/>
          <w:szCs w:val="21"/>
          <w:lang w:eastAsia="zh-CN"/>
        </w:rPr>
        <w:t>用户</w:t>
      </w:r>
      <w:r>
        <w:rPr>
          <w:rFonts w:hint="eastAsia" w:ascii="宋体" w:hAnsi="宋体" w:eastAsia="宋体"/>
          <w:b w:val="0"/>
          <w:bCs w:val="0"/>
          <w:sz w:val="21"/>
          <w:szCs w:val="21"/>
        </w:rPr>
        <w:t>验</w:t>
      </w:r>
      <w:r>
        <w:rPr>
          <w:rFonts w:hint="eastAsia" w:ascii="宋体" w:hAnsi="宋体" w:eastAsia="宋体"/>
          <w:b w:val="0"/>
          <w:bCs w:val="0"/>
          <w:sz w:val="21"/>
          <w:szCs w:val="21"/>
          <w:lang w:eastAsia="zh-CN"/>
        </w:rPr>
        <w:t>收</w:t>
      </w:r>
      <w:r>
        <w:rPr>
          <w:rFonts w:hint="eastAsia" w:ascii="宋体" w:hAnsi="宋体" w:eastAsia="宋体"/>
          <w:b w:val="0"/>
          <w:bCs w:val="0"/>
          <w:sz w:val="21"/>
          <w:szCs w:val="21"/>
        </w:rPr>
        <w:t>评审，并出具</w:t>
      </w:r>
      <w:r>
        <w:rPr>
          <w:rFonts w:hint="eastAsia" w:ascii="宋体" w:hAnsi="宋体" w:eastAsia="宋体"/>
          <w:b w:val="0"/>
          <w:bCs w:val="0"/>
          <w:sz w:val="21"/>
          <w:szCs w:val="21"/>
          <w:lang w:eastAsia="zh-CN"/>
        </w:rPr>
        <w:t>用户</w:t>
      </w:r>
      <w:r>
        <w:rPr>
          <w:rFonts w:hint="eastAsia" w:ascii="宋体" w:hAnsi="宋体" w:eastAsia="宋体"/>
          <w:b w:val="0"/>
          <w:bCs w:val="0"/>
          <w:sz w:val="21"/>
          <w:szCs w:val="21"/>
        </w:rPr>
        <w:t>验收意见。</w:t>
      </w:r>
    </w:p>
    <w:p w14:paraId="11780870">
      <w:pPr>
        <w:pStyle w:val="2"/>
        <w:spacing w:line="360" w:lineRule="auto"/>
        <w:rPr>
          <w:rFonts w:hint="default" w:eastAsia="宋体"/>
          <w:lang w:val="en-US" w:eastAsia="zh-CN"/>
        </w:rPr>
      </w:pPr>
      <w:r>
        <w:rPr>
          <w:rFonts w:hint="eastAsia" w:ascii="宋体" w:hAnsi="宋体" w:eastAsia="宋体"/>
          <w:b w:val="0"/>
          <w:bCs w:val="0"/>
          <w:sz w:val="21"/>
          <w:szCs w:val="21"/>
          <w:lang w:val="en-US" w:eastAsia="zh-CN"/>
        </w:rPr>
        <w:t>4.</w:t>
      </w:r>
      <w:r>
        <w:rPr>
          <w:rFonts w:hint="eastAsia" w:ascii="宋体" w:hAnsi="宋体" w:eastAsia="宋体"/>
          <w:b w:val="0"/>
          <w:bCs w:val="0"/>
          <w:sz w:val="21"/>
          <w:szCs w:val="21"/>
        </w:rPr>
        <w:t>按信息化项目整体验收要求，根据“采购包1：广州市居民身份证制证信息平台租赁及制证辅助管理系统升级改造项目”实施及验收进度统一进行合同验收和终验。</w:t>
      </w:r>
    </w:p>
    <w:p w14:paraId="2B5F3353">
      <w:pPr>
        <w:spacing w:line="360" w:lineRule="auto"/>
        <w:jc w:val="left"/>
        <w:outlineLvl w:val="4"/>
        <w:rPr>
          <w:rFonts w:hint="eastAsia" w:ascii="宋体" w:hAnsi="宋体" w:eastAsia="宋体"/>
          <w:b w:val="0"/>
          <w:bCs w:val="0"/>
          <w:sz w:val="21"/>
          <w:szCs w:val="21"/>
        </w:rPr>
      </w:pPr>
      <w:r>
        <w:rPr>
          <w:rFonts w:hint="eastAsia" w:ascii="宋体" w:hAnsi="宋体" w:eastAsia="宋体"/>
          <w:b w:val="0"/>
          <w:bCs w:val="0"/>
          <w:sz w:val="21"/>
          <w:szCs w:val="21"/>
        </w:rPr>
        <w:t>3.2供货和安装要求</w:t>
      </w:r>
    </w:p>
    <w:p w14:paraId="27AD0016">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中标人负责本项目范围之内的所有软硬件产品的采购、安装及调试工作；供货和安装包括但不限于以下内容：</w:t>
      </w:r>
    </w:p>
    <w:p w14:paraId="5C7FC7D6">
      <w:pPr>
        <w:spacing w:line="360" w:lineRule="auto"/>
        <w:jc w:val="left"/>
        <w:outlineLvl w:val="5"/>
        <w:rPr>
          <w:rFonts w:hint="eastAsia" w:ascii="宋体" w:hAnsi="宋体" w:eastAsia="宋体"/>
          <w:b w:val="0"/>
          <w:bCs w:val="0"/>
          <w:sz w:val="21"/>
          <w:szCs w:val="21"/>
        </w:rPr>
      </w:pPr>
      <w:r>
        <w:rPr>
          <w:rFonts w:hint="eastAsia" w:ascii="宋体" w:hAnsi="宋体" w:eastAsia="宋体"/>
          <w:b w:val="0"/>
          <w:bCs w:val="0"/>
          <w:sz w:val="21"/>
          <w:szCs w:val="21"/>
        </w:rPr>
        <w:t>（1）供货要求</w:t>
      </w:r>
    </w:p>
    <w:p w14:paraId="2B92E190">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中标人应根据项目的组织计划，组织设备和人员，并在采购人、监理方监查下现场进行开箱检验和签收工作。</w:t>
      </w:r>
    </w:p>
    <w:p w14:paraId="300E9D11">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1）所有硬件设备、基础软件系统在开箱或包装时必须完好无损。配置与装箱单相符。数量、质量及性能必须符合合同要求。</w:t>
      </w:r>
    </w:p>
    <w:p w14:paraId="03ADE6F2">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2）开箱检验必须有采购人和监理方在场。</w:t>
      </w:r>
    </w:p>
    <w:p w14:paraId="691DB577">
      <w:pPr>
        <w:spacing w:line="360" w:lineRule="auto"/>
        <w:jc w:val="left"/>
        <w:outlineLvl w:val="5"/>
        <w:rPr>
          <w:rFonts w:hint="eastAsia" w:ascii="宋体" w:hAnsi="宋体" w:eastAsia="宋体"/>
          <w:b w:val="0"/>
          <w:bCs w:val="0"/>
          <w:sz w:val="21"/>
          <w:szCs w:val="21"/>
        </w:rPr>
      </w:pPr>
      <w:r>
        <w:rPr>
          <w:rFonts w:hint="eastAsia" w:ascii="宋体" w:hAnsi="宋体" w:eastAsia="宋体"/>
          <w:b w:val="0"/>
          <w:bCs w:val="0"/>
          <w:sz w:val="21"/>
          <w:szCs w:val="21"/>
        </w:rPr>
        <w:t>（</w:t>
      </w:r>
      <w:r>
        <w:rPr>
          <w:rFonts w:ascii="宋体" w:hAnsi="宋体" w:eastAsia="宋体"/>
          <w:b w:val="0"/>
          <w:bCs w:val="0"/>
          <w:sz w:val="21"/>
          <w:szCs w:val="21"/>
        </w:rPr>
        <w:t>2</w:t>
      </w:r>
      <w:r>
        <w:rPr>
          <w:rFonts w:hint="eastAsia" w:ascii="宋体" w:hAnsi="宋体" w:eastAsia="宋体"/>
          <w:b w:val="0"/>
          <w:bCs w:val="0"/>
          <w:sz w:val="21"/>
          <w:szCs w:val="21"/>
        </w:rPr>
        <w:t>）</w:t>
      </w:r>
      <w:r>
        <w:rPr>
          <w:rFonts w:ascii="宋体" w:hAnsi="宋体" w:eastAsia="宋体"/>
          <w:b w:val="0"/>
          <w:bCs w:val="0"/>
          <w:sz w:val="21"/>
          <w:szCs w:val="21"/>
        </w:rPr>
        <w:t>安装要求</w:t>
      </w:r>
    </w:p>
    <w:p w14:paraId="319F6F17">
      <w:p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1）中标人应根据项目的组织计划编制施工方案，组织设备和人员，并在采购人、监理方监查下现场进行上架、安装、通电检测、基础软件的安装部署、调试等工作。</w:t>
      </w:r>
    </w:p>
    <w:p w14:paraId="5FAE7377">
      <w:p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2）中标人必须向采购人提供本项目采购的所有硬件设备和基础软件，并负责完成整个项目所涉及的设备配置、调试、测试等工作。若本项目采购的硬件设备、基础软件系统的配置或要求中出现不合理或不完整等问题时，中标人有责任和义务在投标文件中提出补充修改方案并在征得采购人的同意后付诸实施。</w:t>
      </w:r>
    </w:p>
    <w:p w14:paraId="4D88BB6C">
      <w:p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3）本项目全部硬件设备的上架、安装、通电检测工作，基础软件的安装、部署工作需在采购人指定的地点和环境进行，并实现正常运行，达到招标文件要求的性能、功能和产品技术规格。</w:t>
      </w:r>
    </w:p>
    <w:p w14:paraId="70978986">
      <w:p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4）对于具体的工作程序、工作内容、硬件设备安装方法、基础软件系统安装部署方法及标准，中标人应在安装前须书面提出并征得采购人同意之后按进度计划实施，不征得采购人同意中标人无权私自更改作业进度计划及内容，否则硬件设备和基础软件的安装过程无效。全部工作文档必须有各方当事人签字认可。</w:t>
      </w:r>
    </w:p>
    <w:p w14:paraId="4B7534AE">
      <w:pPr>
        <w:spacing w:line="360" w:lineRule="auto"/>
        <w:jc w:val="left"/>
        <w:outlineLvl w:val="5"/>
        <w:rPr>
          <w:rFonts w:hint="eastAsia" w:ascii="宋体" w:hAnsi="宋体" w:eastAsia="宋体"/>
          <w:b w:val="0"/>
          <w:bCs w:val="0"/>
          <w:sz w:val="21"/>
          <w:szCs w:val="21"/>
        </w:rPr>
      </w:pPr>
      <w:r>
        <w:rPr>
          <w:rFonts w:hint="eastAsia" w:ascii="宋体" w:hAnsi="宋体" w:eastAsia="宋体"/>
          <w:b w:val="0"/>
          <w:bCs w:val="0"/>
          <w:sz w:val="21"/>
          <w:szCs w:val="21"/>
        </w:rPr>
        <w:t>（</w:t>
      </w:r>
      <w:r>
        <w:rPr>
          <w:rFonts w:ascii="宋体" w:hAnsi="宋体" w:eastAsia="宋体"/>
          <w:b w:val="0"/>
          <w:bCs w:val="0"/>
          <w:sz w:val="21"/>
          <w:szCs w:val="21"/>
        </w:rPr>
        <w:t>3</w:t>
      </w:r>
      <w:r>
        <w:rPr>
          <w:rFonts w:hint="eastAsia" w:ascii="宋体" w:hAnsi="宋体" w:eastAsia="宋体"/>
          <w:b w:val="0"/>
          <w:bCs w:val="0"/>
          <w:sz w:val="21"/>
          <w:szCs w:val="21"/>
        </w:rPr>
        <w:t>）</w:t>
      </w:r>
      <w:r>
        <w:rPr>
          <w:rFonts w:ascii="宋体" w:hAnsi="宋体" w:eastAsia="宋体"/>
          <w:b w:val="0"/>
          <w:bCs w:val="0"/>
          <w:sz w:val="21"/>
          <w:szCs w:val="21"/>
        </w:rPr>
        <w:t>所有设备均须由中标人送货上门并安装调试。采购人不再支付任何费用</w:t>
      </w:r>
      <w:r>
        <w:rPr>
          <w:rFonts w:hint="eastAsia" w:ascii="宋体" w:hAnsi="宋体" w:eastAsia="宋体"/>
          <w:b w:val="0"/>
          <w:bCs w:val="0"/>
          <w:sz w:val="21"/>
          <w:szCs w:val="21"/>
        </w:rPr>
        <w:t>。</w:t>
      </w:r>
    </w:p>
    <w:p w14:paraId="42FF9330">
      <w:pPr>
        <w:spacing w:line="360" w:lineRule="auto"/>
        <w:jc w:val="left"/>
        <w:outlineLvl w:val="4"/>
        <w:rPr>
          <w:rFonts w:hint="eastAsia" w:ascii="宋体" w:hAnsi="宋体" w:eastAsia="宋体"/>
          <w:b w:val="0"/>
          <w:bCs w:val="0"/>
          <w:sz w:val="21"/>
          <w:szCs w:val="21"/>
        </w:rPr>
      </w:pPr>
      <w:r>
        <w:rPr>
          <w:rFonts w:hint="eastAsia" w:ascii="宋体" w:hAnsi="宋体" w:eastAsia="宋体"/>
          <w:b w:val="0"/>
          <w:bCs w:val="0"/>
          <w:sz w:val="21"/>
          <w:szCs w:val="21"/>
        </w:rPr>
        <w:t>3.3人员要求</w:t>
      </w:r>
    </w:p>
    <w:p w14:paraId="5638AC03">
      <w:pPr>
        <w:spacing w:line="360" w:lineRule="auto"/>
        <w:jc w:val="left"/>
        <w:outlineLvl w:val="5"/>
        <w:rPr>
          <w:rFonts w:hint="eastAsia" w:ascii="宋体" w:hAnsi="宋体" w:eastAsia="宋体"/>
          <w:b w:val="0"/>
          <w:bCs w:val="0"/>
          <w:sz w:val="21"/>
          <w:szCs w:val="21"/>
        </w:rPr>
      </w:pPr>
      <w:r>
        <w:rPr>
          <w:rFonts w:hint="eastAsia" w:ascii="宋体" w:hAnsi="宋体" w:eastAsia="宋体"/>
          <w:b w:val="0"/>
          <w:bCs w:val="0"/>
          <w:sz w:val="21"/>
          <w:szCs w:val="21"/>
        </w:rPr>
        <w:t>（1）项目负责人</w:t>
      </w:r>
    </w:p>
    <w:p w14:paraId="772E38B9">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拟派本项目的项目负责人（仅限1人）为投标人自有员工（以社保文件为准），须符合如下要求：</w:t>
      </w:r>
    </w:p>
    <w:p w14:paraId="41DBD3D4">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1）具有计算机类本科或以上学历；</w:t>
      </w:r>
    </w:p>
    <w:p w14:paraId="5BE70C72">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2）具有计算机技术与软件专业技术资格的网络工程师证书；</w:t>
      </w:r>
    </w:p>
    <w:p w14:paraId="5199DB0B">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3）具有信息安全工程师（计算机技术与软件专业技术资格）。</w:t>
      </w:r>
    </w:p>
    <w:p w14:paraId="3E33D51E">
      <w:pPr>
        <w:spacing w:line="360" w:lineRule="auto"/>
        <w:jc w:val="left"/>
        <w:outlineLvl w:val="5"/>
        <w:rPr>
          <w:rFonts w:hint="eastAsia" w:ascii="宋体" w:hAnsi="宋体" w:eastAsia="宋体"/>
          <w:b w:val="0"/>
          <w:bCs w:val="0"/>
          <w:sz w:val="21"/>
          <w:szCs w:val="21"/>
        </w:rPr>
      </w:pPr>
      <w:r>
        <w:rPr>
          <w:rFonts w:hint="eastAsia" w:ascii="宋体" w:hAnsi="宋体" w:eastAsia="宋体"/>
          <w:b w:val="0"/>
          <w:bCs w:val="0"/>
          <w:sz w:val="21"/>
          <w:szCs w:val="21"/>
        </w:rPr>
        <w:t>（2）技术负责人</w:t>
      </w:r>
    </w:p>
    <w:p w14:paraId="23961AB0">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拟派本项目的技术负责人（仅限1人）为投标人自有员工（以社保文件为准），须符合如下要求：</w:t>
      </w:r>
    </w:p>
    <w:p w14:paraId="095A058F">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1）具有计算机类本科或以上学历；</w:t>
      </w:r>
    </w:p>
    <w:p w14:paraId="06351561">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2）具有计算机技术与软件专业技术资格的网络规划设计师证书。</w:t>
      </w:r>
    </w:p>
    <w:p w14:paraId="64027D4C">
      <w:pPr>
        <w:spacing w:line="360" w:lineRule="auto"/>
        <w:jc w:val="left"/>
        <w:outlineLvl w:val="5"/>
        <w:rPr>
          <w:rFonts w:hint="eastAsia" w:ascii="宋体" w:hAnsi="宋体" w:eastAsia="宋体"/>
          <w:b w:val="0"/>
          <w:bCs w:val="0"/>
          <w:sz w:val="21"/>
          <w:szCs w:val="21"/>
        </w:rPr>
      </w:pPr>
      <w:r>
        <w:rPr>
          <w:rFonts w:hint="eastAsia" w:ascii="宋体" w:hAnsi="宋体" w:eastAsia="宋体"/>
          <w:b w:val="0"/>
          <w:bCs w:val="0"/>
          <w:sz w:val="21"/>
          <w:szCs w:val="21"/>
        </w:rPr>
        <w:t>（3）技术团队人员</w:t>
      </w:r>
    </w:p>
    <w:p w14:paraId="5B6E5376">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拟派本项目的技术团队人员（除项目负责人和技术负责人以外）数量不少于4人，且须符合以下要求：</w:t>
      </w:r>
    </w:p>
    <w:p w14:paraId="67EF6F5F">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1）具有计算机技术与软件专业技术资格的网络工程师证书；</w:t>
      </w:r>
    </w:p>
    <w:p w14:paraId="6D81735F">
      <w:pPr>
        <w:spacing w:line="360" w:lineRule="auto"/>
        <w:jc w:val="left"/>
      </w:pPr>
      <w:r>
        <w:rPr>
          <w:rFonts w:hint="eastAsia" w:ascii="宋体" w:hAnsi="宋体" w:eastAsia="宋体"/>
          <w:b w:val="0"/>
          <w:bCs w:val="0"/>
          <w:sz w:val="21"/>
          <w:szCs w:val="21"/>
        </w:rPr>
        <w:t>2）具有信息安全工程师（计算机技术与软件专业技术资格）。</w:t>
      </w:r>
    </w:p>
    <w:p w14:paraId="37C3CFED">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(4)中标人须完全遵守《中华人民共和国劳动合同法》有关规定和《中华人民共和国妇女权益保障法》中关于“劳动和社会保障权益”的有关要求。</w:t>
      </w:r>
    </w:p>
    <w:p w14:paraId="7C4673B8">
      <w:pPr>
        <w:spacing w:line="360" w:lineRule="auto"/>
        <w:jc w:val="left"/>
        <w:outlineLvl w:val="4"/>
        <w:rPr>
          <w:rFonts w:hint="eastAsia" w:ascii="宋体" w:hAnsi="宋体" w:eastAsia="宋体"/>
          <w:b w:val="0"/>
          <w:bCs w:val="0"/>
          <w:sz w:val="21"/>
          <w:szCs w:val="21"/>
        </w:rPr>
      </w:pPr>
      <w:r>
        <w:rPr>
          <w:rFonts w:hint="eastAsia" w:ascii="宋体" w:hAnsi="宋体" w:eastAsia="宋体"/>
          <w:b w:val="0"/>
          <w:bCs w:val="0"/>
          <w:sz w:val="21"/>
          <w:szCs w:val="21"/>
        </w:rPr>
        <w:t>3.4</w:t>
      </w:r>
      <w:r>
        <w:rPr>
          <w:rFonts w:ascii="宋体" w:hAnsi="宋体" w:eastAsia="宋体"/>
          <w:b w:val="0"/>
          <w:bCs w:val="0"/>
          <w:sz w:val="21"/>
          <w:szCs w:val="21"/>
        </w:rPr>
        <w:t>验收要求</w:t>
      </w:r>
    </w:p>
    <w:p w14:paraId="13B1A7F7">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w:t>
      </w:r>
      <w:r>
        <w:rPr>
          <w:rFonts w:ascii="宋体" w:hAnsi="宋体" w:eastAsia="宋体"/>
          <w:b w:val="0"/>
          <w:bCs w:val="0"/>
          <w:sz w:val="21"/>
          <w:szCs w:val="21"/>
        </w:rPr>
        <w:t>1</w:t>
      </w:r>
      <w:r>
        <w:rPr>
          <w:rFonts w:hint="eastAsia" w:ascii="宋体" w:hAnsi="宋体" w:eastAsia="宋体"/>
          <w:b w:val="0"/>
          <w:bCs w:val="0"/>
          <w:sz w:val="21"/>
          <w:szCs w:val="21"/>
        </w:rPr>
        <w:t>）</w:t>
      </w:r>
      <w:r>
        <w:rPr>
          <w:rFonts w:ascii="宋体" w:hAnsi="宋体" w:eastAsia="宋体"/>
          <w:b w:val="0"/>
          <w:bCs w:val="0"/>
          <w:sz w:val="21"/>
          <w:szCs w:val="21"/>
        </w:rPr>
        <w:t>验收标准</w:t>
      </w:r>
    </w:p>
    <w:p w14:paraId="5829EFE4">
      <w:p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验收应在采购人、中标</w:t>
      </w:r>
      <w:r>
        <w:rPr>
          <w:rFonts w:hint="eastAsia" w:ascii="宋体" w:hAnsi="宋体" w:eastAsia="宋体"/>
          <w:b w:val="0"/>
          <w:bCs w:val="0"/>
          <w:sz w:val="21"/>
          <w:szCs w:val="21"/>
        </w:rPr>
        <w:t>投标人</w:t>
      </w:r>
      <w:r>
        <w:rPr>
          <w:rFonts w:ascii="宋体" w:hAnsi="宋体" w:eastAsia="宋体"/>
          <w:b w:val="0"/>
          <w:bCs w:val="0"/>
          <w:sz w:val="21"/>
          <w:szCs w:val="21"/>
        </w:rPr>
        <w:t>、采购人委托的监理单位（若有）共同参加下进行，按照</w:t>
      </w:r>
      <w:r>
        <w:rPr>
          <w:rFonts w:hint="eastAsia" w:ascii="宋体" w:hAnsi="宋体" w:eastAsia="宋体"/>
          <w:b w:val="0"/>
          <w:bCs w:val="0"/>
          <w:sz w:val="21"/>
          <w:szCs w:val="21"/>
        </w:rPr>
        <w:t>广州市公安局及广州市政务数据局</w:t>
      </w:r>
      <w:r>
        <w:rPr>
          <w:rFonts w:ascii="宋体" w:hAnsi="宋体" w:eastAsia="宋体"/>
          <w:b w:val="0"/>
          <w:bCs w:val="0"/>
          <w:sz w:val="21"/>
          <w:szCs w:val="21"/>
        </w:rPr>
        <w:t>相关规定执行以及国家有关规定、规范进行；采购人组织项目验收小组按国家有关规定、规范进行验收，必要时邀请相关专业人员或者第三方机构参与验收。</w:t>
      </w:r>
    </w:p>
    <w:p w14:paraId="635EE02D">
      <w:p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项目的验收必须符合以下要求：</w:t>
      </w:r>
    </w:p>
    <w:p w14:paraId="60970A43">
      <w:p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1）实现合同和采购文件中列举的全部要求；</w:t>
      </w:r>
    </w:p>
    <w:p w14:paraId="7A2CFAE1">
      <w:p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2）达到合同和采购文件中列举的全部指标；</w:t>
      </w:r>
    </w:p>
    <w:p w14:paraId="30298D6D">
      <w:p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3）文档齐全，符合合同和采购文件及相关标准要求；</w:t>
      </w:r>
    </w:p>
    <w:p w14:paraId="73D09ECF">
      <w:p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4）验收项目包括按照合同和采购文件中所标明的硬件设备及相关的技术维护文档、培训教材、使用说明书、测试报告</w:t>
      </w:r>
    </w:p>
    <w:p w14:paraId="5BE7B417">
      <w:p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等；</w:t>
      </w:r>
    </w:p>
    <w:p w14:paraId="06D74B67">
      <w:p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5）符合中华人民共和国国家和履约地相关行业技术规范标准。</w:t>
      </w:r>
    </w:p>
    <w:p w14:paraId="77351F03">
      <w:p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上述各类标准与法规是有关官方机构最新发布的现行标准版本。</w:t>
      </w:r>
    </w:p>
    <w:p w14:paraId="7F070690">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w:t>
      </w:r>
      <w:r>
        <w:rPr>
          <w:rFonts w:ascii="宋体" w:hAnsi="宋体" w:eastAsia="宋体"/>
          <w:b w:val="0"/>
          <w:bCs w:val="0"/>
          <w:sz w:val="21"/>
          <w:szCs w:val="21"/>
        </w:rPr>
        <w:t>2</w:t>
      </w:r>
      <w:r>
        <w:rPr>
          <w:rFonts w:hint="eastAsia" w:ascii="宋体" w:hAnsi="宋体" w:eastAsia="宋体"/>
          <w:b w:val="0"/>
          <w:bCs w:val="0"/>
          <w:sz w:val="21"/>
          <w:szCs w:val="21"/>
        </w:rPr>
        <w:t>）</w:t>
      </w:r>
      <w:r>
        <w:rPr>
          <w:rFonts w:ascii="宋体" w:hAnsi="宋体" w:eastAsia="宋体"/>
          <w:b w:val="0"/>
          <w:bCs w:val="0"/>
          <w:sz w:val="21"/>
          <w:szCs w:val="21"/>
        </w:rPr>
        <w:t>验收阶段</w:t>
      </w:r>
    </w:p>
    <w:p w14:paraId="54B0CB03">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1）用户验收</w:t>
      </w:r>
    </w:p>
    <w:p w14:paraId="4707EA88">
      <w:pPr>
        <w:spacing w:line="360" w:lineRule="auto"/>
        <w:jc w:val="left"/>
        <w:rPr>
          <w:rFonts w:hint="eastAsia" w:ascii="宋体" w:hAnsi="宋体" w:eastAsia="宋体"/>
          <w:b w:val="0"/>
          <w:bCs w:val="0"/>
          <w:sz w:val="21"/>
          <w:szCs w:val="21"/>
        </w:rPr>
      </w:pPr>
      <w:r>
        <w:rPr>
          <w:rFonts w:ascii="宋体" w:hAnsi="宋体" w:eastAsia="宋体"/>
          <w:b w:val="0"/>
          <w:bCs w:val="0"/>
          <w:sz w:val="21"/>
          <w:szCs w:val="21"/>
        </w:rPr>
        <w:t>中标</w:t>
      </w:r>
      <w:r>
        <w:rPr>
          <w:rFonts w:hint="eastAsia" w:ascii="宋体" w:hAnsi="宋体" w:eastAsia="宋体"/>
          <w:b w:val="0"/>
          <w:bCs w:val="0"/>
          <w:sz w:val="21"/>
          <w:szCs w:val="21"/>
        </w:rPr>
        <w:t>投标人</w:t>
      </w:r>
      <w:r>
        <w:rPr>
          <w:rFonts w:ascii="宋体" w:hAnsi="宋体" w:eastAsia="宋体"/>
          <w:b w:val="0"/>
          <w:bCs w:val="0"/>
          <w:sz w:val="21"/>
          <w:szCs w:val="21"/>
        </w:rPr>
        <w:t>完成所有设备安装、测试、上线后，</w:t>
      </w:r>
      <w:r>
        <w:rPr>
          <w:rFonts w:hint="eastAsia" w:ascii="宋体" w:hAnsi="宋体" w:eastAsia="宋体"/>
          <w:b w:val="0"/>
          <w:bCs w:val="0"/>
          <w:sz w:val="21"/>
          <w:szCs w:val="21"/>
        </w:rPr>
        <w:t>项目试运行结束，设备系统稳定，采购人未发现系统严重缺陷后，中标投标人可提出用户验收申请，经</w:t>
      </w:r>
      <w:r>
        <w:rPr>
          <w:rFonts w:ascii="宋体" w:hAnsi="宋体" w:eastAsia="宋体"/>
          <w:b w:val="0"/>
          <w:bCs w:val="0"/>
          <w:sz w:val="21"/>
          <w:szCs w:val="21"/>
        </w:rPr>
        <w:t>采购人委托的监理单位（若有）</w:t>
      </w:r>
      <w:r>
        <w:rPr>
          <w:rFonts w:hint="eastAsia" w:ascii="宋体" w:hAnsi="宋体" w:eastAsia="宋体"/>
          <w:b w:val="0"/>
          <w:bCs w:val="0"/>
          <w:sz w:val="21"/>
          <w:szCs w:val="21"/>
        </w:rPr>
        <w:t>审查相关验收材料，</w:t>
      </w:r>
      <w:r>
        <w:rPr>
          <w:rFonts w:ascii="宋体" w:hAnsi="宋体" w:eastAsia="宋体"/>
          <w:b w:val="0"/>
          <w:bCs w:val="0"/>
          <w:sz w:val="21"/>
          <w:szCs w:val="21"/>
        </w:rPr>
        <w:t>采购人</w:t>
      </w:r>
      <w:r>
        <w:rPr>
          <w:rFonts w:hint="eastAsia" w:ascii="宋体" w:hAnsi="宋体" w:eastAsia="宋体"/>
          <w:b w:val="0"/>
          <w:bCs w:val="0"/>
          <w:sz w:val="21"/>
          <w:szCs w:val="21"/>
        </w:rPr>
        <w:t>同意后，</w:t>
      </w:r>
      <w:r>
        <w:rPr>
          <w:rFonts w:ascii="宋体" w:hAnsi="宋体" w:eastAsia="宋体"/>
          <w:b w:val="0"/>
          <w:bCs w:val="0"/>
          <w:sz w:val="21"/>
          <w:szCs w:val="21"/>
        </w:rPr>
        <w:t>由采购人按照验收标准组织项目</w:t>
      </w:r>
      <w:r>
        <w:rPr>
          <w:rFonts w:hint="eastAsia" w:ascii="宋体" w:hAnsi="宋体" w:eastAsia="宋体"/>
          <w:b w:val="0"/>
          <w:bCs w:val="0"/>
          <w:sz w:val="21"/>
          <w:szCs w:val="21"/>
        </w:rPr>
        <w:t>用户验收</w:t>
      </w:r>
      <w:r>
        <w:rPr>
          <w:rFonts w:ascii="宋体" w:hAnsi="宋体" w:eastAsia="宋体"/>
          <w:b w:val="0"/>
          <w:bCs w:val="0"/>
          <w:sz w:val="21"/>
          <w:szCs w:val="21"/>
        </w:rPr>
        <w:t>评审</w:t>
      </w:r>
      <w:r>
        <w:rPr>
          <w:rFonts w:hint="eastAsia" w:ascii="宋体" w:hAnsi="宋体" w:eastAsia="宋体"/>
          <w:b w:val="0"/>
          <w:bCs w:val="0"/>
          <w:sz w:val="21"/>
          <w:szCs w:val="21"/>
        </w:rPr>
        <w:t>。</w:t>
      </w:r>
    </w:p>
    <w:p w14:paraId="62AB446F">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2）合同验收</w:t>
      </w:r>
    </w:p>
    <w:p w14:paraId="3F7AD925">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通过用户验收，设备系统稳定运行满一年，中标人完成所有合同要求的工作，按照“</w:t>
      </w:r>
      <w:r>
        <w:rPr>
          <w:rFonts w:hint="eastAsia" w:ascii="宋体" w:hAnsi="宋体" w:eastAsia="宋体"/>
          <w:b w:val="0"/>
          <w:bCs w:val="0"/>
          <w:sz w:val="21"/>
          <w:szCs w:val="21"/>
          <w:lang w:eastAsia="zh-CN"/>
        </w:rPr>
        <w:t>采购包1</w:t>
      </w:r>
      <w:r>
        <w:rPr>
          <w:rFonts w:hint="eastAsia" w:ascii="宋体" w:hAnsi="宋体" w:eastAsia="宋体"/>
          <w:b w:val="0"/>
          <w:bCs w:val="0"/>
          <w:sz w:val="21"/>
          <w:szCs w:val="21"/>
        </w:rPr>
        <w:t>：广州市居民身份证制证信息平台租赁及制证辅助管理系统升级改造项目”验收进度，由采购人按照验收标准组织项目合同验收。</w:t>
      </w:r>
    </w:p>
    <w:p w14:paraId="478D5DBD">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3）终验</w:t>
      </w:r>
    </w:p>
    <w:p w14:paraId="2F4E3E1C">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合同签订满36个月，按照“</w:t>
      </w:r>
      <w:r>
        <w:rPr>
          <w:rFonts w:hint="eastAsia" w:ascii="宋体" w:hAnsi="宋体" w:eastAsia="宋体"/>
          <w:b w:val="0"/>
          <w:bCs w:val="0"/>
          <w:sz w:val="21"/>
          <w:szCs w:val="21"/>
          <w:lang w:eastAsia="zh-CN"/>
        </w:rPr>
        <w:t>采购包1</w:t>
      </w:r>
      <w:r>
        <w:rPr>
          <w:rFonts w:hint="eastAsia" w:ascii="宋体" w:hAnsi="宋体" w:eastAsia="宋体"/>
          <w:b w:val="0"/>
          <w:bCs w:val="0"/>
          <w:sz w:val="21"/>
          <w:szCs w:val="21"/>
        </w:rPr>
        <w:t>：广州市居民身份证制证信息平台租赁及制证辅助管理系统升级改造项目”验收进度，按照上级验收要求及时间安排申请终验评审</w:t>
      </w:r>
      <w:r>
        <w:rPr>
          <w:rFonts w:ascii="宋体" w:hAnsi="宋体" w:eastAsia="宋体"/>
          <w:b w:val="0"/>
          <w:bCs w:val="0"/>
          <w:sz w:val="21"/>
          <w:szCs w:val="21"/>
        </w:rPr>
        <w:t>，并出具最终验收意见。</w:t>
      </w:r>
    </w:p>
    <w:p w14:paraId="5CABE1CA">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（3）按</w:t>
      </w:r>
      <w:r>
        <w:rPr>
          <w:rFonts w:ascii="宋体" w:hAnsi="宋体" w:eastAsia="宋体"/>
          <w:b w:val="0"/>
          <w:bCs w:val="0"/>
          <w:sz w:val="21"/>
          <w:szCs w:val="21"/>
        </w:rPr>
        <w:t>照采购人及</w:t>
      </w:r>
      <w:r>
        <w:rPr>
          <w:rFonts w:hint="eastAsia" w:ascii="宋体" w:hAnsi="宋体" w:eastAsia="宋体"/>
          <w:b w:val="0"/>
          <w:bCs w:val="0"/>
          <w:sz w:val="21"/>
          <w:szCs w:val="21"/>
        </w:rPr>
        <w:t>广州市</w:t>
      </w:r>
      <w:r>
        <w:rPr>
          <w:rFonts w:ascii="宋体" w:hAnsi="宋体" w:eastAsia="宋体"/>
          <w:b w:val="0"/>
          <w:bCs w:val="0"/>
          <w:sz w:val="21"/>
          <w:szCs w:val="21"/>
        </w:rPr>
        <w:t>政务服务数据管理局相关要求，本项目验收文档可根据实际情况调整，包括但不限于：需求说明书、概要设计说明书、测试报告、安装说明、使用手册、维护手册、培训方案等。</w:t>
      </w:r>
    </w:p>
    <w:p w14:paraId="152F758F">
      <w:pPr>
        <w:spacing w:line="360" w:lineRule="auto"/>
        <w:jc w:val="left"/>
        <w:outlineLvl w:val="4"/>
        <w:rPr>
          <w:rFonts w:hint="eastAsia" w:ascii="宋体" w:hAnsi="宋体" w:eastAsia="宋体"/>
          <w:b w:val="0"/>
          <w:bCs w:val="0"/>
          <w:sz w:val="21"/>
          <w:szCs w:val="21"/>
        </w:rPr>
      </w:pPr>
      <w:r>
        <w:rPr>
          <w:rFonts w:hint="eastAsia" w:ascii="宋体" w:hAnsi="宋体" w:eastAsia="宋体"/>
          <w:b w:val="0"/>
          <w:bCs w:val="0"/>
          <w:sz w:val="21"/>
          <w:szCs w:val="21"/>
        </w:rPr>
        <w:t>3.5保密要求</w:t>
      </w:r>
    </w:p>
    <w:p w14:paraId="5B83E6C0">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（1）中标投标人对履行本合同期间知悉的采购人秘密负有保密责任，且中标投标人的保密责任不因本项目合同的终止而终止。</w:t>
      </w:r>
    </w:p>
    <w:p w14:paraId="202FB310">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（2）中标投标人不得向任何第三方透露采购人工作人员的信息。</w:t>
      </w:r>
    </w:p>
    <w:p w14:paraId="172868BB">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未经采购人同意，中标投标人服务人员不得擅自记录、复印、拍摄、摘抄、收藏采购人单位的任何文件资料和信息，不得随意翻阅与工作无关的文件和资料，严禁将采购人单位内部会议、谈话内容泄露给第三方。</w:t>
      </w:r>
    </w:p>
    <w:p w14:paraId="51313004">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4）中标投标人须严格遵守采购人有关安全管理工作要求，签订安全保密协议，严禁私自下载、拷贝采购人计算机内的信息资料，不得擅自携带采购人记载工作内容的硬盘、软盘和打印资料外出；严禁将工作中使用计算机储存的敏感内容、内部程序、口令、密码等泄露给无关人员。</w:t>
      </w:r>
    </w:p>
    <w:p w14:paraId="5DF59A98">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（5）在对外部门、单位交流中，不得泄露和发表涉及采购人及警务工作秘密的技术文档和论文。</w:t>
      </w:r>
    </w:p>
    <w:p w14:paraId="63F807EA">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w:t>
      </w:r>
      <w:r>
        <w:rPr>
          <w:rFonts w:ascii="宋体" w:hAnsi="宋体" w:eastAsia="宋体"/>
          <w:b w:val="0"/>
          <w:bCs w:val="0"/>
          <w:sz w:val="21"/>
          <w:szCs w:val="21"/>
        </w:rPr>
        <w:t>6</w:t>
      </w:r>
      <w:r>
        <w:rPr>
          <w:rFonts w:hint="eastAsia" w:ascii="宋体" w:hAnsi="宋体" w:eastAsia="宋体"/>
          <w:b w:val="0"/>
          <w:bCs w:val="0"/>
          <w:sz w:val="21"/>
          <w:szCs w:val="21"/>
        </w:rPr>
        <w:t>）</w:t>
      </w:r>
      <w:r>
        <w:rPr>
          <w:rFonts w:ascii="宋体" w:hAnsi="宋体" w:eastAsia="宋体"/>
          <w:b w:val="0"/>
          <w:bCs w:val="0"/>
          <w:sz w:val="21"/>
          <w:szCs w:val="21"/>
        </w:rPr>
        <w:t>不得带领无关人员进入办公场所。</w:t>
      </w:r>
    </w:p>
    <w:p w14:paraId="0B4F0FA2">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w:t>
      </w:r>
      <w:r>
        <w:rPr>
          <w:rFonts w:ascii="宋体" w:hAnsi="宋体" w:eastAsia="宋体"/>
          <w:b w:val="0"/>
          <w:bCs w:val="0"/>
          <w:sz w:val="21"/>
          <w:szCs w:val="21"/>
        </w:rPr>
        <w:t>7</w:t>
      </w:r>
      <w:r>
        <w:rPr>
          <w:rFonts w:hint="eastAsia" w:ascii="宋体" w:hAnsi="宋体" w:eastAsia="宋体"/>
          <w:b w:val="0"/>
          <w:bCs w:val="0"/>
          <w:sz w:val="21"/>
          <w:szCs w:val="21"/>
        </w:rPr>
        <w:t>）</w:t>
      </w:r>
      <w:r>
        <w:rPr>
          <w:rFonts w:ascii="宋体" w:hAnsi="宋体" w:eastAsia="宋体"/>
          <w:b w:val="0"/>
          <w:bCs w:val="0"/>
          <w:sz w:val="21"/>
          <w:szCs w:val="21"/>
        </w:rPr>
        <w:t>中标</w:t>
      </w:r>
      <w:r>
        <w:rPr>
          <w:rFonts w:hint="eastAsia" w:ascii="宋体" w:hAnsi="宋体" w:eastAsia="宋体"/>
          <w:b w:val="0"/>
          <w:bCs w:val="0"/>
          <w:sz w:val="21"/>
          <w:szCs w:val="21"/>
        </w:rPr>
        <w:t>投标人</w:t>
      </w:r>
      <w:r>
        <w:rPr>
          <w:rFonts w:ascii="宋体" w:hAnsi="宋体" w:eastAsia="宋体"/>
          <w:b w:val="0"/>
          <w:bCs w:val="0"/>
          <w:sz w:val="21"/>
          <w:szCs w:val="21"/>
        </w:rPr>
        <w:t>工作人员如离开采购人工作岗位，不得泄露从采购人处所知悉的资料信息</w:t>
      </w:r>
      <w:r>
        <w:rPr>
          <w:rFonts w:hint="eastAsia" w:ascii="宋体" w:hAnsi="宋体" w:eastAsia="宋体"/>
          <w:b w:val="0"/>
          <w:bCs w:val="0"/>
          <w:sz w:val="21"/>
          <w:szCs w:val="21"/>
        </w:rPr>
        <w:t>。</w:t>
      </w:r>
    </w:p>
    <w:p w14:paraId="5663ADDC">
      <w:pPr>
        <w:spacing w:line="360" w:lineRule="auto"/>
        <w:jc w:val="left"/>
        <w:outlineLvl w:val="4"/>
      </w:pPr>
      <w:r>
        <w:rPr>
          <w:rFonts w:hint="eastAsia" w:ascii="宋体" w:hAnsi="宋体" w:eastAsia="宋体"/>
          <w:b w:val="0"/>
          <w:bCs w:val="0"/>
          <w:sz w:val="21"/>
          <w:szCs w:val="21"/>
        </w:rPr>
        <w:t>3.6项目培训要求</w:t>
      </w:r>
    </w:p>
    <w:p w14:paraId="11F6DEC1">
      <w:pPr>
        <w:spacing w:line="360" w:lineRule="auto"/>
        <w:jc w:val="left"/>
        <w:outlineLvl w:val="4"/>
        <w:rPr>
          <w:rFonts w:hint="eastAsia" w:ascii="宋体" w:hAnsi="宋体" w:eastAsia="宋体"/>
          <w:b w:val="0"/>
          <w:bCs w:val="0"/>
          <w:sz w:val="21"/>
          <w:szCs w:val="21"/>
        </w:rPr>
      </w:pPr>
      <w:r>
        <w:rPr>
          <w:rFonts w:hint="eastAsia" w:ascii="宋体" w:hAnsi="宋体" w:eastAsia="宋体"/>
          <w:b w:val="0"/>
          <w:bCs w:val="0"/>
          <w:sz w:val="21"/>
          <w:szCs w:val="21"/>
        </w:rPr>
        <w:t>　投标人应提供培训方案，提供完善的技术培训，负责完成对所有使用涉及设备及软件的相关人员熟练操作，培训方案包括但不限于以下内容：</w:t>
      </w:r>
    </w:p>
    <w:p w14:paraId="23DC05CD">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（1）培训内容：包括但不限于涉及设备及软件的管理、维护、操作等。</w:t>
      </w:r>
    </w:p>
    <w:p w14:paraId="79D6E8F0">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（2）培训对象：广州市公安局居民身份证制作所民警和员工等，暂定不超过10人。针对操作员、系统管理员不同岗位开展分层次培训。</w:t>
      </w:r>
    </w:p>
    <w:p w14:paraId="138780F8">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（3）培训地点：采购人指定的培训地点。</w:t>
      </w:r>
    </w:p>
    <w:p w14:paraId="0BCCDC85">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（4）培训课时：采购人根据需要安排具体时间；现场集中培训不少于3次，每次培训不少于2学时。</w:t>
      </w:r>
    </w:p>
    <w:p w14:paraId="5C0D844A">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（5）培训师要求：提供不少于2名项目实施工程师且具备培训经验的专职培训讲师。</w:t>
      </w:r>
    </w:p>
    <w:p w14:paraId="1D97CFB4">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6）培训考核：培训后组织考核，考核以实操为主，参训人员考核通过率≧95%,考核不及格人员需免费补训，直至全部通过。提供完整的培训教材电子版，培训签到表、考核成绩单。（7）培训费用：培训所产生的所有培训场地、讲师、讲义、上机演练等费用均由中标投标人承担。采购人参加培训的交通费和食宿费由采购人自行负责。</w:t>
      </w:r>
    </w:p>
    <w:p w14:paraId="05CC21B7">
      <w:pPr>
        <w:spacing w:line="360" w:lineRule="auto"/>
        <w:jc w:val="left"/>
        <w:outlineLvl w:val="4"/>
        <w:rPr>
          <w:rFonts w:hint="eastAsia" w:ascii="宋体" w:hAnsi="宋体" w:eastAsia="宋体"/>
          <w:b w:val="0"/>
          <w:bCs w:val="0"/>
          <w:sz w:val="21"/>
          <w:szCs w:val="21"/>
        </w:rPr>
      </w:pPr>
      <w:r>
        <w:rPr>
          <w:rFonts w:hint="eastAsia" w:ascii="宋体" w:hAnsi="宋体" w:eastAsia="宋体"/>
          <w:b w:val="0"/>
          <w:bCs w:val="0"/>
          <w:sz w:val="21"/>
          <w:szCs w:val="21"/>
        </w:rPr>
        <w:t>3.7售后服务要求</w:t>
      </w:r>
    </w:p>
    <w:p w14:paraId="18EB8D98">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（1）为本项目采购的硬件、软件产品提供1年免费维保服务，时间自项目合同验收通过之日起计算。</w:t>
      </w:r>
    </w:p>
    <w:p w14:paraId="192D8DE5">
      <w:pPr>
        <w:pStyle w:val="4"/>
        <w:spacing w:line="360" w:lineRule="auto"/>
        <w:rPr>
          <w:rFonts w:hint="eastAsia" w:ascii="宋体" w:hAnsi="宋体" w:eastAsia="宋体"/>
          <w:b w:val="0"/>
          <w:bCs w:val="0"/>
          <w:sz w:val="21"/>
          <w:szCs w:val="21"/>
        </w:rPr>
      </w:pPr>
      <w:r>
        <w:rPr>
          <w:rFonts w:hint="eastAsia" w:ascii="宋体" w:hAnsi="宋体" w:eastAsia="宋体"/>
          <w:b w:val="0"/>
          <w:bCs w:val="0"/>
          <w:sz w:val="21"/>
          <w:szCs w:val="21"/>
        </w:rPr>
        <w:t>（2）在维保期内，若系统出现故障，中标人应在接到采购人通知后30分钟内做出明确响应和安排，并安排专业人员及备件须在8小时内（非节假日须在8:30～18:00）到达现场进行维护。8 小时内对故障做出初步判断，一般故障 24小时内解决，重大故障48小时内解决。</w:t>
      </w:r>
    </w:p>
    <w:p w14:paraId="4835F209">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中标人同时提供7×24小时远程服务保障，保证采购人顺利运行系统。</w:t>
      </w:r>
    </w:p>
    <w:p w14:paraId="13958D9F">
      <w:pPr>
        <w:spacing w:line="360" w:lineRule="auto"/>
        <w:jc w:val="left"/>
        <w:rPr>
          <w:rFonts w:hint="eastAsia" w:ascii="宋体" w:hAnsi="宋体" w:eastAsia="宋体"/>
          <w:b w:val="0"/>
          <w:bCs w:val="0"/>
          <w:sz w:val="21"/>
          <w:szCs w:val="21"/>
        </w:rPr>
      </w:pPr>
      <w:r>
        <w:rPr>
          <w:rFonts w:hint="eastAsia" w:ascii="宋体" w:hAnsi="宋体" w:eastAsia="宋体"/>
          <w:b w:val="0"/>
          <w:bCs w:val="0"/>
          <w:sz w:val="21"/>
          <w:szCs w:val="21"/>
        </w:rPr>
        <w:t>（3）中标人须对交付的产品承担质量保证，提供书面质量保证函。若产品质量不符合采购人要求的，采购人有权退换货，费用由中标人承担。屡次出现质量问题不予以解决的，采购人有权单方解除合同，中标人不得追究采购人相关责任。（需投标人提供书面质量保证函）</w:t>
      </w:r>
    </w:p>
    <w:p w14:paraId="34617172">
      <w:pPr>
        <w:numPr>
          <w:ilvl w:val="0"/>
          <w:numId w:val="0"/>
        </w:numPr>
        <w:adjustRightInd/>
        <w:snapToGrid/>
        <w:spacing w:line="360" w:lineRule="auto"/>
        <w:ind w:firstLine="0" w:firstLineChars="0"/>
        <w:jc w:val="left"/>
        <w:outlineLvl w:val="4"/>
        <w:rPr>
          <w:rFonts w:hint="eastAsia" w:ascii="宋体" w:hAnsi="宋体" w:eastAsia="宋体"/>
          <w:b w:val="0"/>
          <w:bCs w:val="0"/>
          <w:sz w:val="21"/>
          <w:szCs w:val="21"/>
        </w:rPr>
      </w:pPr>
      <w:r>
        <w:rPr>
          <w:rFonts w:hint="eastAsia" w:ascii="宋体" w:hAnsi="宋体" w:eastAsia="宋体"/>
          <w:b w:val="0"/>
          <w:bCs w:val="0"/>
          <w:sz w:val="21"/>
          <w:szCs w:val="21"/>
        </w:rPr>
        <w:t>3.8</w:t>
      </w:r>
      <w:r>
        <w:rPr>
          <w:rFonts w:hint="eastAsia" w:ascii="宋体" w:hAnsi="宋体" w:eastAsia="宋体"/>
          <w:b w:val="0"/>
          <w:bCs w:val="0"/>
          <w:sz w:val="21"/>
          <w:szCs w:val="21"/>
          <w:lang w:val="en-US" w:eastAsia="zh-CN"/>
        </w:rPr>
        <w:t xml:space="preserve"> </w:t>
      </w:r>
      <w:r>
        <w:rPr>
          <w:rFonts w:hint="eastAsia" w:ascii="宋体" w:hAnsi="宋体" w:eastAsia="宋体"/>
          <w:b w:val="0"/>
          <w:bCs w:val="0"/>
          <w:sz w:val="21"/>
          <w:szCs w:val="21"/>
        </w:rPr>
        <w:t>履约保证金</w:t>
      </w:r>
    </w:p>
    <w:p w14:paraId="756662C6">
      <w:pPr>
        <w:numPr>
          <w:ilvl w:val="0"/>
          <w:numId w:val="0"/>
        </w:numPr>
        <w:adjustRightInd w:val="0"/>
        <w:snapToGrid w:val="0"/>
        <w:spacing w:line="360" w:lineRule="auto"/>
        <w:ind w:firstLine="420" w:firstLineChars="200"/>
        <w:jc w:val="left"/>
        <w:rPr>
          <w:rFonts w:hint="eastAsia" w:ascii="宋体" w:hAnsi="宋体" w:eastAsia="宋体"/>
          <w:b w:val="0"/>
          <w:bCs w:val="0"/>
          <w:sz w:val="21"/>
          <w:szCs w:val="21"/>
        </w:rPr>
      </w:pPr>
      <w:r>
        <w:rPr>
          <w:rFonts w:hint="eastAsia" w:ascii="宋体" w:hAnsi="宋体" w:eastAsia="宋体"/>
          <w:b w:val="0"/>
          <w:bCs w:val="0"/>
          <w:sz w:val="21"/>
          <w:szCs w:val="21"/>
        </w:rPr>
        <w:t>1 提交时间：签订合同后15个日内提供。</w:t>
      </w:r>
    </w:p>
    <w:p w14:paraId="69FB2767">
      <w:pPr>
        <w:numPr>
          <w:ilvl w:val="0"/>
          <w:numId w:val="0"/>
        </w:numPr>
        <w:adjustRightInd w:val="0"/>
        <w:snapToGrid w:val="0"/>
        <w:spacing w:line="360" w:lineRule="auto"/>
        <w:ind w:firstLine="420" w:firstLineChars="200"/>
        <w:jc w:val="left"/>
        <w:rPr>
          <w:rFonts w:hint="eastAsia" w:ascii="宋体" w:hAnsi="宋体" w:eastAsia="宋体"/>
          <w:b w:val="0"/>
          <w:bCs w:val="0"/>
          <w:sz w:val="21"/>
          <w:szCs w:val="21"/>
        </w:rPr>
      </w:pPr>
      <w:r>
        <w:rPr>
          <w:rFonts w:hint="eastAsia" w:ascii="宋体" w:hAnsi="宋体" w:eastAsia="宋体"/>
          <w:b w:val="0"/>
          <w:bCs w:val="0"/>
          <w:sz w:val="21"/>
          <w:szCs w:val="21"/>
        </w:rPr>
        <w:t xml:space="preserve">2 收取比例：合同总价的5%。 </w:t>
      </w:r>
    </w:p>
    <w:p w14:paraId="5B4AE8FE">
      <w:pPr>
        <w:numPr>
          <w:ilvl w:val="0"/>
          <w:numId w:val="0"/>
        </w:numPr>
        <w:adjustRightInd w:val="0"/>
        <w:snapToGrid w:val="0"/>
        <w:spacing w:line="360" w:lineRule="auto"/>
        <w:ind w:firstLine="420" w:firstLineChars="200"/>
        <w:jc w:val="left"/>
        <w:rPr>
          <w:rFonts w:hint="eastAsia" w:ascii="宋体" w:hAnsi="宋体" w:eastAsia="宋体"/>
          <w:b w:val="0"/>
          <w:bCs w:val="0"/>
          <w:sz w:val="21"/>
          <w:szCs w:val="21"/>
        </w:rPr>
      </w:pPr>
      <w:r>
        <w:rPr>
          <w:rFonts w:hint="eastAsia" w:ascii="宋体" w:hAnsi="宋体" w:eastAsia="宋体"/>
          <w:b w:val="0"/>
          <w:bCs w:val="0"/>
          <w:sz w:val="21"/>
          <w:szCs w:val="21"/>
        </w:rPr>
        <w:t>3 方式：履约保证金以支票、汇票、本票或者金融机构、担保机构出具的保函等非现金形式向采购人提交履约保证金。</w:t>
      </w:r>
    </w:p>
    <w:p w14:paraId="686C324E">
      <w:pPr>
        <w:numPr>
          <w:ilvl w:val="0"/>
          <w:numId w:val="0"/>
        </w:numPr>
        <w:adjustRightInd w:val="0"/>
        <w:snapToGrid w:val="0"/>
        <w:spacing w:line="360" w:lineRule="auto"/>
        <w:ind w:firstLine="420" w:firstLineChars="200"/>
        <w:jc w:val="left"/>
        <w:rPr>
          <w:rFonts w:hint="eastAsia" w:ascii="宋体" w:hAnsi="宋体" w:eastAsia="宋体"/>
          <w:b w:val="0"/>
          <w:bCs w:val="0"/>
          <w:sz w:val="21"/>
          <w:szCs w:val="21"/>
        </w:rPr>
      </w:pPr>
      <w:r>
        <w:rPr>
          <w:rFonts w:hint="eastAsia" w:ascii="宋体" w:hAnsi="宋体" w:eastAsia="宋体"/>
          <w:b w:val="0"/>
          <w:bCs w:val="0"/>
          <w:sz w:val="21"/>
          <w:szCs w:val="21"/>
        </w:rPr>
        <w:t>4 支持中标人以电子保函代替履约保证金，保函有效期为合同签订生效之日起一年有效，该保函可以以注册地在中国的银行出具的银行履约保函形式，或以“广东政府采购智慧云平台金融服务中心”在线办理的电子履约保函（保险）形式提供。履约保函须为不可撤销、无条件的、有效期至合同签订生效之日起满一年之日起自动失效，但因中标供应商自身原因导致无法及时退还的除外。中标供应商未能在合同约定时限内向采购人提供履约保函证明文件的，每逾期1日应向采购人支付暂定合同总价 1‰的违约金，逾期超过10个工作日仍未能提供的，采购人有权上报监管单位。由于中标供应商原因导致采购人无法办理合同首付款的责任由中标供应商承担。违约金累计不超过暂定合同总价5%。逾期超过30日，视为不能提供，采购人有权解除合同，中标供应商应向采购人支付暂定合同总价5%的违约金，造成采购人经济损失的，中标供应商承担赔偿责任。</w:t>
      </w:r>
    </w:p>
    <w:p w14:paraId="4F359C35">
      <w:pPr>
        <w:numPr>
          <w:ilvl w:val="0"/>
          <w:numId w:val="0"/>
        </w:numPr>
        <w:adjustRightInd w:val="0"/>
        <w:snapToGrid w:val="0"/>
        <w:spacing w:line="360" w:lineRule="auto"/>
        <w:ind w:firstLine="420" w:firstLineChars="200"/>
        <w:jc w:val="left"/>
        <w:rPr>
          <w:rFonts w:hint="eastAsia" w:ascii="宋体" w:hAnsi="宋体" w:eastAsia="宋体"/>
          <w:b w:val="0"/>
          <w:bCs w:val="0"/>
          <w:sz w:val="21"/>
          <w:szCs w:val="21"/>
        </w:rPr>
      </w:pPr>
      <w:r>
        <w:rPr>
          <w:rFonts w:hint="eastAsia" w:ascii="宋体" w:hAnsi="宋体" w:eastAsia="宋体"/>
          <w:b w:val="0"/>
          <w:bCs w:val="0"/>
          <w:sz w:val="21"/>
          <w:szCs w:val="21"/>
        </w:rPr>
        <w:t>因中标供应商违约或者造成采购人损失而使用履约保函中的担保金额作为违约金或赔偿损失后，中标供应商应在10个工作日内补齐或者重新提交履约保函。</w:t>
      </w:r>
    </w:p>
    <w:p w14:paraId="48BC0C3D">
      <w:pPr>
        <w:numPr>
          <w:ilvl w:val="0"/>
          <w:numId w:val="0"/>
        </w:numPr>
        <w:adjustRightInd w:val="0"/>
        <w:snapToGrid w:val="0"/>
        <w:spacing w:line="360" w:lineRule="auto"/>
        <w:ind w:firstLine="420" w:firstLineChars="200"/>
        <w:jc w:val="left"/>
        <w:rPr>
          <w:rFonts w:hint="eastAsia" w:ascii="宋体" w:hAnsi="宋体" w:eastAsia="宋体"/>
          <w:b w:val="0"/>
          <w:bCs w:val="0"/>
          <w:sz w:val="21"/>
          <w:szCs w:val="21"/>
        </w:rPr>
      </w:pPr>
      <w:r>
        <w:rPr>
          <w:rFonts w:hint="eastAsia" w:ascii="宋体" w:hAnsi="宋体" w:eastAsia="宋体"/>
          <w:b w:val="0"/>
          <w:bCs w:val="0"/>
          <w:sz w:val="21"/>
          <w:szCs w:val="21"/>
        </w:rPr>
        <w:t xml:space="preserve">5 若中标人没有违约行为，履约保证金在整体服务验收合格后15个工作日内由采购人无息退还中标人。如因政府财政部门审批延误，采购人无按期归还，采购人不用承担违约责任。采购人逾期退还履约保证金的，除应当退还履约保证金的本金外，还应当按中国人民银行授权的全国银行间同业拆借中心在逾期当月公布的1年期贷款市场报价利率上浮20％后的利率支付超期资金占用费，但因中标人自身原因导致无法及时退还的除外。 </w:t>
      </w:r>
    </w:p>
    <w:p w14:paraId="15A5B402">
      <w:pPr>
        <w:pStyle w:val="10"/>
        <w:spacing w:line="360" w:lineRule="auto"/>
        <w:rPr>
          <w:rStyle w:val="9"/>
          <w:rFonts w:ascii="宋体" w:hAnsi="宋体" w:cs="宋体"/>
          <w:kern w:val="2"/>
        </w:rPr>
      </w:pPr>
      <w:r>
        <w:rPr>
          <w:rFonts w:hint="eastAsia" w:ascii="宋体" w:hAnsi="宋体" w:eastAsia="宋体"/>
          <w:b w:val="0"/>
          <w:bCs w:val="0"/>
          <w:sz w:val="21"/>
          <w:szCs w:val="21"/>
        </w:rPr>
        <w:t>6 下列任何一种情况发生时，采购人有权不予退还履约保证金并根据中标人造成损失情况要求中标人赔偿采购人相应经济损失： （1）因中标人违约导致工作缺失，采购人书面通知 2 次后仍不整改。 （2）有明显证据证明中标人未履行本合同约定的； （3）中标人有明显过错致采购人造成损失的。</w:t>
      </w:r>
    </w:p>
    <w:p w14:paraId="47AFF76F">
      <w:pPr>
        <w:pStyle w:val="10"/>
        <w:spacing w:line="360" w:lineRule="auto"/>
        <w:rPr>
          <w:rStyle w:val="9"/>
          <w:rFonts w:hint="eastAsia" w:ascii="宋体" w:hAnsi="宋体" w:cs="宋体"/>
          <w:kern w:val="2"/>
        </w:rPr>
      </w:pPr>
      <w:r>
        <w:rPr>
          <w:rStyle w:val="9"/>
          <w:rFonts w:hint="eastAsia" w:ascii="宋体" w:hAnsi="宋体" w:cs="宋体"/>
          <w:kern w:val="2"/>
        </w:rPr>
        <w:t>3.9 付款方式</w:t>
      </w:r>
    </w:p>
    <w:p w14:paraId="11C169A5">
      <w:pPr>
        <w:pStyle w:val="10"/>
        <w:spacing w:line="360" w:lineRule="auto"/>
        <w:rPr>
          <w:rStyle w:val="9"/>
          <w:rFonts w:hint="eastAsia" w:ascii="宋体" w:hAnsi="宋体" w:cs="宋体"/>
          <w:kern w:val="2"/>
        </w:rPr>
      </w:pPr>
      <w:r>
        <w:rPr>
          <w:rStyle w:val="9"/>
          <w:rFonts w:hint="eastAsia" w:ascii="宋体" w:hAnsi="宋体" w:cs="宋体"/>
          <w:kern w:val="2"/>
          <w:lang w:val="en-US" w:eastAsia="zh-CN"/>
        </w:rPr>
        <w:t>1.</w:t>
      </w:r>
      <w:r>
        <w:rPr>
          <w:rStyle w:val="9"/>
          <w:rFonts w:hint="eastAsia" w:ascii="宋体" w:hAnsi="宋体" w:cs="宋体"/>
          <w:kern w:val="2"/>
        </w:rPr>
        <w:t>合同签订生效之日起15个工作日且中标人提交履约保证金后，采购人按照合同总价的 30%作为预付款办理财政集中支付手续。</w:t>
      </w:r>
    </w:p>
    <w:p w14:paraId="4C70E284">
      <w:pPr>
        <w:pStyle w:val="10"/>
        <w:spacing w:line="360" w:lineRule="auto"/>
        <w:rPr>
          <w:rStyle w:val="9"/>
          <w:rFonts w:hint="eastAsia" w:ascii="宋体" w:hAnsi="宋体" w:cs="宋体"/>
          <w:kern w:val="2"/>
        </w:rPr>
      </w:pPr>
      <w:r>
        <w:rPr>
          <w:rStyle w:val="9"/>
          <w:rFonts w:hint="eastAsia" w:ascii="宋体" w:hAnsi="宋体" w:cs="宋体"/>
          <w:kern w:val="2"/>
          <w:lang w:val="en-US" w:eastAsia="zh-CN"/>
        </w:rPr>
        <w:t>2</w:t>
      </w:r>
      <w:r>
        <w:rPr>
          <w:rStyle w:val="9"/>
          <w:rFonts w:hint="eastAsia" w:ascii="宋体" w:hAnsi="宋体" w:cs="宋体"/>
          <w:kern w:val="2"/>
        </w:rPr>
        <w:t>.项目用户验收合格后，采购人在收到发票后5个工作日内向中标投标人支付合同总价的65%款项。</w:t>
      </w:r>
    </w:p>
    <w:p w14:paraId="720F91F1">
      <w:pPr>
        <w:pStyle w:val="10"/>
        <w:spacing w:line="360" w:lineRule="auto"/>
        <w:rPr>
          <w:rStyle w:val="9"/>
          <w:rFonts w:hint="eastAsia" w:ascii="宋体" w:hAnsi="宋体" w:cs="宋体"/>
          <w:kern w:val="2"/>
        </w:rPr>
      </w:pPr>
      <w:r>
        <w:rPr>
          <w:rStyle w:val="9"/>
          <w:rFonts w:hint="eastAsia" w:ascii="宋体" w:hAnsi="宋体" w:cs="宋体"/>
          <w:kern w:val="2"/>
          <w:lang w:val="en-US" w:eastAsia="zh-CN"/>
        </w:rPr>
        <w:t>3</w:t>
      </w:r>
      <w:r>
        <w:rPr>
          <w:rStyle w:val="9"/>
          <w:rFonts w:hint="eastAsia" w:ascii="宋体" w:hAnsi="宋体" w:cs="宋体"/>
          <w:kern w:val="2"/>
        </w:rPr>
        <w:t>. 合同验收合格后，办理全部剩余款项的财政集中支付手续。</w:t>
      </w:r>
    </w:p>
    <w:p w14:paraId="161D4261">
      <w:pPr>
        <w:pStyle w:val="10"/>
        <w:spacing w:line="360" w:lineRule="auto"/>
        <w:rPr>
          <w:rStyle w:val="9"/>
          <w:rFonts w:ascii="宋体" w:hAnsi="宋体" w:cs="宋体"/>
          <w:kern w:val="2"/>
        </w:rPr>
      </w:pPr>
      <w:r>
        <w:rPr>
          <w:rStyle w:val="9"/>
          <w:rFonts w:hint="eastAsia" w:ascii="宋体" w:hAnsi="宋体" w:cs="宋体"/>
          <w:kern w:val="2"/>
        </w:rPr>
        <w:t xml:space="preserve">  因采购人使用的是财政资金，付款时间为采购人向政府采购支付部门提出支付申请的时间（不含政府采购支付部门的审查时间和支付时间），在规定时间内提交付款申请即视采购人已履行付款义务，中标人不得以资金付款期限已过为由向采购人索赔或要求支付违约金，且此情况不能成为中标人拒绝提供服务或延期提供服务的理由。但采购人有义务配合相关拨付部门完成付款。</w:t>
      </w:r>
    </w:p>
    <w:p w14:paraId="1A24164E">
      <w:pPr>
        <w:pStyle w:val="10"/>
        <w:rPr>
          <w:rFonts w:hint="default"/>
        </w:rPr>
      </w:pPr>
    </w:p>
    <w:p w14:paraId="7C61FE08">
      <w:pPr>
        <w:pStyle w:val="10"/>
        <w:jc w:val="center"/>
        <w:rPr>
          <w:rFonts w:hint="default"/>
        </w:rPr>
      </w:pPr>
      <w:r>
        <w:t>附件：异常低价审查</w:t>
      </w:r>
    </w:p>
    <w:p w14:paraId="11EFC59B">
      <w:pPr>
        <w:pStyle w:val="10"/>
        <w:rPr>
          <w:rFonts w:hint="default"/>
        </w:rPr>
      </w:pPr>
      <w:r>
        <w:t>根据财政部2026年1月14日发布的《关于推动解决政府采购异常低价问题的通知》规定，本项目将对投标人（供应商）的异常低价进行审查。</w:t>
      </w:r>
    </w:p>
    <w:p w14:paraId="51F8D587">
      <w:pPr>
        <w:pStyle w:val="10"/>
        <w:rPr>
          <w:rFonts w:hint="default"/>
        </w:rPr>
      </w:pPr>
      <w:r>
        <w:t>（一）如投标人（供应商）报价中出现下列情形之一的，评审委员会应当启动异常低价投标（响应）审查程序：</w:t>
      </w:r>
    </w:p>
    <w:p w14:paraId="59E98F2A">
      <w:pPr>
        <w:pStyle w:val="10"/>
        <w:rPr>
          <w:rFonts w:hint="default"/>
        </w:rPr>
      </w:pPr>
      <w:r>
        <w:t>1.投标（响应）报价低于全部通过符合性审查供应商投标（响应）报价平均值50%的，即投标（响应）报价&lt;全部通过符合性审查供应商投标（响应）报价平均值×50%；</w:t>
      </w:r>
    </w:p>
    <w:p w14:paraId="36BC355D">
      <w:pPr>
        <w:pStyle w:val="10"/>
        <w:rPr>
          <w:rFonts w:hint="default"/>
        </w:rPr>
      </w:pPr>
      <w:r>
        <w:t>2.投标（响应）报价低于通过符合性审查的次低报价供应商投标（响应）报价50%的，即投标（响应）报价&lt;通过符合性审查的次低报价供应商投标（响应）报价×50%；</w:t>
      </w:r>
    </w:p>
    <w:p w14:paraId="77C83B83">
      <w:pPr>
        <w:pStyle w:val="10"/>
        <w:rPr>
          <w:rFonts w:hint="default"/>
        </w:rPr>
      </w:pPr>
      <w:r>
        <w:t>3.投标（响应）报价低于采购项目最高限价45%的，即投标（响应）报价&lt;采购项目最高限价×45%；</w:t>
      </w:r>
    </w:p>
    <w:p w14:paraId="6525419A">
      <w:pPr>
        <w:pStyle w:val="10"/>
        <w:rPr>
          <w:rFonts w:hint="default"/>
        </w:rPr>
      </w:pPr>
      <w:r>
        <w:t>4.评审委员会基于专业判断，认为供应商报价过低，有可能影响产品质量或者不能诚信履约的其他情形。</w:t>
      </w:r>
    </w:p>
    <w:p w14:paraId="494501B6">
      <w:pPr>
        <w:pStyle w:val="10"/>
        <w:rPr>
          <w:rFonts w:hint="default"/>
        </w:rPr>
      </w:pPr>
      <w: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D0A00A9">
      <w:r>
        <w:t>异常低价投标(响应)审查的启动原因、审查意见和审查结果应当在评审报告中记录，并随供应商提供的相关书面说明及证明材料，以及评审委员会有关互联网浏览、查询历史一并归档。</w:t>
      </w:r>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7C32BBC"/>
    <w:multiLevelType w:val="singleLevel"/>
    <w:tmpl w:val="67C32BBC"/>
    <w:lvl w:ilvl="0" w:tentative="0">
      <w:start w:val="1"/>
      <w:numFmt w:val="decimal"/>
      <w:suff w:val="nothing"/>
      <w:lvlText w:val="（%1）"/>
      <w:lvlJc w:val="left"/>
    </w:lvl>
  </w:abstractNum>
  <w:abstractNum w:abstractNumId="1">
    <w:nsid w:val="75AD1275"/>
    <w:multiLevelType w:val="singleLevel"/>
    <w:tmpl w:val="75AD1275"/>
    <w:lvl w:ilvl="0" w:tentative="0">
      <w:start w:val="2"/>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0ZTc1MGFkNjJlN2QyOTFjZGMxNGRlNmUyZGIzZGEifQ=="/>
  </w:docVars>
  <w:rsids>
    <w:rsidRoot w:val="4DE56DE7"/>
    <w:rsid w:val="4DE56D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宋体"/>
      <w:b/>
      <w:bCs/>
      <w:kern w:val="2"/>
      <w:sz w:val="24"/>
      <w:szCs w:val="24"/>
      <w:lang w:val="en-US" w:eastAsia="zh-CN" w:bidi="ar-SA"/>
    </w:rPr>
  </w:style>
  <w:style w:type="character" w:default="1" w:styleId="8">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szCs w:val="20"/>
    </w:rPr>
  </w:style>
  <w:style w:type="paragraph" w:styleId="3">
    <w:name w:val="Normal Indent"/>
    <w:basedOn w:val="1"/>
    <w:unhideWhenUsed/>
    <w:qFormat/>
    <w:uiPriority w:val="99"/>
    <w:pPr>
      <w:ind w:firstLine="420"/>
    </w:pPr>
  </w:style>
  <w:style w:type="paragraph" w:styleId="4">
    <w:name w:val="Body Text 3"/>
    <w:basedOn w:val="1"/>
    <w:qFormat/>
    <w:uiPriority w:val="0"/>
    <w:pPr>
      <w:spacing w:after="120"/>
    </w:pPr>
    <w:rPr>
      <w:sz w:val="16"/>
    </w:rPr>
  </w:style>
  <w:style w:type="paragraph" w:styleId="5">
    <w:name w:val="Body Text Indent"/>
    <w:basedOn w:val="1"/>
    <w:next w:val="1"/>
    <w:qFormat/>
    <w:uiPriority w:val="0"/>
    <w:pPr>
      <w:spacing w:line="200" w:lineRule="exact"/>
      <w:ind w:firstLine="301"/>
    </w:pPr>
    <w:rPr>
      <w:rFonts w:hAnsi="Courier New"/>
      <w:spacing w:val="-4"/>
      <w:sz w:val="18"/>
      <w:szCs w:val="20"/>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annotation reference"/>
    <w:basedOn w:val="8"/>
    <w:qFormat/>
    <w:uiPriority w:val="0"/>
    <w:rPr>
      <w:sz w:val="21"/>
      <w:szCs w:val="21"/>
    </w:rPr>
  </w:style>
  <w:style w:type="paragraph" w:customStyle="1" w:styleId="10">
    <w:name w:val="null3"/>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2026-06-12T04:00:00Z</dcterms:created>
  <dc:creator>卢婧茹</dc:creator>
  <cp:lastModifiedBy>卢婧茹</cp:lastModifiedBy>
  <dcterms:modified xsi:type="dcterms:W3CDTF">2026-06-12T04:00:36Z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6A8D1726E3484921B213BF3E3B15913C_11</vt:lpwstr>
  </property>
</Properties>
</file>