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65A7E2">
      <w:pPr>
        <w:adjustRightInd w:val="0"/>
        <w:snapToGrid w:val="0"/>
        <w:spacing w:before="936" w:beforeLines="300" w:line="360" w:lineRule="auto"/>
        <w:jc w:val="center"/>
        <w:outlineLvl w:val="0"/>
        <w:rPr>
          <w:rFonts w:ascii="宋体" w:hAnsi="宋体" w:eastAsia="宋体" w:cs="宋体"/>
          <w:b/>
          <w:kern w:val="44"/>
          <w:sz w:val="48"/>
          <w:szCs w:val="20"/>
        </w:rPr>
      </w:pPr>
    </w:p>
    <w:p w14:paraId="4D08F92C">
      <w:pPr>
        <w:adjustRightInd w:val="0"/>
        <w:snapToGrid w:val="0"/>
        <w:spacing w:line="360" w:lineRule="auto"/>
        <w:ind w:left="840"/>
        <w:jc w:val="center"/>
        <w:outlineLvl w:val="1"/>
        <w:rPr>
          <w:rFonts w:ascii="宋体" w:hAnsi="宋体" w:eastAsia="宋体" w:cs="宋体"/>
          <w:b/>
          <w:sz w:val="30"/>
          <w:szCs w:val="30"/>
        </w:rPr>
      </w:pPr>
      <w:r>
        <w:rPr>
          <w:rFonts w:hint="eastAsia" w:ascii="宋体" w:hAnsi="宋体" w:eastAsia="宋体" w:cs="宋体"/>
          <w:b/>
          <w:sz w:val="30"/>
          <w:szCs w:val="30"/>
        </w:rPr>
        <w:t xml:space="preserve"> 一、货物需求一览表</w:t>
      </w:r>
    </w:p>
    <w:p w14:paraId="7179793E">
      <w:pPr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sz w:val="30"/>
          <w:szCs w:val="30"/>
        </w:rPr>
      </w:pPr>
    </w:p>
    <w:p w14:paraId="13ACD246">
      <w:pPr>
        <w:adjustRightInd w:val="0"/>
        <w:snapToGrid w:val="0"/>
        <w:spacing w:line="360" w:lineRule="auto"/>
        <w:jc w:val="center"/>
        <w:rPr>
          <w:rFonts w:ascii="宋体" w:hAnsi="宋体"/>
          <w:b/>
          <w:sz w:val="30"/>
          <w:szCs w:val="30"/>
        </w:rPr>
      </w:pPr>
    </w:p>
    <w:tbl>
      <w:tblPr>
        <w:tblStyle w:val="8"/>
        <w:tblW w:w="79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2001"/>
        <w:gridCol w:w="1170"/>
        <w:gridCol w:w="2004"/>
        <w:gridCol w:w="1897"/>
      </w:tblGrid>
      <w:tr w14:paraId="2046C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center"/>
          </w:tcPr>
          <w:p w14:paraId="7B928843">
            <w:pPr>
              <w:jc w:val="center"/>
              <w:rPr>
                <w:rFonts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包号</w:t>
            </w:r>
          </w:p>
        </w:tc>
        <w:tc>
          <w:tcPr>
            <w:tcW w:w="2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center"/>
          </w:tcPr>
          <w:p w14:paraId="4A790647">
            <w:pPr>
              <w:jc w:val="center"/>
              <w:rPr>
                <w:rFonts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货物名称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center"/>
          </w:tcPr>
          <w:p w14:paraId="3CA2FDFD">
            <w:pPr>
              <w:jc w:val="center"/>
              <w:rPr>
                <w:rFonts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数量</w:t>
            </w: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center"/>
          </w:tcPr>
          <w:p w14:paraId="21982644">
            <w:pPr>
              <w:jc w:val="center"/>
              <w:rPr>
                <w:rFonts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交货期</w:t>
            </w:r>
          </w:p>
        </w:tc>
        <w:tc>
          <w:tcPr>
            <w:tcW w:w="1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center"/>
          </w:tcPr>
          <w:p w14:paraId="3A7BA7AE">
            <w:pPr>
              <w:jc w:val="center"/>
              <w:rPr>
                <w:rFonts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项目现场</w:t>
            </w:r>
          </w:p>
          <w:p w14:paraId="72B3A4B8">
            <w:pPr>
              <w:jc w:val="center"/>
              <w:rPr>
                <w:rFonts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（交货地点）</w:t>
            </w:r>
          </w:p>
        </w:tc>
      </w:tr>
      <w:tr w14:paraId="20485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6" w:hRule="atLeast"/>
          <w:jc w:val="center"/>
        </w:trPr>
        <w:tc>
          <w:tcPr>
            <w:tcW w:w="8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22649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1</w:t>
            </w:r>
          </w:p>
        </w:tc>
        <w:tc>
          <w:tcPr>
            <w:tcW w:w="2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15E1E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高效液相色谱仪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947BE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套</w:t>
            </w: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748B4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合同签订后的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0天内交货。</w:t>
            </w:r>
          </w:p>
        </w:tc>
        <w:tc>
          <w:tcPr>
            <w:tcW w:w="1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ED3DE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广东省深圳市大鹏新区南澳街道东渔社区东大路7号。</w:t>
            </w:r>
          </w:p>
        </w:tc>
      </w:tr>
    </w:tbl>
    <w:p w14:paraId="2C078E88">
      <w:pPr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sz w:val="30"/>
          <w:szCs w:val="30"/>
        </w:rPr>
      </w:pPr>
    </w:p>
    <w:p w14:paraId="00DC4984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注：</w:t>
      </w:r>
    </w:p>
    <w:p w14:paraId="5A5D7F44">
      <w:pPr>
        <w:adjustRightInd w:val="0"/>
        <w:snapToGrid w:val="0"/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1、投标人须对上述投标内容中完整的一包或几包进行投标，不完整的投标将视为非响应性投标予以拒绝。</w:t>
      </w:r>
    </w:p>
    <w:p w14:paraId="02A7E5DC">
      <w:pPr>
        <w:adjustRightInd w:val="0"/>
        <w:snapToGrid w:val="0"/>
        <w:spacing w:line="360" w:lineRule="auto"/>
        <w:rPr>
          <w:rFonts w:ascii="宋体" w:hAnsi="宋体" w:eastAsia="宋体" w:cs="宋体"/>
          <w:szCs w:val="21"/>
        </w:rPr>
      </w:pPr>
    </w:p>
    <w:p w14:paraId="1865A35A">
      <w:pPr>
        <w:adjustRightInd w:val="0"/>
        <w:snapToGrid w:val="0"/>
        <w:spacing w:line="360" w:lineRule="auto"/>
        <w:rPr>
          <w:rFonts w:ascii="宋体" w:hAnsi="宋体" w:eastAsia="宋体" w:cs="宋体"/>
          <w:szCs w:val="21"/>
        </w:rPr>
      </w:pPr>
    </w:p>
    <w:p w14:paraId="29E9FB47">
      <w:pPr>
        <w:adjustRightInd w:val="0"/>
        <w:snapToGrid w:val="0"/>
        <w:spacing w:line="360" w:lineRule="auto"/>
        <w:rPr>
          <w:rFonts w:ascii="宋体" w:hAnsi="宋体" w:eastAsia="宋体" w:cs="宋体"/>
          <w:szCs w:val="21"/>
        </w:rPr>
      </w:pPr>
    </w:p>
    <w:p w14:paraId="79DFD026">
      <w:pPr>
        <w:adjustRightInd w:val="0"/>
        <w:snapToGrid w:val="0"/>
        <w:spacing w:line="360" w:lineRule="auto"/>
        <w:rPr>
          <w:rFonts w:ascii="宋体" w:hAnsi="宋体" w:eastAsia="宋体" w:cs="宋体"/>
          <w:szCs w:val="21"/>
        </w:rPr>
      </w:pPr>
    </w:p>
    <w:p w14:paraId="22293E33">
      <w:pPr>
        <w:spacing w:line="360" w:lineRule="auto"/>
        <w:ind w:left="600" w:hanging="600"/>
        <w:rPr>
          <w:rFonts w:ascii="宋体" w:hAnsi="宋体" w:eastAsia="宋体"/>
          <w:b/>
          <w:sz w:val="30"/>
          <w:szCs w:val="30"/>
        </w:rPr>
      </w:pPr>
      <w:r>
        <w:rPr>
          <w:rFonts w:hint="eastAsia" w:ascii="宋体" w:hAnsi="宋体" w:eastAsia="宋体" w:cs="宋体"/>
          <w:b/>
          <w:sz w:val="30"/>
          <w:szCs w:val="30"/>
        </w:rPr>
        <w:br w:type="page"/>
      </w:r>
      <w:r>
        <w:rPr>
          <w:rFonts w:hint="eastAsia" w:ascii="宋体" w:hAnsi="宋体" w:eastAsia="宋体"/>
          <w:b/>
          <w:sz w:val="30"/>
          <w:szCs w:val="30"/>
        </w:rPr>
        <w:t>二、总</w:t>
      </w:r>
      <w:r>
        <w:rPr>
          <w:rFonts w:ascii="宋体" w:hAnsi="宋体" w:eastAsia="宋体"/>
          <w:b/>
          <w:sz w:val="30"/>
          <w:szCs w:val="30"/>
        </w:rPr>
        <w:t xml:space="preserve">  </w:t>
      </w:r>
      <w:r>
        <w:rPr>
          <w:rFonts w:hint="eastAsia" w:ascii="宋体" w:hAnsi="宋体" w:eastAsia="宋体"/>
          <w:b/>
          <w:sz w:val="30"/>
          <w:szCs w:val="30"/>
        </w:rPr>
        <w:t>则</w:t>
      </w:r>
    </w:p>
    <w:p w14:paraId="5C421DD4">
      <w:pPr>
        <w:spacing w:before="156" w:beforeLines="50" w:after="156" w:afterLines="50" w:line="360" w:lineRule="auto"/>
        <w:ind w:left="601" w:hanging="601"/>
        <w:rPr>
          <w:rFonts w:ascii="宋体" w:hAnsi="宋体" w:eastAsia="宋体" w:cs="宋体"/>
          <w:b/>
          <w:color w:val="000000"/>
          <w:sz w:val="28"/>
        </w:rPr>
      </w:pPr>
      <w:r>
        <w:rPr>
          <w:rFonts w:hint="eastAsia" w:ascii="宋体" w:hAnsi="宋体" w:eastAsia="宋体" w:cs="宋体"/>
          <w:b/>
          <w:color w:val="000000"/>
          <w:sz w:val="28"/>
        </w:rPr>
        <w:t>1、投标要求</w:t>
      </w:r>
    </w:p>
    <w:p w14:paraId="12CC5765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1.1  投标人在准备投标书时，务必在所提供的商品的技术规格文件中，标明型号、商标名称、目录号。</w:t>
      </w:r>
    </w:p>
    <w:p w14:paraId="393C8BF1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1.2  投标人提供的货物的技术规格，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4FE76CEC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 xml:space="preserve">1.3  </w:t>
      </w:r>
      <w:r>
        <w:rPr>
          <w:rFonts w:hint="eastAsia" w:ascii="宋体" w:hAnsi="宋体" w:eastAsia="宋体" w:cs="宋体"/>
          <w:b/>
          <w:bCs/>
          <w:color w:val="000000"/>
          <w:sz w:val="24"/>
        </w:rPr>
        <w:t>投标人提供的所有货物或系统均要求为全新，符合国家质量检测标准和招标文件的要求。</w:t>
      </w:r>
      <w:r>
        <w:rPr>
          <w:rFonts w:hint="eastAsia" w:ascii="宋体" w:hAnsi="宋体" w:eastAsia="宋体" w:cs="宋体"/>
          <w:color w:val="000000"/>
          <w:sz w:val="24"/>
        </w:rPr>
        <w:t>投标人提供的产品样本，必须是“原件”而非复印件，图表、简图、电路图以及印刷电路板图等都应清晰易读。买方有权不付任何附加费用复制这些资料以供参考。</w:t>
      </w:r>
    </w:p>
    <w:p w14:paraId="26129430">
      <w:pPr>
        <w:spacing w:before="156" w:beforeLines="50" w:after="156" w:afterLines="50" w:line="360" w:lineRule="auto"/>
        <w:ind w:left="601" w:hanging="601"/>
        <w:rPr>
          <w:rFonts w:ascii="宋体" w:hAnsi="宋体" w:eastAsia="宋体" w:cs="宋体"/>
          <w:b/>
          <w:color w:val="000000"/>
          <w:sz w:val="28"/>
        </w:rPr>
      </w:pPr>
      <w:r>
        <w:rPr>
          <w:rFonts w:hint="eastAsia" w:ascii="宋体" w:hAnsi="宋体" w:eastAsia="宋体" w:cs="宋体"/>
          <w:b/>
          <w:color w:val="000000"/>
          <w:sz w:val="28"/>
        </w:rPr>
        <w:t>2、评标标准</w:t>
      </w:r>
    </w:p>
    <w:p w14:paraId="17B9BD0C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2.1  除招标文件中指定的附件和专用工具外，投标人应提供仪器设备的正常运行和常规保养所需的全套标准附件、专用工具和消耗品。投标人在投标书中需列出这些附件和工具的数量和单价的清单，这些附件和工具的报价的总值需计入投标价中。</w:t>
      </w:r>
    </w:p>
    <w:p w14:paraId="5864A292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2.2  对于标书技术规范中已列出的作为查询选件的附件、零配件、专用工具和消耗品，投标书中应列明其数量、单价、总价供买方参考。投标人也可推荐买方没有要求的附件或专用工具作为选件，并列明其数量、单价、总价供买方参考。选件价格不计入评标价中。选件一旦为用户接受，其费用将加入合同价中。</w:t>
      </w:r>
    </w:p>
    <w:p w14:paraId="628B0A34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2.3  为便于用户进行接收仪器的准备工作，卖方应在合同生效后</w:t>
      </w:r>
      <w:r>
        <w:rPr>
          <w:rFonts w:hint="eastAsia" w:ascii="宋体" w:hAnsi="宋体" w:eastAsia="宋体" w:cs="宋体"/>
          <w:b/>
          <w:color w:val="00000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color w:val="000000"/>
          <w:sz w:val="24"/>
        </w:rPr>
        <w:t>0</w:t>
      </w:r>
      <w:r>
        <w:rPr>
          <w:rFonts w:hint="eastAsia" w:ascii="宋体" w:hAnsi="宋体" w:eastAsia="宋体" w:cs="宋体"/>
          <w:color w:val="000000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6BF4C95F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2.4 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0DC2C473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2.5  制造厂家或其国内代理提供的培训指的是涉及货物的基本原理、操作使用和保养维修等有关内容的培训。培训教员的培训费、旅费、食宿费等费用和培训场地费及培训资料费均应由卖方支付。</w:t>
      </w:r>
    </w:p>
    <w:p w14:paraId="2FF5414F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2.6  在评标过程中，买方有权向投标人索取任何与评标有关的资料，投标人务必在接到此类要求后，在规定时间内予以答复。对于无答复的投标人，买方有权拒绝其投标。</w:t>
      </w:r>
    </w:p>
    <w:p w14:paraId="4039CDD1">
      <w:pPr>
        <w:spacing w:before="156" w:beforeLines="50" w:after="156" w:afterLines="50" w:line="360" w:lineRule="auto"/>
        <w:ind w:left="601" w:hanging="601"/>
        <w:rPr>
          <w:rFonts w:ascii="宋体" w:hAnsi="宋体" w:eastAsia="宋体" w:cs="宋体"/>
          <w:b/>
          <w:color w:val="000000"/>
          <w:sz w:val="28"/>
        </w:rPr>
      </w:pPr>
      <w:r>
        <w:rPr>
          <w:rFonts w:hint="eastAsia" w:ascii="宋体" w:hAnsi="宋体" w:eastAsia="宋体" w:cs="宋体"/>
          <w:b/>
          <w:color w:val="000000"/>
          <w:sz w:val="28"/>
        </w:rPr>
        <w:t>3、工作条件</w:t>
      </w:r>
    </w:p>
    <w:p w14:paraId="3CFA2D63">
      <w:pPr>
        <w:spacing w:after="312" w:afterLines="100" w:line="360" w:lineRule="auto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 xml:space="preserve">除非在技术规格中另有说明，所有仪器、设备和系统都应符合下列要求： </w:t>
      </w:r>
    </w:p>
    <w:p w14:paraId="01B37414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3.1  适于在气温为摄氏＋18℃～＋40℃和相对湿度为70％以下的环境条件下运输。</w:t>
      </w:r>
    </w:p>
    <w:p w14:paraId="485E4318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3.2  适于在电源</w:t>
      </w:r>
      <w:r>
        <w:rPr>
          <w:rFonts w:hint="eastAsia" w:ascii="宋体" w:hAnsi="宋体" w:eastAsia="宋体" w:cs="宋体"/>
          <w:b/>
          <w:color w:val="000000"/>
          <w:sz w:val="24"/>
        </w:rPr>
        <w:t>220V（</w:t>
      </w:r>
      <w:r>
        <w:rPr>
          <w:rFonts w:hint="eastAsia" w:ascii="宋体" w:hAnsi="宋体" w:eastAsia="宋体" w:cs="宋体"/>
          <w:b/>
          <w:color w:val="000000"/>
          <w:sz w:val="24"/>
        </w:rPr>
        <w:sym w:font="Symbol" w:char="F0B1"/>
      </w:r>
      <w:r>
        <w:rPr>
          <w:rFonts w:hint="eastAsia" w:ascii="宋体" w:hAnsi="宋体" w:eastAsia="宋体" w:cs="宋体"/>
          <w:b/>
          <w:color w:val="000000"/>
          <w:sz w:val="24"/>
        </w:rPr>
        <w:t>10％）/50Hz</w:t>
      </w:r>
      <w:r>
        <w:rPr>
          <w:rFonts w:hint="eastAsia" w:ascii="宋体" w:hAnsi="宋体" w:eastAsia="宋体" w:cs="宋体"/>
          <w:color w:val="000000"/>
          <w:sz w:val="24"/>
        </w:rPr>
        <w:t>、气温摄氏21℃±1和相对湿度小于50％的环境条件下运行。</w:t>
      </w:r>
      <w:r>
        <w:rPr>
          <w:rFonts w:hint="eastAsia" w:ascii="宋体" w:hAnsi="宋体" w:eastAsia="宋体" w:cs="宋体"/>
          <w:b/>
          <w:color w:val="000000"/>
          <w:sz w:val="24"/>
        </w:rPr>
        <w:t>能够连续正常工作。</w:t>
      </w:r>
    </w:p>
    <w:p w14:paraId="52B6A1C6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3.3  配置符合中国有关标准要求的插头，如果没有这样的插头，则需提供适当的转换插座。</w:t>
      </w:r>
    </w:p>
    <w:p w14:paraId="38009407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20DA4615">
      <w:pPr>
        <w:spacing w:line="360" w:lineRule="auto"/>
        <w:rPr>
          <w:rFonts w:ascii="宋体" w:hAnsi="宋体" w:eastAsia="宋体" w:cs="宋体"/>
          <w:b/>
          <w:bCs/>
          <w:color w:val="000000"/>
          <w:kern w:val="44"/>
          <w:sz w:val="24"/>
        </w:rPr>
      </w:pPr>
    </w:p>
    <w:p w14:paraId="3BE24686">
      <w:pPr>
        <w:spacing w:before="156" w:beforeLines="50" w:after="156" w:afterLines="50" w:line="360" w:lineRule="auto"/>
        <w:ind w:left="601" w:hanging="601"/>
        <w:rPr>
          <w:rFonts w:ascii="宋体" w:hAnsi="宋体" w:eastAsia="宋体" w:cs="宋体"/>
          <w:b/>
          <w:color w:val="000000"/>
          <w:sz w:val="28"/>
        </w:rPr>
      </w:pPr>
      <w:r>
        <w:rPr>
          <w:rFonts w:hint="eastAsia" w:ascii="宋体" w:hAnsi="宋体" w:eastAsia="宋体" w:cs="宋体"/>
          <w:b/>
          <w:color w:val="000000"/>
          <w:sz w:val="28"/>
        </w:rPr>
        <w:t>4、验收标准</w:t>
      </w:r>
    </w:p>
    <w:p w14:paraId="3DE79499">
      <w:pPr>
        <w:spacing w:after="312" w:afterLines="100" w:line="360" w:lineRule="auto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 xml:space="preserve">除非在技术规格中另有说明，所有仪器、设备和系统按下列要求进行验收： </w:t>
      </w:r>
    </w:p>
    <w:p w14:paraId="67DDC9A5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4.1  仪器设备运抵安装现场后，买方将与卖方共同开箱验收, 如卖方届时不派人来, 则验收结果应以买方的验收报告为最终验收结果。验收时发现短缺、破损, 买方有权要求卖方负责更换。</w:t>
      </w:r>
    </w:p>
    <w:p w14:paraId="756C737B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4.2  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5105CD61">
      <w:pPr>
        <w:spacing w:line="360" w:lineRule="auto"/>
        <w:ind w:left="554" w:hanging="554" w:hangingChars="231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4.3  验收由采购人、中标人及相关人员依国家有关标准、合同及有关附件要求进行，验收完毕由采购人及中标人在验收报告上签名。</w:t>
      </w:r>
    </w:p>
    <w:p w14:paraId="2CA6C7D6">
      <w:pPr>
        <w:pStyle w:val="4"/>
        <w:spacing w:line="360" w:lineRule="auto"/>
        <w:ind w:left="410" w:hanging="410" w:hangingChars="170"/>
        <w:rPr>
          <w:rFonts w:hAnsi="宋体" w:eastAsia="宋体" w:cs="宋体"/>
          <w:b/>
          <w:color w:val="000000"/>
          <w:sz w:val="24"/>
          <w:szCs w:val="24"/>
        </w:rPr>
      </w:pPr>
    </w:p>
    <w:p w14:paraId="34E1F962">
      <w:pPr>
        <w:spacing w:before="156" w:beforeLines="50" w:after="156" w:afterLines="50" w:line="360" w:lineRule="auto"/>
        <w:ind w:left="601" w:hanging="601"/>
        <w:rPr>
          <w:rFonts w:ascii="宋体" w:hAnsi="宋体" w:eastAsia="宋体" w:cs="宋体"/>
          <w:b/>
          <w:color w:val="000000"/>
          <w:sz w:val="28"/>
        </w:rPr>
      </w:pPr>
      <w:r>
        <w:rPr>
          <w:rFonts w:hint="eastAsia" w:ascii="宋体" w:hAnsi="宋体" w:eastAsia="宋体" w:cs="宋体"/>
          <w:b/>
          <w:color w:val="000000"/>
          <w:sz w:val="28"/>
        </w:rPr>
        <w:t>5、本技术规格书中标注“</w:t>
      </w:r>
      <w:r>
        <w:rPr>
          <w:rFonts w:hint="eastAsia" w:ascii="宋体" w:hAnsi="宋体" w:eastAsia="宋体" w:cs="宋体"/>
          <w:color w:val="000000"/>
          <w:szCs w:val="21"/>
        </w:rPr>
        <w:t>★</w:t>
      </w:r>
      <w:r>
        <w:rPr>
          <w:rFonts w:hint="eastAsia" w:ascii="宋体" w:hAnsi="宋体" w:eastAsia="宋体" w:cs="宋体"/>
          <w:b/>
          <w:color w:val="000000"/>
          <w:sz w:val="28"/>
        </w:rPr>
        <w:t>”号的为关键技术参数，对这些关键技术参数的任何负偏离将导致废标。</w:t>
      </w:r>
    </w:p>
    <w:p w14:paraId="7624F29F">
      <w:pPr>
        <w:spacing w:before="156" w:beforeLines="50" w:after="156" w:afterLines="50" w:line="360" w:lineRule="auto"/>
        <w:ind w:left="601" w:hanging="601"/>
        <w:rPr>
          <w:rFonts w:ascii="宋体" w:hAnsi="宋体" w:eastAsia="宋体" w:cs="宋体"/>
          <w:b/>
          <w:color w:val="000000"/>
          <w:sz w:val="28"/>
        </w:rPr>
      </w:pPr>
      <w:r>
        <w:rPr>
          <w:rFonts w:hint="eastAsia" w:ascii="宋体" w:hAnsi="宋体" w:eastAsia="宋体" w:cs="宋体"/>
          <w:b/>
          <w:color w:val="000000"/>
          <w:sz w:val="28"/>
        </w:rPr>
        <w:t>6、如在具体技术规格中有本总则不一致之处，以具体技术规格中的要求为准。</w:t>
      </w:r>
    </w:p>
    <w:p w14:paraId="27B3E924">
      <w:pPr>
        <w:spacing w:after="156" w:afterLines="50" w:line="360" w:lineRule="auto"/>
        <w:ind w:left="601" w:hanging="601"/>
        <w:rPr>
          <w:rFonts w:cs="宋体"/>
          <w:b/>
          <w:color w:val="000000"/>
          <w:sz w:val="28"/>
        </w:rPr>
      </w:pPr>
      <w:r>
        <w:rPr>
          <w:rFonts w:hint="eastAsia" w:ascii="宋体" w:hAnsi="宋体" w:eastAsia="宋体" w:cs="宋体"/>
          <w:b/>
          <w:color w:val="000000"/>
          <w:sz w:val="28"/>
        </w:rPr>
        <w:br w:type="page"/>
      </w:r>
      <w:r>
        <w:rPr>
          <w:rFonts w:hint="eastAsia" w:ascii="宋体" w:hAnsi="宋体" w:eastAsia="宋体" w:cs="宋体"/>
          <w:b/>
          <w:color w:val="000000"/>
          <w:sz w:val="28"/>
        </w:rPr>
        <w:t>三、具体技术规格</w:t>
      </w:r>
    </w:p>
    <w:p w14:paraId="20E10157">
      <w:pPr>
        <w:widowControl/>
        <w:snapToGrid w:val="0"/>
        <w:spacing w:line="360" w:lineRule="auto"/>
        <w:jc w:val="center"/>
        <w:rPr>
          <w:rFonts w:hint="eastAsia" w:ascii="宋体" w:hAnsi="宋体" w:eastAsia="宋体" w:cs="宋体"/>
          <w:b/>
          <w:bCs/>
          <w:color w:val="000000"/>
          <w:sz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 xml:space="preserve">第一包  </w:t>
      </w:r>
      <w:r>
        <w:rPr>
          <w:rFonts w:hint="eastAsia" w:ascii="宋体" w:hAnsi="宋体" w:eastAsia="宋体" w:cs="宋体"/>
          <w:b/>
          <w:bCs/>
          <w:sz w:val="24"/>
          <w:lang w:eastAsia="zh-CN"/>
        </w:rPr>
        <w:t>高效液相色谱仪</w:t>
      </w:r>
    </w:p>
    <w:p w14:paraId="50DEDBBE">
      <w:pPr>
        <w:pStyle w:val="6"/>
        <w:numPr>
          <w:ilvl w:val="0"/>
          <w:numId w:val="1"/>
        </w:numPr>
        <w:spacing w:line="360" w:lineRule="auto"/>
        <w:ind w:right="708" w:rightChars="337" w:hanging="905"/>
        <w:jc w:val="both"/>
        <w:rPr>
          <w:rFonts w:hint="eastAsia" w:ascii="宋体" w:hAnsi="宋体" w:eastAsia="宋体" w:cs="宋体"/>
          <w:b/>
          <w:bCs/>
          <w:color w:val="00000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</w:rPr>
        <w:t>招标项目信息</w:t>
      </w:r>
    </w:p>
    <w:tbl>
      <w:tblPr>
        <w:tblStyle w:val="8"/>
        <w:tblW w:w="94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550"/>
        <w:gridCol w:w="681"/>
        <w:gridCol w:w="1091"/>
        <w:gridCol w:w="1651"/>
        <w:gridCol w:w="1238"/>
        <w:gridCol w:w="1260"/>
        <w:gridCol w:w="1260"/>
      </w:tblGrid>
      <w:tr w14:paraId="7C4DF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675" w:type="dxa"/>
            <w:noWrap w:val="0"/>
            <w:vAlign w:val="center"/>
          </w:tcPr>
          <w:p w14:paraId="229CF45B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1550" w:type="dxa"/>
            <w:noWrap/>
            <w:vAlign w:val="center"/>
          </w:tcPr>
          <w:p w14:paraId="5262349A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设备名称</w:t>
            </w:r>
          </w:p>
        </w:tc>
        <w:tc>
          <w:tcPr>
            <w:tcW w:w="681" w:type="dxa"/>
            <w:noWrap w:val="0"/>
            <w:vAlign w:val="center"/>
          </w:tcPr>
          <w:p w14:paraId="219B636A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数量</w:t>
            </w:r>
          </w:p>
        </w:tc>
        <w:tc>
          <w:tcPr>
            <w:tcW w:w="1091" w:type="dxa"/>
            <w:noWrap/>
            <w:vAlign w:val="center"/>
          </w:tcPr>
          <w:p w14:paraId="01713802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651" w:type="dxa"/>
            <w:noWrap w:val="0"/>
            <w:vAlign w:val="center"/>
          </w:tcPr>
          <w:p w14:paraId="27605255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是否接受进口设备参与投标</w:t>
            </w:r>
          </w:p>
        </w:tc>
        <w:tc>
          <w:tcPr>
            <w:tcW w:w="1238" w:type="dxa"/>
            <w:noWrap w:val="0"/>
            <w:vAlign w:val="center"/>
          </w:tcPr>
          <w:p w14:paraId="08B02F19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预算金额</w:t>
            </w:r>
          </w:p>
          <w:p w14:paraId="084277E6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（万元）</w:t>
            </w:r>
          </w:p>
        </w:tc>
        <w:tc>
          <w:tcPr>
            <w:tcW w:w="1260" w:type="dxa"/>
            <w:noWrap w:val="0"/>
            <w:vAlign w:val="center"/>
          </w:tcPr>
          <w:p w14:paraId="7A719DDE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最高限价（万元）</w:t>
            </w:r>
          </w:p>
        </w:tc>
        <w:tc>
          <w:tcPr>
            <w:tcW w:w="1260" w:type="dxa"/>
            <w:noWrap w:val="0"/>
            <w:vAlign w:val="center"/>
          </w:tcPr>
          <w:p w14:paraId="7426E3AE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本项目所属行业</w:t>
            </w:r>
          </w:p>
        </w:tc>
      </w:tr>
      <w:tr w14:paraId="19DE3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675" w:type="dxa"/>
            <w:noWrap w:val="0"/>
            <w:vAlign w:val="center"/>
          </w:tcPr>
          <w:p w14:paraId="09FB9648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一</w:t>
            </w:r>
          </w:p>
        </w:tc>
        <w:tc>
          <w:tcPr>
            <w:tcW w:w="1550" w:type="dxa"/>
            <w:noWrap w:val="0"/>
            <w:vAlign w:val="center"/>
          </w:tcPr>
          <w:p w14:paraId="3E620F94"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高效液相色谱仪</w:t>
            </w:r>
          </w:p>
        </w:tc>
        <w:tc>
          <w:tcPr>
            <w:tcW w:w="681" w:type="dxa"/>
            <w:noWrap w:val="0"/>
            <w:vAlign w:val="center"/>
          </w:tcPr>
          <w:p w14:paraId="730810AE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091" w:type="dxa"/>
            <w:noWrap w:val="0"/>
            <w:vAlign w:val="center"/>
          </w:tcPr>
          <w:p w14:paraId="7C0E3277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套</w:t>
            </w:r>
          </w:p>
        </w:tc>
        <w:tc>
          <w:tcPr>
            <w:tcW w:w="1651" w:type="dxa"/>
            <w:noWrap w:val="0"/>
            <w:vAlign w:val="center"/>
          </w:tcPr>
          <w:p w14:paraId="082D2A95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否</w:t>
            </w:r>
          </w:p>
        </w:tc>
        <w:tc>
          <w:tcPr>
            <w:tcW w:w="1238" w:type="dxa"/>
            <w:noWrap w:val="0"/>
            <w:vAlign w:val="center"/>
          </w:tcPr>
          <w:p w14:paraId="3A251D7F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97</w:t>
            </w:r>
          </w:p>
        </w:tc>
        <w:tc>
          <w:tcPr>
            <w:tcW w:w="1260" w:type="dxa"/>
            <w:noWrap w:val="0"/>
            <w:vAlign w:val="center"/>
          </w:tcPr>
          <w:p w14:paraId="303414A7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97</w:t>
            </w:r>
          </w:p>
        </w:tc>
        <w:tc>
          <w:tcPr>
            <w:tcW w:w="1260" w:type="dxa"/>
            <w:noWrap w:val="0"/>
            <w:vAlign w:val="center"/>
          </w:tcPr>
          <w:p w14:paraId="6DDEC230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工业</w:t>
            </w:r>
          </w:p>
        </w:tc>
      </w:tr>
    </w:tbl>
    <w:p w14:paraId="24B8B1A4">
      <w:pPr>
        <w:pStyle w:val="6"/>
        <w:numPr>
          <w:ilvl w:val="0"/>
          <w:numId w:val="1"/>
        </w:numPr>
        <w:spacing w:line="360" w:lineRule="auto"/>
        <w:ind w:right="708" w:rightChars="337" w:hanging="905"/>
        <w:jc w:val="both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技术部分</w:t>
      </w:r>
    </w:p>
    <w:p w14:paraId="49CF1FC2">
      <w:pPr>
        <w:widowControl/>
        <w:snapToGrid w:val="0"/>
        <w:spacing w:line="360" w:lineRule="auto"/>
        <w:rPr>
          <w:rFonts w:hint="eastAsia" w:ascii="宋体" w:hAnsi="宋体" w:eastAsia="宋体" w:cs="宋体"/>
          <w:b/>
          <w:color w:val="000000"/>
          <w:sz w:val="24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★1、配置清单及零配件（包括专用工具）：</w:t>
      </w:r>
    </w:p>
    <w:tbl>
      <w:tblPr>
        <w:tblStyle w:val="8"/>
        <w:tblW w:w="91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4409"/>
        <w:gridCol w:w="1810"/>
        <w:gridCol w:w="1570"/>
      </w:tblGrid>
      <w:tr w14:paraId="261B4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  <w:noWrap w:val="0"/>
            <w:vAlign w:val="top"/>
          </w:tcPr>
          <w:p w14:paraId="2412711F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4409" w:type="dxa"/>
            <w:noWrap w:val="0"/>
            <w:vAlign w:val="top"/>
          </w:tcPr>
          <w:p w14:paraId="52B541F8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名称</w:t>
            </w:r>
          </w:p>
        </w:tc>
        <w:tc>
          <w:tcPr>
            <w:tcW w:w="1810" w:type="dxa"/>
            <w:noWrap w:val="0"/>
            <w:vAlign w:val="top"/>
          </w:tcPr>
          <w:p w14:paraId="40C69964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数量</w:t>
            </w:r>
          </w:p>
        </w:tc>
        <w:tc>
          <w:tcPr>
            <w:tcW w:w="1570" w:type="dxa"/>
            <w:noWrap w:val="0"/>
            <w:vAlign w:val="top"/>
          </w:tcPr>
          <w:p w14:paraId="4426172A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单位</w:t>
            </w:r>
          </w:p>
        </w:tc>
      </w:tr>
      <w:tr w14:paraId="6840D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  <w:noWrap w:val="0"/>
            <w:vAlign w:val="top"/>
          </w:tcPr>
          <w:p w14:paraId="176CDA7E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4409" w:type="dxa"/>
            <w:noWrap w:val="0"/>
            <w:vAlign w:val="center"/>
          </w:tcPr>
          <w:p w14:paraId="31FE67EB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四元梯度泵系统</w:t>
            </w:r>
          </w:p>
        </w:tc>
        <w:tc>
          <w:tcPr>
            <w:tcW w:w="1810" w:type="dxa"/>
            <w:noWrap w:val="0"/>
            <w:vAlign w:val="top"/>
          </w:tcPr>
          <w:p w14:paraId="45C91A2B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1570" w:type="dxa"/>
            <w:noWrap w:val="0"/>
            <w:vAlign w:val="top"/>
          </w:tcPr>
          <w:p w14:paraId="0AA66211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套</w:t>
            </w:r>
          </w:p>
        </w:tc>
      </w:tr>
      <w:tr w14:paraId="27320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  <w:noWrap w:val="0"/>
            <w:vAlign w:val="top"/>
          </w:tcPr>
          <w:p w14:paraId="1DC05F79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4409" w:type="dxa"/>
            <w:noWrap w:val="0"/>
            <w:vAlign w:val="top"/>
          </w:tcPr>
          <w:p w14:paraId="0956C55E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自动进样器</w:t>
            </w:r>
          </w:p>
        </w:tc>
        <w:tc>
          <w:tcPr>
            <w:tcW w:w="1810" w:type="dxa"/>
            <w:noWrap w:val="0"/>
            <w:vAlign w:val="top"/>
          </w:tcPr>
          <w:p w14:paraId="1F806709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570" w:type="dxa"/>
            <w:noWrap w:val="0"/>
            <w:vAlign w:val="top"/>
          </w:tcPr>
          <w:p w14:paraId="4DB49B4F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套</w:t>
            </w:r>
          </w:p>
        </w:tc>
      </w:tr>
      <w:tr w14:paraId="52FDA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  <w:noWrap w:val="0"/>
            <w:vAlign w:val="top"/>
          </w:tcPr>
          <w:p w14:paraId="1E78A605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4409" w:type="dxa"/>
            <w:noWrap w:val="0"/>
            <w:vAlign w:val="top"/>
          </w:tcPr>
          <w:p w14:paraId="311B7960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柱温箱</w:t>
            </w:r>
          </w:p>
        </w:tc>
        <w:tc>
          <w:tcPr>
            <w:tcW w:w="1810" w:type="dxa"/>
            <w:noWrap w:val="0"/>
            <w:vAlign w:val="top"/>
          </w:tcPr>
          <w:p w14:paraId="7EF4EBBA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570" w:type="dxa"/>
            <w:noWrap w:val="0"/>
            <w:vAlign w:val="top"/>
          </w:tcPr>
          <w:p w14:paraId="455A984D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套</w:t>
            </w:r>
          </w:p>
        </w:tc>
      </w:tr>
      <w:tr w14:paraId="3DE5C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  <w:noWrap w:val="0"/>
            <w:vAlign w:val="top"/>
          </w:tcPr>
          <w:p w14:paraId="10C91E41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4409" w:type="dxa"/>
            <w:noWrap w:val="0"/>
            <w:vAlign w:val="top"/>
          </w:tcPr>
          <w:p w14:paraId="60ACB608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二极管阵列检测器</w:t>
            </w:r>
          </w:p>
        </w:tc>
        <w:tc>
          <w:tcPr>
            <w:tcW w:w="1810" w:type="dxa"/>
            <w:noWrap w:val="0"/>
            <w:vAlign w:val="top"/>
          </w:tcPr>
          <w:p w14:paraId="424D0A6D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570" w:type="dxa"/>
            <w:noWrap w:val="0"/>
            <w:vAlign w:val="top"/>
          </w:tcPr>
          <w:p w14:paraId="62164158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套</w:t>
            </w:r>
          </w:p>
        </w:tc>
      </w:tr>
      <w:tr w14:paraId="3B390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  <w:noWrap w:val="0"/>
            <w:vAlign w:val="top"/>
          </w:tcPr>
          <w:p w14:paraId="69AE181E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5</w:t>
            </w:r>
          </w:p>
        </w:tc>
        <w:tc>
          <w:tcPr>
            <w:tcW w:w="4409" w:type="dxa"/>
            <w:noWrap w:val="0"/>
            <w:vAlign w:val="top"/>
          </w:tcPr>
          <w:p w14:paraId="4D89F900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荧光检测器（带全套衍生装置）</w:t>
            </w:r>
          </w:p>
        </w:tc>
        <w:tc>
          <w:tcPr>
            <w:tcW w:w="1810" w:type="dxa"/>
            <w:noWrap w:val="0"/>
            <w:vAlign w:val="top"/>
          </w:tcPr>
          <w:p w14:paraId="688AAD62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570" w:type="dxa"/>
            <w:noWrap w:val="0"/>
            <w:vAlign w:val="top"/>
          </w:tcPr>
          <w:p w14:paraId="4826F407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套</w:t>
            </w:r>
          </w:p>
        </w:tc>
      </w:tr>
      <w:tr w14:paraId="49627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  <w:noWrap w:val="0"/>
            <w:vAlign w:val="top"/>
          </w:tcPr>
          <w:p w14:paraId="327196BA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6</w:t>
            </w:r>
          </w:p>
        </w:tc>
        <w:tc>
          <w:tcPr>
            <w:tcW w:w="4409" w:type="dxa"/>
            <w:noWrap w:val="0"/>
            <w:vAlign w:val="top"/>
          </w:tcPr>
          <w:p w14:paraId="4B823446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组织器</w:t>
            </w:r>
          </w:p>
        </w:tc>
        <w:tc>
          <w:tcPr>
            <w:tcW w:w="1810" w:type="dxa"/>
            <w:noWrap w:val="0"/>
            <w:vAlign w:val="top"/>
          </w:tcPr>
          <w:p w14:paraId="502BE528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570" w:type="dxa"/>
            <w:noWrap w:val="0"/>
            <w:vAlign w:val="top"/>
          </w:tcPr>
          <w:p w14:paraId="5EECC830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套</w:t>
            </w:r>
          </w:p>
        </w:tc>
      </w:tr>
      <w:tr w14:paraId="2A16E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  <w:noWrap w:val="0"/>
            <w:vAlign w:val="top"/>
          </w:tcPr>
          <w:p w14:paraId="74AC841C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7</w:t>
            </w:r>
          </w:p>
        </w:tc>
        <w:tc>
          <w:tcPr>
            <w:tcW w:w="4409" w:type="dxa"/>
            <w:noWrap w:val="0"/>
            <w:vAlign w:val="top"/>
          </w:tcPr>
          <w:p w14:paraId="10F10BC5">
            <w:pPr>
              <w:widowControl/>
              <w:snapToGrid w:val="0"/>
              <w:spacing w:before="156" w:beforeLines="50"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色谱柱</w:t>
            </w:r>
          </w:p>
        </w:tc>
        <w:tc>
          <w:tcPr>
            <w:tcW w:w="1810" w:type="dxa"/>
            <w:noWrap w:val="0"/>
            <w:vAlign w:val="top"/>
          </w:tcPr>
          <w:p w14:paraId="50E468E0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8</w:t>
            </w:r>
          </w:p>
        </w:tc>
        <w:tc>
          <w:tcPr>
            <w:tcW w:w="1570" w:type="dxa"/>
            <w:noWrap w:val="0"/>
            <w:vAlign w:val="top"/>
          </w:tcPr>
          <w:p w14:paraId="0357C157">
            <w:pPr>
              <w:widowControl/>
              <w:snapToGrid w:val="0"/>
              <w:spacing w:before="156" w:beforeLines="50"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根</w:t>
            </w:r>
          </w:p>
        </w:tc>
      </w:tr>
    </w:tbl>
    <w:p w14:paraId="010281E3">
      <w:pPr>
        <w:widowControl/>
        <w:snapToGrid w:val="0"/>
        <w:spacing w:before="468" w:beforeLines="150" w:line="360" w:lineRule="auto"/>
        <w:ind w:firstLine="420"/>
        <w:rPr>
          <w:rFonts w:hint="eastAsia" w:ascii="宋体" w:hAnsi="宋体" w:eastAsia="宋体" w:cs="宋体"/>
          <w:b/>
          <w:color w:val="000000"/>
          <w:sz w:val="24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技术要求及参数：</w:t>
      </w:r>
    </w:p>
    <w:p w14:paraId="47149E7C">
      <w:pPr>
        <w:widowControl/>
        <w:snapToGrid w:val="0"/>
        <w:spacing w:line="360" w:lineRule="auto"/>
        <w:ind w:firstLine="42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详细见：技术性能指标。</w:t>
      </w:r>
    </w:p>
    <w:p w14:paraId="43B7DBB1">
      <w:pPr>
        <w:widowControl/>
        <w:snapToGrid w:val="0"/>
        <w:spacing w:line="360" w:lineRule="auto"/>
        <w:ind w:firstLine="42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加“</w:t>
      </w:r>
      <w:r>
        <w:rPr>
          <w:rFonts w:hint="eastAsia" w:ascii="宋体" w:hAnsi="宋体" w:eastAsia="宋体" w:cs="宋体"/>
          <w:color w:val="000000"/>
          <w:kern w:val="0"/>
          <w:sz w:val="24"/>
          <w:lang w:val="zh-CN"/>
        </w:rPr>
        <w:t>★</w:t>
      </w:r>
      <w:r>
        <w:rPr>
          <w:rFonts w:hint="eastAsia" w:ascii="宋体" w:hAnsi="宋体" w:eastAsia="宋体" w:cs="宋体"/>
          <w:bCs/>
          <w:color w:val="000000"/>
          <w:sz w:val="24"/>
        </w:rPr>
        <w:t>”条款为必须满足的条款，不得偏离。</w:t>
      </w:r>
    </w:p>
    <w:p w14:paraId="74F1ABF5">
      <w:pPr>
        <w:widowControl/>
        <w:snapToGrid w:val="0"/>
        <w:spacing w:before="156" w:beforeLines="50" w:after="156" w:afterLines="50" w:line="360" w:lineRule="auto"/>
        <w:rPr>
          <w:rFonts w:hint="eastAsia" w:ascii="宋体" w:hAnsi="宋体" w:eastAsia="宋体" w:cs="宋体"/>
          <w:b/>
          <w:bCs/>
          <w:color w:val="00000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</w:rPr>
        <w:t>2、技术性能指标</w:t>
      </w:r>
    </w:p>
    <w:p w14:paraId="62AC35AE">
      <w:pPr>
        <w:spacing w:line="360" w:lineRule="auto"/>
        <w:ind w:left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 xml:space="preserve">运行环境：环境温度，4-35℃；相对湿度，20～85%；适用电源，220VAC±10%，50-60Hz </w:t>
      </w:r>
    </w:p>
    <w:p w14:paraId="1E1D4700">
      <w:pPr>
        <w:spacing w:line="360" w:lineRule="auto"/>
        <w:ind w:leftChars="200"/>
        <w:rPr>
          <w:rFonts w:hint="eastAsia" w:ascii="宋体" w:hAnsi="宋体" w:eastAsia="宋体" w:cs="宋体"/>
          <w:sz w:val="24"/>
          <w:szCs w:val="24"/>
        </w:rPr>
      </w:pPr>
    </w:p>
    <w:p w14:paraId="690E0E3D">
      <w:pPr>
        <w:spacing w:line="360" w:lineRule="auto"/>
        <w:ind w:leftChars="200"/>
        <w:rPr>
          <w:rFonts w:hint="eastAsia" w:ascii="宋体" w:hAnsi="宋体" w:eastAsia="宋体" w:cs="宋体"/>
          <w:sz w:val="24"/>
          <w:szCs w:val="24"/>
        </w:rPr>
      </w:pPr>
    </w:p>
    <w:p w14:paraId="2D9A1628">
      <w:pPr>
        <w:numPr>
          <w:ilvl w:val="0"/>
          <w:numId w:val="2"/>
        </w:num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配置：四元梯度泵系统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2套，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自动进样器、柱温箱、二极管阵列检测器、荧光检测器（带全套衍生装置）和组织器各1套，色谱柱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8根</w:t>
      </w:r>
    </w:p>
    <w:p w14:paraId="1FFB37A9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 w14:paraId="3D31048A">
      <w:pPr>
        <w:numPr>
          <w:ilvl w:val="0"/>
          <w:numId w:val="0"/>
        </w:numPr>
        <w:spacing w:line="360" w:lineRule="auto"/>
        <w:jc w:val="center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设备主要规格参数：</w:t>
      </w:r>
    </w:p>
    <w:p w14:paraId="34520809">
      <w:pPr>
        <w:spacing w:line="360" w:lineRule="auto"/>
        <w:ind w:leftChars="200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1 四元梯度泵系统：</w:t>
      </w:r>
    </w:p>
    <w:p w14:paraId="1E5BA675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梯度模式，高频混合模式HFM，无混合器条件下的可实现优越梯度重现性；</w:t>
      </w:r>
    </w:p>
    <w:p w14:paraId="7E6D8FD9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 最大输液压力，70MPa、700</w:t>
      </w:r>
      <w:bookmarkStart w:id="0" w:name="OLE_LINK4"/>
      <w:bookmarkStart w:id="1" w:name="OLE_LINK3"/>
      <w:r>
        <w:rPr>
          <w:rFonts w:hint="eastAsia" w:ascii="宋体" w:hAnsi="宋体" w:eastAsia="宋体" w:cs="宋体"/>
          <w:color w:val="auto"/>
          <w:sz w:val="24"/>
          <w:szCs w:val="24"/>
        </w:rPr>
        <w:t>Bar、10000Psi</w:t>
      </w:r>
      <w:bookmarkEnd w:id="0"/>
      <w:bookmarkEnd w:id="1"/>
      <w:r>
        <w:rPr>
          <w:rFonts w:hint="eastAsia" w:ascii="宋体" w:hAnsi="宋体" w:eastAsia="宋体" w:cs="宋体"/>
          <w:color w:val="auto"/>
          <w:sz w:val="24"/>
          <w:szCs w:val="24"/>
        </w:rPr>
        <w:t>；</w:t>
      </w:r>
    </w:p>
    <w:p w14:paraId="34C7B429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流速范围，0.001-10.000ml/min，增量0.001ml/min；</w:t>
      </w:r>
    </w:p>
    <w:p w14:paraId="754C0DA8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系统延迟体积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不大于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500μL，不随反压变化；</w:t>
      </w:r>
    </w:p>
    <w:p w14:paraId="1C140364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流速精密度，≦ 0.05%RSD；</w:t>
      </w:r>
    </w:p>
    <w:p w14:paraId="36BEA781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流量准确度，±1%；梯度准确度，±0.5%，与背压无关；</w:t>
      </w:r>
    </w:p>
    <w:p w14:paraId="6EE6E932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★1.7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在线脱气机：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个独立通道</w:t>
      </w:r>
    </w:p>
    <w:p w14:paraId="266A207D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柱塞清洗，独立自动清洗；</w:t>
      </w:r>
    </w:p>
    <w:p w14:paraId="3D61AD79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★1.9 同一样品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可在多个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不同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体系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色谱柱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及检测器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间进行自动切换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分析</w:t>
      </w:r>
    </w:p>
    <w:p w14:paraId="5D3F79A9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★1.10甲醇、乙腈等有机废液无需收集，满足排放标准直接排放。</w:t>
      </w:r>
    </w:p>
    <w:p w14:paraId="46FF5CCB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2 自动进样器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：</w:t>
      </w:r>
    </w:p>
    <w:p w14:paraId="20605C60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进样方式，直接进样（FTN）方式；</w:t>
      </w:r>
    </w:p>
    <w:p w14:paraId="1F4D779D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标准进样体积，0.1－30μL，可扩展至100uL；</w:t>
      </w:r>
    </w:p>
    <w:p w14:paraId="00F808F5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进样准确度，±0.8%；</w:t>
      </w:r>
    </w:p>
    <w:p w14:paraId="2D6F0B3B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进样重复性，&lt;1.0% RSD, 0.5 - 1.0uL，&lt;0.5% RSD, 1.1 - 5.0uL，&lt;0.3% RSD, 5.1 - 100.0uL；样品残留量，≦ 0.003%</w:t>
      </w:r>
    </w:p>
    <w:p w14:paraId="50C27849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  柱温箱：</w:t>
      </w:r>
    </w:p>
    <w:p w14:paraId="29C4E5FD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控温方式：帕尔帖加热/冷却模块＋空气循环；</w:t>
      </w:r>
    </w:p>
    <w:p w14:paraId="10407247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带有流动相预加热功能：1（室温-24℃）-90℃（1℃步进）；温度准确度，±1℃；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色谱柱容量，30cm×3根； </w:t>
      </w:r>
    </w:p>
    <w:p w14:paraId="0AD92F2F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4 检测器：</w:t>
      </w:r>
    </w:p>
    <w:p w14:paraId="5EDEC398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4.1 二极管阵列检测器二极管数，1024位；</w:t>
      </w:r>
    </w:p>
    <w:p w14:paraId="7E3FED49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4.1.1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光源，D2灯，W灯，Hg灯；</w:t>
      </w:r>
    </w:p>
    <w:p w14:paraId="199B5F2E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4.1.2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波长范围，190～900nm；</w:t>
      </w:r>
    </w:p>
    <w:p w14:paraId="34D553FB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4.1.3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波长准确度，±1nm；</w:t>
      </w:r>
    </w:p>
    <w:p w14:paraId="52E06CFA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4.1.4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狭缝宽度，1nm，4nm可调；</w:t>
      </w:r>
    </w:p>
    <w:p w14:paraId="04EC86AD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4.1.5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漂移，＜0.3×10-3AU/hr；</w:t>
      </w:r>
    </w:p>
    <w:p w14:paraId="3CB0C432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4.1.6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采样频率：0.01、0.02、0.05、0.1、0.5、1.0、2.0秒的7个数值间切换；</w:t>
      </w:r>
    </w:p>
    <w:p w14:paraId="7575AF3F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4.1.7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流通池光路长10 mm、流通池的容量 13μL；流通池耐压，1.0 MPa</w:t>
      </w:r>
    </w:p>
    <w:p w14:paraId="75AE04E2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  4.2 荧光检测器：</w:t>
      </w:r>
    </w:p>
    <w:p w14:paraId="1D55C556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4.2.1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光源，Xe灯，Hg灯（高能氙灯和脉冲氙灯）；</w:t>
      </w:r>
    </w:p>
    <w:p w14:paraId="39752E8F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4.2.2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波长范围，激发光200～850nm，发射光250～900nm；</w:t>
      </w:r>
    </w:p>
    <w:p w14:paraId="0B49C66F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4.2.3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波长准确度，</w:t>
      </w:r>
      <w:bookmarkStart w:id="2" w:name="OLE_LINK2"/>
      <w:bookmarkStart w:id="3" w:name="OLE_LINK1"/>
      <w:r>
        <w:rPr>
          <w:rFonts w:hint="eastAsia" w:ascii="宋体" w:hAnsi="宋体" w:eastAsia="宋体" w:cs="宋体"/>
          <w:color w:val="auto"/>
          <w:sz w:val="24"/>
          <w:szCs w:val="24"/>
        </w:rPr>
        <w:t>±3nm</w:t>
      </w:r>
      <w:bookmarkEnd w:id="2"/>
      <w:bookmarkEnd w:id="3"/>
      <w:r>
        <w:rPr>
          <w:rFonts w:hint="eastAsia" w:ascii="宋体" w:hAnsi="宋体" w:eastAsia="宋体" w:cs="宋体"/>
          <w:color w:val="auto"/>
          <w:sz w:val="24"/>
          <w:szCs w:val="24"/>
        </w:rPr>
        <w:t>；</w:t>
      </w:r>
    </w:p>
    <w:p w14:paraId="04553833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4.2.4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波长重复性，±0.5nm；</w:t>
      </w:r>
    </w:p>
    <w:p w14:paraId="4D0DA5BC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4.2.5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光谱带宽，激发光15nm，发射光15nm、30nm可调；</w:t>
      </w:r>
    </w:p>
    <w:p w14:paraId="184CDF4F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4.2.6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响应时间，0.01～2s七档可调；</w:t>
      </w:r>
    </w:p>
    <w:p w14:paraId="0260ECFC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4.2.7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灵敏度，水峰拉曼扫描S/N≥1200；</w:t>
      </w:r>
    </w:p>
    <w:p w14:paraId="3AA6AA0C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4.2.8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波长校验，利用内置Hg灯254nm特征谱线，自动校验；灯寿命，&gt;2000小时</w:t>
      </w:r>
    </w:p>
    <w:p w14:paraId="7F74B635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5 数据于软件管理系统：</w:t>
      </w:r>
    </w:p>
    <w:p w14:paraId="43521042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5.1为了保障数据安全性：要求提供中国软件测评中心提供的软件测试报告。</w:t>
      </w:r>
    </w:p>
    <w:p w14:paraId="457B605C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5.2为保证软件功能迭代能力和检测数据安全：要求提供软件著作权登记证书、软件产品证书</w:t>
      </w:r>
    </w:p>
    <w:p w14:paraId="5E11BD5B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5.3 提供国内自研、原厂源代码的数据管理系统，同时可配置网络版，双数据库，原始数据存储在数据库中（需要提供截图证明文件）</w:t>
      </w:r>
    </w:p>
    <w:p w14:paraId="1A8E460D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5.3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所有数据均存储在数据库中，包括原始数据、分析方法、分析报告、审计追踪记录等；</w:t>
      </w:r>
    </w:p>
    <w:p w14:paraId="4EE7F0E6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5.4 配备海藻色素结果分析模型，便于数据结果的归类与分析</w:t>
      </w:r>
    </w:p>
    <w:p w14:paraId="3B1C9FF2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5.5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多种数据备份还原方式可选，包括冷备份、热备份、增量备份、定时备份等；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5.6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积分功能全面，可设定最小面积、最小高度、峰谷到峰谷、强迫垂线、按时间需求积分等。</w:t>
      </w:r>
    </w:p>
    <w:p w14:paraId="41FEA4D9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5.10 数据管理系统质量保障良好，数据安全风险低（提供证明文件：中国软件测评中心的报告）</w:t>
      </w:r>
    </w:p>
    <w:p w14:paraId="26844D34">
      <w:pPr>
        <w:spacing w:line="36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6. 支持与现有光谱联机使用；支持与现有前处理设备联用。保修期自测试验收合格起3年内，免费上门维修服务。</w:t>
      </w:r>
    </w:p>
    <w:p w14:paraId="5BDEB4BF">
      <w:pPr>
        <w:widowControl/>
        <w:snapToGrid w:val="0"/>
        <w:spacing w:before="156" w:beforeLines="50" w:after="156" w:afterLines="50" w:line="360" w:lineRule="auto"/>
        <w:rPr>
          <w:rFonts w:hint="eastAsia" w:ascii="宋体" w:hAnsi="宋体" w:eastAsia="宋体" w:cs="宋体"/>
          <w:b/>
          <w:bCs/>
          <w:color w:val="auto"/>
          <w:sz w:val="24"/>
        </w:rPr>
      </w:pPr>
    </w:p>
    <w:p w14:paraId="5056FEB9">
      <w:pPr>
        <w:pStyle w:val="6"/>
        <w:numPr>
          <w:ilvl w:val="0"/>
          <w:numId w:val="1"/>
        </w:numPr>
        <w:spacing w:line="360" w:lineRule="auto"/>
        <w:ind w:right="708" w:rightChars="337" w:hanging="905"/>
        <w:jc w:val="both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商务条款</w:t>
      </w:r>
    </w:p>
    <w:p w14:paraId="371D26B5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  <w:t>★交货地点：</w:t>
      </w:r>
      <w:r>
        <w:rPr>
          <w:rFonts w:hint="eastAsia" w:ascii="宋体" w:hAnsi="宋体" w:eastAsia="宋体" w:cs="宋体"/>
          <w:sz w:val="24"/>
        </w:rPr>
        <w:t>广东省深圳市大鹏新区南澳街道东渔社区东大路7号。</w:t>
      </w:r>
    </w:p>
    <w:p w14:paraId="3DDE7A2B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  <w:t>★交货期：</w:t>
      </w:r>
      <w:r>
        <w:rPr>
          <w:rFonts w:hint="eastAsia" w:ascii="宋体" w:hAnsi="宋体" w:eastAsia="宋体" w:cs="宋体"/>
          <w:color w:val="000000"/>
          <w:kern w:val="0"/>
          <w:sz w:val="24"/>
          <w:lang w:val="de-DE"/>
        </w:rPr>
        <w:t>合同签订后</w:t>
      </w:r>
      <w:r>
        <w:rPr>
          <w:rFonts w:hint="eastAsia" w:ascii="宋体" w:hAnsi="宋体" w:eastAsia="宋体" w:cs="宋体"/>
          <w:kern w:val="0"/>
          <w:sz w:val="24"/>
          <w:lang w:val="de-DE"/>
        </w:rPr>
        <w:t>的</w:t>
      </w:r>
      <w:r>
        <w:rPr>
          <w:rFonts w:hint="eastAsia" w:ascii="宋体" w:hAnsi="宋体" w:eastAsia="宋体" w:cs="宋体"/>
          <w:kern w:val="0"/>
          <w:sz w:val="24"/>
          <w:lang w:val="en-US" w:eastAsia="zh-CN"/>
        </w:rPr>
        <w:t>20</w:t>
      </w:r>
      <w:r>
        <w:rPr>
          <w:rFonts w:hint="eastAsia" w:ascii="宋体" w:hAnsi="宋体" w:eastAsia="宋体" w:cs="宋体"/>
          <w:kern w:val="0"/>
          <w:sz w:val="24"/>
        </w:rPr>
        <w:t>天</w:t>
      </w:r>
      <w:r>
        <w:rPr>
          <w:rFonts w:hint="eastAsia" w:ascii="宋体" w:hAnsi="宋体" w:eastAsia="宋体" w:cs="宋体"/>
          <w:kern w:val="0"/>
          <w:sz w:val="24"/>
          <w:lang w:val="de-DE"/>
        </w:rPr>
        <w:t>内</w:t>
      </w:r>
      <w:r>
        <w:rPr>
          <w:rFonts w:hint="eastAsia" w:ascii="宋体" w:hAnsi="宋体" w:eastAsia="宋体" w:cs="宋体"/>
          <w:kern w:val="0"/>
          <w:sz w:val="24"/>
          <w:lang w:val="zh-CN"/>
        </w:rPr>
        <w:t>交货。</w:t>
      </w:r>
    </w:p>
    <w:p w14:paraId="15FBA1BB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color w:val="00000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  <w:t>★报价方式及要求：</w:t>
      </w:r>
    </w:p>
    <w:p w14:paraId="0515D781">
      <w:pPr>
        <w:numPr>
          <w:ilvl w:val="0"/>
          <w:numId w:val="4"/>
        </w:numPr>
        <w:tabs>
          <w:tab w:val="left" w:pos="420"/>
          <w:tab w:val="clear" w:pos="312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color w:val="000000"/>
          <w:sz w:val="24"/>
          <w:lang w:val="zh-CN"/>
        </w:rPr>
      </w:pPr>
      <w:r>
        <w:rPr>
          <w:rFonts w:hint="eastAsia" w:ascii="宋体" w:hAnsi="宋体" w:eastAsia="宋体" w:cs="宋体"/>
          <w:color w:val="000000"/>
          <w:sz w:val="24"/>
        </w:rPr>
        <w:t>本项目不允许采购进口产品参与投标</w:t>
      </w:r>
      <w:r>
        <w:rPr>
          <w:rFonts w:hint="eastAsia" w:ascii="宋体" w:hAnsi="宋体" w:eastAsia="宋体" w:cs="宋体"/>
          <w:bCs/>
          <w:sz w:val="24"/>
        </w:rPr>
        <w:t>。</w:t>
      </w:r>
    </w:p>
    <w:p w14:paraId="6026105B">
      <w:pPr>
        <w:numPr>
          <w:ilvl w:val="0"/>
          <w:numId w:val="4"/>
        </w:numPr>
        <w:tabs>
          <w:tab w:val="left" w:pos="420"/>
          <w:tab w:val="clear" w:pos="312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color w:val="000000"/>
          <w:sz w:val="24"/>
          <w:lang w:val="zh-CN"/>
        </w:rPr>
      </w:pPr>
      <w:r>
        <w:rPr>
          <w:rFonts w:hint="eastAsia" w:ascii="宋体" w:hAnsi="宋体" w:eastAsia="宋体" w:cs="宋体"/>
          <w:sz w:val="24"/>
        </w:rPr>
        <w:t>国产产品与服务报项目现场交货人民币价。</w:t>
      </w:r>
      <w:r>
        <w:rPr>
          <w:rFonts w:hint="eastAsia" w:ascii="宋体" w:hAnsi="宋体" w:eastAsia="宋体" w:cs="宋体"/>
          <w:color w:val="000000"/>
          <w:sz w:val="24"/>
          <w:lang w:val="zh-CN"/>
        </w:rPr>
        <w:t>投标价包含仪器设备的价款、包装、税费、运输、装卸、安装、调试、技术指导、培训、咨询、服务、保险、检测、验收合格交付使用之前以及技术和售后服务等其他各项有关费用。</w:t>
      </w:r>
    </w:p>
    <w:p w14:paraId="70BED929">
      <w:pPr>
        <w:numPr>
          <w:ilvl w:val="0"/>
          <w:numId w:val="4"/>
        </w:numPr>
        <w:tabs>
          <w:tab w:val="left" w:pos="420"/>
          <w:tab w:val="clear" w:pos="312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投标人报价明显低于其他通过符合性审查投标人报价的，有可能影响产品质量或者不能诚信履约的，评标委员会可以要求其在规定的时间内提供书面说明，必要时提交相关证明材料；投标人不能证明其报价合理性的，评标委员会有权将其作为无效投标处理。</w:t>
      </w:r>
    </w:p>
    <w:p w14:paraId="3C93565D">
      <w:pPr>
        <w:numPr>
          <w:ilvl w:val="0"/>
          <w:numId w:val="4"/>
        </w:numPr>
        <w:tabs>
          <w:tab w:val="left" w:pos="420"/>
          <w:tab w:val="clear" w:pos="312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投标报价不得超过采购预算（如有最高限价则不得超出最高限价）。</w:t>
      </w:r>
    </w:p>
    <w:p w14:paraId="53898109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  <w:t>★付款方式：</w:t>
      </w:r>
    </w:p>
    <w:p w14:paraId="4E2CC5BC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color w:val="000000"/>
          <w:sz w:val="24"/>
          <w:lang w:val="zh-CN"/>
        </w:rPr>
      </w:pPr>
      <w:r>
        <w:rPr>
          <w:rFonts w:hint="eastAsia" w:ascii="宋体" w:hAnsi="宋体" w:eastAsia="宋体" w:cs="宋体"/>
          <w:color w:val="000000"/>
          <w:sz w:val="24"/>
          <w:lang w:val="zh-CN"/>
        </w:rPr>
        <w:t>对于国产产品，100%凭用户代表签字并加盖单位公章后的验收报告支付；</w:t>
      </w:r>
    </w:p>
    <w:p w14:paraId="44F9E362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  <w:t>质保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及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  <w:t>售后服务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要求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  <w:t>：</w:t>
      </w:r>
    </w:p>
    <w:p w14:paraId="1C7F713B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投标人需为本项目配备足够的售后服务力量，具有国内本地化的服务团队。</w:t>
      </w:r>
    </w:p>
    <w:p w14:paraId="0C2171D6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投标人售后服务响应时间：电话响应时间要求8小时内，到场响应时间要求2个工作日内（指从接到报障至到达故障现场的时间）。</w:t>
      </w:r>
    </w:p>
    <w:p w14:paraId="2D6FD4E5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投标人免费提供技术支持热线电话，满足24小时热线服务。</w:t>
      </w:r>
    </w:p>
    <w:p w14:paraId="35F19A1F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投标人免费提供email技术支持，并且在24小时内回复。</w:t>
      </w:r>
    </w:p>
    <w:p w14:paraId="4AB4DC26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  <w:lang w:val="zh-CN"/>
        </w:rPr>
        <w:t>★</w:t>
      </w:r>
      <w:r>
        <w:rPr>
          <w:rFonts w:hint="eastAsia" w:ascii="宋体" w:hAnsi="宋体" w:eastAsia="宋体" w:cs="宋体"/>
          <w:color w:val="000000"/>
          <w:sz w:val="24"/>
        </w:rPr>
        <w:t>投标人提供一年</w:t>
      </w:r>
      <w:r>
        <w:rPr>
          <w:rFonts w:hint="eastAsia" w:ascii="宋体" w:hAnsi="宋体" w:eastAsia="宋体" w:cs="宋体"/>
          <w:color w:val="000000"/>
          <w:sz w:val="24"/>
          <w:lang w:eastAsia="zh"/>
        </w:rPr>
        <w:t>运维服务</w:t>
      </w:r>
      <w:r>
        <w:rPr>
          <w:rFonts w:hint="eastAsia" w:ascii="宋体" w:hAnsi="宋体" w:eastAsia="宋体" w:cs="宋体"/>
          <w:color w:val="000000"/>
          <w:sz w:val="24"/>
        </w:rPr>
        <w:t>（</w:t>
      </w:r>
      <w:r>
        <w:rPr>
          <w:rFonts w:hint="eastAsia" w:ascii="宋体" w:hAnsi="宋体" w:eastAsia="宋体" w:cs="宋体"/>
          <w:color w:val="000000"/>
          <w:sz w:val="24"/>
          <w:lang w:eastAsia="zh"/>
        </w:rPr>
        <w:t>运维</w:t>
      </w:r>
      <w:r>
        <w:rPr>
          <w:rFonts w:hint="eastAsia" w:ascii="宋体" w:hAnsi="宋体" w:eastAsia="宋体" w:cs="宋体"/>
          <w:color w:val="000000"/>
          <w:sz w:val="24"/>
        </w:rPr>
        <w:t>期内</w:t>
      </w:r>
      <w:r>
        <w:rPr>
          <w:rFonts w:hint="eastAsia" w:ascii="宋体" w:hAnsi="宋体" w:eastAsia="宋体" w:cs="宋体"/>
          <w:color w:val="000000"/>
          <w:sz w:val="24"/>
          <w:lang w:bidi="ar"/>
        </w:rPr>
        <w:t>除明确规定由采购人负责的费用外（因不可抗拒原因（台风、被盗或船撞等）导致的丢失或损坏，产生的设备购置或维修费用由采购人负责），其它费用均由成交供应商负责。成交供应商应承担所有运行产生的易耗品等采购费用、试剂费（包含标准样品）、运营维护人员差旅费（包括车船费用、燃油费）、仪器调试与校准费、日常维护费、管理费、公司的税金及其他各种费用等</w:t>
      </w:r>
      <w:r>
        <w:rPr>
          <w:rFonts w:hint="eastAsia" w:ascii="宋体" w:hAnsi="宋体" w:eastAsia="宋体" w:cs="宋体"/>
          <w:color w:val="000000"/>
          <w:sz w:val="24"/>
        </w:rPr>
        <w:t>）。</w:t>
      </w:r>
    </w:p>
    <w:p w14:paraId="58A10E52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投标人提供该设备的技术使用说明书及外购配件仪器说明书，并指导在使用该设备时的操作注意事项等。</w:t>
      </w:r>
    </w:p>
    <w:p w14:paraId="166A5197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  <w:t>★</w:t>
      </w:r>
      <w:r>
        <w:rPr>
          <w:rFonts w:hint="eastAsia" w:ascii="宋体" w:hAnsi="宋体" w:eastAsia="宋体" w:cs="宋体"/>
          <w:color w:val="000000"/>
          <w:sz w:val="24"/>
        </w:rPr>
        <w:t>投标人提供配套软件三年内免费升级服务。</w:t>
      </w:r>
    </w:p>
    <w:p w14:paraId="4B91E4E2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  <w:t>★</w:t>
      </w:r>
      <w:r>
        <w:rPr>
          <w:rFonts w:hint="eastAsia" w:ascii="宋体" w:hAnsi="宋体" w:eastAsia="宋体" w:cs="宋体"/>
          <w:color w:val="000000"/>
          <w:sz w:val="24"/>
        </w:rPr>
        <w:t>投标人提供设备二次搬运（含保险）服务。</w:t>
      </w:r>
    </w:p>
    <w:p w14:paraId="1A39200A">
      <w:pPr>
        <w:pStyle w:val="7"/>
        <w:spacing w:line="360" w:lineRule="auto"/>
        <w:ind w:firstLine="480"/>
        <w:rPr>
          <w:rFonts w:hint="eastAsia" w:ascii="宋体" w:hAnsi="宋体" w:eastAsia="宋体" w:cs="宋体"/>
          <w:color w:val="000000"/>
          <w:sz w:val="24"/>
          <w:lang w:val="zh-CN"/>
        </w:rPr>
      </w:pPr>
    </w:p>
    <w:p w14:paraId="2DFF800A">
      <w:pPr>
        <w:widowControl/>
        <w:numPr>
          <w:ilvl w:val="0"/>
          <w:numId w:val="3"/>
        </w:numPr>
        <w:spacing w:line="360" w:lineRule="auto"/>
        <w:rPr>
          <w:rFonts w:hint="eastAsia" w:ascii="宋体" w:hAnsi="宋体" w:eastAsia="宋体" w:cs="宋体"/>
          <w:b/>
          <w:color w:val="000000"/>
          <w:sz w:val="24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培训要求：</w:t>
      </w:r>
    </w:p>
    <w:p w14:paraId="63A1160D">
      <w:pPr>
        <w:widowControl/>
        <w:numPr>
          <w:ilvl w:val="0"/>
          <w:numId w:val="6"/>
        </w:numPr>
        <w:tabs>
          <w:tab w:val="clear" w:pos="1500"/>
        </w:tabs>
        <w:spacing w:before="156" w:beforeLines="50" w:line="360" w:lineRule="auto"/>
        <w:ind w:left="420"/>
        <w:jc w:val="left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为保证投标人所提供的仪器设备安全、可靠运行，便于采购人的运行维护，必须对采购人培训合格的维护和管理人员。</w:t>
      </w:r>
    </w:p>
    <w:p w14:paraId="090657F2">
      <w:pPr>
        <w:widowControl/>
        <w:numPr>
          <w:ilvl w:val="0"/>
          <w:numId w:val="6"/>
        </w:numPr>
        <w:tabs>
          <w:tab w:val="clear" w:pos="1500"/>
        </w:tabs>
        <w:spacing w:before="156" w:beforeLines="50" w:line="360" w:lineRule="auto"/>
        <w:ind w:left="420"/>
        <w:jc w:val="left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投标人负责对采购人提供至少一次现场技术培训，以便工作人员在培训后能熟练地掌握系统的维护工作，并能及时排除大部分的系统障碍。</w:t>
      </w:r>
    </w:p>
    <w:p w14:paraId="01B7F693">
      <w:pPr>
        <w:widowControl/>
        <w:numPr>
          <w:ilvl w:val="0"/>
          <w:numId w:val="6"/>
        </w:numPr>
        <w:tabs>
          <w:tab w:val="clear" w:pos="1500"/>
        </w:tabs>
        <w:spacing w:before="156" w:beforeLines="50" w:line="360" w:lineRule="auto"/>
        <w:ind w:left="420"/>
        <w:jc w:val="left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至少一次厂家工程师到采购人现场免费培训；培训至采购人可以熟练操作为止。</w:t>
      </w:r>
    </w:p>
    <w:p w14:paraId="1823FDF8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  <w:t>运输及包装方式的要求</w:t>
      </w:r>
    </w:p>
    <w:p w14:paraId="4D150D32">
      <w:p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val="zh-CN"/>
        </w:rPr>
        <w:t>设备的包装、运输由投标人负责，应使用崭新坚固的包装（标准包装），适合于空运、或陆运等长途运输方式；适合气候变化；投标人应对任何由于不当包装或防护措施不利而导致的商品损坏、损失、费用增长等后果负责。</w:t>
      </w:r>
    </w:p>
    <w:p w14:paraId="77B02F0C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  <w:t>安装、调试及验收：</w:t>
      </w:r>
    </w:p>
    <w:p w14:paraId="6772BB38">
      <w:pPr>
        <w:pStyle w:val="7"/>
        <w:numPr>
          <w:ilvl w:val="0"/>
          <w:numId w:val="7"/>
        </w:numPr>
        <w:spacing w:line="360" w:lineRule="auto"/>
        <w:ind w:left="845" w:firstLineChars="0"/>
        <w:rPr>
          <w:rFonts w:hint="eastAsia" w:ascii="宋体" w:hAnsi="宋体" w:eastAsia="宋体" w:cs="宋体"/>
          <w:bCs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color w:val="000000"/>
          <w:kern w:val="0"/>
          <w:sz w:val="24"/>
        </w:rPr>
        <w:t>合同签订后15天内，中标人应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lang w:val="zh-CN"/>
        </w:rPr>
        <w:t>提供</w:t>
      </w:r>
      <w:r>
        <w:rPr>
          <w:rFonts w:hint="eastAsia" w:ascii="宋体" w:hAnsi="宋体" w:eastAsia="宋体" w:cs="宋体"/>
          <w:color w:val="000000"/>
          <w:sz w:val="24"/>
        </w:rPr>
        <w:t>仪器安装前对实验室的具体安装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lang w:val="zh-CN"/>
        </w:rPr>
        <w:t>条件</w:t>
      </w:r>
      <w:r>
        <w:rPr>
          <w:rFonts w:hint="eastAsia" w:ascii="宋体" w:hAnsi="宋体" w:eastAsia="宋体" w:cs="宋体"/>
          <w:color w:val="000000"/>
          <w:sz w:val="24"/>
        </w:rPr>
        <w:t>要求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lang w:val="zh-CN"/>
        </w:rPr>
        <w:t>，</w:t>
      </w:r>
      <w:r>
        <w:rPr>
          <w:rFonts w:hint="eastAsia" w:ascii="宋体" w:hAnsi="宋体" w:eastAsia="宋体" w:cs="宋体"/>
          <w:color w:val="000000"/>
          <w:sz w:val="24"/>
        </w:rPr>
        <w:t>除了在技术规格中提出的要求外，在合同生效后60天之内，为使用户作好准备工作，卖方应给最终用户邮寄一套所供产品的全套技术资料，其中包括操作手册（或应用指南）、维修手册等，另一套完整技术资料应随货物包装发运，这些费用应已包括在该品目的基本报价中。</w:t>
      </w:r>
    </w:p>
    <w:p w14:paraId="0D1777B1">
      <w:pPr>
        <w:pStyle w:val="7"/>
        <w:numPr>
          <w:ilvl w:val="0"/>
          <w:numId w:val="7"/>
        </w:numPr>
        <w:spacing w:line="360" w:lineRule="auto"/>
        <w:ind w:left="845" w:firstLineChars="0"/>
        <w:rPr>
          <w:rFonts w:hint="eastAsia" w:ascii="宋体" w:hAnsi="宋体" w:eastAsia="宋体" w:cs="宋体"/>
          <w:bCs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color w:val="000000"/>
          <w:kern w:val="0"/>
          <w:sz w:val="24"/>
          <w:lang w:val="zh-CN"/>
        </w:rPr>
        <w:t xml:space="preserve">仪器设备运抵安装现场后，采购人将与中标人共同开箱验收, 如中标人届时不派人来, 则验收结果应以采购人和当地商检人员的验收报告为最终验收结果。验收时发现短缺、破损, 采购人有权要求中标人立即补发和负责更换。 </w:t>
      </w:r>
    </w:p>
    <w:p w14:paraId="730055BC">
      <w:pPr>
        <w:pStyle w:val="7"/>
        <w:numPr>
          <w:ilvl w:val="0"/>
          <w:numId w:val="7"/>
        </w:numPr>
        <w:spacing w:line="360" w:lineRule="auto"/>
        <w:ind w:left="845" w:firstLineChars="0"/>
        <w:rPr>
          <w:rFonts w:hint="eastAsia" w:ascii="宋体" w:hAnsi="宋体" w:eastAsia="宋体" w:cs="宋体"/>
          <w:bCs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color w:val="000000"/>
          <w:kern w:val="0"/>
          <w:sz w:val="24"/>
          <w:lang w:val="zh-CN"/>
        </w:rPr>
        <w:t xml:space="preserve">中标人应提出仪器设备测试的内容、项目、指标和方法,中标人有责任对采购人的技术人员提出的问题作出解答。测试应进行详细记录, 仪器设备测试结束后, 由中标人技术人员签字后交给采购人验收。 </w:t>
      </w:r>
    </w:p>
    <w:p w14:paraId="0CE8CA29">
      <w:pPr>
        <w:pStyle w:val="7"/>
        <w:numPr>
          <w:ilvl w:val="0"/>
          <w:numId w:val="7"/>
        </w:numPr>
        <w:spacing w:line="360" w:lineRule="auto"/>
        <w:ind w:left="845" w:firstLineChars="0"/>
        <w:rPr>
          <w:rFonts w:hint="eastAsia" w:ascii="宋体" w:hAnsi="宋体" w:eastAsia="宋体" w:cs="宋体"/>
          <w:color w:val="000000"/>
          <w:sz w:val="24"/>
          <w:lang w:val="zh-CN"/>
        </w:rPr>
      </w:pPr>
      <w:r>
        <w:rPr>
          <w:rFonts w:hint="eastAsia" w:ascii="宋体" w:hAnsi="宋体" w:eastAsia="宋体" w:cs="宋体"/>
          <w:bCs/>
          <w:color w:val="000000"/>
          <w:kern w:val="0"/>
          <w:sz w:val="24"/>
          <w:lang w:val="zh-CN"/>
        </w:rPr>
        <w:t xml:space="preserve">保修期自最终安装验收合格后开始，保修期内中标人要保修除消耗品以外的所有部件。在保修期内，如果仪器设备发生故障，中标人要调查故障原因并修复直至满足最终验收指标和性能的要求，或者更换整个或部分有缺陷的材料。以上都应是免费的。  </w:t>
      </w:r>
    </w:p>
    <w:p w14:paraId="0844457D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lang w:val="zh-CN"/>
        </w:rPr>
        <w:t>质量及知识产权要求</w:t>
      </w:r>
    </w:p>
    <w:p w14:paraId="00AD6B53">
      <w:pPr>
        <w:numPr>
          <w:ilvl w:val="0"/>
          <w:numId w:val="8"/>
        </w:numPr>
        <w:tabs>
          <w:tab w:val="left" w:pos="426"/>
          <w:tab w:val="left" w:pos="851"/>
        </w:tabs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val="zh-CN"/>
        </w:rPr>
        <w:t>投标人提供完好、全新的原包装产品（包括零配件），随机技术资料齐全。产品符合国家质量检测标准，必须具有生产日期、厂名、厂址、产品合格证等。进口产品须提供海关进货单（复印件备查）。</w:t>
      </w:r>
    </w:p>
    <w:p w14:paraId="549D49E7">
      <w:pPr>
        <w:numPr>
          <w:ilvl w:val="0"/>
          <w:numId w:val="8"/>
        </w:numPr>
        <w:tabs>
          <w:tab w:val="left" w:pos="426"/>
          <w:tab w:val="left" w:pos="851"/>
        </w:tabs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24"/>
          <w:lang w:val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val="zh-CN"/>
        </w:rPr>
        <w:t>采购人在中国使用该货物或货物的任何一部分时，免受第三方提出的侵犯其专利权、商标权或工业设计权等知识产权的起诉或司法干预。如果发生上述起诉或干预，则其法律责任均由投标人负责。</w:t>
      </w:r>
    </w:p>
    <w:p w14:paraId="6D969FF0"/>
    <w:p w14:paraId="613BA4BF">
      <w:bookmarkStart w:id="4" w:name="_GoBack"/>
      <w:bookmarkEnd w:id="4"/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A9028B"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28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07E18C"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F0CCC4">
    <w:pPr>
      <w:spacing w:after="240" w:afterLines="100" w:line="500" w:lineRule="exact"/>
      <w:rPr>
        <w:b/>
        <w:sz w:val="52"/>
        <w:szCs w:val="5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9EA04E"/>
    <w:multiLevelType w:val="singleLevel"/>
    <w:tmpl w:val="DC9EA04E"/>
    <w:lvl w:ilvl="0" w:tentative="0">
      <w:start w:val="2"/>
      <w:numFmt w:val="decimal"/>
      <w:suff w:val="nothing"/>
      <w:lvlText w:val="（%1）"/>
      <w:lvlJc w:val="left"/>
    </w:lvl>
  </w:abstractNum>
  <w:abstractNum w:abstractNumId="1">
    <w:nsid w:val="04986757"/>
    <w:multiLevelType w:val="singleLevel"/>
    <w:tmpl w:val="0498675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58340A20"/>
    <w:multiLevelType w:val="multilevel"/>
    <w:tmpl w:val="58340A20"/>
    <w:lvl w:ilvl="0" w:tentative="0">
      <w:start w:val="1"/>
      <w:numFmt w:val="decimal"/>
      <w:lvlText w:val="%1)"/>
      <w:lvlJc w:val="left"/>
      <w:pPr>
        <w:tabs>
          <w:tab w:val="left" w:pos="1500"/>
        </w:tabs>
        <w:ind w:left="1500" w:hanging="420"/>
      </w:pPr>
    </w:lvl>
    <w:lvl w:ilvl="1" w:tentative="0">
      <w:start w:val="1"/>
      <w:numFmt w:val="decimal"/>
      <w:lvlText w:val="%2."/>
      <w:lvlJc w:val="left"/>
      <w:pPr>
        <w:tabs>
          <w:tab w:val="left" w:pos="1920"/>
        </w:tabs>
        <w:ind w:left="1920" w:hanging="420"/>
      </w:pPr>
    </w:lvl>
    <w:lvl w:ilvl="2" w:tentative="0">
      <w:start w:val="7"/>
      <w:numFmt w:val="decimal"/>
      <w:lvlText w:val="%3、"/>
      <w:lvlJc w:val="left"/>
      <w:pPr>
        <w:tabs>
          <w:tab w:val="left" w:pos="360"/>
        </w:tabs>
        <w:ind w:left="360" w:hanging="360"/>
      </w:pPr>
      <w:rPr>
        <w:rFonts w:hint="default" w:hAnsi="宋体"/>
      </w:rPr>
    </w:lvl>
    <w:lvl w:ilvl="3" w:tentative="0">
      <w:start w:val="1"/>
      <w:numFmt w:val="decimal"/>
      <w:lvlText w:val="%4)"/>
      <w:lvlJc w:val="left"/>
      <w:pPr>
        <w:tabs>
          <w:tab w:val="left" w:pos="2760"/>
        </w:tabs>
        <w:ind w:left="2760" w:hanging="420"/>
      </w:pPr>
    </w:lvl>
    <w:lvl w:ilvl="4" w:tentative="0">
      <w:start w:val="8"/>
      <w:numFmt w:val="decimal"/>
      <w:lvlText w:val="%5"/>
      <w:lvlJc w:val="left"/>
      <w:pPr>
        <w:tabs>
          <w:tab w:val="left" w:pos="3120"/>
        </w:tabs>
        <w:ind w:left="3120" w:hanging="360"/>
      </w:pPr>
      <w:rPr>
        <w:rFonts w:hint="default" w:hAnsi="宋体" w:eastAsia="宋体"/>
      </w:rPr>
    </w:lvl>
    <w:lvl w:ilvl="5" w:tentative="0">
      <w:start w:val="4"/>
      <w:numFmt w:val="japaneseCounting"/>
      <w:lvlText w:val="%6、"/>
      <w:lvlJc w:val="left"/>
      <w:pPr>
        <w:ind w:left="3600" w:hanging="42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4020"/>
        </w:tabs>
        <w:ind w:left="402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440"/>
        </w:tabs>
        <w:ind w:left="444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860"/>
        </w:tabs>
        <w:ind w:left="4860" w:hanging="420"/>
      </w:pPr>
    </w:lvl>
  </w:abstractNum>
  <w:abstractNum w:abstractNumId="3">
    <w:nsid w:val="6E2E2083"/>
    <w:multiLevelType w:val="multilevel"/>
    <w:tmpl w:val="6E2E2083"/>
    <w:lvl w:ilvl="0" w:tentative="0">
      <w:start w:val="1"/>
      <w:numFmt w:val="decimal"/>
      <w:lvlText w:val="%1)"/>
      <w:lvlJc w:val="left"/>
      <w:pPr>
        <w:tabs>
          <w:tab w:val="left" w:pos="1500"/>
        </w:tabs>
        <w:ind w:left="150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1920"/>
        </w:tabs>
        <w:ind w:left="192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2340"/>
        </w:tabs>
        <w:ind w:left="2340" w:hanging="420"/>
      </w:pPr>
    </w:lvl>
    <w:lvl w:ilvl="3" w:tentative="0">
      <w:start w:val="1"/>
      <w:numFmt w:val="decimal"/>
      <w:lvlText w:val="%4."/>
      <w:lvlJc w:val="left"/>
      <w:pPr>
        <w:tabs>
          <w:tab w:val="left" w:pos="2760"/>
        </w:tabs>
        <w:ind w:left="276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3180"/>
        </w:tabs>
        <w:ind w:left="318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600"/>
        </w:tabs>
        <w:ind w:left="3600" w:hanging="420"/>
      </w:pPr>
    </w:lvl>
    <w:lvl w:ilvl="6" w:tentative="0">
      <w:start w:val="1"/>
      <w:numFmt w:val="decimal"/>
      <w:lvlText w:val="%7."/>
      <w:lvlJc w:val="left"/>
      <w:pPr>
        <w:tabs>
          <w:tab w:val="left" w:pos="4020"/>
        </w:tabs>
        <w:ind w:left="402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440"/>
        </w:tabs>
        <w:ind w:left="444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860"/>
        </w:tabs>
        <w:ind w:left="4860" w:hanging="420"/>
      </w:pPr>
    </w:lvl>
  </w:abstractNum>
  <w:abstractNum w:abstractNumId="4">
    <w:nsid w:val="70816618"/>
    <w:multiLevelType w:val="multilevel"/>
    <w:tmpl w:val="70816618"/>
    <w:lvl w:ilvl="0" w:tentative="0">
      <w:start w:val="1"/>
      <w:numFmt w:val="decimal"/>
      <w:lvlText w:val="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0C68EB4"/>
    <w:multiLevelType w:val="singleLevel"/>
    <w:tmpl w:val="70C68EB4"/>
    <w:lvl w:ilvl="0" w:tentative="0">
      <w:start w:val="1"/>
      <w:numFmt w:val="decimal"/>
      <w:lvlText w:val="%1)"/>
      <w:lvlJc w:val="left"/>
      <w:pPr>
        <w:tabs>
          <w:tab w:val="left" w:pos="312"/>
        </w:tabs>
      </w:pPr>
    </w:lvl>
  </w:abstractNum>
  <w:abstractNum w:abstractNumId="6">
    <w:nsid w:val="77960C54"/>
    <w:multiLevelType w:val="multilevel"/>
    <w:tmpl w:val="77960C54"/>
    <w:lvl w:ilvl="0" w:tentative="0">
      <w:start w:val="1"/>
      <w:numFmt w:val="chineseCounting"/>
      <w:lvlText w:val="%1、"/>
      <w:lvlJc w:val="left"/>
      <w:pPr>
        <w:ind w:left="1047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467" w:hanging="420"/>
      </w:pPr>
    </w:lvl>
    <w:lvl w:ilvl="2" w:tentative="0">
      <w:start w:val="1"/>
      <w:numFmt w:val="lowerRoman"/>
      <w:lvlText w:val="%3."/>
      <w:lvlJc w:val="right"/>
      <w:pPr>
        <w:ind w:left="1887" w:hanging="420"/>
      </w:pPr>
    </w:lvl>
    <w:lvl w:ilvl="3" w:tentative="0">
      <w:start w:val="1"/>
      <w:numFmt w:val="decimal"/>
      <w:lvlText w:val="%4."/>
      <w:lvlJc w:val="left"/>
      <w:pPr>
        <w:ind w:left="2307" w:hanging="420"/>
      </w:pPr>
    </w:lvl>
    <w:lvl w:ilvl="4" w:tentative="0">
      <w:start w:val="1"/>
      <w:numFmt w:val="lowerLetter"/>
      <w:lvlText w:val="%5)"/>
      <w:lvlJc w:val="left"/>
      <w:pPr>
        <w:ind w:left="2727" w:hanging="420"/>
      </w:pPr>
    </w:lvl>
    <w:lvl w:ilvl="5" w:tentative="0">
      <w:start w:val="1"/>
      <w:numFmt w:val="lowerRoman"/>
      <w:lvlText w:val="%6."/>
      <w:lvlJc w:val="right"/>
      <w:pPr>
        <w:ind w:left="3147" w:hanging="420"/>
      </w:pPr>
    </w:lvl>
    <w:lvl w:ilvl="6" w:tentative="0">
      <w:start w:val="1"/>
      <w:numFmt w:val="decimal"/>
      <w:lvlText w:val="%7."/>
      <w:lvlJc w:val="left"/>
      <w:pPr>
        <w:ind w:left="3567" w:hanging="420"/>
      </w:pPr>
    </w:lvl>
    <w:lvl w:ilvl="7" w:tentative="0">
      <w:start w:val="1"/>
      <w:numFmt w:val="lowerLetter"/>
      <w:lvlText w:val="%8)"/>
      <w:lvlJc w:val="left"/>
      <w:pPr>
        <w:ind w:left="3987" w:hanging="420"/>
      </w:pPr>
    </w:lvl>
    <w:lvl w:ilvl="8" w:tentative="0">
      <w:start w:val="1"/>
      <w:numFmt w:val="lowerRoman"/>
      <w:lvlText w:val="%9."/>
      <w:lvlJc w:val="right"/>
      <w:pPr>
        <w:ind w:left="4407" w:hanging="420"/>
      </w:pPr>
    </w:lvl>
  </w:abstractNum>
  <w:abstractNum w:abstractNumId="7">
    <w:nsid w:val="7AE1256C"/>
    <w:multiLevelType w:val="singleLevel"/>
    <w:tmpl w:val="7AE1256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  <w:b/>
        <w:bCs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5555A2"/>
    <w:rsid w:val="2555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qFormat/>
    <w:uiPriority w:val="0"/>
    <w:pPr>
      <w:spacing w:after="120"/>
      <w:ind w:left="420" w:leftChars="200"/>
    </w:pPr>
  </w:style>
  <w:style w:type="paragraph" w:styleId="3">
    <w:name w:val="envelope return"/>
    <w:basedOn w:val="1"/>
    <w:unhideWhenUsed/>
    <w:qFormat/>
    <w:uiPriority w:val="99"/>
    <w:pPr>
      <w:snapToGrid w:val="0"/>
    </w:pPr>
    <w:rPr>
      <w:rFonts w:ascii="Arial" w:hAnsi="Arial"/>
    </w:rPr>
  </w:style>
  <w:style w:type="paragraph" w:styleId="4">
    <w:name w:val="Plain Text"/>
    <w:basedOn w:val="1"/>
    <w:qFormat/>
    <w:uiPriority w:val="0"/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Title"/>
    <w:basedOn w:val="1"/>
    <w:next w:val="1"/>
    <w:qFormat/>
    <w:uiPriority w:val="0"/>
    <w:pPr>
      <w:jc w:val="center"/>
    </w:pPr>
    <w:rPr>
      <w:sz w:val="30"/>
    </w:rPr>
  </w:style>
  <w:style w:type="paragraph" w:styleId="7">
    <w:name w:val="Body Text First Indent 2"/>
    <w:basedOn w:val="2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2024-12-25T08:18:00Z</dcterms:created>
  <dc:creator>wake</dc:creator>
  <cp:lastModifiedBy>wake</cp:lastModifiedBy>
  <dcterms:modified xsi:type="dcterms:W3CDTF">2024-12-25T08:18:54Z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E5139F85900E445DBF556AE8B55AE94C_11</vt:lpwstr>
  </property>
  <property fmtid="{D5CDD505-2E9C-101B-9397-08002B2CF9AE}" pid="4" name="KSOTemplateDocerSaveRecord">
    <vt:lpwstr>eyJoZGlkIjoiZGVjNzhkYjI5YWU0ZGY4Y2FjNjRiZDVhYTI4YWFjMjgiLCJ1c2VySWQiOiIzMTY1NjgwOTgifQ==</vt:lpwstr>
  </property>
</Properties>
</file>