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12E255">
      <w:pPr>
        <w:pStyle w:val="2"/>
        <w:pageBreakBefore w:val="0"/>
        <w:kinsoku/>
        <w:overflowPunct/>
        <w:topLinePunct w:val="0"/>
        <w:bidi w:val="0"/>
        <w:spacing w:line="360" w:lineRule="auto"/>
        <w:ind w:firstLine="0" w:firstLineChars="0"/>
        <w:textAlignment w:val="auto"/>
        <w:rPr>
          <w:highlight w:val="none"/>
        </w:rPr>
      </w:pPr>
    </w:p>
    <w:p w14:paraId="367B707C">
      <w:pPr>
        <w:pageBreakBefore w:val="0"/>
        <w:kinsoku/>
        <w:overflowPunct/>
        <w:topLinePunct w:val="0"/>
        <w:bidi w:val="0"/>
        <w:adjustRightInd w:val="0"/>
        <w:snapToGrid w:val="0"/>
        <w:spacing w:line="360" w:lineRule="auto"/>
        <w:ind w:firstLine="0" w:firstLineChars="0"/>
        <w:jc w:val="center"/>
        <w:textAlignment w:val="auto"/>
        <w:rPr>
          <w:rFonts w:hint="eastAsia" w:ascii="宋体" w:hAnsi="宋体" w:eastAsia="宋体" w:cs="宋体"/>
          <w:b/>
          <w:bCs/>
          <w:sz w:val="112"/>
          <w:szCs w:val="32"/>
          <w:highlight w:val="none"/>
          <w:lang w:eastAsia="zh-CN"/>
        </w:rPr>
      </w:pPr>
      <w:r>
        <w:rPr>
          <w:rFonts w:hint="eastAsia" w:ascii="宋体" w:hAnsi="宋体" w:cs="宋体"/>
          <w:b/>
          <w:bCs/>
          <w:sz w:val="48"/>
          <w:szCs w:val="48"/>
          <w:highlight w:val="none"/>
          <w:lang w:eastAsia="zh-CN"/>
        </w:rPr>
        <w:t>云南大学建筑与规划学院建筑学本科专业评估达标实验室设备项目采购</w:t>
      </w:r>
    </w:p>
    <w:p w14:paraId="54448D02">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6DA4FF80">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736E9B01">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6D044119">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6D03E150">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28523508">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4C0D240A">
      <w:pPr>
        <w:pStyle w:val="17"/>
        <w:pageBreakBefore w:val="0"/>
        <w:kinsoku/>
        <w:overflowPunct/>
        <w:topLinePunct w:val="0"/>
        <w:bidi w:val="0"/>
        <w:snapToGrid w:val="0"/>
        <w:spacing w:line="360" w:lineRule="auto"/>
        <w:ind w:firstLine="0" w:firstLineChars="0"/>
        <w:jc w:val="center"/>
        <w:textAlignment w:val="auto"/>
        <w:rPr>
          <w:rFonts w:hAnsi="宋体" w:cs="宋体"/>
          <w:b/>
          <w:bCs/>
          <w:sz w:val="96"/>
          <w:szCs w:val="96"/>
          <w:highlight w:val="none"/>
        </w:rPr>
      </w:pPr>
      <w:r>
        <w:rPr>
          <w:rFonts w:hint="eastAsia" w:hAnsi="宋体" w:cs="宋体"/>
          <w:b/>
          <w:bCs/>
          <w:sz w:val="96"/>
          <w:szCs w:val="96"/>
          <w:highlight w:val="none"/>
        </w:rPr>
        <w:t>竞争性谈判文件</w:t>
      </w:r>
    </w:p>
    <w:p w14:paraId="655333D7">
      <w:pPr>
        <w:pStyle w:val="17"/>
        <w:pageBreakBefore w:val="0"/>
        <w:kinsoku/>
        <w:overflowPunct/>
        <w:topLinePunct w:val="0"/>
        <w:bidi w:val="0"/>
        <w:snapToGrid w:val="0"/>
        <w:spacing w:line="360" w:lineRule="auto"/>
        <w:ind w:firstLine="0" w:firstLineChars="0"/>
        <w:jc w:val="center"/>
        <w:textAlignment w:val="auto"/>
        <w:rPr>
          <w:rFonts w:hAnsi="宋体" w:cs="宋体"/>
          <w:highlight w:val="none"/>
        </w:rPr>
      </w:pPr>
    </w:p>
    <w:p w14:paraId="119B2724">
      <w:pPr>
        <w:pStyle w:val="17"/>
        <w:pageBreakBefore w:val="0"/>
        <w:kinsoku/>
        <w:overflowPunct/>
        <w:topLinePunct w:val="0"/>
        <w:bidi w:val="0"/>
        <w:snapToGrid w:val="0"/>
        <w:spacing w:line="360" w:lineRule="auto"/>
        <w:ind w:firstLine="0" w:firstLineChars="0"/>
        <w:jc w:val="center"/>
        <w:textAlignment w:val="auto"/>
        <w:rPr>
          <w:rFonts w:hint="eastAsia" w:hAnsi="宋体" w:eastAsia="宋体" w:cs="宋体"/>
          <w:b/>
          <w:bCs/>
          <w:sz w:val="32"/>
          <w:szCs w:val="32"/>
          <w:highlight w:val="none"/>
          <w:lang w:eastAsia="zh-CN"/>
        </w:rPr>
      </w:pPr>
      <w:r>
        <w:rPr>
          <w:rFonts w:hint="eastAsia" w:hAnsi="宋体" w:cs="宋体"/>
          <w:b/>
          <w:bCs/>
          <w:sz w:val="32"/>
          <w:szCs w:val="32"/>
          <w:highlight w:val="none"/>
        </w:rPr>
        <w:t>项目编</w:t>
      </w:r>
      <w:r>
        <w:rPr>
          <w:rFonts w:hint="eastAsia" w:hAnsi="宋体" w:cs="宋体"/>
          <w:b/>
          <w:bCs/>
          <w:sz w:val="32"/>
          <w:szCs w:val="32"/>
          <w:highlight w:val="none"/>
        </w:rPr>
        <w:t>号：</w:t>
      </w:r>
      <w:r>
        <w:rPr>
          <w:rFonts w:hint="eastAsia" w:hAnsi="宋体" w:cs="宋体"/>
          <w:b/>
          <w:bCs/>
          <w:sz w:val="32"/>
          <w:szCs w:val="32"/>
          <w:highlight w:val="none"/>
          <w:lang w:eastAsia="zh-CN"/>
        </w:rPr>
        <w:t>YNZC2025-J1-01070-YNGR-0053</w:t>
      </w:r>
    </w:p>
    <w:p w14:paraId="0EA065BF">
      <w:pPr>
        <w:pStyle w:val="17"/>
        <w:pageBreakBefore w:val="0"/>
        <w:kinsoku/>
        <w:overflowPunct/>
        <w:topLinePunct w:val="0"/>
        <w:bidi w:val="0"/>
        <w:snapToGrid w:val="0"/>
        <w:spacing w:line="360" w:lineRule="auto"/>
        <w:ind w:firstLine="0" w:firstLineChars="0"/>
        <w:jc w:val="center"/>
        <w:textAlignment w:val="auto"/>
        <w:rPr>
          <w:rFonts w:hAnsi="宋体" w:cs="宋体"/>
          <w:highlight w:val="none"/>
        </w:rPr>
      </w:pPr>
    </w:p>
    <w:p w14:paraId="6DFB0F5B">
      <w:pPr>
        <w:pStyle w:val="17"/>
        <w:pageBreakBefore w:val="0"/>
        <w:kinsoku/>
        <w:overflowPunct/>
        <w:topLinePunct w:val="0"/>
        <w:bidi w:val="0"/>
        <w:snapToGrid w:val="0"/>
        <w:spacing w:line="360" w:lineRule="auto"/>
        <w:ind w:firstLine="0" w:firstLineChars="0"/>
        <w:jc w:val="center"/>
        <w:textAlignment w:val="auto"/>
        <w:rPr>
          <w:rFonts w:hAnsi="宋体" w:cs="宋体"/>
          <w:highlight w:val="none"/>
        </w:rPr>
      </w:pPr>
    </w:p>
    <w:p w14:paraId="663C8112">
      <w:pPr>
        <w:pStyle w:val="17"/>
        <w:pageBreakBefore w:val="0"/>
        <w:kinsoku/>
        <w:overflowPunct/>
        <w:topLinePunct w:val="0"/>
        <w:bidi w:val="0"/>
        <w:snapToGrid w:val="0"/>
        <w:spacing w:line="360" w:lineRule="auto"/>
        <w:ind w:firstLine="0" w:firstLineChars="0"/>
        <w:jc w:val="center"/>
        <w:textAlignment w:val="auto"/>
        <w:rPr>
          <w:rFonts w:hAnsi="宋体" w:cs="宋体"/>
          <w:b/>
          <w:bCs/>
          <w:color w:val="FF0000"/>
          <w:sz w:val="32"/>
          <w:highlight w:val="none"/>
        </w:rPr>
      </w:pPr>
    </w:p>
    <w:p w14:paraId="67951219">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b/>
          <w:bCs/>
          <w:color w:val="FF0000"/>
          <w:sz w:val="32"/>
          <w:highlight w:val="none"/>
        </w:rPr>
      </w:pPr>
    </w:p>
    <w:p w14:paraId="14CE304E">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highlight w:val="none"/>
        </w:rPr>
      </w:pPr>
    </w:p>
    <w:p w14:paraId="1CEA9441">
      <w:pPr>
        <w:pStyle w:val="17"/>
        <w:pageBreakBefore w:val="0"/>
        <w:kinsoku/>
        <w:overflowPunct/>
        <w:topLinePunct w:val="0"/>
        <w:bidi w:val="0"/>
        <w:snapToGrid w:val="0"/>
        <w:spacing w:line="360" w:lineRule="auto"/>
        <w:ind w:firstLine="0" w:firstLineChars="0"/>
        <w:jc w:val="center"/>
        <w:textAlignment w:val="auto"/>
        <w:rPr>
          <w:rFonts w:hAnsi="宋体" w:cs="宋体"/>
          <w:b/>
          <w:bCs/>
          <w:sz w:val="32"/>
          <w:szCs w:val="32"/>
          <w:highlight w:val="none"/>
        </w:rPr>
      </w:pPr>
    </w:p>
    <w:p w14:paraId="3A647360">
      <w:pPr>
        <w:pStyle w:val="17"/>
        <w:pageBreakBefore w:val="0"/>
        <w:kinsoku/>
        <w:overflowPunct/>
        <w:topLinePunct w:val="0"/>
        <w:bidi w:val="0"/>
        <w:snapToGrid w:val="0"/>
        <w:spacing w:line="360" w:lineRule="auto"/>
        <w:ind w:firstLine="0" w:firstLineChars="0"/>
        <w:jc w:val="center"/>
        <w:textAlignment w:val="auto"/>
        <w:rPr>
          <w:rFonts w:hint="eastAsia" w:hAnsi="宋体" w:cs="宋体"/>
          <w:b/>
          <w:bCs/>
          <w:sz w:val="32"/>
          <w:szCs w:val="32"/>
          <w:highlight w:val="none"/>
        </w:rPr>
      </w:pPr>
    </w:p>
    <w:p w14:paraId="46231BC7">
      <w:pPr>
        <w:pStyle w:val="17"/>
        <w:pageBreakBefore w:val="0"/>
        <w:kinsoku/>
        <w:overflowPunct/>
        <w:topLinePunct w:val="0"/>
        <w:bidi w:val="0"/>
        <w:snapToGrid w:val="0"/>
        <w:spacing w:line="360" w:lineRule="auto"/>
        <w:ind w:firstLine="0" w:firstLineChars="0"/>
        <w:jc w:val="center"/>
        <w:textAlignment w:val="auto"/>
        <w:rPr>
          <w:rFonts w:hAnsi="宋体" w:cs="宋体"/>
          <w:b/>
          <w:bCs/>
          <w:sz w:val="32"/>
          <w:szCs w:val="32"/>
          <w:highlight w:val="none"/>
        </w:rPr>
      </w:pPr>
      <w:r>
        <w:rPr>
          <w:rFonts w:hint="eastAsia" w:hAnsi="宋体" w:cs="宋体"/>
          <w:b/>
          <w:bCs/>
          <w:sz w:val="32"/>
          <w:szCs w:val="32"/>
          <w:highlight w:val="none"/>
        </w:rPr>
        <w:t>采购人：云南大学</w:t>
      </w:r>
    </w:p>
    <w:p w14:paraId="13D11803">
      <w:pPr>
        <w:pStyle w:val="17"/>
        <w:pageBreakBefore w:val="0"/>
        <w:kinsoku/>
        <w:overflowPunct/>
        <w:topLinePunct w:val="0"/>
        <w:bidi w:val="0"/>
        <w:snapToGrid w:val="0"/>
        <w:spacing w:line="360" w:lineRule="auto"/>
        <w:ind w:firstLine="0" w:firstLineChars="0"/>
        <w:jc w:val="center"/>
        <w:textAlignment w:val="auto"/>
        <w:rPr>
          <w:rFonts w:hAnsi="宋体" w:cs="宋体"/>
          <w:b/>
          <w:bCs/>
          <w:sz w:val="32"/>
          <w:szCs w:val="32"/>
          <w:highlight w:val="none"/>
        </w:rPr>
      </w:pPr>
      <w:r>
        <w:rPr>
          <w:rFonts w:hint="eastAsia" w:hAnsi="宋体" w:cs="宋体"/>
          <w:b/>
          <w:bCs/>
          <w:sz w:val="32"/>
          <w:szCs w:val="32"/>
          <w:highlight w:val="none"/>
        </w:rPr>
        <w:t>采购代理机构：云南冠睿咨询有限公司</w:t>
      </w:r>
    </w:p>
    <w:p w14:paraId="35F80A85">
      <w:pPr>
        <w:pStyle w:val="17"/>
        <w:pageBreakBefore w:val="0"/>
        <w:kinsoku/>
        <w:overflowPunct/>
        <w:topLinePunct w:val="0"/>
        <w:bidi w:val="0"/>
        <w:snapToGrid w:val="0"/>
        <w:spacing w:line="360" w:lineRule="auto"/>
        <w:ind w:firstLine="0" w:firstLineChars="0"/>
        <w:jc w:val="center"/>
        <w:textAlignment w:val="auto"/>
        <w:rPr>
          <w:rFonts w:hAnsi="宋体" w:cs="宋体"/>
          <w:b/>
          <w:bCs/>
          <w:sz w:val="32"/>
          <w:szCs w:val="32"/>
          <w:highlight w:val="none"/>
        </w:rPr>
      </w:pPr>
      <w:r>
        <w:rPr>
          <w:rFonts w:hint="eastAsia" w:hAnsi="宋体" w:cs="宋体"/>
          <w:b/>
          <w:bCs/>
          <w:sz w:val="32"/>
          <w:szCs w:val="32"/>
          <w:highlight w:val="none"/>
        </w:rPr>
        <w:t>2025年03月</w:t>
      </w:r>
    </w:p>
    <w:p w14:paraId="5136A346">
      <w:pPr>
        <w:pageBreakBefore w:val="0"/>
        <w:kinsoku/>
        <w:overflowPunct/>
        <w:topLinePunct w:val="0"/>
        <w:bidi w:val="0"/>
        <w:adjustRightInd w:val="0"/>
        <w:snapToGrid w:val="0"/>
        <w:spacing w:line="360" w:lineRule="auto"/>
        <w:ind w:firstLine="0" w:firstLineChars="0"/>
        <w:jc w:val="center"/>
        <w:textAlignment w:val="auto"/>
        <w:rPr>
          <w:rFonts w:ascii="宋体" w:hAnsi="宋体" w:cs="宋体"/>
          <w:b/>
          <w:bCs/>
          <w:sz w:val="30"/>
          <w:szCs w:val="30"/>
          <w:highlight w:val="none"/>
        </w:rPr>
      </w:pPr>
      <w:r>
        <w:rPr>
          <w:rFonts w:hint="eastAsia" w:ascii="宋体" w:hAnsi="宋体" w:cs="宋体"/>
          <w:b/>
          <w:bCs/>
          <w:sz w:val="30"/>
          <w:szCs w:val="30"/>
          <w:highlight w:val="none"/>
        </w:rPr>
        <w:br w:type="page"/>
      </w:r>
    </w:p>
    <w:p w14:paraId="5CD04450">
      <w:pPr>
        <w:pStyle w:val="14"/>
        <w:pageBreakBefore w:val="0"/>
        <w:kinsoku/>
        <w:overflowPunct/>
        <w:topLinePunct w:val="0"/>
        <w:bidi w:val="0"/>
        <w:adjustRightInd w:val="0"/>
        <w:snapToGrid w:val="0"/>
        <w:spacing w:line="360" w:lineRule="auto"/>
        <w:ind w:firstLine="0" w:firstLineChars="0"/>
        <w:jc w:val="center"/>
        <w:textAlignment w:val="auto"/>
        <w:rPr>
          <w:rFonts w:ascii="宋体" w:hAnsi="宋体" w:eastAsia="宋体" w:cs="宋体"/>
          <w:b/>
          <w:bCs/>
          <w:sz w:val="32"/>
          <w:szCs w:val="32"/>
          <w:highlight w:val="none"/>
        </w:rPr>
      </w:pPr>
      <w:r>
        <w:rPr>
          <w:rFonts w:hint="eastAsia" w:ascii="宋体" w:hAnsi="宋体" w:eastAsia="宋体" w:cs="宋体"/>
          <w:b/>
          <w:bCs/>
          <w:sz w:val="32"/>
          <w:szCs w:val="32"/>
          <w:highlight w:val="none"/>
        </w:rPr>
        <w:t>目 录</w:t>
      </w:r>
    </w:p>
    <w:p w14:paraId="4DCBBCA8">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rStyle w:val="44"/>
          <w:rFonts w:hint="eastAsia"/>
          <w:caps/>
          <w:snapToGrid w:val="0"/>
          <w:color w:val="auto"/>
          <w:kern w:val="21"/>
          <w:sz w:val="22"/>
          <w:szCs w:val="28"/>
          <w:highlight w:val="none"/>
        </w:rPr>
        <w:fldChar w:fldCharType="begin"/>
      </w:r>
      <w:r>
        <w:rPr>
          <w:rStyle w:val="44"/>
          <w:rFonts w:hint="eastAsia" w:ascii="宋体" w:hAnsi="宋体" w:cs="宋体"/>
          <w:b/>
          <w:bCs/>
          <w:caps/>
          <w:snapToGrid w:val="0"/>
          <w:color w:val="auto"/>
          <w:kern w:val="21"/>
          <w:sz w:val="22"/>
          <w:szCs w:val="28"/>
          <w:highlight w:val="none"/>
        </w:rPr>
        <w:instrText xml:space="preserve"> TOC \o "1-3" \h \z </w:instrText>
      </w:r>
      <w:r>
        <w:rPr>
          <w:rStyle w:val="44"/>
          <w:rFonts w:hint="eastAsia"/>
          <w:caps/>
          <w:snapToGrid w:val="0"/>
          <w:color w:val="auto"/>
          <w:kern w:val="21"/>
          <w:sz w:val="22"/>
          <w:szCs w:val="28"/>
          <w:highlight w:val="none"/>
        </w:rPr>
        <w:fldChar w:fldCharType="separate"/>
      </w:r>
      <w:r>
        <w:rPr>
          <w:highlight w:val="none"/>
        </w:rPr>
        <w:fldChar w:fldCharType="begin"/>
      </w:r>
      <w:r>
        <w:rPr>
          <w:highlight w:val="none"/>
        </w:rPr>
        <w:instrText xml:space="preserve"> HYPERLINK \l "_Toc32259" </w:instrText>
      </w:r>
      <w:r>
        <w:rPr>
          <w:highlight w:val="none"/>
        </w:rPr>
        <w:fldChar w:fldCharType="separate"/>
      </w:r>
      <w:r>
        <w:rPr>
          <w:rFonts w:hint="eastAsia" w:ascii="宋体" w:hAnsi="宋体" w:cs="宋体"/>
          <w:b/>
          <w:bCs/>
          <w:highlight w:val="none"/>
        </w:rPr>
        <w:t>第一章  竞争性谈判公告</w:t>
      </w:r>
      <w:r>
        <w:rPr>
          <w:b/>
          <w:bCs/>
          <w:highlight w:val="none"/>
        </w:rPr>
        <w:tab/>
      </w:r>
      <w:r>
        <w:rPr>
          <w:b/>
          <w:bCs/>
          <w:highlight w:val="none"/>
        </w:rPr>
        <w:fldChar w:fldCharType="begin"/>
      </w:r>
      <w:r>
        <w:rPr>
          <w:b/>
          <w:bCs/>
          <w:highlight w:val="none"/>
        </w:rPr>
        <w:instrText xml:space="preserve"> PAGEREF _Toc32259 \h </w:instrText>
      </w:r>
      <w:r>
        <w:rPr>
          <w:b/>
          <w:bCs/>
          <w:highlight w:val="none"/>
        </w:rPr>
        <w:fldChar w:fldCharType="separate"/>
      </w:r>
      <w:r>
        <w:rPr>
          <w:b/>
          <w:bCs/>
          <w:highlight w:val="none"/>
        </w:rPr>
        <w:t>1</w:t>
      </w:r>
      <w:r>
        <w:rPr>
          <w:b/>
          <w:bCs/>
          <w:highlight w:val="none"/>
        </w:rPr>
        <w:fldChar w:fldCharType="end"/>
      </w:r>
      <w:r>
        <w:rPr>
          <w:b/>
          <w:bCs/>
          <w:highlight w:val="none"/>
        </w:rPr>
        <w:fldChar w:fldCharType="end"/>
      </w:r>
    </w:p>
    <w:p w14:paraId="04128F27">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highlight w:val="none"/>
        </w:rPr>
        <w:fldChar w:fldCharType="begin"/>
      </w:r>
      <w:r>
        <w:rPr>
          <w:highlight w:val="none"/>
        </w:rPr>
        <w:instrText xml:space="preserve"> HYPERLINK \l "_Toc28590" </w:instrText>
      </w:r>
      <w:r>
        <w:rPr>
          <w:highlight w:val="none"/>
        </w:rPr>
        <w:fldChar w:fldCharType="separate"/>
      </w:r>
      <w:r>
        <w:rPr>
          <w:rFonts w:hint="eastAsia" w:ascii="宋体" w:hAnsi="宋体" w:cs="宋体"/>
          <w:b/>
          <w:bCs/>
          <w:highlight w:val="none"/>
        </w:rPr>
        <w:t>第二章  供应商须知</w:t>
      </w:r>
      <w:r>
        <w:rPr>
          <w:b/>
          <w:bCs/>
          <w:highlight w:val="none"/>
        </w:rPr>
        <w:tab/>
      </w:r>
      <w:r>
        <w:rPr>
          <w:b/>
          <w:bCs/>
          <w:highlight w:val="none"/>
        </w:rPr>
        <w:fldChar w:fldCharType="begin"/>
      </w:r>
      <w:r>
        <w:rPr>
          <w:b/>
          <w:bCs/>
          <w:highlight w:val="none"/>
        </w:rPr>
        <w:instrText xml:space="preserve"> PAGEREF _Toc28590 \h </w:instrText>
      </w:r>
      <w:r>
        <w:rPr>
          <w:b/>
          <w:bCs/>
          <w:highlight w:val="none"/>
        </w:rPr>
        <w:fldChar w:fldCharType="separate"/>
      </w:r>
      <w:r>
        <w:rPr>
          <w:b/>
          <w:bCs/>
          <w:highlight w:val="none"/>
        </w:rPr>
        <w:t>6</w:t>
      </w:r>
      <w:r>
        <w:rPr>
          <w:b/>
          <w:bCs/>
          <w:highlight w:val="none"/>
        </w:rPr>
        <w:fldChar w:fldCharType="end"/>
      </w:r>
      <w:r>
        <w:rPr>
          <w:b/>
          <w:bCs/>
          <w:highlight w:val="none"/>
        </w:rPr>
        <w:fldChar w:fldCharType="end"/>
      </w:r>
    </w:p>
    <w:p w14:paraId="48A085E4">
      <w:pPr>
        <w:pStyle w:val="30"/>
        <w:pageBreakBefore w:val="0"/>
        <w:tabs>
          <w:tab w:val="right" w:leader="dot" w:pos="8306"/>
          <w:tab w:val="clear" w:pos="9515"/>
        </w:tabs>
        <w:kinsoku/>
        <w:overflowPunct/>
        <w:topLinePunct w:val="0"/>
        <w:bidi w:val="0"/>
        <w:spacing w:line="360" w:lineRule="auto"/>
        <w:ind w:left="210" w:right="210" w:firstLine="0" w:firstLineChars="0"/>
        <w:textAlignment w:val="auto"/>
        <w:rPr>
          <w:highlight w:val="none"/>
        </w:rPr>
      </w:pPr>
      <w:r>
        <w:rPr>
          <w:highlight w:val="none"/>
        </w:rPr>
        <w:fldChar w:fldCharType="begin"/>
      </w:r>
      <w:r>
        <w:rPr>
          <w:highlight w:val="none"/>
        </w:rPr>
        <w:instrText xml:space="preserve"> HYPERLINK \l "_Toc32516" </w:instrText>
      </w:r>
      <w:r>
        <w:rPr>
          <w:highlight w:val="none"/>
        </w:rPr>
        <w:fldChar w:fldCharType="separate"/>
      </w:r>
      <w:r>
        <w:rPr>
          <w:rFonts w:hint="eastAsia" w:ascii="宋体" w:hAnsi="宋体" w:cs="宋体"/>
          <w:szCs w:val="28"/>
          <w:highlight w:val="none"/>
        </w:rPr>
        <w:t>供应商须知前附表</w:t>
      </w:r>
      <w:r>
        <w:rPr>
          <w:highlight w:val="none"/>
        </w:rPr>
        <w:tab/>
      </w:r>
      <w:r>
        <w:rPr>
          <w:highlight w:val="none"/>
        </w:rPr>
        <w:fldChar w:fldCharType="begin"/>
      </w:r>
      <w:r>
        <w:rPr>
          <w:highlight w:val="none"/>
        </w:rPr>
        <w:instrText xml:space="preserve"> PAGEREF _Toc32516 \h </w:instrText>
      </w:r>
      <w:r>
        <w:rPr>
          <w:highlight w:val="none"/>
        </w:rPr>
        <w:fldChar w:fldCharType="separate"/>
      </w:r>
      <w:r>
        <w:rPr>
          <w:highlight w:val="none"/>
        </w:rPr>
        <w:t>6</w:t>
      </w:r>
      <w:r>
        <w:rPr>
          <w:highlight w:val="none"/>
        </w:rPr>
        <w:fldChar w:fldCharType="end"/>
      </w:r>
      <w:r>
        <w:rPr>
          <w:highlight w:val="none"/>
        </w:rPr>
        <w:fldChar w:fldCharType="end"/>
      </w:r>
    </w:p>
    <w:p w14:paraId="26EB5B25">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highlight w:val="none"/>
        </w:rPr>
        <w:fldChar w:fldCharType="begin"/>
      </w:r>
      <w:r>
        <w:rPr>
          <w:highlight w:val="none"/>
        </w:rPr>
        <w:instrText xml:space="preserve"> HYPERLINK \l "_Toc27872" </w:instrText>
      </w:r>
      <w:r>
        <w:rPr>
          <w:highlight w:val="none"/>
        </w:rPr>
        <w:fldChar w:fldCharType="separate"/>
      </w:r>
      <w:r>
        <w:rPr>
          <w:rFonts w:hint="eastAsia" w:ascii="宋体" w:hAnsi="宋体" w:cs="宋体"/>
          <w:b/>
          <w:bCs/>
          <w:szCs w:val="32"/>
          <w:highlight w:val="none"/>
        </w:rPr>
        <w:t>第三章  合同书样式及主要条款</w:t>
      </w:r>
      <w:r>
        <w:rPr>
          <w:b/>
          <w:bCs/>
          <w:highlight w:val="none"/>
        </w:rPr>
        <w:tab/>
      </w:r>
      <w:r>
        <w:rPr>
          <w:b/>
          <w:bCs/>
          <w:highlight w:val="none"/>
        </w:rPr>
        <w:fldChar w:fldCharType="begin"/>
      </w:r>
      <w:r>
        <w:rPr>
          <w:b/>
          <w:bCs/>
          <w:highlight w:val="none"/>
        </w:rPr>
        <w:instrText xml:space="preserve"> PAGEREF _Toc27872 \h </w:instrText>
      </w:r>
      <w:r>
        <w:rPr>
          <w:b/>
          <w:bCs/>
          <w:highlight w:val="none"/>
        </w:rPr>
        <w:fldChar w:fldCharType="separate"/>
      </w:r>
      <w:r>
        <w:rPr>
          <w:b/>
          <w:bCs/>
          <w:highlight w:val="none"/>
        </w:rPr>
        <w:t>25</w:t>
      </w:r>
      <w:r>
        <w:rPr>
          <w:b/>
          <w:bCs/>
          <w:highlight w:val="none"/>
        </w:rPr>
        <w:fldChar w:fldCharType="end"/>
      </w:r>
      <w:r>
        <w:rPr>
          <w:b/>
          <w:bCs/>
          <w:highlight w:val="none"/>
        </w:rPr>
        <w:fldChar w:fldCharType="end"/>
      </w:r>
    </w:p>
    <w:p w14:paraId="598D9BE8">
      <w:pPr>
        <w:pStyle w:val="30"/>
        <w:pageBreakBefore w:val="0"/>
        <w:tabs>
          <w:tab w:val="right" w:leader="dot" w:pos="8306"/>
          <w:tab w:val="clear" w:pos="9515"/>
        </w:tabs>
        <w:kinsoku/>
        <w:overflowPunct/>
        <w:topLinePunct w:val="0"/>
        <w:bidi w:val="0"/>
        <w:spacing w:line="360" w:lineRule="auto"/>
        <w:ind w:left="210" w:right="210" w:firstLine="0" w:firstLineChars="0"/>
        <w:textAlignment w:val="auto"/>
        <w:rPr>
          <w:highlight w:val="none"/>
        </w:rPr>
      </w:pPr>
      <w:r>
        <w:rPr>
          <w:highlight w:val="none"/>
        </w:rPr>
        <w:fldChar w:fldCharType="begin"/>
      </w:r>
      <w:r>
        <w:rPr>
          <w:highlight w:val="none"/>
        </w:rPr>
        <w:instrText xml:space="preserve"> HYPERLINK \l "_Toc9637" </w:instrText>
      </w:r>
      <w:r>
        <w:rPr>
          <w:highlight w:val="none"/>
        </w:rPr>
        <w:fldChar w:fldCharType="separate"/>
      </w:r>
      <w:r>
        <w:rPr>
          <w:rFonts w:hint="eastAsia" w:ascii="宋体" w:hAnsi="宋体" w:cs="宋体"/>
          <w:szCs w:val="28"/>
          <w:highlight w:val="none"/>
        </w:rPr>
        <w:t>▲合同条款前附表</w:t>
      </w:r>
      <w:r>
        <w:rPr>
          <w:highlight w:val="none"/>
        </w:rPr>
        <w:tab/>
      </w:r>
      <w:r>
        <w:rPr>
          <w:highlight w:val="none"/>
        </w:rPr>
        <w:fldChar w:fldCharType="begin"/>
      </w:r>
      <w:r>
        <w:rPr>
          <w:highlight w:val="none"/>
        </w:rPr>
        <w:instrText xml:space="preserve"> PAGEREF _Toc9637 \h </w:instrText>
      </w:r>
      <w:r>
        <w:rPr>
          <w:highlight w:val="none"/>
        </w:rPr>
        <w:fldChar w:fldCharType="separate"/>
      </w:r>
      <w:r>
        <w:rPr>
          <w:highlight w:val="none"/>
        </w:rPr>
        <w:t>25</w:t>
      </w:r>
      <w:r>
        <w:rPr>
          <w:highlight w:val="none"/>
        </w:rPr>
        <w:fldChar w:fldCharType="end"/>
      </w:r>
      <w:r>
        <w:rPr>
          <w:highlight w:val="none"/>
        </w:rPr>
        <w:fldChar w:fldCharType="end"/>
      </w:r>
    </w:p>
    <w:p w14:paraId="110660D0">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highlight w:val="none"/>
        </w:rPr>
        <w:fldChar w:fldCharType="begin"/>
      </w:r>
      <w:r>
        <w:rPr>
          <w:highlight w:val="none"/>
        </w:rPr>
        <w:instrText xml:space="preserve"> HYPERLINK \l "_Toc12921" </w:instrText>
      </w:r>
      <w:r>
        <w:rPr>
          <w:highlight w:val="none"/>
        </w:rPr>
        <w:fldChar w:fldCharType="separate"/>
      </w:r>
      <w:r>
        <w:rPr>
          <w:rFonts w:hint="eastAsia" w:ascii="宋体" w:hAnsi="宋体" w:cs="宋体"/>
          <w:b/>
          <w:bCs/>
          <w:szCs w:val="32"/>
          <w:highlight w:val="none"/>
        </w:rPr>
        <w:t>第四章  响应文件格式</w:t>
      </w:r>
      <w:r>
        <w:rPr>
          <w:b/>
          <w:bCs/>
          <w:highlight w:val="none"/>
        </w:rPr>
        <w:tab/>
      </w:r>
      <w:r>
        <w:rPr>
          <w:b/>
          <w:bCs/>
          <w:highlight w:val="none"/>
        </w:rPr>
        <w:fldChar w:fldCharType="begin"/>
      </w:r>
      <w:r>
        <w:rPr>
          <w:b/>
          <w:bCs/>
          <w:highlight w:val="none"/>
        </w:rPr>
        <w:instrText xml:space="preserve"> PAGEREF _Toc12921 \h </w:instrText>
      </w:r>
      <w:r>
        <w:rPr>
          <w:b/>
          <w:bCs/>
          <w:highlight w:val="none"/>
        </w:rPr>
        <w:fldChar w:fldCharType="separate"/>
      </w:r>
      <w:r>
        <w:rPr>
          <w:b/>
          <w:bCs/>
          <w:highlight w:val="none"/>
        </w:rPr>
        <w:t>34</w:t>
      </w:r>
      <w:r>
        <w:rPr>
          <w:b/>
          <w:bCs/>
          <w:highlight w:val="none"/>
        </w:rPr>
        <w:fldChar w:fldCharType="end"/>
      </w:r>
      <w:r>
        <w:rPr>
          <w:b/>
          <w:bCs/>
          <w:highlight w:val="none"/>
        </w:rPr>
        <w:fldChar w:fldCharType="end"/>
      </w:r>
    </w:p>
    <w:p w14:paraId="15D8A95A">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highlight w:val="none"/>
        </w:rPr>
        <w:fldChar w:fldCharType="begin"/>
      </w:r>
      <w:r>
        <w:rPr>
          <w:highlight w:val="none"/>
        </w:rPr>
        <w:instrText xml:space="preserve"> HYPERLINK \l "_Toc17173" </w:instrText>
      </w:r>
      <w:r>
        <w:rPr>
          <w:highlight w:val="none"/>
        </w:rPr>
        <w:fldChar w:fldCharType="separate"/>
      </w:r>
      <w:r>
        <w:rPr>
          <w:rFonts w:hint="eastAsia" w:ascii="宋体" w:hAnsi="宋体" w:cs="宋体"/>
          <w:b/>
          <w:bCs/>
          <w:szCs w:val="32"/>
          <w:highlight w:val="none"/>
        </w:rPr>
        <w:t>第五章  采购需求</w:t>
      </w:r>
      <w:r>
        <w:rPr>
          <w:b/>
          <w:bCs/>
          <w:highlight w:val="none"/>
        </w:rPr>
        <w:tab/>
      </w:r>
      <w:r>
        <w:rPr>
          <w:b/>
          <w:bCs/>
          <w:highlight w:val="none"/>
        </w:rPr>
        <w:fldChar w:fldCharType="begin"/>
      </w:r>
      <w:r>
        <w:rPr>
          <w:b/>
          <w:bCs/>
          <w:highlight w:val="none"/>
        </w:rPr>
        <w:instrText xml:space="preserve"> PAGEREF _Toc17173 \h </w:instrText>
      </w:r>
      <w:r>
        <w:rPr>
          <w:b/>
          <w:bCs/>
          <w:highlight w:val="none"/>
        </w:rPr>
        <w:fldChar w:fldCharType="separate"/>
      </w:r>
      <w:r>
        <w:rPr>
          <w:b/>
          <w:bCs/>
          <w:highlight w:val="none"/>
        </w:rPr>
        <w:t>64</w:t>
      </w:r>
      <w:r>
        <w:rPr>
          <w:b/>
          <w:bCs/>
          <w:highlight w:val="none"/>
        </w:rPr>
        <w:fldChar w:fldCharType="end"/>
      </w:r>
      <w:r>
        <w:rPr>
          <w:b/>
          <w:bCs/>
          <w:highlight w:val="none"/>
        </w:rPr>
        <w:fldChar w:fldCharType="end"/>
      </w:r>
    </w:p>
    <w:p w14:paraId="55CC13CE">
      <w:pPr>
        <w:pStyle w:val="24"/>
        <w:pageBreakBefore w:val="0"/>
        <w:tabs>
          <w:tab w:val="right" w:leader="dot" w:pos="8306"/>
        </w:tabs>
        <w:kinsoku/>
        <w:overflowPunct/>
        <w:topLinePunct w:val="0"/>
        <w:bidi w:val="0"/>
        <w:spacing w:line="360" w:lineRule="auto"/>
        <w:ind w:firstLine="0" w:firstLineChars="0"/>
        <w:textAlignment w:val="auto"/>
        <w:rPr>
          <w:b/>
          <w:bCs/>
          <w:highlight w:val="none"/>
        </w:rPr>
      </w:pPr>
      <w:r>
        <w:rPr>
          <w:highlight w:val="none"/>
        </w:rPr>
        <w:fldChar w:fldCharType="begin"/>
      </w:r>
      <w:r>
        <w:rPr>
          <w:highlight w:val="none"/>
        </w:rPr>
        <w:instrText xml:space="preserve"> HYPERLINK \l "_Toc14076" </w:instrText>
      </w:r>
      <w:r>
        <w:rPr>
          <w:highlight w:val="none"/>
        </w:rPr>
        <w:fldChar w:fldCharType="separate"/>
      </w:r>
      <w:r>
        <w:rPr>
          <w:rFonts w:hint="eastAsia" w:ascii="宋体" w:hAnsi="宋体" w:cs="宋体"/>
          <w:b/>
          <w:bCs/>
          <w:szCs w:val="32"/>
          <w:highlight w:val="none"/>
        </w:rPr>
        <w:t>第六章  谈判程序和方法</w:t>
      </w:r>
      <w:r>
        <w:rPr>
          <w:b/>
          <w:bCs/>
          <w:highlight w:val="none"/>
        </w:rPr>
        <w:tab/>
      </w:r>
      <w:r>
        <w:rPr>
          <w:b/>
          <w:bCs/>
          <w:highlight w:val="none"/>
        </w:rPr>
        <w:fldChar w:fldCharType="begin"/>
      </w:r>
      <w:r>
        <w:rPr>
          <w:b/>
          <w:bCs/>
          <w:highlight w:val="none"/>
        </w:rPr>
        <w:instrText xml:space="preserve"> PAGEREF _Toc14076 \h </w:instrText>
      </w:r>
      <w:r>
        <w:rPr>
          <w:b/>
          <w:bCs/>
          <w:highlight w:val="none"/>
        </w:rPr>
        <w:fldChar w:fldCharType="separate"/>
      </w:r>
      <w:r>
        <w:rPr>
          <w:b/>
          <w:bCs/>
          <w:highlight w:val="none"/>
        </w:rPr>
        <w:t>83</w:t>
      </w:r>
      <w:r>
        <w:rPr>
          <w:b/>
          <w:bCs/>
          <w:highlight w:val="none"/>
        </w:rPr>
        <w:fldChar w:fldCharType="end"/>
      </w:r>
      <w:r>
        <w:rPr>
          <w:b/>
          <w:bCs/>
          <w:highlight w:val="none"/>
        </w:rPr>
        <w:fldChar w:fldCharType="end"/>
      </w:r>
    </w:p>
    <w:p w14:paraId="02C78084">
      <w:pPr>
        <w:pStyle w:val="30"/>
        <w:pageBreakBefore w:val="0"/>
        <w:tabs>
          <w:tab w:val="right" w:leader="dot" w:pos="8306"/>
          <w:tab w:val="clear" w:pos="9515"/>
        </w:tabs>
        <w:kinsoku/>
        <w:overflowPunct/>
        <w:topLinePunct w:val="0"/>
        <w:bidi w:val="0"/>
        <w:spacing w:line="360" w:lineRule="auto"/>
        <w:ind w:left="210" w:right="210" w:firstLine="0" w:firstLineChars="0"/>
        <w:textAlignment w:val="auto"/>
        <w:rPr>
          <w:highlight w:val="none"/>
        </w:rPr>
      </w:pPr>
      <w:r>
        <w:rPr>
          <w:highlight w:val="none"/>
        </w:rPr>
        <w:fldChar w:fldCharType="begin"/>
      </w:r>
      <w:r>
        <w:rPr>
          <w:highlight w:val="none"/>
        </w:rPr>
        <w:instrText xml:space="preserve"> HYPERLINK \l "_Toc9459" </w:instrText>
      </w:r>
      <w:r>
        <w:rPr>
          <w:highlight w:val="none"/>
        </w:rPr>
        <w:fldChar w:fldCharType="separate"/>
      </w:r>
      <w:r>
        <w:rPr>
          <w:rFonts w:hint="eastAsia" w:ascii="宋体" w:hAnsi="宋体" w:cs="宋体"/>
          <w:szCs w:val="28"/>
          <w:highlight w:val="none"/>
        </w:rPr>
        <w:t>谈判程序和方法前附表</w:t>
      </w:r>
      <w:r>
        <w:rPr>
          <w:highlight w:val="none"/>
        </w:rPr>
        <w:tab/>
      </w:r>
      <w:r>
        <w:rPr>
          <w:highlight w:val="none"/>
        </w:rPr>
        <w:fldChar w:fldCharType="begin"/>
      </w:r>
      <w:r>
        <w:rPr>
          <w:highlight w:val="none"/>
        </w:rPr>
        <w:instrText xml:space="preserve"> PAGEREF _Toc9459 \h </w:instrText>
      </w:r>
      <w:r>
        <w:rPr>
          <w:highlight w:val="none"/>
        </w:rPr>
        <w:fldChar w:fldCharType="separate"/>
      </w:r>
      <w:r>
        <w:rPr>
          <w:highlight w:val="none"/>
        </w:rPr>
        <w:t>83</w:t>
      </w:r>
      <w:r>
        <w:rPr>
          <w:highlight w:val="none"/>
        </w:rPr>
        <w:fldChar w:fldCharType="end"/>
      </w:r>
      <w:r>
        <w:rPr>
          <w:highlight w:val="none"/>
        </w:rPr>
        <w:fldChar w:fldCharType="end"/>
      </w:r>
    </w:p>
    <w:p w14:paraId="0A3B1A1F">
      <w:pPr>
        <w:pStyle w:val="16"/>
        <w:pageBreakBefore w:val="0"/>
        <w:tabs>
          <w:tab w:val="right" w:leader="dot" w:pos="9525"/>
          <w:tab w:val="clear" w:pos="9515"/>
        </w:tabs>
        <w:kinsoku/>
        <w:overflowPunct/>
        <w:topLinePunct w:val="0"/>
        <w:bidi w:val="0"/>
        <w:adjustRightInd w:val="0"/>
        <w:snapToGrid w:val="0"/>
        <w:spacing w:line="360" w:lineRule="auto"/>
        <w:ind w:left="0" w:leftChars="0" w:firstLine="0" w:firstLineChars="0"/>
        <w:textAlignment w:val="auto"/>
        <w:rPr>
          <w:rFonts w:ascii="宋体" w:hAnsi="宋体" w:cs="宋体"/>
          <w:szCs w:val="21"/>
          <w:highlight w:val="none"/>
        </w:rPr>
      </w:pPr>
      <w:r>
        <w:rPr>
          <w:rFonts w:hint="eastAsia" w:ascii="宋体" w:hAnsi="宋体" w:cs="宋体"/>
          <w:b/>
          <w:bCs/>
          <w:szCs w:val="22"/>
          <w:highlight w:val="none"/>
        </w:rPr>
        <w:fldChar w:fldCharType="end"/>
      </w:r>
    </w:p>
    <w:p w14:paraId="6E125416">
      <w:pPr>
        <w:pStyle w:val="2"/>
        <w:pageBreakBefore w:val="0"/>
        <w:kinsoku/>
        <w:overflowPunct/>
        <w:topLinePunct w:val="0"/>
        <w:bidi w:val="0"/>
        <w:snapToGrid w:val="0"/>
        <w:spacing w:line="360" w:lineRule="auto"/>
        <w:ind w:firstLine="0" w:firstLineChars="0"/>
        <w:jc w:val="center"/>
        <w:textAlignment w:val="auto"/>
        <w:rPr>
          <w:rFonts w:ascii="宋体" w:hAnsi="宋体" w:eastAsia="宋体" w:cs="宋体"/>
          <w:color w:val="auto"/>
          <w:sz w:val="32"/>
          <w:highlight w:val="none"/>
        </w:rPr>
        <w:sectPr>
          <w:headerReference r:id="rId4" w:type="first"/>
          <w:footerReference r:id="rId6" w:type="first"/>
          <w:headerReference r:id="rId3" w:type="default"/>
          <w:footerReference r:id="rId5" w:type="default"/>
          <w:pgSz w:w="11906" w:h="16838"/>
          <w:pgMar w:top="1440" w:right="1800" w:bottom="1440" w:left="1800" w:header="510" w:footer="680" w:gutter="0"/>
          <w:pgNumType w:start="0"/>
          <w:cols w:space="0" w:num="1"/>
          <w:titlePg/>
          <w:docGrid w:type="lines" w:linePitch="312" w:charSpace="0"/>
        </w:sectPr>
      </w:pPr>
    </w:p>
    <w:p w14:paraId="7449B19A">
      <w:pPr>
        <w:pStyle w:val="2"/>
        <w:pageBreakBefore w:val="0"/>
        <w:kinsoku/>
        <w:overflowPunct/>
        <w:topLinePunct w:val="0"/>
        <w:bidi w:val="0"/>
        <w:snapToGrid w:val="0"/>
        <w:spacing w:line="360" w:lineRule="auto"/>
        <w:ind w:firstLine="0" w:firstLineChars="0"/>
        <w:jc w:val="center"/>
        <w:textAlignment w:val="auto"/>
        <w:rPr>
          <w:rFonts w:ascii="宋体" w:hAnsi="宋体" w:eastAsia="宋体" w:cs="宋体"/>
          <w:color w:val="auto"/>
          <w:sz w:val="32"/>
          <w:highlight w:val="none"/>
        </w:rPr>
      </w:pPr>
      <w:bookmarkStart w:id="0" w:name="_Toc32259"/>
      <w:r>
        <w:rPr>
          <w:rFonts w:hint="eastAsia" w:ascii="宋体" w:hAnsi="宋体" w:eastAsia="宋体" w:cs="宋体"/>
          <w:color w:val="auto"/>
          <w:sz w:val="32"/>
          <w:highlight w:val="none"/>
        </w:rPr>
        <w:t>第一章  竞争性谈判公告</w:t>
      </w:r>
      <w:bookmarkEnd w:id="0"/>
    </w:p>
    <w:p w14:paraId="1EE8BCDA">
      <w:pPr>
        <w:pageBreakBefore w:val="0"/>
        <w:pBdr>
          <w:top w:val="single" w:color="auto" w:sz="4" w:space="1"/>
          <w:left w:val="single" w:color="auto" w:sz="4" w:space="4"/>
          <w:bottom w:val="single" w:color="auto" w:sz="4" w:space="1"/>
          <w:right w:val="single" w:color="auto" w:sz="4" w:space="4"/>
        </w:pBdr>
        <w:kinsoku/>
        <w:overflowPunct/>
        <w:topLinePunct w:val="0"/>
        <w:bidi w:val="0"/>
        <w:adjustRightInd w:val="0"/>
        <w:snapToGrid w:val="0"/>
        <w:spacing w:line="360" w:lineRule="auto"/>
        <w:ind w:firstLine="0" w:firstLineChars="0"/>
        <w:jc w:val="center"/>
        <w:textAlignment w:val="auto"/>
        <w:rPr>
          <w:rFonts w:ascii="宋体" w:hAnsi="宋体" w:cs="宋体"/>
          <w:b/>
          <w:bCs/>
          <w:sz w:val="24"/>
          <w:highlight w:val="none"/>
        </w:rPr>
      </w:pPr>
      <w:bookmarkStart w:id="1" w:name="_Toc22851"/>
      <w:bookmarkStart w:id="2" w:name="_Toc14124"/>
      <w:bookmarkStart w:id="3" w:name="_Toc38338259"/>
      <w:bookmarkStart w:id="4" w:name="_Toc86124033"/>
      <w:bookmarkStart w:id="5" w:name="_Toc496805383"/>
      <w:bookmarkStart w:id="6" w:name="_Toc496805422"/>
      <w:bookmarkStart w:id="7" w:name="_Toc492340329"/>
      <w:bookmarkStart w:id="8" w:name="_Toc24673"/>
      <w:bookmarkStart w:id="9" w:name="_Toc37716339"/>
      <w:bookmarkStart w:id="10" w:name="_Toc496805350"/>
      <w:r>
        <w:rPr>
          <w:rFonts w:hint="eastAsia" w:ascii="宋体" w:hAnsi="宋体" w:cs="宋体"/>
          <w:b/>
          <w:bCs/>
          <w:sz w:val="24"/>
          <w:highlight w:val="none"/>
        </w:rPr>
        <w:t>项目概况</w:t>
      </w:r>
    </w:p>
    <w:p w14:paraId="281E4907">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adjustRightInd w:val="0"/>
        <w:snapToGrid w:val="0"/>
        <w:spacing w:line="360" w:lineRule="auto"/>
        <w:ind w:firstLine="420" w:firstLineChars="200"/>
        <w:textAlignment w:val="auto"/>
        <w:rPr>
          <w:rFonts w:ascii="宋体" w:hAnsi="宋体" w:cs="宋体"/>
          <w:sz w:val="24"/>
          <w:highlight w:val="none"/>
        </w:rPr>
      </w:pPr>
      <w:r>
        <w:rPr>
          <w:rFonts w:hint="eastAsia" w:ascii="宋体" w:hAnsi="宋体" w:cs="宋体"/>
          <w:szCs w:val="21"/>
          <w:highlight w:val="none"/>
          <w:lang w:eastAsia="zh-CN"/>
        </w:rPr>
        <w:t>云南大学建筑与规划学院建筑学本科专业评估达标实验室设备项目采购</w:t>
      </w:r>
      <w:r>
        <w:rPr>
          <w:rFonts w:hint="eastAsia" w:ascii="宋体" w:hAnsi="宋体" w:cs="宋体"/>
          <w:szCs w:val="21"/>
          <w:highlight w:val="none"/>
        </w:rPr>
        <w:t>的潜在供应商应在政采云平台（https：//www.zcygov.cn/）线上获取采购文件获取竞争性谈判文件，并于2025</w:t>
      </w:r>
      <w:r>
        <w:rPr>
          <w:rFonts w:hint="eastAsia" w:ascii="宋体" w:hAnsi="宋体" w:cs="宋体"/>
          <w:bCs/>
          <w:szCs w:val="21"/>
          <w:highlight w:val="none"/>
        </w:rPr>
        <w:t>年</w:t>
      </w:r>
      <w:r>
        <w:rPr>
          <w:rFonts w:hint="eastAsia" w:ascii="宋体" w:hAnsi="宋体" w:cs="宋体"/>
          <w:bCs/>
          <w:szCs w:val="21"/>
          <w:highlight w:val="none"/>
          <w:lang w:val="en-US" w:eastAsia="zh-CN"/>
        </w:rPr>
        <w:t>04</w:t>
      </w:r>
      <w:r>
        <w:rPr>
          <w:rFonts w:hint="eastAsia" w:ascii="宋体" w:hAnsi="宋体" w:cs="宋体"/>
          <w:bCs/>
          <w:szCs w:val="21"/>
          <w:highlight w:val="none"/>
        </w:rPr>
        <w:t>月</w:t>
      </w:r>
      <w:r>
        <w:rPr>
          <w:rFonts w:hint="eastAsia" w:ascii="宋体" w:hAnsi="宋体" w:cs="宋体"/>
          <w:bCs/>
          <w:szCs w:val="21"/>
          <w:highlight w:val="none"/>
          <w:lang w:val="en-US" w:eastAsia="zh-CN"/>
        </w:rPr>
        <w:t>03</w:t>
      </w:r>
      <w:r>
        <w:rPr>
          <w:rFonts w:hint="eastAsia" w:ascii="宋体" w:hAnsi="宋体" w:cs="宋体"/>
          <w:bCs/>
          <w:szCs w:val="21"/>
          <w:highlight w:val="none"/>
        </w:rPr>
        <w:t>日</w:t>
      </w:r>
      <w:r>
        <w:rPr>
          <w:rFonts w:hint="eastAsia" w:ascii="宋体" w:hAnsi="宋体" w:cs="宋体"/>
          <w:bCs/>
          <w:szCs w:val="21"/>
          <w:highlight w:val="none"/>
          <w:lang w:val="en-US" w:eastAsia="zh-CN"/>
        </w:rPr>
        <w:t>15</w:t>
      </w:r>
      <w:r>
        <w:rPr>
          <w:rFonts w:hint="eastAsia" w:ascii="宋体" w:hAnsi="宋体" w:cs="宋体"/>
          <w:bCs/>
          <w:szCs w:val="21"/>
          <w:highlight w:val="none"/>
        </w:rPr>
        <w:t>点</w:t>
      </w:r>
      <w:r>
        <w:rPr>
          <w:rFonts w:hint="eastAsia" w:ascii="宋体" w:hAnsi="宋体" w:cs="宋体"/>
          <w:bCs/>
          <w:szCs w:val="21"/>
          <w:highlight w:val="none"/>
          <w:lang w:val="en-US" w:eastAsia="zh-CN"/>
        </w:rPr>
        <w:t>30</w:t>
      </w:r>
      <w:r>
        <w:rPr>
          <w:rFonts w:hint="eastAsia" w:ascii="宋体" w:hAnsi="宋体" w:cs="宋体"/>
          <w:bCs/>
          <w:szCs w:val="21"/>
          <w:highlight w:val="none"/>
        </w:rPr>
        <w:t>分（北京时间）前递交响应文件</w:t>
      </w:r>
      <w:r>
        <w:rPr>
          <w:rFonts w:hint="eastAsia" w:ascii="宋体" w:hAnsi="宋体" w:cs="宋体"/>
          <w:sz w:val="24"/>
          <w:highlight w:val="none"/>
        </w:rPr>
        <w:t>。</w:t>
      </w:r>
    </w:p>
    <w:p w14:paraId="6977ACD9">
      <w:pPr>
        <w:pStyle w:val="4"/>
        <w:pageBreakBefore w:val="0"/>
        <w:kinsoku/>
        <w:overflowPunct/>
        <w:topLinePunct w:val="0"/>
        <w:bidi w:val="0"/>
        <w:adjustRightInd w:val="0"/>
        <w:snapToGrid w:val="0"/>
        <w:spacing w:before="0" w:after="0"/>
        <w:ind w:firstLine="0" w:firstLineChars="0"/>
        <w:jc w:val="left"/>
        <w:textAlignment w:val="auto"/>
        <w:rPr>
          <w:rFonts w:hAnsi="宋体" w:cs="宋体"/>
          <w:szCs w:val="24"/>
          <w:highlight w:val="none"/>
        </w:rPr>
      </w:pPr>
      <w:bookmarkStart w:id="11" w:name="_Toc28359079"/>
      <w:bookmarkStart w:id="12" w:name="_Toc28359002"/>
      <w:bookmarkStart w:id="13" w:name="_Toc28120"/>
      <w:bookmarkStart w:id="14" w:name="_Toc35393621"/>
      <w:bookmarkStart w:id="15" w:name="_Toc35393790"/>
      <w:bookmarkStart w:id="16" w:name="_Hlk24379207"/>
      <w:bookmarkStart w:id="17" w:name="_Toc28359087"/>
      <w:bookmarkStart w:id="18" w:name="_Toc28359010"/>
      <w:r>
        <w:rPr>
          <w:rFonts w:hint="eastAsia" w:hAnsi="宋体" w:cs="宋体"/>
          <w:szCs w:val="24"/>
          <w:highlight w:val="none"/>
        </w:rPr>
        <w:t>一、项目基本情况</w:t>
      </w:r>
      <w:bookmarkEnd w:id="11"/>
      <w:bookmarkEnd w:id="12"/>
      <w:bookmarkEnd w:id="13"/>
      <w:bookmarkEnd w:id="14"/>
      <w:bookmarkEnd w:id="15"/>
    </w:p>
    <w:p w14:paraId="4676783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highlight w:val="none"/>
          <w:lang w:eastAsia="zh-CN"/>
        </w:rPr>
      </w:pPr>
      <w:r>
        <w:rPr>
          <w:rFonts w:hint="eastAsia" w:ascii="宋体" w:hAnsi="宋体" w:cs="宋体"/>
          <w:szCs w:val="21"/>
          <w:highlight w:val="none"/>
        </w:rPr>
        <w:t>1.项目编号：</w:t>
      </w:r>
      <w:r>
        <w:rPr>
          <w:rFonts w:hint="eastAsia" w:ascii="宋体" w:hAnsi="宋体" w:cs="宋体"/>
          <w:szCs w:val="21"/>
          <w:highlight w:val="none"/>
          <w:lang w:eastAsia="zh-CN"/>
        </w:rPr>
        <w:t>YNZC2025-J1-01070-YNGR-0053</w:t>
      </w:r>
    </w:p>
    <w:p w14:paraId="61A035B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highlight w:val="none"/>
          <w:lang w:eastAsia="zh-CN"/>
        </w:rPr>
      </w:pPr>
      <w:r>
        <w:rPr>
          <w:rFonts w:hint="eastAsia" w:ascii="宋体" w:hAnsi="宋体" w:cs="宋体"/>
          <w:szCs w:val="21"/>
          <w:highlight w:val="none"/>
        </w:rPr>
        <w:t>2.项目名称：</w:t>
      </w:r>
      <w:r>
        <w:rPr>
          <w:rFonts w:hint="eastAsia" w:ascii="宋体" w:hAnsi="宋体" w:cs="宋体"/>
          <w:szCs w:val="21"/>
          <w:highlight w:val="none"/>
          <w:lang w:eastAsia="zh-CN"/>
        </w:rPr>
        <w:t>云南大学建筑与规划学院建筑学本科专业评估达标实验室设备项目采购</w:t>
      </w:r>
    </w:p>
    <w:bookmarkEnd w:id="16"/>
    <w:p w14:paraId="4683532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3.预算金额：</w:t>
      </w:r>
      <w:r>
        <w:rPr>
          <w:rFonts w:ascii="宋体" w:hAnsi="宋体" w:cs="宋体"/>
          <w:szCs w:val="21"/>
          <w:highlight w:val="none"/>
        </w:rPr>
        <w:t>1452900.00</w:t>
      </w:r>
      <w:r>
        <w:rPr>
          <w:rFonts w:hint="eastAsia" w:ascii="宋体" w:hAnsi="宋体" w:cs="宋体"/>
          <w:szCs w:val="21"/>
          <w:highlight w:val="none"/>
        </w:rPr>
        <w:t>元</w:t>
      </w:r>
    </w:p>
    <w:p w14:paraId="4FC8117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4.最高限价：</w:t>
      </w:r>
      <w:r>
        <w:rPr>
          <w:rFonts w:ascii="宋体" w:hAnsi="宋体" w:cs="宋体"/>
          <w:szCs w:val="21"/>
          <w:highlight w:val="none"/>
        </w:rPr>
        <w:t>1452900.00</w:t>
      </w:r>
      <w:r>
        <w:rPr>
          <w:rFonts w:hint="eastAsia" w:ascii="宋体" w:hAnsi="宋体" w:cs="宋体"/>
          <w:szCs w:val="21"/>
          <w:highlight w:val="none"/>
        </w:rPr>
        <w:t>元</w:t>
      </w:r>
    </w:p>
    <w:p w14:paraId="2966CC7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5.采购需求：</w:t>
      </w:r>
    </w:p>
    <w:tbl>
      <w:tblPr>
        <w:tblStyle w:val="38"/>
        <w:tblW w:w="770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687"/>
        <w:gridCol w:w="1313"/>
        <w:gridCol w:w="2959"/>
        <w:gridCol w:w="783"/>
        <w:gridCol w:w="750"/>
        <w:gridCol w:w="1214"/>
      </w:tblGrid>
      <w:tr w14:paraId="545A7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687" w:type="dxa"/>
            <w:tcBorders>
              <w:tl2br w:val="nil"/>
              <w:tr2bl w:val="nil"/>
            </w:tcBorders>
            <w:tcMar>
              <w:top w:w="0" w:type="dxa"/>
              <w:left w:w="108" w:type="dxa"/>
              <w:bottom w:w="0" w:type="dxa"/>
              <w:right w:w="108" w:type="dxa"/>
            </w:tcMar>
            <w:vAlign w:val="center"/>
          </w:tcPr>
          <w:p w14:paraId="7D1801FF">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b/>
                <w:sz w:val="21"/>
                <w:szCs w:val="21"/>
                <w:highlight w:val="none"/>
              </w:rPr>
            </w:pPr>
            <w:r>
              <w:rPr>
                <w:rFonts w:hint="eastAsia" w:cs="宋体"/>
                <w:b/>
                <w:sz w:val="21"/>
                <w:szCs w:val="21"/>
                <w:highlight w:val="none"/>
              </w:rPr>
              <w:t>序号</w:t>
            </w:r>
          </w:p>
        </w:tc>
        <w:tc>
          <w:tcPr>
            <w:tcW w:w="1313" w:type="dxa"/>
            <w:tcBorders>
              <w:tl2br w:val="nil"/>
              <w:tr2bl w:val="nil"/>
            </w:tcBorders>
            <w:tcMar>
              <w:top w:w="0" w:type="dxa"/>
              <w:left w:w="108" w:type="dxa"/>
              <w:bottom w:w="0" w:type="dxa"/>
              <w:right w:w="108" w:type="dxa"/>
            </w:tcMar>
            <w:vAlign w:val="center"/>
          </w:tcPr>
          <w:p w14:paraId="4DE5A7DC">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b/>
                <w:sz w:val="21"/>
                <w:szCs w:val="21"/>
                <w:highlight w:val="none"/>
              </w:rPr>
            </w:pPr>
            <w:r>
              <w:rPr>
                <w:rFonts w:hint="eastAsia" w:cs="宋体"/>
                <w:b/>
                <w:sz w:val="21"/>
                <w:szCs w:val="21"/>
                <w:highlight w:val="none"/>
              </w:rPr>
              <w:t>是否接受进口产品投标</w:t>
            </w:r>
          </w:p>
        </w:tc>
        <w:tc>
          <w:tcPr>
            <w:tcW w:w="2959" w:type="dxa"/>
            <w:tcBorders>
              <w:tl2br w:val="nil"/>
              <w:tr2bl w:val="nil"/>
            </w:tcBorders>
            <w:tcMar>
              <w:top w:w="0" w:type="dxa"/>
              <w:left w:w="108" w:type="dxa"/>
              <w:bottom w:w="0" w:type="dxa"/>
              <w:right w:w="108" w:type="dxa"/>
            </w:tcMar>
            <w:vAlign w:val="center"/>
          </w:tcPr>
          <w:p w14:paraId="53E00FEC">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sz w:val="21"/>
                <w:szCs w:val="21"/>
                <w:highlight w:val="none"/>
              </w:rPr>
            </w:pPr>
            <w:r>
              <w:rPr>
                <w:rStyle w:val="41"/>
                <w:rFonts w:hint="eastAsia" w:cs="宋体"/>
                <w:sz w:val="21"/>
                <w:szCs w:val="21"/>
                <w:highlight w:val="none"/>
              </w:rPr>
              <w:t>产品（标的）名称</w:t>
            </w:r>
          </w:p>
        </w:tc>
        <w:tc>
          <w:tcPr>
            <w:tcW w:w="783" w:type="dxa"/>
            <w:tcBorders>
              <w:tl2br w:val="nil"/>
              <w:tr2bl w:val="nil"/>
            </w:tcBorders>
            <w:tcMar>
              <w:top w:w="0" w:type="dxa"/>
              <w:left w:w="108" w:type="dxa"/>
              <w:bottom w:w="0" w:type="dxa"/>
              <w:right w:w="108" w:type="dxa"/>
            </w:tcMar>
            <w:vAlign w:val="center"/>
          </w:tcPr>
          <w:p w14:paraId="4D857C09">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sz w:val="21"/>
                <w:szCs w:val="21"/>
                <w:highlight w:val="none"/>
              </w:rPr>
            </w:pPr>
            <w:r>
              <w:rPr>
                <w:rStyle w:val="41"/>
                <w:rFonts w:hint="eastAsia" w:cs="宋体"/>
                <w:sz w:val="21"/>
                <w:szCs w:val="21"/>
                <w:highlight w:val="none"/>
              </w:rPr>
              <w:t>数量</w:t>
            </w:r>
          </w:p>
        </w:tc>
        <w:tc>
          <w:tcPr>
            <w:tcW w:w="750" w:type="dxa"/>
            <w:tcBorders>
              <w:tl2br w:val="nil"/>
              <w:tr2bl w:val="nil"/>
            </w:tcBorders>
            <w:tcMar>
              <w:top w:w="0" w:type="dxa"/>
              <w:left w:w="108" w:type="dxa"/>
              <w:bottom w:w="0" w:type="dxa"/>
              <w:right w:w="108" w:type="dxa"/>
            </w:tcMar>
            <w:vAlign w:val="center"/>
          </w:tcPr>
          <w:p w14:paraId="31A0A33A">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sz w:val="21"/>
                <w:szCs w:val="21"/>
                <w:highlight w:val="none"/>
              </w:rPr>
            </w:pPr>
            <w:r>
              <w:rPr>
                <w:rStyle w:val="41"/>
                <w:rFonts w:hint="eastAsia" w:cs="宋体"/>
                <w:sz w:val="21"/>
                <w:szCs w:val="21"/>
                <w:highlight w:val="none"/>
              </w:rPr>
              <w:t>计量单位</w:t>
            </w:r>
          </w:p>
        </w:tc>
        <w:tc>
          <w:tcPr>
            <w:tcW w:w="1214" w:type="dxa"/>
            <w:tcBorders>
              <w:tl2br w:val="nil"/>
              <w:tr2bl w:val="nil"/>
            </w:tcBorders>
            <w:tcMar>
              <w:top w:w="0" w:type="dxa"/>
              <w:left w:w="108" w:type="dxa"/>
              <w:bottom w:w="0" w:type="dxa"/>
              <w:right w:w="108" w:type="dxa"/>
            </w:tcMar>
            <w:vAlign w:val="center"/>
          </w:tcPr>
          <w:p w14:paraId="0A3D3A62">
            <w:pPr>
              <w:pStyle w:val="34"/>
              <w:pageBreakBefore w:val="0"/>
              <w:kinsoku/>
              <w:overflowPunct/>
              <w:topLinePunct w:val="0"/>
              <w:bidi w:val="0"/>
              <w:adjustRightInd w:val="0"/>
              <w:snapToGrid w:val="0"/>
              <w:spacing w:before="0" w:beforeAutospacing="0" w:after="0" w:afterAutospacing="0" w:line="360" w:lineRule="auto"/>
              <w:ind w:firstLine="0" w:firstLineChars="0"/>
              <w:jc w:val="center"/>
              <w:textAlignment w:val="auto"/>
              <w:rPr>
                <w:rFonts w:cs="宋体"/>
                <w:b/>
                <w:bCs/>
                <w:sz w:val="21"/>
                <w:szCs w:val="21"/>
                <w:highlight w:val="none"/>
              </w:rPr>
            </w:pPr>
            <w:r>
              <w:rPr>
                <w:rStyle w:val="41"/>
                <w:rFonts w:hint="eastAsia" w:cs="宋体"/>
                <w:sz w:val="21"/>
                <w:szCs w:val="21"/>
                <w:highlight w:val="none"/>
              </w:rPr>
              <w:t>简要技术需求或服务要求</w:t>
            </w:r>
          </w:p>
        </w:tc>
      </w:tr>
      <w:tr w14:paraId="053A1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48B092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1</w:t>
            </w:r>
          </w:p>
        </w:tc>
        <w:tc>
          <w:tcPr>
            <w:tcW w:w="1313" w:type="dxa"/>
            <w:tcBorders>
              <w:tl2br w:val="nil"/>
              <w:tr2bl w:val="nil"/>
            </w:tcBorders>
            <w:tcMar>
              <w:top w:w="0" w:type="dxa"/>
              <w:left w:w="108" w:type="dxa"/>
              <w:bottom w:w="0" w:type="dxa"/>
              <w:right w:w="108" w:type="dxa"/>
            </w:tcMar>
            <w:vAlign w:val="center"/>
          </w:tcPr>
          <w:p w14:paraId="14B51D6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0924411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冠层分析仪</w:t>
            </w:r>
          </w:p>
        </w:tc>
        <w:tc>
          <w:tcPr>
            <w:tcW w:w="783" w:type="dxa"/>
            <w:tcBorders>
              <w:tl2br w:val="nil"/>
              <w:tr2bl w:val="nil"/>
            </w:tcBorders>
            <w:tcMar>
              <w:top w:w="0" w:type="dxa"/>
              <w:left w:w="108" w:type="dxa"/>
              <w:bottom w:w="0" w:type="dxa"/>
              <w:right w:w="108" w:type="dxa"/>
            </w:tcMar>
            <w:vAlign w:val="center"/>
          </w:tcPr>
          <w:p w14:paraId="4BC072E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3BBE03B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restart"/>
            <w:tcBorders>
              <w:tl2br w:val="nil"/>
              <w:tr2bl w:val="nil"/>
            </w:tcBorders>
            <w:tcMar>
              <w:top w:w="0" w:type="dxa"/>
              <w:left w:w="108" w:type="dxa"/>
              <w:bottom w:w="0" w:type="dxa"/>
              <w:right w:w="108" w:type="dxa"/>
            </w:tcMar>
            <w:vAlign w:val="center"/>
          </w:tcPr>
          <w:p w14:paraId="6378279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详见本竞争性谈判文件第五章《采购需求》</w:t>
            </w:r>
          </w:p>
        </w:tc>
      </w:tr>
      <w:tr w14:paraId="79A220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7D17324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2</w:t>
            </w:r>
          </w:p>
        </w:tc>
        <w:tc>
          <w:tcPr>
            <w:tcW w:w="1313" w:type="dxa"/>
            <w:tcBorders>
              <w:tl2br w:val="nil"/>
              <w:tr2bl w:val="nil"/>
            </w:tcBorders>
            <w:tcMar>
              <w:top w:w="0" w:type="dxa"/>
              <w:left w:w="108" w:type="dxa"/>
              <w:bottom w:w="0" w:type="dxa"/>
              <w:right w:w="108" w:type="dxa"/>
            </w:tcMar>
            <w:vAlign w:val="center"/>
          </w:tcPr>
          <w:p w14:paraId="3F5C917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6E678D5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户外用温湿度记录器</w:t>
            </w:r>
          </w:p>
        </w:tc>
        <w:tc>
          <w:tcPr>
            <w:tcW w:w="783" w:type="dxa"/>
            <w:tcBorders>
              <w:tl2br w:val="nil"/>
              <w:tr2bl w:val="nil"/>
            </w:tcBorders>
            <w:tcMar>
              <w:top w:w="0" w:type="dxa"/>
              <w:left w:w="108" w:type="dxa"/>
              <w:bottom w:w="0" w:type="dxa"/>
              <w:right w:w="108" w:type="dxa"/>
            </w:tcMar>
            <w:vAlign w:val="center"/>
          </w:tcPr>
          <w:p w14:paraId="24353A7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750" w:type="dxa"/>
            <w:tcBorders>
              <w:tl2br w:val="nil"/>
              <w:tr2bl w:val="nil"/>
            </w:tcBorders>
            <w:tcMar>
              <w:top w:w="0" w:type="dxa"/>
              <w:left w:w="108" w:type="dxa"/>
              <w:bottom w:w="0" w:type="dxa"/>
              <w:right w:w="108" w:type="dxa"/>
            </w:tcMar>
            <w:vAlign w:val="center"/>
          </w:tcPr>
          <w:p w14:paraId="08F4D33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63E90B9D">
            <w:pPr>
              <w:widowControl/>
              <w:adjustRightInd w:val="0"/>
              <w:snapToGrid w:val="0"/>
              <w:spacing w:line="360" w:lineRule="auto"/>
              <w:jc w:val="center"/>
              <w:textAlignment w:val="center"/>
              <w:rPr>
                <w:rFonts w:ascii="宋体" w:hAnsi="宋体" w:cs="宋体"/>
                <w:kern w:val="0"/>
                <w:szCs w:val="21"/>
                <w:highlight w:val="none"/>
              </w:rPr>
            </w:pPr>
          </w:p>
        </w:tc>
      </w:tr>
      <w:tr w14:paraId="31C504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7A7553A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3</w:t>
            </w:r>
          </w:p>
        </w:tc>
        <w:tc>
          <w:tcPr>
            <w:tcW w:w="1313" w:type="dxa"/>
            <w:tcBorders>
              <w:tl2br w:val="nil"/>
              <w:tr2bl w:val="nil"/>
            </w:tcBorders>
            <w:tcMar>
              <w:top w:w="0" w:type="dxa"/>
              <w:left w:w="108" w:type="dxa"/>
              <w:bottom w:w="0" w:type="dxa"/>
              <w:right w:w="108" w:type="dxa"/>
            </w:tcMar>
            <w:vAlign w:val="center"/>
          </w:tcPr>
          <w:p w14:paraId="0D5C62E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5D37602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高精度室内温湿度记录器</w:t>
            </w:r>
          </w:p>
        </w:tc>
        <w:tc>
          <w:tcPr>
            <w:tcW w:w="783" w:type="dxa"/>
            <w:tcBorders>
              <w:tl2br w:val="nil"/>
              <w:tr2bl w:val="nil"/>
            </w:tcBorders>
            <w:shd w:val="clear" w:color="auto" w:fill="auto"/>
            <w:tcMar>
              <w:top w:w="0" w:type="dxa"/>
              <w:left w:w="108" w:type="dxa"/>
              <w:bottom w:w="0" w:type="dxa"/>
              <w:right w:w="108" w:type="dxa"/>
            </w:tcMar>
            <w:vAlign w:val="center"/>
          </w:tcPr>
          <w:p w14:paraId="040C9C2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750" w:type="dxa"/>
            <w:tcBorders>
              <w:tl2br w:val="nil"/>
              <w:tr2bl w:val="nil"/>
            </w:tcBorders>
            <w:shd w:val="clear" w:color="auto" w:fill="auto"/>
            <w:tcMar>
              <w:top w:w="0" w:type="dxa"/>
              <w:left w:w="108" w:type="dxa"/>
              <w:bottom w:w="0" w:type="dxa"/>
              <w:right w:w="108" w:type="dxa"/>
            </w:tcMar>
            <w:vAlign w:val="center"/>
          </w:tcPr>
          <w:p w14:paraId="6FCBCBD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108D9D97">
            <w:pPr>
              <w:widowControl/>
              <w:adjustRightInd w:val="0"/>
              <w:snapToGrid w:val="0"/>
              <w:spacing w:line="360" w:lineRule="auto"/>
              <w:jc w:val="center"/>
              <w:textAlignment w:val="center"/>
              <w:rPr>
                <w:rFonts w:ascii="宋体" w:hAnsi="宋体" w:cs="宋体"/>
                <w:kern w:val="0"/>
                <w:szCs w:val="21"/>
                <w:highlight w:val="none"/>
              </w:rPr>
            </w:pPr>
          </w:p>
        </w:tc>
      </w:tr>
      <w:tr w14:paraId="79507B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1055F3D8">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w:t>
            </w:r>
          </w:p>
        </w:tc>
        <w:tc>
          <w:tcPr>
            <w:tcW w:w="1313" w:type="dxa"/>
            <w:tcBorders>
              <w:tl2br w:val="nil"/>
              <w:tr2bl w:val="nil"/>
            </w:tcBorders>
            <w:tcMar>
              <w:top w:w="0" w:type="dxa"/>
              <w:left w:w="108" w:type="dxa"/>
              <w:bottom w:w="0" w:type="dxa"/>
              <w:right w:w="108" w:type="dxa"/>
            </w:tcMar>
            <w:vAlign w:val="center"/>
          </w:tcPr>
          <w:p w14:paraId="76F2A90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0754B9D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四分量净辐射记录器</w:t>
            </w:r>
          </w:p>
        </w:tc>
        <w:tc>
          <w:tcPr>
            <w:tcW w:w="783" w:type="dxa"/>
            <w:tcBorders>
              <w:tl2br w:val="nil"/>
              <w:tr2bl w:val="nil"/>
            </w:tcBorders>
            <w:shd w:val="clear" w:color="auto" w:fill="auto"/>
            <w:tcMar>
              <w:top w:w="0" w:type="dxa"/>
              <w:left w:w="108" w:type="dxa"/>
              <w:bottom w:w="0" w:type="dxa"/>
              <w:right w:w="108" w:type="dxa"/>
            </w:tcMar>
            <w:vAlign w:val="center"/>
          </w:tcPr>
          <w:p w14:paraId="1FE1A9E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05A0094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52E5D422">
            <w:pPr>
              <w:widowControl/>
              <w:adjustRightInd w:val="0"/>
              <w:snapToGrid w:val="0"/>
              <w:spacing w:line="360" w:lineRule="auto"/>
              <w:jc w:val="center"/>
              <w:textAlignment w:val="center"/>
              <w:rPr>
                <w:rFonts w:ascii="宋体" w:hAnsi="宋体" w:cs="宋体"/>
                <w:kern w:val="0"/>
                <w:szCs w:val="21"/>
                <w:highlight w:val="none"/>
              </w:rPr>
            </w:pPr>
          </w:p>
        </w:tc>
      </w:tr>
      <w:tr w14:paraId="630E2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04C65C44">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5</w:t>
            </w:r>
          </w:p>
        </w:tc>
        <w:tc>
          <w:tcPr>
            <w:tcW w:w="1313" w:type="dxa"/>
            <w:tcBorders>
              <w:tl2br w:val="nil"/>
              <w:tr2bl w:val="nil"/>
            </w:tcBorders>
            <w:tcMar>
              <w:top w:w="0" w:type="dxa"/>
              <w:left w:w="108" w:type="dxa"/>
              <w:bottom w:w="0" w:type="dxa"/>
              <w:right w:w="108" w:type="dxa"/>
            </w:tcMar>
            <w:vAlign w:val="center"/>
          </w:tcPr>
          <w:p w14:paraId="1229FEB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792E39D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便携式小型气象站</w:t>
            </w:r>
          </w:p>
        </w:tc>
        <w:tc>
          <w:tcPr>
            <w:tcW w:w="783" w:type="dxa"/>
            <w:tcBorders>
              <w:tl2br w:val="nil"/>
              <w:tr2bl w:val="nil"/>
            </w:tcBorders>
            <w:tcMar>
              <w:top w:w="0" w:type="dxa"/>
              <w:left w:w="108" w:type="dxa"/>
              <w:bottom w:w="0" w:type="dxa"/>
              <w:right w:w="108" w:type="dxa"/>
            </w:tcMar>
            <w:vAlign w:val="center"/>
          </w:tcPr>
          <w:p w14:paraId="0D3B383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750" w:type="dxa"/>
            <w:tcBorders>
              <w:tl2br w:val="nil"/>
              <w:tr2bl w:val="nil"/>
            </w:tcBorders>
            <w:tcMar>
              <w:top w:w="0" w:type="dxa"/>
              <w:left w:w="108" w:type="dxa"/>
              <w:bottom w:w="0" w:type="dxa"/>
              <w:right w:w="108" w:type="dxa"/>
            </w:tcMar>
            <w:vAlign w:val="center"/>
          </w:tcPr>
          <w:p w14:paraId="269EFDB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418D7E07">
            <w:pPr>
              <w:widowControl/>
              <w:adjustRightInd w:val="0"/>
              <w:snapToGrid w:val="0"/>
              <w:spacing w:line="360" w:lineRule="auto"/>
              <w:jc w:val="center"/>
              <w:textAlignment w:val="center"/>
              <w:rPr>
                <w:rFonts w:ascii="宋体" w:hAnsi="宋体" w:cs="宋体"/>
                <w:kern w:val="0"/>
                <w:szCs w:val="21"/>
                <w:highlight w:val="none"/>
              </w:rPr>
            </w:pPr>
          </w:p>
        </w:tc>
      </w:tr>
      <w:tr w14:paraId="2D87B4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08EFD826">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6</w:t>
            </w:r>
          </w:p>
        </w:tc>
        <w:tc>
          <w:tcPr>
            <w:tcW w:w="1313" w:type="dxa"/>
            <w:tcBorders>
              <w:tl2br w:val="nil"/>
              <w:tr2bl w:val="nil"/>
            </w:tcBorders>
            <w:tcMar>
              <w:top w:w="0" w:type="dxa"/>
              <w:left w:w="108" w:type="dxa"/>
              <w:bottom w:w="0" w:type="dxa"/>
              <w:right w:w="108" w:type="dxa"/>
            </w:tcMar>
            <w:vAlign w:val="center"/>
          </w:tcPr>
          <w:p w14:paraId="299DEE2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125A74F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固定式小型气象站</w:t>
            </w:r>
          </w:p>
        </w:tc>
        <w:tc>
          <w:tcPr>
            <w:tcW w:w="783" w:type="dxa"/>
            <w:tcBorders>
              <w:tl2br w:val="nil"/>
              <w:tr2bl w:val="nil"/>
            </w:tcBorders>
            <w:shd w:val="clear" w:color="auto" w:fill="auto"/>
            <w:tcMar>
              <w:top w:w="0" w:type="dxa"/>
              <w:left w:w="108" w:type="dxa"/>
              <w:bottom w:w="0" w:type="dxa"/>
              <w:right w:w="108" w:type="dxa"/>
            </w:tcMar>
            <w:vAlign w:val="center"/>
          </w:tcPr>
          <w:p w14:paraId="59EAA93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750" w:type="dxa"/>
            <w:tcBorders>
              <w:tl2br w:val="nil"/>
              <w:tr2bl w:val="nil"/>
            </w:tcBorders>
            <w:shd w:val="clear" w:color="auto" w:fill="auto"/>
            <w:tcMar>
              <w:top w:w="0" w:type="dxa"/>
              <w:left w:w="108" w:type="dxa"/>
              <w:bottom w:w="0" w:type="dxa"/>
              <w:right w:w="108" w:type="dxa"/>
            </w:tcMar>
            <w:vAlign w:val="center"/>
          </w:tcPr>
          <w:p w14:paraId="7ED9EDB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706C2A03">
            <w:pPr>
              <w:widowControl/>
              <w:adjustRightInd w:val="0"/>
              <w:snapToGrid w:val="0"/>
              <w:spacing w:line="360" w:lineRule="auto"/>
              <w:jc w:val="center"/>
              <w:textAlignment w:val="center"/>
              <w:rPr>
                <w:rFonts w:ascii="宋体" w:hAnsi="宋体" w:cs="宋体"/>
                <w:kern w:val="0"/>
                <w:szCs w:val="21"/>
                <w:highlight w:val="none"/>
              </w:rPr>
            </w:pPr>
          </w:p>
        </w:tc>
      </w:tr>
      <w:tr w14:paraId="3274EF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4A32AD37">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w:t>
            </w:r>
          </w:p>
        </w:tc>
        <w:tc>
          <w:tcPr>
            <w:tcW w:w="1313" w:type="dxa"/>
            <w:tcBorders>
              <w:tl2br w:val="nil"/>
              <w:tr2bl w:val="nil"/>
            </w:tcBorders>
            <w:tcMar>
              <w:top w:w="0" w:type="dxa"/>
              <w:left w:w="108" w:type="dxa"/>
              <w:bottom w:w="0" w:type="dxa"/>
              <w:right w:w="108" w:type="dxa"/>
            </w:tcMar>
            <w:vAlign w:val="center"/>
          </w:tcPr>
          <w:p w14:paraId="1EAE64C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1A7E798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舱体及光环境模拟系统（人工气候模拟实验模块）</w:t>
            </w:r>
          </w:p>
        </w:tc>
        <w:tc>
          <w:tcPr>
            <w:tcW w:w="783" w:type="dxa"/>
            <w:tcBorders>
              <w:tl2br w:val="nil"/>
              <w:tr2bl w:val="nil"/>
            </w:tcBorders>
            <w:tcMar>
              <w:top w:w="0" w:type="dxa"/>
              <w:left w:w="108" w:type="dxa"/>
              <w:bottom w:w="0" w:type="dxa"/>
              <w:right w:w="108" w:type="dxa"/>
            </w:tcMar>
            <w:vAlign w:val="center"/>
          </w:tcPr>
          <w:p w14:paraId="34835BD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29A0FA2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2C268616">
            <w:pPr>
              <w:widowControl/>
              <w:adjustRightInd w:val="0"/>
              <w:snapToGrid w:val="0"/>
              <w:spacing w:line="360" w:lineRule="auto"/>
              <w:jc w:val="center"/>
              <w:textAlignment w:val="center"/>
              <w:rPr>
                <w:rFonts w:ascii="宋体" w:hAnsi="宋体" w:cs="宋体"/>
                <w:kern w:val="0"/>
                <w:szCs w:val="21"/>
                <w:highlight w:val="none"/>
              </w:rPr>
            </w:pPr>
          </w:p>
        </w:tc>
      </w:tr>
      <w:tr w14:paraId="77B7D5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6B27321B">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8</w:t>
            </w:r>
          </w:p>
        </w:tc>
        <w:tc>
          <w:tcPr>
            <w:tcW w:w="1313" w:type="dxa"/>
            <w:tcBorders>
              <w:tl2br w:val="nil"/>
              <w:tr2bl w:val="nil"/>
            </w:tcBorders>
            <w:tcMar>
              <w:top w:w="0" w:type="dxa"/>
              <w:left w:w="108" w:type="dxa"/>
              <w:bottom w:w="0" w:type="dxa"/>
              <w:right w:w="108" w:type="dxa"/>
            </w:tcMar>
            <w:vAlign w:val="center"/>
          </w:tcPr>
          <w:p w14:paraId="0D5C859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3AA88F7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热指数仪</w:t>
            </w:r>
          </w:p>
        </w:tc>
        <w:tc>
          <w:tcPr>
            <w:tcW w:w="783" w:type="dxa"/>
            <w:tcBorders>
              <w:tl2br w:val="nil"/>
              <w:tr2bl w:val="nil"/>
            </w:tcBorders>
            <w:tcMar>
              <w:top w:w="0" w:type="dxa"/>
              <w:left w:w="108" w:type="dxa"/>
              <w:bottom w:w="0" w:type="dxa"/>
              <w:right w:w="108" w:type="dxa"/>
            </w:tcMar>
            <w:vAlign w:val="center"/>
          </w:tcPr>
          <w:p w14:paraId="4C883E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4</w:t>
            </w:r>
          </w:p>
        </w:tc>
        <w:tc>
          <w:tcPr>
            <w:tcW w:w="750" w:type="dxa"/>
            <w:tcBorders>
              <w:tl2br w:val="nil"/>
              <w:tr2bl w:val="nil"/>
            </w:tcBorders>
            <w:tcMar>
              <w:top w:w="0" w:type="dxa"/>
              <w:left w:w="108" w:type="dxa"/>
              <w:bottom w:w="0" w:type="dxa"/>
              <w:right w:w="108" w:type="dxa"/>
            </w:tcMar>
            <w:vAlign w:val="center"/>
          </w:tcPr>
          <w:p w14:paraId="49DD176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1F9AB23E">
            <w:pPr>
              <w:widowControl/>
              <w:adjustRightInd w:val="0"/>
              <w:snapToGrid w:val="0"/>
              <w:spacing w:line="360" w:lineRule="auto"/>
              <w:jc w:val="center"/>
              <w:textAlignment w:val="center"/>
              <w:rPr>
                <w:rFonts w:ascii="宋体" w:hAnsi="宋体" w:cs="宋体"/>
                <w:kern w:val="0"/>
                <w:szCs w:val="21"/>
                <w:highlight w:val="none"/>
              </w:rPr>
            </w:pPr>
          </w:p>
        </w:tc>
      </w:tr>
      <w:tr w14:paraId="226C4A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6F2B8574">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9</w:t>
            </w:r>
          </w:p>
        </w:tc>
        <w:tc>
          <w:tcPr>
            <w:tcW w:w="1313" w:type="dxa"/>
            <w:tcBorders>
              <w:tl2br w:val="nil"/>
              <w:tr2bl w:val="nil"/>
            </w:tcBorders>
            <w:tcMar>
              <w:top w:w="0" w:type="dxa"/>
              <w:left w:w="108" w:type="dxa"/>
              <w:bottom w:w="0" w:type="dxa"/>
              <w:right w:w="108" w:type="dxa"/>
            </w:tcMar>
            <w:vAlign w:val="center"/>
          </w:tcPr>
          <w:p w14:paraId="56668C0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42522BB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热电偶+多通道记录仪</w:t>
            </w:r>
          </w:p>
        </w:tc>
        <w:tc>
          <w:tcPr>
            <w:tcW w:w="783" w:type="dxa"/>
            <w:tcBorders>
              <w:tl2br w:val="nil"/>
              <w:tr2bl w:val="nil"/>
            </w:tcBorders>
            <w:tcMar>
              <w:top w:w="0" w:type="dxa"/>
              <w:left w:w="108" w:type="dxa"/>
              <w:bottom w:w="0" w:type="dxa"/>
              <w:right w:w="108" w:type="dxa"/>
            </w:tcMar>
            <w:vAlign w:val="center"/>
          </w:tcPr>
          <w:p w14:paraId="7DFE271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750" w:type="dxa"/>
            <w:tcBorders>
              <w:tl2br w:val="nil"/>
              <w:tr2bl w:val="nil"/>
            </w:tcBorders>
            <w:tcMar>
              <w:top w:w="0" w:type="dxa"/>
              <w:left w:w="108" w:type="dxa"/>
              <w:bottom w:w="0" w:type="dxa"/>
              <w:right w:w="108" w:type="dxa"/>
            </w:tcMar>
            <w:vAlign w:val="center"/>
          </w:tcPr>
          <w:p w14:paraId="5E112D1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40AA9D98">
            <w:pPr>
              <w:widowControl/>
              <w:adjustRightInd w:val="0"/>
              <w:snapToGrid w:val="0"/>
              <w:spacing w:line="360" w:lineRule="auto"/>
              <w:jc w:val="center"/>
              <w:textAlignment w:val="center"/>
              <w:rPr>
                <w:rFonts w:ascii="宋体" w:hAnsi="宋体" w:cs="宋体"/>
                <w:kern w:val="0"/>
                <w:szCs w:val="21"/>
                <w:highlight w:val="none"/>
              </w:rPr>
            </w:pPr>
          </w:p>
        </w:tc>
      </w:tr>
      <w:tr w14:paraId="08D57C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D6B80FA">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w:t>
            </w:r>
          </w:p>
        </w:tc>
        <w:tc>
          <w:tcPr>
            <w:tcW w:w="1313" w:type="dxa"/>
            <w:tcBorders>
              <w:tl2br w:val="nil"/>
              <w:tr2bl w:val="nil"/>
            </w:tcBorders>
            <w:tcMar>
              <w:top w:w="0" w:type="dxa"/>
              <w:left w:w="108" w:type="dxa"/>
              <w:bottom w:w="0" w:type="dxa"/>
              <w:right w:w="108" w:type="dxa"/>
            </w:tcMar>
            <w:vAlign w:val="center"/>
          </w:tcPr>
          <w:p w14:paraId="54D98B0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71C61EA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温湿度处理及气流组织系统（人工气候模拟实验模块）</w:t>
            </w:r>
          </w:p>
        </w:tc>
        <w:tc>
          <w:tcPr>
            <w:tcW w:w="783" w:type="dxa"/>
            <w:tcBorders>
              <w:tl2br w:val="nil"/>
              <w:tr2bl w:val="nil"/>
            </w:tcBorders>
            <w:tcMar>
              <w:top w:w="0" w:type="dxa"/>
              <w:left w:w="108" w:type="dxa"/>
              <w:bottom w:w="0" w:type="dxa"/>
              <w:right w:w="108" w:type="dxa"/>
            </w:tcMar>
            <w:vAlign w:val="center"/>
          </w:tcPr>
          <w:p w14:paraId="3554BE9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6E1387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451BF245">
            <w:pPr>
              <w:widowControl/>
              <w:adjustRightInd w:val="0"/>
              <w:snapToGrid w:val="0"/>
              <w:spacing w:line="360" w:lineRule="auto"/>
              <w:jc w:val="center"/>
              <w:textAlignment w:val="center"/>
              <w:rPr>
                <w:rFonts w:ascii="宋体" w:hAnsi="宋体" w:cs="宋体"/>
                <w:kern w:val="0"/>
                <w:szCs w:val="21"/>
                <w:highlight w:val="none"/>
              </w:rPr>
            </w:pPr>
          </w:p>
        </w:tc>
      </w:tr>
      <w:tr w14:paraId="18CBCD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3DF40018">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11</w:t>
            </w:r>
          </w:p>
        </w:tc>
        <w:tc>
          <w:tcPr>
            <w:tcW w:w="1313" w:type="dxa"/>
            <w:tcBorders>
              <w:tl2br w:val="nil"/>
              <w:tr2bl w:val="nil"/>
            </w:tcBorders>
            <w:tcMar>
              <w:top w:w="0" w:type="dxa"/>
              <w:left w:w="108" w:type="dxa"/>
              <w:bottom w:w="0" w:type="dxa"/>
              <w:right w:w="108" w:type="dxa"/>
            </w:tcMar>
            <w:vAlign w:val="center"/>
          </w:tcPr>
          <w:p w14:paraId="0C3B1DB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301CFBE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冷热源及新风系统（人工气候模拟实验模块）</w:t>
            </w:r>
          </w:p>
        </w:tc>
        <w:tc>
          <w:tcPr>
            <w:tcW w:w="783" w:type="dxa"/>
            <w:tcBorders>
              <w:tl2br w:val="nil"/>
              <w:tr2bl w:val="nil"/>
            </w:tcBorders>
            <w:shd w:val="clear" w:color="auto" w:fill="auto"/>
            <w:tcMar>
              <w:top w:w="0" w:type="dxa"/>
              <w:left w:w="108" w:type="dxa"/>
              <w:bottom w:w="0" w:type="dxa"/>
              <w:right w:w="108" w:type="dxa"/>
            </w:tcMar>
            <w:vAlign w:val="center"/>
          </w:tcPr>
          <w:p w14:paraId="48CB836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3D1FB4E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60345F43">
            <w:pPr>
              <w:widowControl/>
              <w:adjustRightInd w:val="0"/>
              <w:snapToGrid w:val="0"/>
              <w:spacing w:line="360" w:lineRule="auto"/>
              <w:jc w:val="center"/>
              <w:textAlignment w:val="center"/>
              <w:rPr>
                <w:rFonts w:ascii="宋体" w:hAnsi="宋体" w:cs="宋体"/>
                <w:kern w:val="0"/>
                <w:szCs w:val="21"/>
                <w:highlight w:val="none"/>
              </w:rPr>
            </w:pPr>
          </w:p>
        </w:tc>
      </w:tr>
      <w:tr w14:paraId="1800E0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5E77D8C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12</w:t>
            </w:r>
          </w:p>
        </w:tc>
        <w:tc>
          <w:tcPr>
            <w:tcW w:w="1313" w:type="dxa"/>
            <w:tcBorders>
              <w:tl2br w:val="nil"/>
              <w:tr2bl w:val="nil"/>
            </w:tcBorders>
            <w:tcMar>
              <w:top w:w="0" w:type="dxa"/>
              <w:left w:w="108" w:type="dxa"/>
              <w:bottom w:w="0" w:type="dxa"/>
              <w:right w:w="108" w:type="dxa"/>
            </w:tcMar>
            <w:vAlign w:val="center"/>
          </w:tcPr>
          <w:p w14:paraId="75EDA2C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20DF1B0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壁面辐射及供电供水系统（人工气候模拟实验模块）</w:t>
            </w:r>
          </w:p>
        </w:tc>
        <w:tc>
          <w:tcPr>
            <w:tcW w:w="783" w:type="dxa"/>
            <w:tcBorders>
              <w:tl2br w:val="nil"/>
              <w:tr2bl w:val="nil"/>
            </w:tcBorders>
            <w:shd w:val="clear" w:color="auto" w:fill="auto"/>
            <w:tcMar>
              <w:top w:w="0" w:type="dxa"/>
              <w:left w:w="108" w:type="dxa"/>
              <w:bottom w:w="0" w:type="dxa"/>
              <w:right w:w="108" w:type="dxa"/>
            </w:tcMar>
            <w:vAlign w:val="center"/>
          </w:tcPr>
          <w:p w14:paraId="27CB7C6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573E113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73F7BFA8">
            <w:pPr>
              <w:widowControl/>
              <w:adjustRightInd w:val="0"/>
              <w:snapToGrid w:val="0"/>
              <w:spacing w:line="360" w:lineRule="auto"/>
              <w:jc w:val="center"/>
              <w:textAlignment w:val="center"/>
              <w:rPr>
                <w:rFonts w:ascii="宋体" w:hAnsi="宋体" w:cs="宋体"/>
                <w:kern w:val="0"/>
                <w:szCs w:val="21"/>
                <w:highlight w:val="none"/>
              </w:rPr>
            </w:pPr>
          </w:p>
        </w:tc>
      </w:tr>
      <w:tr w14:paraId="5E342C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C6192FB">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13</w:t>
            </w:r>
          </w:p>
        </w:tc>
        <w:tc>
          <w:tcPr>
            <w:tcW w:w="1313" w:type="dxa"/>
            <w:tcBorders>
              <w:tl2br w:val="nil"/>
              <w:tr2bl w:val="nil"/>
            </w:tcBorders>
            <w:tcMar>
              <w:top w:w="0" w:type="dxa"/>
              <w:left w:w="108" w:type="dxa"/>
              <w:bottom w:w="0" w:type="dxa"/>
              <w:right w:w="108" w:type="dxa"/>
            </w:tcMar>
            <w:vAlign w:val="center"/>
          </w:tcPr>
          <w:p w14:paraId="4240E6D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0BA8DAE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自控\数据采集系统及整体设计（人工气候模拟实验模块）</w:t>
            </w:r>
          </w:p>
        </w:tc>
        <w:tc>
          <w:tcPr>
            <w:tcW w:w="783" w:type="dxa"/>
            <w:tcBorders>
              <w:tl2br w:val="nil"/>
              <w:tr2bl w:val="nil"/>
            </w:tcBorders>
            <w:tcMar>
              <w:top w:w="0" w:type="dxa"/>
              <w:left w:w="108" w:type="dxa"/>
              <w:bottom w:w="0" w:type="dxa"/>
              <w:right w:w="108" w:type="dxa"/>
            </w:tcMar>
            <w:vAlign w:val="center"/>
          </w:tcPr>
          <w:p w14:paraId="1107A9A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24D935F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4ED848E5">
            <w:pPr>
              <w:widowControl/>
              <w:adjustRightInd w:val="0"/>
              <w:snapToGrid w:val="0"/>
              <w:spacing w:line="360" w:lineRule="auto"/>
              <w:jc w:val="center"/>
              <w:textAlignment w:val="center"/>
              <w:rPr>
                <w:rFonts w:ascii="宋体" w:hAnsi="宋体" w:cs="宋体"/>
                <w:kern w:val="0"/>
                <w:szCs w:val="21"/>
                <w:highlight w:val="none"/>
              </w:rPr>
            </w:pPr>
          </w:p>
        </w:tc>
      </w:tr>
      <w:tr w14:paraId="131C7F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0B53CAEB">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14</w:t>
            </w:r>
          </w:p>
        </w:tc>
        <w:tc>
          <w:tcPr>
            <w:tcW w:w="1313" w:type="dxa"/>
            <w:tcBorders>
              <w:tl2br w:val="nil"/>
              <w:tr2bl w:val="nil"/>
            </w:tcBorders>
            <w:tcMar>
              <w:top w:w="0" w:type="dxa"/>
              <w:left w:w="108" w:type="dxa"/>
              <w:bottom w:w="0" w:type="dxa"/>
              <w:right w:w="108" w:type="dxa"/>
            </w:tcMar>
            <w:vAlign w:val="center"/>
          </w:tcPr>
          <w:p w14:paraId="637C00C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4E5B903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高性能计算机工作站</w:t>
            </w:r>
          </w:p>
        </w:tc>
        <w:tc>
          <w:tcPr>
            <w:tcW w:w="783" w:type="dxa"/>
            <w:tcBorders>
              <w:tl2br w:val="nil"/>
              <w:tr2bl w:val="nil"/>
            </w:tcBorders>
            <w:tcMar>
              <w:top w:w="0" w:type="dxa"/>
              <w:left w:w="108" w:type="dxa"/>
              <w:bottom w:w="0" w:type="dxa"/>
              <w:right w:w="108" w:type="dxa"/>
            </w:tcMar>
            <w:vAlign w:val="center"/>
          </w:tcPr>
          <w:p w14:paraId="2E9FF1A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0B256CC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132201D0">
            <w:pPr>
              <w:widowControl/>
              <w:adjustRightInd w:val="0"/>
              <w:snapToGrid w:val="0"/>
              <w:spacing w:line="360" w:lineRule="auto"/>
              <w:jc w:val="center"/>
              <w:textAlignment w:val="center"/>
              <w:rPr>
                <w:rFonts w:ascii="宋体" w:hAnsi="宋体" w:cs="宋体"/>
                <w:kern w:val="0"/>
                <w:szCs w:val="21"/>
                <w:highlight w:val="none"/>
              </w:rPr>
            </w:pPr>
          </w:p>
        </w:tc>
      </w:tr>
      <w:tr w14:paraId="2DA29F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7B1EACE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15</w:t>
            </w:r>
          </w:p>
        </w:tc>
        <w:tc>
          <w:tcPr>
            <w:tcW w:w="1313" w:type="dxa"/>
            <w:tcBorders>
              <w:tl2br w:val="nil"/>
              <w:tr2bl w:val="nil"/>
            </w:tcBorders>
            <w:tcMar>
              <w:top w:w="0" w:type="dxa"/>
              <w:left w:w="108" w:type="dxa"/>
              <w:bottom w:w="0" w:type="dxa"/>
              <w:right w:w="108" w:type="dxa"/>
            </w:tcMar>
            <w:vAlign w:val="center"/>
          </w:tcPr>
          <w:p w14:paraId="3C23386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00FA52F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大型激光雕刻机A</w:t>
            </w:r>
          </w:p>
        </w:tc>
        <w:tc>
          <w:tcPr>
            <w:tcW w:w="783" w:type="dxa"/>
            <w:tcBorders>
              <w:tl2br w:val="nil"/>
              <w:tr2bl w:val="nil"/>
            </w:tcBorders>
            <w:shd w:val="clear" w:color="auto" w:fill="auto"/>
            <w:tcMar>
              <w:top w:w="0" w:type="dxa"/>
              <w:left w:w="108" w:type="dxa"/>
              <w:bottom w:w="0" w:type="dxa"/>
              <w:right w:w="108" w:type="dxa"/>
            </w:tcMar>
            <w:vAlign w:val="center"/>
          </w:tcPr>
          <w:p w14:paraId="3CC29F5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7769B2B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16B6820A">
            <w:pPr>
              <w:widowControl/>
              <w:adjustRightInd w:val="0"/>
              <w:snapToGrid w:val="0"/>
              <w:spacing w:line="360" w:lineRule="auto"/>
              <w:jc w:val="center"/>
              <w:textAlignment w:val="center"/>
              <w:rPr>
                <w:rFonts w:ascii="宋体" w:hAnsi="宋体" w:cs="宋体"/>
                <w:kern w:val="0"/>
                <w:szCs w:val="21"/>
                <w:highlight w:val="none"/>
              </w:rPr>
            </w:pPr>
          </w:p>
        </w:tc>
      </w:tr>
      <w:tr w14:paraId="0B325E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15C86530">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16</w:t>
            </w:r>
          </w:p>
        </w:tc>
        <w:tc>
          <w:tcPr>
            <w:tcW w:w="1313" w:type="dxa"/>
            <w:tcBorders>
              <w:tl2br w:val="nil"/>
              <w:tr2bl w:val="nil"/>
            </w:tcBorders>
            <w:tcMar>
              <w:top w:w="0" w:type="dxa"/>
              <w:left w:w="108" w:type="dxa"/>
              <w:bottom w:w="0" w:type="dxa"/>
              <w:right w:w="108" w:type="dxa"/>
            </w:tcMar>
            <w:vAlign w:val="center"/>
          </w:tcPr>
          <w:p w14:paraId="4AD90D6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1976FF8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大型激光雕刻机B</w:t>
            </w:r>
          </w:p>
        </w:tc>
        <w:tc>
          <w:tcPr>
            <w:tcW w:w="783" w:type="dxa"/>
            <w:tcBorders>
              <w:tl2br w:val="nil"/>
              <w:tr2bl w:val="nil"/>
            </w:tcBorders>
            <w:shd w:val="clear" w:color="auto" w:fill="auto"/>
            <w:tcMar>
              <w:top w:w="0" w:type="dxa"/>
              <w:left w:w="108" w:type="dxa"/>
              <w:bottom w:w="0" w:type="dxa"/>
              <w:right w:w="108" w:type="dxa"/>
            </w:tcMar>
            <w:vAlign w:val="center"/>
          </w:tcPr>
          <w:p w14:paraId="51D2A5B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2CED9B7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34789220">
            <w:pPr>
              <w:widowControl/>
              <w:adjustRightInd w:val="0"/>
              <w:snapToGrid w:val="0"/>
              <w:spacing w:line="360" w:lineRule="auto"/>
              <w:jc w:val="center"/>
              <w:textAlignment w:val="center"/>
              <w:rPr>
                <w:rFonts w:ascii="宋体" w:hAnsi="宋体" w:cs="宋体"/>
                <w:kern w:val="0"/>
                <w:szCs w:val="21"/>
                <w:highlight w:val="none"/>
              </w:rPr>
            </w:pPr>
          </w:p>
        </w:tc>
      </w:tr>
      <w:tr w14:paraId="421D2B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46C2891">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17</w:t>
            </w:r>
          </w:p>
        </w:tc>
        <w:tc>
          <w:tcPr>
            <w:tcW w:w="1313" w:type="dxa"/>
            <w:tcBorders>
              <w:tl2br w:val="nil"/>
              <w:tr2bl w:val="nil"/>
            </w:tcBorders>
            <w:tcMar>
              <w:top w:w="0" w:type="dxa"/>
              <w:left w:w="108" w:type="dxa"/>
              <w:bottom w:w="0" w:type="dxa"/>
              <w:right w:w="108" w:type="dxa"/>
            </w:tcMar>
            <w:vAlign w:val="center"/>
          </w:tcPr>
          <w:p w14:paraId="20A2224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6ABB2BB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木工模型制作工具套装</w:t>
            </w:r>
          </w:p>
        </w:tc>
        <w:tc>
          <w:tcPr>
            <w:tcW w:w="783" w:type="dxa"/>
            <w:tcBorders>
              <w:tl2br w:val="nil"/>
              <w:tr2bl w:val="nil"/>
            </w:tcBorders>
            <w:tcMar>
              <w:top w:w="0" w:type="dxa"/>
              <w:left w:w="108" w:type="dxa"/>
              <w:bottom w:w="0" w:type="dxa"/>
              <w:right w:w="108" w:type="dxa"/>
            </w:tcMar>
            <w:vAlign w:val="center"/>
          </w:tcPr>
          <w:p w14:paraId="39830A3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750" w:type="dxa"/>
            <w:tcBorders>
              <w:tl2br w:val="nil"/>
              <w:tr2bl w:val="nil"/>
            </w:tcBorders>
            <w:tcMar>
              <w:top w:w="0" w:type="dxa"/>
              <w:left w:w="108" w:type="dxa"/>
              <w:bottom w:w="0" w:type="dxa"/>
              <w:right w:w="108" w:type="dxa"/>
            </w:tcMar>
            <w:vAlign w:val="center"/>
          </w:tcPr>
          <w:p w14:paraId="3963863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08404D44">
            <w:pPr>
              <w:widowControl/>
              <w:adjustRightInd w:val="0"/>
              <w:snapToGrid w:val="0"/>
              <w:spacing w:line="360" w:lineRule="auto"/>
              <w:jc w:val="center"/>
              <w:textAlignment w:val="center"/>
              <w:rPr>
                <w:rFonts w:ascii="宋体" w:hAnsi="宋体" w:cs="宋体"/>
                <w:kern w:val="0"/>
                <w:szCs w:val="21"/>
                <w:highlight w:val="none"/>
              </w:rPr>
            </w:pPr>
          </w:p>
        </w:tc>
      </w:tr>
      <w:tr w14:paraId="3A1A4E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1DA86772">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18</w:t>
            </w:r>
          </w:p>
        </w:tc>
        <w:tc>
          <w:tcPr>
            <w:tcW w:w="1313" w:type="dxa"/>
            <w:tcBorders>
              <w:tl2br w:val="nil"/>
              <w:tr2bl w:val="nil"/>
            </w:tcBorders>
            <w:tcMar>
              <w:top w:w="0" w:type="dxa"/>
              <w:left w:w="108" w:type="dxa"/>
              <w:bottom w:w="0" w:type="dxa"/>
              <w:right w:w="108" w:type="dxa"/>
            </w:tcMar>
            <w:vAlign w:val="center"/>
          </w:tcPr>
          <w:p w14:paraId="50A70DC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6462DDE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高精度全自动交流稳压器</w:t>
            </w:r>
          </w:p>
        </w:tc>
        <w:tc>
          <w:tcPr>
            <w:tcW w:w="783" w:type="dxa"/>
            <w:tcBorders>
              <w:tl2br w:val="nil"/>
              <w:tr2bl w:val="nil"/>
            </w:tcBorders>
            <w:shd w:val="clear" w:color="auto" w:fill="auto"/>
            <w:tcMar>
              <w:top w:w="0" w:type="dxa"/>
              <w:left w:w="108" w:type="dxa"/>
              <w:bottom w:w="0" w:type="dxa"/>
              <w:right w:w="108" w:type="dxa"/>
            </w:tcMar>
            <w:vAlign w:val="center"/>
          </w:tcPr>
          <w:p w14:paraId="70FA9E1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73B7A10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1460F102">
            <w:pPr>
              <w:widowControl/>
              <w:adjustRightInd w:val="0"/>
              <w:snapToGrid w:val="0"/>
              <w:spacing w:line="360" w:lineRule="auto"/>
              <w:jc w:val="center"/>
              <w:textAlignment w:val="center"/>
              <w:rPr>
                <w:rFonts w:ascii="宋体" w:hAnsi="宋体" w:cs="宋体"/>
                <w:kern w:val="0"/>
                <w:szCs w:val="21"/>
                <w:highlight w:val="none"/>
              </w:rPr>
            </w:pPr>
          </w:p>
        </w:tc>
      </w:tr>
      <w:tr w14:paraId="3FD747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C023AA2">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19</w:t>
            </w:r>
          </w:p>
        </w:tc>
        <w:tc>
          <w:tcPr>
            <w:tcW w:w="1313" w:type="dxa"/>
            <w:tcBorders>
              <w:tl2br w:val="nil"/>
              <w:tr2bl w:val="nil"/>
            </w:tcBorders>
            <w:tcMar>
              <w:top w:w="0" w:type="dxa"/>
              <w:left w:w="108" w:type="dxa"/>
              <w:bottom w:w="0" w:type="dxa"/>
              <w:right w:w="108" w:type="dxa"/>
            </w:tcMar>
            <w:vAlign w:val="center"/>
          </w:tcPr>
          <w:p w14:paraId="4E835F7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25174EA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中央集尘管道系统</w:t>
            </w:r>
          </w:p>
        </w:tc>
        <w:tc>
          <w:tcPr>
            <w:tcW w:w="783" w:type="dxa"/>
            <w:tcBorders>
              <w:tl2br w:val="nil"/>
              <w:tr2bl w:val="nil"/>
            </w:tcBorders>
            <w:shd w:val="clear" w:color="auto" w:fill="auto"/>
            <w:tcMar>
              <w:top w:w="0" w:type="dxa"/>
              <w:left w:w="108" w:type="dxa"/>
              <w:bottom w:w="0" w:type="dxa"/>
              <w:right w:w="108" w:type="dxa"/>
            </w:tcMar>
            <w:vAlign w:val="center"/>
          </w:tcPr>
          <w:p w14:paraId="52338BD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shd w:val="clear" w:color="auto" w:fill="auto"/>
            <w:tcMar>
              <w:top w:w="0" w:type="dxa"/>
              <w:left w:w="108" w:type="dxa"/>
              <w:bottom w:w="0" w:type="dxa"/>
              <w:right w:w="108" w:type="dxa"/>
            </w:tcMar>
            <w:vAlign w:val="center"/>
          </w:tcPr>
          <w:p w14:paraId="5A670A7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214" w:type="dxa"/>
            <w:vMerge w:val="continue"/>
            <w:tcBorders>
              <w:tl2br w:val="nil"/>
              <w:tr2bl w:val="nil"/>
            </w:tcBorders>
            <w:tcMar>
              <w:top w:w="0" w:type="dxa"/>
              <w:left w:w="108" w:type="dxa"/>
              <w:bottom w:w="0" w:type="dxa"/>
              <w:right w:w="108" w:type="dxa"/>
            </w:tcMar>
            <w:vAlign w:val="center"/>
          </w:tcPr>
          <w:p w14:paraId="470D6664">
            <w:pPr>
              <w:widowControl/>
              <w:adjustRightInd w:val="0"/>
              <w:snapToGrid w:val="0"/>
              <w:spacing w:line="360" w:lineRule="auto"/>
              <w:jc w:val="center"/>
              <w:textAlignment w:val="center"/>
              <w:rPr>
                <w:rFonts w:ascii="宋体" w:hAnsi="宋体" w:cs="宋体"/>
                <w:kern w:val="0"/>
                <w:szCs w:val="21"/>
                <w:highlight w:val="none"/>
              </w:rPr>
            </w:pPr>
          </w:p>
        </w:tc>
      </w:tr>
      <w:tr w14:paraId="476AE2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49BA59DD">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20</w:t>
            </w:r>
          </w:p>
        </w:tc>
        <w:tc>
          <w:tcPr>
            <w:tcW w:w="1313" w:type="dxa"/>
            <w:tcBorders>
              <w:tl2br w:val="nil"/>
              <w:tr2bl w:val="nil"/>
            </w:tcBorders>
            <w:tcMar>
              <w:top w:w="0" w:type="dxa"/>
              <w:left w:w="108" w:type="dxa"/>
              <w:bottom w:w="0" w:type="dxa"/>
              <w:right w:w="108" w:type="dxa"/>
            </w:tcMar>
            <w:vAlign w:val="center"/>
          </w:tcPr>
          <w:p w14:paraId="75E8BF5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959" w:type="dxa"/>
            <w:tcBorders>
              <w:tl2br w:val="nil"/>
              <w:tr2bl w:val="nil"/>
            </w:tcBorders>
            <w:tcMar>
              <w:top w:w="0" w:type="dxa"/>
              <w:left w:w="108" w:type="dxa"/>
              <w:bottom w:w="0" w:type="dxa"/>
              <w:right w:w="108" w:type="dxa"/>
            </w:tcMar>
            <w:vAlign w:val="center"/>
          </w:tcPr>
          <w:p w14:paraId="316C5E3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安全防护用品套装</w:t>
            </w:r>
          </w:p>
        </w:tc>
        <w:tc>
          <w:tcPr>
            <w:tcW w:w="783" w:type="dxa"/>
            <w:tcBorders>
              <w:tl2br w:val="nil"/>
              <w:tr2bl w:val="nil"/>
            </w:tcBorders>
            <w:tcMar>
              <w:top w:w="0" w:type="dxa"/>
              <w:left w:w="108" w:type="dxa"/>
              <w:bottom w:w="0" w:type="dxa"/>
              <w:right w:w="108" w:type="dxa"/>
            </w:tcMar>
            <w:vAlign w:val="center"/>
          </w:tcPr>
          <w:p w14:paraId="58A2215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50" w:type="dxa"/>
            <w:tcBorders>
              <w:tl2br w:val="nil"/>
              <w:tr2bl w:val="nil"/>
            </w:tcBorders>
            <w:tcMar>
              <w:top w:w="0" w:type="dxa"/>
              <w:left w:w="108" w:type="dxa"/>
              <w:bottom w:w="0" w:type="dxa"/>
              <w:right w:w="108" w:type="dxa"/>
            </w:tcMar>
            <w:vAlign w:val="center"/>
          </w:tcPr>
          <w:p w14:paraId="02265BF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214" w:type="dxa"/>
            <w:vMerge w:val="continue"/>
            <w:tcBorders>
              <w:tl2br w:val="nil"/>
              <w:tr2bl w:val="nil"/>
            </w:tcBorders>
            <w:tcMar>
              <w:top w:w="0" w:type="dxa"/>
              <w:left w:w="108" w:type="dxa"/>
              <w:bottom w:w="0" w:type="dxa"/>
              <w:right w:w="108" w:type="dxa"/>
            </w:tcMar>
            <w:vAlign w:val="center"/>
          </w:tcPr>
          <w:p w14:paraId="3EF1C618">
            <w:pPr>
              <w:widowControl/>
              <w:adjustRightInd w:val="0"/>
              <w:snapToGrid w:val="0"/>
              <w:spacing w:line="360" w:lineRule="auto"/>
              <w:jc w:val="center"/>
              <w:textAlignment w:val="center"/>
              <w:rPr>
                <w:rFonts w:ascii="宋体" w:hAnsi="宋体" w:cs="宋体"/>
                <w:kern w:val="0"/>
                <w:szCs w:val="21"/>
                <w:highlight w:val="none"/>
              </w:rPr>
            </w:pPr>
          </w:p>
        </w:tc>
      </w:tr>
    </w:tbl>
    <w:p w14:paraId="5A0C19C4">
      <w:pPr>
        <w:adjustRightInd w:val="0"/>
        <w:snapToGrid w:val="0"/>
        <w:spacing w:line="360" w:lineRule="auto"/>
        <w:ind w:firstLine="420" w:firstLineChars="200"/>
        <w:rPr>
          <w:rFonts w:ascii="宋体" w:hAnsi="宋体" w:cs="宋体"/>
          <w:b/>
          <w:bCs/>
          <w:szCs w:val="21"/>
          <w:highlight w:val="none"/>
        </w:rPr>
      </w:pPr>
      <w:r>
        <w:rPr>
          <w:rFonts w:hint="eastAsia" w:ascii="宋体" w:hAnsi="宋体" w:cs="宋体"/>
          <w:szCs w:val="21"/>
          <w:highlight w:val="none"/>
        </w:rPr>
        <w:t>注：本项目为</w:t>
      </w:r>
      <w:r>
        <w:rPr>
          <w:rFonts w:hint="eastAsia" w:ascii="宋体" w:hAnsi="宋体" w:cs="宋体"/>
          <w:szCs w:val="21"/>
          <w:highlight w:val="none"/>
          <w:lang w:eastAsia="zh-CN"/>
        </w:rPr>
        <w:t>云南大学建筑与规划学院建筑学本科专业评估达标实验室设备项目采购</w:t>
      </w:r>
      <w:r>
        <w:rPr>
          <w:rFonts w:hint="eastAsia" w:ascii="宋体" w:hAnsi="宋体" w:cs="宋体"/>
          <w:szCs w:val="21"/>
          <w:highlight w:val="none"/>
        </w:rPr>
        <w:t>，共设一个标段，供应商必须对所投项目所有内容作出完整唯一的谈判报价，不得缺项、漏项或出现无报价情况，否则按无效响应处理。具体要求等详见本竞争性谈判文件第五章《采购需求》。</w:t>
      </w:r>
    </w:p>
    <w:p w14:paraId="396128A4">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▲6.交货期：合同签订后60日历天内完成产品供货并交付使用，供应商可自报最短交货期。</w:t>
      </w:r>
    </w:p>
    <w:p w14:paraId="0C3CA3E8">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▲7.交货地点：云南大学指定地点。</w:t>
      </w:r>
    </w:p>
    <w:p w14:paraId="433ECA6B">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8.合同履行期限：合同签订后60日历天内完成产品供货并交付使用，供应商可自报最短交货期。</w:t>
      </w:r>
    </w:p>
    <w:p w14:paraId="5838030B">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▲9.本次项目</w:t>
      </w:r>
      <w:r>
        <w:rPr>
          <w:rFonts w:hint="eastAsia" w:ascii="宋体" w:hAnsi="宋体" w:cs="宋体"/>
          <w:b/>
          <w:bCs/>
          <w:szCs w:val="21"/>
          <w:highlight w:val="none"/>
        </w:rPr>
        <w:t>不接受</w:t>
      </w:r>
      <w:r>
        <w:rPr>
          <w:rFonts w:hint="eastAsia" w:ascii="宋体" w:hAnsi="宋体" w:cs="宋体"/>
          <w:szCs w:val="21"/>
          <w:highlight w:val="none"/>
        </w:rPr>
        <w:t>进口产品投标。进口产品是指通过中国海关报关验放进入中国境内且产自关境外的产品。</w:t>
      </w:r>
    </w:p>
    <w:p w14:paraId="28F5DB97">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▲10.本项目</w:t>
      </w:r>
      <w:r>
        <w:rPr>
          <w:rFonts w:hint="eastAsia" w:ascii="宋体" w:hAnsi="宋体" w:cs="宋体"/>
          <w:b/>
          <w:bCs/>
          <w:szCs w:val="21"/>
          <w:highlight w:val="none"/>
        </w:rPr>
        <w:t>不接受</w:t>
      </w:r>
      <w:r>
        <w:rPr>
          <w:rFonts w:hint="eastAsia" w:ascii="宋体" w:hAnsi="宋体" w:cs="宋体"/>
          <w:szCs w:val="21"/>
          <w:highlight w:val="none"/>
        </w:rPr>
        <w:t>联合体参与。</w:t>
      </w:r>
    </w:p>
    <w:p w14:paraId="42CB5D17">
      <w:pPr>
        <w:pStyle w:val="3"/>
        <w:adjustRightInd w:val="0"/>
        <w:snapToGrid w:val="0"/>
        <w:spacing w:before="0" w:after="0"/>
        <w:jc w:val="left"/>
        <w:rPr>
          <w:rFonts w:ascii="宋体" w:hAnsi="宋体" w:cs="宋体"/>
          <w:bCs w:val="0"/>
          <w:sz w:val="24"/>
          <w:szCs w:val="24"/>
          <w:highlight w:val="none"/>
        </w:rPr>
      </w:pPr>
      <w:bookmarkStart w:id="19" w:name="_Toc28359003"/>
      <w:bookmarkStart w:id="20" w:name="_Toc35393622"/>
      <w:bookmarkStart w:id="21" w:name="_Toc28359080"/>
      <w:bookmarkStart w:id="22" w:name="_Toc35393791"/>
      <w:bookmarkStart w:id="23" w:name="_Toc20926"/>
      <w:r>
        <w:rPr>
          <w:rFonts w:hint="eastAsia" w:ascii="宋体" w:hAnsi="宋体" w:cs="宋体"/>
          <w:szCs w:val="24"/>
          <w:highlight w:val="none"/>
        </w:rPr>
        <w:t>二、</w:t>
      </w:r>
      <w:bookmarkEnd w:id="19"/>
      <w:bookmarkEnd w:id="20"/>
      <w:bookmarkEnd w:id="21"/>
      <w:bookmarkEnd w:id="22"/>
      <w:bookmarkStart w:id="24" w:name="_Toc28359081"/>
      <w:bookmarkStart w:id="25" w:name="_Toc28359004"/>
      <w:r>
        <w:rPr>
          <w:rFonts w:hint="eastAsia" w:ascii="宋体" w:hAnsi="宋体" w:cs="宋体"/>
          <w:bCs w:val="0"/>
          <w:sz w:val="24"/>
          <w:szCs w:val="24"/>
          <w:highlight w:val="none"/>
        </w:rPr>
        <w:t>供应商资格要求</w:t>
      </w:r>
      <w:bookmarkEnd w:id="23"/>
    </w:p>
    <w:p w14:paraId="53718F64">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1.满足《中华人民共和国政府采购法》第二十二条规定：</w:t>
      </w:r>
    </w:p>
    <w:p w14:paraId="367D6966">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1.1供应商须具有独立承担民事责任的能力：供应商为法人、其他组织或者自然人，提供有效的营业执照或事业单位法人证书或民办非企业登记证书或社会团体登记证或自然人身份证明（扫描件加盖供应商电子公章）；</w:t>
      </w:r>
    </w:p>
    <w:p w14:paraId="758E1162">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1.2供应商须具有良好的商业信誉和健全的财务会计制度：提供供应商2023年度经第三方审计的财务报告及报表（包括“四表一注”，即资产负债表、利润表、现金流量表、所有者权益变动表及其附注）或提供自提交响应文件截止时间前三个月内基本开户银行出具的资信证明（扫描件加盖供应商电子公章）；</w:t>
      </w:r>
    </w:p>
    <w:p w14:paraId="27BE3A75">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1.3具有履行合同所必需的设备和专业技术能力：提供供应商具有履行合同所必需的设备和专业技术能力的书面声明（加盖供应商电子公章）；</w:t>
      </w:r>
    </w:p>
    <w:p w14:paraId="320A1D48">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1.4供应商须具有依法缴纳税收和社会保障资金的良好记录：</w:t>
      </w:r>
    </w:p>
    <w:p w14:paraId="1223BFA9">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1.4.1提供供应商缴税所属时间在2024年02月至本项目响应文件提交截止时间前任意连续2个月的税务局税收通用缴款书或银行电子缴税（费）凭证或税务局出具纳税情况的相关证明，依法免税的，应提供依法免税的相关证明文件（扫描件加盖供应商电子公章），至响应文件提交截止时间止成立不足一年的供应商可提供相关情况说明（加盖供应商电子公章）；</w:t>
      </w:r>
    </w:p>
    <w:p w14:paraId="5045792F">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1.4.2提供供应商缴费所属时间在2024年02月至本项目响应文件提交截止时间前任意连续2个月的社会保险费缴款书或银行电子缴税（费）凭证或社保管理部门出具的有效的缴款证明，依法免缴的，应提供依法免缴的相关证明文件（扫描件加盖供应商电子公章），至响应文件提交截止时间止成立不足一年的供应商可提供相关情况说明（加盖供应商电子公章）；</w:t>
      </w:r>
    </w:p>
    <w:p w14:paraId="48B3651A">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加盖供应商电子公章）；</w:t>
      </w:r>
    </w:p>
    <w:p w14:paraId="6A629B07">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1.6法律、行政法规规定的其他条件：</w:t>
      </w:r>
    </w:p>
    <w:p w14:paraId="5E13B843">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1.6.1单位负责人为同一人或者存在直接控股、管理关系不同的供应商，不得同时参与本项目的采购活动（提供承诺函加盖供应商电子公章）；</w:t>
      </w:r>
    </w:p>
    <w:p w14:paraId="604CA169">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1.6.2为采购项目提供整体设计、规范编制和项目管理、监理、检测等服务的供应商，不得参与本项目采购活动（提供承诺函加盖供应商电子公章）；</w:t>
      </w:r>
    </w:p>
    <w:p w14:paraId="1DCC5DEC">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1.6.3供应商在“信用中国”网站（www.creditchina.gov.cn）信用服务查询栏查询的“失信被执行人（按网站要求链接到中国执行信息网（http：//zxgk.court.gov.cn/shixin/）查询）、重大税收违法失信主体”未出现不良信用信息记录（查询时间为本公告发布之日起至本项目开标当日为止，查询结果以采购人、采购代理机构查询结果为准，并将查询记录和证据留存）；</w:t>
      </w:r>
    </w:p>
    <w:p w14:paraId="3EF79C59">
      <w:pPr>
        <w:adjustRightInd w:val="0"/>
        <w:snapToGrid w:val="0"/>
        <w:spacing w:line="360" w:lineRule="auto"/>
        <w:ind w:firstLine="415" w:firstLineChars="198"/>
        <w:rPr>
          <w:rFonts w:ascii="宋体" w:hAnsi="宋体" w:cs="宋体"/>
          <w:szCs w:val="21"/>
          <w:highlight w:val="none"/>
        </w:rPr>
      </w:pPr>
      <w:r>
        <w:rPr>
          <w:rFonts w:hint="eastAsia" w:ascii="宋体" w:hAnsi="宋体" w:cs="宋体"/>
          <w:szCs w:val="21"/>
          <w:highlight w:val="none"/>
        </w:rPr>
        <w:t>1.6.4供应商在中国政府采购网（</w:t>
      </w:r>
      <w:r>
        <w:rPr>
          <w:rFonts w:hint="eastAsia"/>
          <w:highlight w:val="none"/>
        </w:rPr>
        <w:fldChar w:fldCharType="begin"/>
      </w:r>
      <w:r>
        <w:rPr>
          <w:highlight w:val="none"/>
        </w:rPr>
        <w:instrText xml:space="preserve"> HYPERLINK \t "_blank" </w:instrText>
      </w:r>
      <w:r>
        <w:rPr>
          <w:rFonts w:hint="eastAsia"/>
          <w:highlight w:val="none"/>
        </w:rPr>
        <w:fldChar w:fldCharType="separate"/>
      </w:r>
      <w:r>
        <w:rPr>
          <w:rFonts w:hint="eastAsia" w:ascii="宋体" w:hAnsi="宋体" w:cs="宋体"/>
          <w:szCs w:val="21"/>
          <w:highlight w:val="none"/>
        </w:rPr>
        <w:t>www.ccgp.gov.cn）政府采购严重违法失信行为记录名单中未被禁止参加政府采购活动</w:t>
      </w:r>
      <w:r>
        <w:rPr>
          <w:rFonts w:hint="eastAsia" w:ascii="宋体" w:hAnsi="宋体" w:cs="宋体"/>
          <w:szCs w:val="21"/>
          <w:highlight w:val="none"/>
        </w:rPr>
        <w:fldChar w:fldCharType="end"/>
      </w:r>
      <w:r>
        <w:rPr>
          <w:rFonts w:hint="eastAsia" w:ascii="宋体" w:hAnsi="宋体" w:cs="宋体"/>
          <w:szCs w:val="21"/>
          <w:highlight w:val="none"/>
        </w:rPr>
        <w:t>（查询时间为本公告发布之日起至提交响应文件截止时间止，查询结果以采购人、采购代理机构查询结果为准，并将查询记录和证据留存）；</w:t>
      </w:r>
    </w:p>
    <w:p w14:paraId="31818875">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2.落实政府采购政策需满足的资格要求：无；</w:t>
      </w:r>
    </w:p>
    <w:p w14:paraId="6E2525FE">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3.本项目的特定资格要求：无。</w:t>
      </w:r>
    </w:p>
    <w:p w14:paraId="32EB8515">
      <w:pPr>
        <w:pStyle w:val="4"/>
        <w:adjustRightInd w:val="0"/>
        <w:snapToGrid w:val="0"/>
        <w:spacing w:before="0" w:after="0"/>
        <w:ind w:left="0" w:leftChars="0" w:firstLine="0" w:firstLineChars="0"/>
        <w:jc w:val="left"/>
        <w:rPr>
          <w:rFonts w:hAnsi="宋体" w:cs="宋体"/>
          <w:bCs w:val="0"/>
          <w:szCs w:val="24"/>
          <w:highlight w:val="none"/>
        </w:rPr>
      </w:pPr>
      <w:bookmarkStart w:id="26" w:name="_Toc35393623"/>
      <w:bookmarkStart w:id="27" w:name="_Toc35393792"/>
      <w:bookmarkStart w:id="28" w:name="_Toc9866"/>
      <w:r>
        <w:rPr>
          <w:rFonts w:hint="eastAsia" w:hAnsi="宋体" w:cs="宋体"/>
          <w:szCs w:val="24"/>
          <w:highlight w:val="none"/>
        </w:rPr>
        <w:t>三、</w:t>
      </w:r>
      <w:bookmarkEnd w:id="24"/>
      <w:bookmarkEnd w:id="25"/>
      <w:bookmarkEnd w:id="26"/>
      <w:bookmarkEnd w:id="27"/>
      <w:r>
        <w:rPr>
          <w:rFonts w:hint="eastAsia" w:hAnsi="宋体" w:cs="宋体"/>
          <w:bCs w:val="0"/>
          <w:szCs w:val="24"/>
          <w:highlight w:val="none"/>
        </w:rPr>
        <w:t>获取采购文件</w:t>
      </w:r>
      <w:bookmarkEnd w:id="28"/>
    </w:p>
    <w:p w14:paraId="1077D01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时间：20</w:t>
      </w:r>
      <w:r>
        <w:rPr>
          <w:rFonts w:hint="eastAsia" w:ascii="宋体" w:hAnsi="宋体" w:cs="宋体"/>
          <w:szCs w:val="21"/>
          <w:highlight w:val="none"/>
          <w:lang w:val="en-US" w:eastAsia="zh-CN"/>
        </w:rPr>
        <w:t>25</w:t>
      </w:r>
      <w:r>
        <w:rPr>
          <w:rFonts w:hint="eastAsia" w:ascii="宋体" w:hAnsi="宋体" w:cs="宋体"/>
          <w:szCs w:val="21"/>
          <w:highlight w:val="none"/>
        </w:rPr>
        <w:t>年</w:t>
      </w:r>
      <w:r>
        <w:rPr>
          <w:rFonts w:hint="eastAsia" w:ascii="宋体" w:hAnsi="宋体" w:cs="宋体"/>
          <w:szCs w:val="21"/>
          <w:highlight w:val="none"/>
          <w:lang w:val="en-US" w:eastAsia="zh-CN"/>
        </w:rPr>
        <w:t>03</w:t>
      </w:r>
      <w:r>
        <w:rPr>
          <w:rFonts w:hint="eastAsia" w:ascii="宋体" w:hAnsi="宋体" w:cs="宋体"/>
          <w:szCs w:val="21"/>
          <w:highlight w:val="none"/>
        </w:rPr>
        <w:t>月</w:t>
      </w:r>
      <w:r>
        <w:rPr>
          <w:rFonts w:hint="eastAsia" w:ascii="宋体" w:hAnsi="宋体" w:cs="宋体"/>
          <w:szCs w:val="21"/>
          <w:highlight w:val="none"/>
          <w:lang w:val="en-US" w:eastAsia="zh-CN"/>
        </w:rPr>
        <w:t>28</w:t>
      </w:r>
      <w:r>
        <w:rPr>
          <w:rFonts w:hint="eastAsia" w:ascii="宋体" w:hAnsi="宋体" w:cs="宋体"/>
          <w:szCs w:val="21"/>
          <w:highlight w:val="none"/>
        </w:rPr>
        <w:t>日至20</w:t>
      </w:r>
      <w:r>
        <w:rPr>
          <w:rFonts w:hint="eastAsia" w:ascii="宋体" w:hAnsi="宋体" w:cs="宋体"/>
          <w:szCs w:val="21"/>
          <w:highlight w:val="none"/>
          <w:lang w:val="en-US" w:eastAsia="zh-CN"/>
        </w:rPr>
        <w:t>25</w:t>
      </w:r>
      <w:r>
        <w:rPr>
          <w:rFonts w:hint="eastAsia" w:ascii="宋体" w:hAnsi="宋体" w:cs="宋体"/>
          <w:szCs w:val="21"/>
          <w:highlight w:val="none"/>
        </w:rPr>
        <w:t>年</w:t>
      </w:r>
      <w:r>
        <w:rPr>
          <w:rFonts w:hint="eastAsia" w:ascii="宋体" w:hAnsi="宋体" w:cs="宋体"/>
          <w:szCs w:val="21"/>
          <w:highlight w:val="none"/>
          <w:lang w:val="en-US" w:eastAsia="zh-CN"/>
        </w:rPr>
        <w:t>04</w:t>
      </w:r>
      <w:r>
        <w:rPr>
          <w:rFonts w:hint="eastAsia" w:ascii="宋体" w:hAnsi="宋体" w:cs="宋体"/>
          <w:szCs w:val="21"/>
          <w:highlight w:val="none"/>
        </w:rPr>
        <w:t>月</w:t>
      </w:r>
      <w:r>
        <w:rPr>
          <w:rFonts w:hint="eastAsia" w:ascii="宋体" w:hAnsi="宋体" w:cs="宋体"/>
          <w:szCs w:val="21"/>
          <w:highlight w:val="none"/>
          <w:lang w:val="en-US" w:eastAsia="zh-CN"/>
        </w:rPr>
        <w:t>02</w:t>
      </w:r>
      <w:r>
        <w:rPr>
          <w:rFonts w:hint="eastAsia" w:ascii="宋体" w:hAnsi="宋体" w:cs="宋体"/>
          <w:szCs w:val="21"/>
          <w:highlight w:val="none"/>
        </w:rPr>
        <w:t>日（北京时间，法定节假日除外）</w:t>
      </w:r>
    </w:p>
    <w:p w14:paraId="7B48BBAB">
      <w:pPr>
        <w:adjustRightInd w:val="0"/>
        <w:snapToGrid w:val="0"/>
        <w:spacing w:line="360" w:lineRule="auto"/>
        <w:ind w:firstLine="420" w:firstLineChars="200"/>
        <w:rPr>
          <w:rFonts w:ascii="宋体" w:hAnsi="宋体" w:cs="宋体"/>
          <w:szCs w:val="21"/>
          <w:highlight w:val="none"/>
          <w:u w:val="single"/>
        </w:rPr>
      </w:pPr>
      <w:r>
        <w:rPr>
          <w:rFonts w:hint="eastAsia" w:ascii="宋体" w:hAnsi="宋体" w:cs="宋体"/>
          <w:szCs w:val="21"/>
          <w:highlight w:val="none"/>
        </w:rPr>
        <w:t>地点：“政采云”平台（https：//www.zcygov.cn）（操作路径：登录“政采云”平台-项目采购-获取采购文件-找到本项目-点击“申请获取采购文件”）。</w:t>
      </w:r>
    </w:p>
    <w:p w14:paraId="7C4B1102">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方式：凡有意参加投标者，须在政采云平台办理数字证书（CA），CA申领链接http：//yzt.ynsmartcert.cn/cms/yztgr.html，数字证书（CA）办理完成后需在政采云平台绑定数字证书（CA）并在平台获取采购文件及其它采购资料。</w:t>
      </w:r>
    </w:p>
    <w:p w14:paraId="61FA228A">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w:t>
      </w:r>
    </w:p>
    <w:p w14:paraId="22459CB2">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（1）如有问题可拨打政采云客户服务热线95763进一咨询，数字证书问题可咨询云南壹证通CA：0871-67276028（紧急可拨19988166369）。</w:t>
      </w:r>
    </w:p>
    <w:p w14:paraId="284F60B9">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如因供应商自身原因导致在规定时间内无法正常解密的（如：浏览器故障、未安装相关驱动、网络故障、加密CA与解密CA不一致等），视为供应商自动弃标，代理机构不予处理。</w:t>
      </w:r>
    </w:p>
    <w:p w14:paraId="424DC145">
      <w:pPr>
        <w:adjustRightInd w:val="0"/>
        <w:snapToGrid w:val="0"/>
        <w:spacing w:line="360" w:lineRule="auto"/>
        <w:ind w:firstLine="420" w:firstLineChars="200"/>
        <w:rPr>
          <w:rFonts w:ascii="宋体" w:hAnsi="宋体" w:cs="宋体"/>
          <w:szCs w:val="21"/>
          <w:highlight w:val="none"/>
          <w:u w:val="single"/>
        </w:rPr>
      </w:pPr>
      <w:r>
        <w:rPr>
          <w:rFonts w:hint="eastAsia" w:ascii="宋体" w:hAnsi="宋体" w:cs="宋体"/>
          <w:szCs w:val="21"/>
          <w:highlight w:val="none"/>
        </w:rPr>
        <w:t>（2）云南本地供应商如之前已在云南CA在线数字证书办理网进行过注册并办理过企业数字证书（CA），直接绑定即可，无需重复办理（2022年1月1日前办理的云南CA需到云南CA办理处进行升级）。</w:t>
      </w:r>
    </w:p>
    <w:p w14:paraId="41E95048">
      <w:pPr>
        <w:pStyle w:val="3"/>
        <w:adjustRightInd w:val="0"/>
        <w:snapToGrid w:val="0"/>
        <w:spacing w:before="0" w:after="0"/>
        <w:jc w:val="left"/>
        <w:rPr>
          <w:rFonts w:ascii="宋体" w:hAnsi="宋体" w:cs="宋体"/>
          <w:bCs w:val="0"/>
          <w:sz w:val="24"/>
          <w:szCs w:val="24"/>
          <w:highlight w:val="none"/>
        </w:rPr>
      </w:pPr>
      <w:bookmarkStart w:id="29" w:name="_Toc28359015"/>
      <w:bookmarkStart w:id="30" w:name="_Toc28359092"/>
      <w:bookmarkStart w:id="31" w:name="_Toc5796"/>
      <w:bookmarkStart w:id="32" w:name="_Toc35393801"/>
      <w:bookmarkStart w:id="33" w:name="_Toc14062"/>
      <w:bookmarkStart w:id="34" w:name="_Toc35393632"/>
      <w:r>
        <w:rPr>
          <w:rFonts w:hint="eastAsia" w:ascii="宋体" w:hAnsi="宋体" w:cs="宋体"/>
          <w:bCs w:val="0"/>
          <w:sz w:val="24"/>
          <w:szCs w:val="24"/>
          <w:highlight w:val="none"/>
        </w:rPr>
        <w:t>四、响应文件提交</w:t>
      </w:r>
      <w:bookmarkEnd w:id="29"/>
      <w:bookmarkEnd w:id="30"/>
      <w:bookmarkEnd w:id="31"/>
      <w:bookmarkEnd w:id="32"/>
      <w:bookmarkEnd w:id="33"/>
      <w:bookmarkEnd w:id="34"/>
    </w:p>
    <w:p w14:paraId="5B0322D5">
      <w:pPr>
        <w:adjustRightInd w:val="0"/>
        <w:snapToGrid w:val="0"/>
        <w:spacing w:line="360" w:lineRule="auto"/>
        <w:ind w:firstLine="420" w:firstLineChars="200"/>
        <w:rPr>
          <w:rFonts w:ascii="宋体" w:hAnsi="宋体" w:cs="宋体"/>
          <w:bCs/>
          <w:szCs w:val="21"/>
          <w:highlight w:val="none"/>
        </w:rPr>
      </w:pPr>
      <w:r>
        <w:rPr>
          <w:rFonts w:hint="eastAsia" w:ascii="宋体" w:hAnsi="宋体" w:cs="宋体"/>
          <w:szCs w:val="21"/>
          <w:highlight w:val="none"/>
        </w:rPr>
        <w:t>截止时间：2025</w:t>
      </w:r>
      <w:r>
        <w:rPr>
          <w:rFonts w:hint="eastAsia" w:ascii="宋体" w:hAnsi="宋体" w:cs="宋体"/>
          <w:bCs/>
          <w:szCs w:val="21"/>
          <w:highlight w:val="none"/>
        </w:rPr>
        <w:t>年</w:t>
      </w:r>
      <w:r>
        <w:rPr>
          <w:rFonts w:hint="eastAsia" w:ascii="宋体" w:hAnsi="宋体" w:cs="宋体"/>
          <w:bCs/>
          <w:szCs w:val="21"/>
          <w:highlight w:val="none"/>
          <w:lang w:val="en-US" w:eastAsia="zh-CN"/>
        </w:rPr>
        <w:t>04</w:t>
      </w:r>
      <w:r>
        <w:rPr>
          <w:rFonts w:hint="eastAsia" w:ascii="宋体" w:hAnsi="宋体" w:cs="宋体"/>
          <w:bCs/>
          <w:szCs w:val="21"/>
          <w:highlight w:val="none"/>
        </w:rPr>
        <w:t>月</w:t>
      </w:r>
      <w:r>
        <w:rPr>
          <w:rFonts w:hint="eastAsia" w:ascii="宋体" w:hAnsi="宋体" w:cs="宋体"/>
          <w:bCs/>
          <w:szCs w:val="21"/>
          <w:highlight w:val="none"/>
          <w:lang w:val="en-US" w:eastAsia="zh-CN"/>
        </w:rPr>
        <w:t>03</w:t>
      </w:r>
      <w:r>
        <w:rPr>
          <w:rFonts w:hint="eastAsia" w:ascii="宋体" w:hAnsi="宋体" w:cs="宋体"/>
          <w:bCs/>
          <w:szCs w:val="21"/>
          <w:highlight w:val="none"/>
        </w:rPr>
        <w:t>日</w:t>
      </w:r>
      <w:r>
        <w:rPr>
          <w:rFonts w:hint="eastAsia" w:ascii="宋体" w:hAnsi="宋体" w:cs="宋体"/>
          <w:bCs/>
          <w:szCs w:val="21"/>
          <w:highlight w:val="none"/>
          <w:lang w:val="en-US" w:eastAsia="zh-CN"/>
        </w:rPr>
        <w:t>15</w:t>
      </w:r>
      <w:r>
        <w:rPr>
          <w:rFonts w:hint="eastAsia" w:ascii="宋体" w:hAnsi="宋体" w:cs="宋体"/>
          <w:bCs/>
          <w:szCs w:val="21"/>
          <w:highlight w:val="none"/>
        </w:rPr>
        <w:t>点</w:t>
      </w:r>
      <w:r>
        <w:rPr>
          <w:rFonts w:hint="eastAsia" w:ascii="宋体" w:hAnsi="宋体" w:cs="宋体"/>
          <w:bCs/>
          <w:szCs w:val="21"/>
          <w:highlight w:val="none"/>
          <w:lang w:val="en-US" w:eastAsia="zh-CN"/>
        </w:rPr>
        <w:t>30</w:t>
      </w:r>
      <w:r>
        <w:rPr>
          <w:rFonts w:hint="eastAsia" w:ascii="宋体" w:hAnsi="宋体" w:cs="宋体"/>
          <w:bCs/>
          <w:szCs w:val="21"/>
          <w:highlight w:val="none"/>
        </w:rPr>
        <w:t>分（北京时间）。</w:t>
      </w:r>
    </w:p>
    <w:p w14:paraId="7B48B45A">
      <w:pPr>
        <w:adjustRightInd w:val="0"/>
        <w:snapToGrid w:val="0"/>
        <w:spacing w:line="360" w:lineRule="auto"/>
        <w:ind w:firstLine="420" w:firstLineChars="200"/>
        <w:rPr>
          <w:rFonts w:ascii="宋体" w:hAnsi="宋体" w:cs="宋体"/>
          <w:highlight w:val="none"/>
        </w:rPr>
      </w:pPr>
      <w:r>
        <w:rPr>
          <w:rFonts w:hint="eastAsia" w:ascii="宋体" w:hAnsi="宋体" w:cs="宋体"/>
          <w:szCs w:val="21"/>
          <w:highlight w:val="none"/>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06BB979A">
      <w:pPr>
        <w:pStyle w:val="3"/>
        <w:adjustRightInd w:val="0"/>
        <w:snapToGrid w:val="0"/>
        <w:spacing w:before="0" w:after="0"/>
        <w:jc w:val="left"/>
        <w:rPr>
          <w:rFonts w:ascii="宋体" w:hAnsi="宋体" w:cs="宋体"/>
          <w:bCs w:val="0"/>
          <w:sz w:val="24"/>
          <w:szCs w:val="24"/>
          <w:highlight w:val="none"/>
        </w:rPr>
      </w:pPr>
      <w:bookmarkStart w:id="35" w:name="_Toc27403"/>
      <w:bookmarkStart w:id="36" w:name="_Toc28359016"/>
      <w:bookmarkStart w:id="37" w:name="_Toc28359093"/>
      <w:bookmarkStart w:id="38" w:name="_Toc35393802"/>
      <w:bookmarkStart w:id="39" w:name="_Toc35393633"/>
      <w:bookmarkStart w:id="40" w:name="_Toc22563"/>
      <w:r>
        <w:rPr>
          <w:rFonts w:hint="eastAsia" w:ascii="宋体" w:hAnsi="宋体" w:cs="宋体"/>
          <w:bCs w:val="0"/>
          <w:sz w:val="24"/>
          <w:szCs w:val="24"/>
          <w:highlight w:val="none"/>
        </w:rPr>
        <w:t>五、开启</w:t>
      </w:r>
      <w:bookmarkEnd w:id="35"/>
      <w:bookmarkEnd w:id="36"/>
      <w:bookmarkEnd w:id="37"/>
      <w:bookmarkEnd w:id="38"/>
      <w:bookmarkEnd w:id="39"/>
      <w:bookmarkEnd w:id="40"/>
    </w:p>
    <w:p w14:paraId="76D74B6C">
      <w:pPr>
        <w:adjustRightInd w:val="0"/>
        <w:snapToGrid w:val="0"/>
        <w:spacing w:line="360" w:lineRule="auto"/>
        <w:ind w:firstLine="420" w:firstLineChars="200"/>
        <w:rPr>
          <w:rFonts w:ascii="宋体" w:hAnsi="宋体" w:cs="宋体"/>
          <w:bCs/>
          <w:szCs w:val="21"/>
          <w:highlight w:val="none"/>
          <w:u w:val="single"/>
        </w:rPr>
      </w:pPr>
      <w:r>
        <w:rPr>
          <w:rFonts w:hint="eastAsia" w:ascii="宋体" w:hAnsi="宋体" w:cs="宋体"/>
          <w:szCs w:val="21"/>
          <w:highlight w:val="none"/>
        </w:rPr>
        <w:t>时间：2025</w:t>
      </w:r>
      <w:r>
        <w:rPr>
          <w:rFonts w:hint="eastAsia" w:ascii="宋体" w:hAnsi="宋体" w:cs="宋体"/>
          <w:bCs/>
          <w:szCs w:val="21"/>
          <w:highlight w:val="none"/>
        </w:rPr>
        <w:t>年</w:t>
      </w:r>
      <w:r>
        <w:rPr>
          <w:rFonts w:hint="eastAsia" w:ascii="宋体" w:hAnsi="宋体" w:cs="宋体"/>
          <w:bCs/>
          <w:szCs w:val="21"/>
          <w:highlight w:val="none"/>
          <w:lang w:val="en-US" w:eastAsia="zh-CN"/>
        </w:rPr>
        <w:t>04</w:t>
      </w:r>
      <w:r>
        <w:rPr>
          <w:rFonts w:hint="eastAsia" w:ascii="宋体" w:hAnsi="宋体" w:cs="宋体"/>
          <w:bCs/>
          <w:szCs w:val="21"/>
          <w:highlight w:val="none"/>
        </w:rPr>
        <w:t>月</w:t>
      </w:r>
      <w:r>
        <w:rPr>
          <w:rFonts w:hint="eastAsia" w:ascii="宋体" w:hAnsi="宋体" w:cs="宋体"/>
          <w:bCs/>
          <w:szCs w:val="21"/>
          <w:highlight w:val="none"/>
          <w:lang w:val="en-US" w:eastAsia="zh-CN"/>
        </w:rPr>
        <w:t>03</w:t>
      </w:r>
      <w:r>
        <w:rPr>
          <w:rFonts w:hint="eastAsia" w:ascii="宋体" w:hAnsi="宋体" w:cs="宋体"/>
          <w:bCs/>
          <w:szCs w:val="21"/>
          <w:highlight w:val="none"/>
        </w:rPr>
        <w:t>日</w:t>
      </w:r>
      <w:r>
        <w:rPr>
          <w:rFonts w:hint="eastAsia" w:ascii="宋体" w:hAnsi="宋体" w:cs="宋体"/>
          <w:bCs/>
          <w:szCs w:val="21"/>
          <w:highlight w:val="none"/>
          <w:lang w:val="en-US" w:eastAsia="zh-CN"/>
        </w:rPr>
        <w:t>15</w:t>
      </w:r>
      <w:r>
        <w:rPr>
          <w:rFonts w:hint="eastAsia" w:ascii="宋体" w:hAnsi="宋体" w:cs="宋体"/>
          <w:bCs/>
          <w:szCs w:val="21"/>
          <w:highlight w:val="none"/>
        </w:rPr>
        <w:t>点</w:t>
      </w:r>
      <w:r>
        <w:rPr>
          <w:rFonts w:hint="eastAsia" w:ascii="宋体" w:hAnsi="宋体" w:cs="宋体"/>
          <w:bCs/>
          <w:szCs w:val="21"/>
          <w:highlight w:val="none"/>
          <w:lang w:val="en-US" w:eastAsia="zh-CN"/>
        </w:rPr>
        <w:t>30</w:t>
      </w:r>
      <w:r>
        <w:rPr>
          <w:rFonts w:hint="eastAsia" w:ascii="宋体" w:hAnsi="宋体" w:cs="宋体"/>
          <w:bCs/>
          <w:szCs w:val="21"/>
          <w:highlight w:val="none"/>
        </w:rPr>
        <w:t>分（北京时间）。</w:t>
      </w:r>
    </w:p>
    <w:p w14:paraId="6259AEA2">
      <w:pPr>
        <w:adjustRightInd w:val="0"/>
        <w:snapToGrid w:val="0"/>
        <w:spacing w:line="360" w:lineRule="auto"/>
        <w:ind w:firstLine="420" w:firstLineChars="200"/>
        <w:rPr>
          <w:rFonts w:ascii="宋体" w:hAnsi="宋体" w:cs="宋体"/>
          <w:bCs/>
          <w:szCs w:val="21"/>
          <w:highlight w:val="none"/>
          <w:u w:val="single"/>
        </w:rPr>
      </w:pPr>
      <w:r>
        <w:rPr>
          <w:rFonts w:hint="eastAsia" w:ascii="宋体" w:hAnsi="宋体" w:cs="宋体"/>
          <w:szCs w:val="21"/>
          <w:highlight w:val="none"/>
        </w:rPr>
        <w:t>地点：</w:t>
      </w:r>
      <w:r>
        <w:rPr>
          <w:rFonts w:hint="eastAsia" w:ascii="宋体" w:hAnsi="宋体" w:cs="宋体"/>
          <w:kern w:val="0"/>
          <w:szCs w:val="21"/>
          <w:highlight w:val="none"/>
        </w:rPr>
        <w:t>云南冠睿咨询有限公司评标</w:t>
      </w:r>
      <w:r>
        <w:rPr>
          <w:rFonts w:hint="eastAsia" w:ascii="宋体" w:hAnsi="宋体" w:cs="宋体"/>
          <w:kern w:val="0"/>
          <w:szCs w:val="21"/>
          <w:highlight w:val="none"/>
          <w:lang w:val="en-US" w:eastAsia="zh-CN"/>
        </w:rPr>
        <w:t>四</w:t>
      </w:r>
      <w:r>
        <w:rPr>
          <w:rFonts w:hint="eastAsia" w:ascii="宋体" w:hAnsi="宋体" w:cs="宋体"/>
          <w:kern w:val="0"/>
          <w:szCs w:val="21"/>
          <w:highlight w:val="none"/>
        </w:rPr>
        <w:t>厅（云南省昆明市西山区万达广场南塔33层3310号），供应商无需到达</w:t>
      </w:r>
      <w:r>
        <w:rPr>
          <w:rFonts w:hint="eastAsia" w:ascii="宋体" w:hAnsi="宋体" w:cs="宋体"/>
          <w:szCs w:val="21"/>
          <w:highlight w:val="none"/>
        </w:rPr>
        <w:t>开标地点</w:t>
      </w:r>
      <w:r>
        <w:rPr>
          <w:rFonts w:hint="eastAsia" w:ascii="宋体" w:hAnsi="宋体" w:cs="宋体"/>
          <w:kern w:val="0"/>
          <w:szCs w:val="21"/>
          <w:highlight w:val="none"/>
        </w:rPr>
        <w:t>，须在“政采云”平台进行远程解密电子版响应文件</w:t>
      </w:r>
      <w:r>
        <w:rPr>
          <w:rFonts w:hint="eastAsia" w:ascii="宋体" w:hAnsi="宋体" w:cs="宋体"/>
          <w:szCs w:val="21"/>
          <w:highlight w:val="none"/>
        </w:rPr>
        <w:t>。</w:t>
      </w:r>
    </w:p>
    <w:p w14:paraId="58A6BF32">
      <w:pPr>
        <w:pStyle w:val="3"/>
        <w:adjustRightInd w:val="0"/>
        <w:snapToGrid w:val="0"/>
        <w:spacing w:before="0" w:after="0"/>
        <w:jc w:val="left"/>
        <w:rPr>
          <w:rFonts w:ascii="宋体" w:hAnsi="宋体" w:cs="宋体"/>
          <w:bCs w:val="0"/>
          <w:sz w:val="24"/>
          <w:szCs w:val="24"/>
          <w:highlight w:val="none"/>
        </w:rPr>
      </w:pPr>
      <w:bookmarkStart w:id="41" w:name="_Toc28455"/>
      <w:bookmarkStart w:id="42" w:name="_Toc28359017"/>
      <w:bookmarkStart w:id="43" w:name="_Toc28359094"/>
      <w:bookmarkStart w:id="44" w:name="_Toc35393634"/>
      <w:bookmarkStart w:id="45" w:name="_Toc35393803"/>
      <w:bookmarkStart w:id="46" w:name="_Toc14330"/>
      <w:r>
        <w:rPr>
          <w:rFonts w:hint="eastAsia" w:ascii="宋体" w:hAnsi="宋体" w:cs="宋体"/>
          <w:bCs w:val="0"/>
          <w:sz w:val="24"/>
          <w:szCs w:val="24"/>
          <w:highlight w:val="none"/>
        </w:rPr>
        <w:t>六、公告期限</w:t>
      </w:r>
      <w:bookmarkEnd w:id="41"/>
      <w:bookmarkEnd w:id="42"/>
      <w:bookmarkEnd w:id="43"/>
      <w:bookmarkEnd w:id="44"/>
      <w:bookmarkEnd w:id="45"/>
      <w:bookmarkEnd w:id="46"/>
    </w:p>
    <w:p w14:paraId="1A049796">
      <w:pPr>
        <w:adjustRightInd w:val="0"/>
        <w:snapToGrid w:val="0"/>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自本公告发布之日起3个工作日。</w:t>
      </w:r>
    </w:p>
    <w:p w14:paraId="247241BC">
      <w:pPr>
        <w:pStyle w:val="3"/>
        <w:adjustRightInd w:val="0"/>
        <w:snapToGrid w:val="0"/>
        <w:spacing w:before="0" w:after="0"/>
        <w:jc w:val="left"/>
        <w:rPr>
          <w:rFonts w:ascii="宋体" w:hAnsi="宋体" w:cs="宋体"/>
          <w:bCs w:val="0"/>
          <w:sz w:val="24"/>
          <w:szCs w:val="24"/>
          <w:highlight w:val="none"/>
        </w:rPr>
      </w:pPr>
      <w:bookmarkStart w:id="47" w:name="_Toc35393804"/>
      <w:bookmarkStart w:id="48" w:name="_Toc20625"/>
      <w:bookmarkStart w:id="49" w:name="_Toc22465"/>
      <w:bookmarkStart w:id="50" w:name="_Toc35393635"/>
      <w:r>
        <w:rPr>
          <w:rFonts w:hint="eastAsia" w:ascii="宋体" w:hAnsi="宋体" w:cs="宋体"/>
          <w:bCs w:val="0"/>
          <w:sz w:val="24"/>
          <w:szCs w:val="24"/>
          <w:highlight w:val="none"/>
        </w:rPr>
        <w:t>七、其他补充事宜</w:t>
      </w:r>
      <w:bookmarkEnd w:id="47"/>
      <w:bookmarkEnd w:id="48"/>
      <w:bookmarkEnd w:id="49"/>
      <w:bookmarkEnd w:id="50"/>
    </w:p>
    <w:p w14:paraId="74176D9A">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1.本次竞争性谈判公告在《云南省政府采购网》上发布。</w:t>
      </w:r>
    </w:p>
    <w:p w14:paraId="16004DEB">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采购项目需要落实的政府采购政策：节能产品、环境标志产品、促进中小企业发展、促进残疾人就业、支持监狱企业发展、政府采购活动中查询及使用信用记录等，政府采购政策具体落实情况详见本项目竞争性谈判文件。</w:t>
      </w:r>
    </w:p>
    <w:p w14:paraId="7E5C2DBC">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3.账户信息：</w:t>
      </w:r>
    </w:p>
    <w:p w14:paraId="1EE6F74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开户名称：云南冠睿咨询有限公司</w:t>
      </w:r>
    </w:p>
    <w:p w14:paraId="2BEDCB44">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开户银行：中国民生银行股份有限公司昆明拓东路支行</w:t>
      </w:r>
    </w:p>
    <w:p w14:paraId="15F7532A">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账号：636611192</w:t>
      </w:r>
    </w:p>
    <w:p w14:paraId="1A1DE85D">
      <w:pPr>
        <w:pStyle w:val="3"/>
        <w:adjustRightInd w:val="0"/>
        <w:snapToGrid w:val="0"/>
        <w:spacing w:before="0" w:after="0"/>
        <w:jc w:val="left"/>
        <w:rPr>
          <w:rFonts w:ascii="宋体" w:hAnsi="宋体" w:cs="宋体"/>
          <w:bCs w:val="0"/>
          <w:sz w:val="24"/>
          <w:szCs w:val="24"/>
          <w:highlight w:val="none"/>
        </w:rPr>
      </w:pPr>
      <w:bookmarkStart w:id="51" w:name="_Toc23928"/>
      <w:bookmarkStart w:id="52" w:name="_Toc28359018"/>
      <w:bookmarkStart w:id="53" w:name="_Toc35393636"/>
      <w:bookmarkStart w:id="54" w:name="_Toc35393805"/>
      <w:bookmarkStart w:id="55" w:name="_Toc19977"/>
      <w:bookmarkStart w:id="56" w:name="_Toc28359095"/>
      <w:r>
        <w:rPr>
          <w:rFonts w:hint="eastAsia" w:ascii="宋体" w:hAnsi="宋体" w:cs="宋体"/>
          <w:bCs w:val="0"/>
          <w:sz w:val="24"/>
          <w:szCs w:val="24"/>
          <w:highlight w:val="none"/>
        </w:rPr>
        <w:t>八、凡对本次采购提出询问，请按以下方式联系。</w:t>
      </w:r>
      <w:bookmarkEnd w:id="51"/>
      <w:bookmarkEnd w:id="52"/>
      <w:bookmarkEnd w:id="53"/>
      <w:bookmarkEnd w:id="54"/>
      <w:bookmarkEnd w:id="55"/>
      <w:bookmarkEnd w:id="56"/>
    </w:p>
    <w:p w14:paraId="122F0473">
      <w:pPr>
        <w:adjustRightInd w:val="0"/>
        <w:snapToGrid w:val="0"/>
        <w:spacing w:line="360" w:lineRule="auto"/>
        <w:ind w:firstLine="420" w:firstLineChars="200"/>
        <w:rPr>
          <w:rFonts w:ascii="宋体" w:hAnsi="宋体" w:cs="宋体"/>
          <w:szCs w:val="21"/>
          <w:highlight w:val="none"/>
        </w:rPr>
      </w:pPr>
      <w:bookmarkStart w:id="57" w:name="_Toc35393806"/>
      <w:bookmarkStart w:id="58" w:name="_Toc35393637"/>
      <w:bookmarkStart w:id="59" w:name="_Toc28359096"/>
      <w:bookmarkStart w:id="60" w:name="_Toc28359019"/>
      <w:r>
        <w:rPr>
          <w:rFonts w:hint="eastAsia" w:ascii="宋体" w:hAnsi="宋体" w:cs="宋体"/>
          <w:szCs w:val="21"/>
          <w:highlight w:val="none"/>
        </w:rPr>
        <w:t>1.采购人信息</w:t>
      </w:r>
      <w:bookmarkEnd w:id="57"/>
      <w:bookmarkEnd w:id="58"/>
      <w:bookmarkEnd w:id="59"/>
      <w:bookmarkEnd w:id="60"/>
    </w:p>
    <w:p w14:paraId="77972F11">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名称：云南大学</w:t>
      </w:r>
    </w:p>
    <w:p w14:paraId="5F73B93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地址：云南省昆明市呈贡区雨苍西路</w:t>
      </w:r>
    </w:p>
    <w:p w14:paraId="5F78AFE6">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联系人：刘老师</w:t>
      </w:r>
    </w:p>
    <w:p w14:paraId="4852F2B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联系电话：0871-65032850</w:t>
      </w:r>
    </w:p>
    <w:p w14:paraId="07C762A6">
      <w:pPr>
        <w:adjustRightInd w:val="0"/>
        <w:snapToGrid w:val="0"/>
        <w:spacing w:line="360" w:lineRule="auto"/>
        <w:ind w:firstLine="420" w:firstLineChars="200"/>
        <w:rPr>
          <w:rFonts w:ascii="宋体" w:hAnsi="宋体" w:cs="宋体"/>
          <w:szCs w:val="21"/>
          <w:highlight w:val="none"/>
        </w:rPr>
      </w:pPr>
      <w:bookmarkStart w:id="61" w:name="_Toc35393807"/>
      <w:bookmarkStart w:id="62" w:name="_Toc35393638"/>
      <w:bookmarkStart w:id="63" w:name="_Toc28359020"/>
      <w:bookmarkStart w:id="64" w:name="_Toc28359097"/>
    </w:p>
    <w:p w14:paraId="424A40E9">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2.采购代理机构信息</w:t>
      </w:r>
      <w:bookmarkEnd w:id="61"/>
      <w:bookmarkEnd w:id="62"/>
      <w:bookmarkEnd w:id="63"/>
      <w:bookmarkEnd w:id="64"/>
    </w:p>
    <w:p w14:paraId="2BCFBBC4">
      <w:pPr>
        <w:adjustRightInd w:val="0"/>
        <w:snapToGrid w:val="0"/>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名称：云南冠睿咨询有限公司</w:t>
      </w:r>
    </w:p>
    <w:p w14:paraId="44F3EB96">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地址：云南省昆明市西山区万达广场南塔32层3201号、33层3310号</w:t>
      </w:r>
    </w:p>
    <w:p w14:paraId="67F94819">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联系方式：0871-65511240、65511241</w:t>
      </w:r>
    </w:p>
    <w:p w14:paraId="0D70B0EA">
      <w:pPr>
        <w:adjustRightInd w:val="0"/>
        <w:snapToGrid w:val="0"/>
        <w:spacing w:line="360" w:lineRule="auto"/>
        <w:ind w:firstLine="420" w:firstLineChars="200"/>
        <w:rPr>
          <w:rFonts w:ascii="宋体" w:hAnsi="宋体" w:cs="宋体"/>
          <w:szCs w:val="21"/>
          <w:highlight w:val="none"/>
        </w:rPr>
      </w:pPr>
      <w:r>
        <w:rPr>
          <w:rFonts w:hint="eastAsia" w:ascii="宋体" w:hAnsi="宋体" w:cs="宋体"/>
          <w:kern w:val="0"/>
          <w:szCs w:val="21"/>
          <w:highlight w:val="none"/>
        </w:rPr>
        <w:t>电子邮箱：yngrzx@126.com</w:t>
      </w:r>
    </w:p>
    <w:p w14:paraId="32C10464">
      <w:pPr>
        <w:adjustRightInd w:val="0"/>
        <w:snapToGrid w:val="0"/>
        <w:spacing w:line="360" w:lineRule="auto"/>
        <w:ind w:firstLine="420" w:firstLineChars="200"/>
        <w:rPr>
          <w:rFonts w:ascii="宋体" w:hAnsi="宋体" w:cs="宋体"/>
          <w:szCs w:val="21"/>
          <w:highlight w:val="none"/>
        </w:rPr>
      </w:pPr>
      <w:bookmarkStart w:id="65" w:name="_Toc35393639"/>
      <w:bookmarkStart w:id="66" w:name="_Toc35393808"/>
      <w:bookmarkStart w:id="67" w:name="_Toc28359021"/>
      <w:bookmarkStart w:id="68" w:name="_Toc28359098"/>
    </w:p>
    <w:p w14:paraId="6A432FD0">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3.项目联系方式</w:t>
      </w:r>
      <w:bookmarkEnd w:id="65"/>
      <w:bookmarkEnd w:id="66"/>
      <w:bookmarkEnd w:id="67"/>
      <w:bookmarkEnd w:id="68"/>
    </w:p>
    <w:p w14:paraId="38EFA371">
      <w:pPr>
        <w:adjustRightInd w:val="0"/>
        <w:snapToGrid w:val="0"/>
        <w:spacing w:line="360" w:lineRule="auto"/>
        <w:ind w:firstLine="420" w:firstLineChars="200"/>
        <w:rPr>
          <w:rFonts w:ascii="宋体" w:hAnsi="宋体" w:cs="宋体"/>
          <w:snapToGrid w:val="0"/>
          <w:kern w:val="21"/>
          <w:szCs w:val="21"/>
          <w:highlight w:val="none"/>
        </w:rPr>
      </w:pPr>
      <w:r>
        <w:rPr>
          <w:rFonts w:hint="eastAsia" w:ascii="宋体" w:hAnsi="宋体" w:cs="宋体"/>
          <w:szCs w:val="21"/>
          <w:highlight w:val="none"/>
        </w:rPr>
        <w:t>项目联系人：</w:t>
      </w:r>
      <w:r>
        <w:rPr>
          <w:rFonts w:hint="eastAsia" w:ascii="宋体" w:hAnsi="宋体" w:cs="宋体"/>
          <w:snapToGrid w:val="0"/>
          <w:kern w:val="21"/>
          <w:szCs w:val="21"/>
          <w:highlight w:val="none"/>
        </w:rPr>
        <w:t>邓楚卿、汪怡含、蒋兴杰、王国玺、吴翊、祝欣、李腾芳、陈沿锦、王彦飞、刘晓云、张振荣、丁传觐、杨益鑫、肖枝莲、戚玮薇</w:t>
      </w:r>
    </w:p>
    <w:p w14:paraId="66B39FBE">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地址：云南省昆明市西山区万达广场南塔32层3201号、33层3310号</w:t>
      </w:r>
    </w:p>
    <w:p w14:paraId="3F50BB79">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联系方式：0871-65511240、65511241</w:t>
      </w:r>
    </w:p>
    <w:p w14:paraId="1E7FD557">
      <w:pPr>
        <w:adjustRightInd w:val="0"/>
        <w:snapToGrid w:val="0"/>
        <w:spacing w:line="360" w:lineRule="auto"/>
        <w:ind w:firstLine="420" w:firstLineChars="200"/>
        <w:rPr>
          <w:rFonts w:ascii="宋体" w:hAnsi="宋体" w:cs="宋体"/>
          <w:szCs w:val="21"/>
          <w:highlight w:val="none"/>
        </w:rPr>
      </w:pPr>
    </w:p>
    <w:bookmarkEnd w:id="1"/>
    <w:bookmarkEnd w:id="2"/>
    <w:bookmarkEnd w:id="3"/>
    <w:bookmarkEnd w:id="4"/>
    <w:bookmarkEnd w:id="5"/>
    <w:bookmarkEnd w:id="6"/>
    <w:bookmarkEnd w:id="7"/>
    <w:bookmarkEnd w:id="8"/>
    <w:bookmarkEnd w:id="9"/>
    <w:bookmarkEnd w:id="10"/>
    <w:bookmarkEnd w:id="17"/>
    <w:bookmarkEnd w:id="18"/>
    <w:p w14:paraId="29043551">
      <w:pPr>
        <w:adjustRightInd w:val="0"/>
        <w:snapToGrid w:val="0"/>
        <w:spacing w:line="360" w:lineRule="auto"/>
        <w:ind w:firstLine="640"/>
        <w:rPr>
          <w:rFonts w:ascii="宋体" w:hAnsi="宋体" w:cs="宋体"/>
          <w:sz w:val="32"/>
          <w:highlight w:val="none"/>
        </w:rPr>
      </w:pPr>
      <w:r>
        <w:rPr>
          <w:rFonts w:hint="eastAsia" w:ascii="宋体" w:hAnsi="宋体" w:cs="宋体"/>
          <w:sz w:val="32"/>
          <w:highlight w:val="none"/>
        </w:rPr>
        <w:br w:type="page"/>
      </w:r>
    </w:p>
    <w:p w14:paraId="3104234C">
      <w:pPr>
        <w:pStyle w:val="2"/>
        <w:pageBreakBefore w:val="0"/>
        <w:widowControl w:val="0"/>
        <w:kinsoku/>
        <w:wordWrap/>
        <w:overflowPunct/>
        <w:topLinePunct w:val="0"/>
        <w:bidi w:val="0"/>
        <w:adjustRightInd w:val="0"/>
        <w:snapToGrid w:val="0"/>
        <w:spacing w:line="372" w:lineRule="auto"/>
        <w:ind w:firstLine="0"/>
        <w:jc w:val="center"/>
        <w:textAlignment w:val="auto"/>
        <w:rPr>
          <w:rFonts w:ascii="宋体" w:hAnsi="宋体" w:eastAsia="宋体" w:cs="宋体"/>
          <w:color w:val="auto"/>
          <w:sz w:val="32"/>
          <w:highlight w:val="none"/>
        </w:rPr>
      </w:pPr>
      <w:bookmarkStart w:id="69" w:name="_Toc28590"/>
      <w:r>
        <w:rPr>
          <w:rFonts w:hint="eastAsia" w:ascii="宋体" w:hAnsi="宋体" w:eastAsia="宋体" w:cs="宋体"/>
          <w:color w:val="auto"/>
          <w:sz w:val="32"/>
          <w:highlight w:val="none"/>
        </w:rPr>
        <w:t>第二章  供应商须知</w:t>
      </w:r>
      <w:bookmarkEnd w:id="69"/>
    </w:p>
    <w:p w14:paraId="70A7D5BB">
      <w:pPr>
        <w:pStyle w:val="3"/>
        <w:pageBreakBefore w:val="0"/>
        <w:widowControl w:val="0"/>
        <w:kinsoku/>
        <w:wordWrap/>
        <w:overflowPunct/>
        <w:topLinePunct w:val="0"/>
        <w:bidi w:val="0"/>
        <w:adjustRightInd w:val="0"/>
        <w:snapToGrid w:val="0"/>
        <w:spacing w:before="0" w:after="0" w:line="372" w:lineRule="auto"/>
        <w:ind w:firstLine="0"/>
        <w:textAlignment w:val="auto"/>
        <w:rPr>
          <w:rFonts w:ascii="宋体" w:hAnsi="宋体" w:cs="宋体"/>
          <w:szCs w:val="28"/>
          <w:highlight w:val="none"/>
        </w:rPr>
      </w:pPr>
      <w:bookmarkStart w:id="70" w:name="_Toc32516"/>
      <w:bookmarkStart w:id="71" w:name="_Toc491307461"/>
      <w:bookmarkStart w:id="72" w:name="_Toc86124039"/>
      <w:r>
        <w:rPr>
          <w:rFonts w:hint="eastAsia" w:ascii="宋体" w:hAnsi="宋体" w:cs="宋体"/>
          <w:szCs w:val="28"/>
          <w:highlight w:val="none"/>
        </w:rPr>
        <w:t>供应商须知前附表</w:t>
      </w:r>
      <w:bookmarkEnd w:id="70"/>
      <w:bookmarkEnd w:id="71"/>
    </w:p>
    <w:tbl>
      <w:tblPr>
        <w:tblStyle w:val="38"/>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0"/>
        <w:gridCol w:w="2106"/>
        <w:gridCol w:w="5577"/>
      </w:tblGrid>
      <w:tr w14:paraId="664C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730" w:type="dxa"/>
            <w:vAlign w:val="center"/>
          </w:tcPr>
          <w:p w14:paraId="722D1CC4">
            <w:pPr>
              <w:pageBreakBefore w:val="0"/>
              <w:widowControl w:val="0"/>
              <w:kinsoku/>
              <w:wordWrap/>
              <w:overflowPunct/>
              <w:topLinePunct w:val="0"/>
              <w:bidi w:val="0"/>
              <w:adjustRightInd w:val="0"/>
              <w:snapToGrid w:val="0"/>
              <w:spacing w:line="372" w:lineRule="auto"/>
              <w:ind w:firstLine="0"/>
              <w:jc w:val="center"/>
              <w:textAlignment w:val="auto"/>
              <w:rPr>
                <w:rFonts w:ascii="宋体" w:hAnsi="宋体" w:cs="宋体"/>
                <w:szCs w:val="21"/>
                <w:highlight w:val="none"/>
              </w:rPr>
            </w:pPr>
            <w:r>
              <w:rPr>
                <w:rFonts w:hint="eastAsia" w:ascii="宋体" w:hAnsi="宋体" w:cs="宋体"/>
                <w:szCs w:val="21"/>
                <w:highlight w:val="none"/>
              </w:rPr>
              <w:t>序号</w:t>
            </w:r>
          </w:p>
        </w:tc>
        <w:tc>
          <w:tcPr>
            <w:tcW w:w="2106" w:type="dxa"/>
            <w:vAlign w:val="center"/>
          </w:tcPr>
          <w:p w14:paraId="4C557B82">
            <w:pPr>
              <w:pageBreakBefore w:val="0"/>
              <w:widowControl w:val="0"/>
              <w:kinsoku/>
              <w:wordWrap/>
              <w:overflowPunct/>
              <w:topLinePunct w:val="0"/>
              <w:bidi w:val="0"/>
              <w:adjustRightInd w:val="0"/>
              <w:snapToGrid w:val="0"/>
              <w:spacing w:line="372" w:lineRule="auto"/>
              <w:ind w:firstLine="0"/>
              <w:jc w:val="center"/>
              <w:textAlignment w:val="auto"/>
              <w:rPr>
                <w:rFonts w:ascii="宋体" w:hAnsi="宋体" w:cs="宋体"/>
                <w:szCs w:val="21"/>
                <w:highlight w:val="none"/>
              </w:rPr>
            </w:pPr>
            <w:r>
              <w:rPr>
                <w:rFonts w:hint="eastAsia" w:ascii="宋体" w:hAnsi="宋体" w:cs="宋体"/>
                <w:szCs w:val="21"/>
                <w:highlight w:val="none"/>
              </w:rPr>
              <w:t>名称</w:t>
            </w:r>
          </w:p>
        </w:tc>
        <w:tc>
          <w:tcPr>
            <w:tcW w:w="5577" w:type="dxa"/>
            <w:vAlign w:val="center"/>
          </w:tcPr>
          <w:p w14:paraId="1BCC848C">
            <w:pPr>
              <w:pageBreakBefore w:val="0"/>
              <w:widowControl w:val="0"/>
              <w:kinsoku/>
              <w:wordWrap/>
              <w:overflowPunct/>
              <w:topLinePunct w:val="0"/>
              <w:bidi w:val="0"/>
              <w:adjustRightInd w:val="0"/>
              <w:snapToGrid w:val="0"/>
              <w:spacing w:line="372" w:lineRule="auto"/>
              <w:ind w:firstLine="0"/>
              <w:jc w:val="center"/>
              <w:textAlignment w:val="auto"/>
              <w:rPr>
                <w:rFonts w:ascii="宋体" w:hAnsi="宋体" w:cs="宋体"/>
                <w:szCs w:val="21"/>
                <w:highlight w:val="none"/>
              </w:rPr>
            </w:pPr>
            <w:r>
              <w:rPr>
                <w:rFonts w:hint="eastAsia" w:ascii="宋体" w:hAnsi="宋体" w:cs="宋体"/>
                <w:szCs w:val="21"/>
                <w:highlight w:val="none"/>
              </w:rPr>
              <w:t>内    容</w:t>
            </w:r>
          </w:p>
        </w:tc>
      </w:tr>
      <w:tr w14:paraId="7299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730" w:type="dxa"/>
            <w:vAlign w:val="center"/>
          </w:tcPr>
          <w:p w14:paraId="7D59FC31">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1.2</w:t>
            </w:r>
          </w:p>
        </w:tc>
        <w:tc>
          <w:tcPr>
            <w:tcW w:w="2106" w:type="dxa"/>
            <w:vAlign w:val="center"/>
          </w:tcPr>
          <w:p w14:paraId="55D1F671">
            <w:pPr>
              <w:adjustRightInd w:val="0"/>
              <w:snapToGrid w:val="0"/>
              <w:spacing w:line="372" w:lineRule="auto"/>
              <w:jc w:val="center"/>
              <w:rPr>
                <w:rFonts w:ascii="宋体" w:hAnsi="宋体" w:cs="宋体"/>
                <w:szCs w:val="21"/>
                <w:highlight w:val="none"/>
              </w:rPr>
            </w:pPr>
            <w:r>
              <w:rPr>
                <w:rFonts w:hint="eastAsia" w:ascii="宋体" w:hAnsi="宋体" w:cs="宋体"/>
                <w:kern w:val="0"/>
                <w:szCs w:val="21"/>
                <w:highlight w:val="none"/>
              </w:rPr>
              <w:t>采购人</w:t>
            </w:r>
          </w:p>
        </w:tc>
        <w:tc>
          <w:tcPr>
            <w:tcW w:w="5577" w:type="dxa"/>
            <w:vAlign w:val="center"/>
          </w:tcPr>
          <w:p w14:paraId="0818DFD9">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bCs/>
                <w:sz w:val="21"/>
                <w:szCs w:val="21"/>
                <w:highlight w:val="none"/>
              </w:rPr>
              <w:t>云南大学</w:t>
            </w:r>
          </w:p>
        </w:tc>
      </w:tr>
      <w:tr w14:paraId="47B6D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730" w:type="dxa"/>
            <w:vAlign w:val="center"/>
          </w:tcPr>
          <w:p w14:paraId="1853B162">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1.3</w:t>
            </w:r>
          </w:p>
        </w:tc>
        <w:tc>
          <w:tcPr>
            <w:tcW w:w="2106" w:type="dxa"/>
            <w:vAlign w:val="center"/>
          </w:tcPr>
          <w:p w14:paraId="4E723A28">
            <w:pPr>
              <w:adjustRightInd w:val="0"/>
              <w:snapToGrid w:val="0"/>
              <w:spacing w:line="372" w:lineRule="auto"/>
              <w:jc w:val="center"/>
              <w:rPr>
                <w:rFonts w:ascii="宋体" w:hAnsi="宋体" w:cs="宋体"/>
                <w:szCs w:val="21"/>
                <w:highlight w:val="none"/>
              </w:rPr>
            </w:pPr>
            <w:r>
              <w:rPr>
                <w:rFonts w:hint="eastAsia" w:ascii="宋体" w:hAnsi="宋体" w:cs="宋体"/>
                <w:kern w:val="0"/>
                <w:szCs w:val="21"/>
                <w:highlight w:val="none"/>
              </w:rPr>
              <w:t>采购代理机构</w:t>
            </w:r>
          </w:p>
        </w:tc>
        <w:tc>
          <w:tcPr>
            <w:tcW w:w="5577" w:type="dxa"/>
            <w:vAlign w:val="center"/>
          </w:tcPr>
          <w:p w14:paraId="40029C26">
            <w:pPr>
              <w:adjustRightInd w:val="0"/>
              <w:snapToGrid w:val="0"/>
              <w:spacing w:line="372" w:lineRule="auto"/>
              <w:jc w:val="left"/>
              <w:rPr>
                <w:rFonts w:ascii="宋体" w:hAnsi="宋体" w:cs="宋体"/>
                <w:szCs w:val="21"/>
                <w:highlight w:val="none"/>
              </w:rPr>
            </w:pPr>
            <w:r>
              <w:rPr>
                <w:rFonts w:hint="eastAsia" w:ascii="宋体" w:hAnsi="宋体" w:cs="宋体"/>
                <w:szCs w:val="21"/>
                <w:highlight w:val="none"/>
              </w:rPr>
              <w:t>云南冠睿咨询有限公司</w:t>
            </w:r>
          </w:p>
        </w:tc>
      </w:tr>
      <w:tr w14:paraId="25EC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730" w:type="dxa"/>
            <w:vAlign w:val="center"/>
          </w:tcPr>
          <w:p w14:paraId="5DA46C4A">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1.4</w:t>
            </w:r>
          </w:p>
        </w:tc>
        <w:tc>
          <w:tcPr>
            <w:tcW w:w="2106" w:type="dxa"/>
            <w:vAlign w:val="center"/>
          </w:tcPr>
          <w:p w14:paraId="7DAEEA9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项目编号及项目名称</w:t>
            </w:r>
          </w:p>
        </w:tc>
        <w:tc>
          <w:tcPr>
            <w:tcW w:w="5577" w:type="dxa"/>
            <w:vAlign w:val="center"/>
          </w:tcPr>
          <w:p w14:paraId="115A49BB">
            <w:pPr>
              <w:adjustRightInd w:val="0"/>
              <w:snapToGrid w:val="0"/>
              <w:spacing w:line="372" w:lineRule="auto"/>
              <w:jc w:val="left"/>
              <w:rPr>
                <w:rFonts w:hint="eastAsia" w:ascii="宋体" w:hAnsi="宋体" w:eastAsia="宋体" w:cs="宋体"/>
                <w:szCs w:val="21"/>
                <w:highlight w:val="none"/>
                <w:lang w:eastAsia="zh-CN"/>
              </w:rPr>
            </w:pPr>
            <w:r>
              <w:rPr>
                <w:rFonts w:hint="eastAsia" w:ascii="宋体" w:hAnsi="宋体" w:cs="宋体"/>
                <w:szCs w:val="21"/>
                <w:highlight w:val="none"/>
              </w:rPr>
              <w:t>项目编号：</w:t>
            </w:r>
            <w:r>
              <w:rPr>
                <w:rFonts w:hint="eastAsia" w:ascii="宋体" w:hAnsi="宋体" w:cs="宋体"/>
                <w:szCs w:val="21"/>
                <w:highlight w:val="none"/>
                <w:lang w:eastAsia="zh-CN"/>
              </w:rPr>
              <w:t>YNZC2025-J1-01070-YNGR-0053</w:t>
            </w:r>
          </w:p>
          <w:p w14:paraId="7E16239B">
            <w:pPr>
              <w:adjustRightInd w:val="0"/>
              <w:snapToGrid w:val="0"/>
              <w:spacing w:line="372" w:lineRule="auto"/>
              <w:jc w:val="left"/>
              <w:rPr>
                <w:rFonts w:hint="eastAsia" w:ascii="宋体" w:hAnsi="宋体" w:eastAsia="宋体" w:cs="宋体"/>
                <w:szCs w:val="21"/>
                <w:highlight w:val="none"/>
                <w:lang w:eastAsia="zh-CN"/>
              </w:rPr>
            </w:pPr>
            <w:r>
              <w:rPr>
                <w:rFonts w:hint="eastAsia" w:ascii="宋体" w:hAnsi="宋体" w:cs="宋体"/>
                <w:szCs w:val="21"/>
                <w:highlight w:val="none"/>
              </w:rPr>
              <w:t>项目名称：</w:t>
            </w:r>
            <w:r>
              <w:rPr>
                <w:rFonts w:hint="eastAsia" w:ascii="宋体" w:hAnsi="宋体" w:cs="宋体"/>
                <w:szCs w:val="21"/>
                <w:highlight w:val="none"/>
                <w:lang w:eastAsia="zh-CN"/>
              </w:rPr>
              <w:t>云南大学建筑与规划学院建筑学本科专业评估达标实验室设备项目采购</w:t>
            </w:r>
          </w:p>
        </w:tc>
      </w:tr>
      <w:tr w14:paraId="36EB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30" w:type="dxa"/>
            <w:vAlign w:val="center"/>
          </w:tcPr>
          <w:p w14:paraId="434C29D3">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1.5</w:t>
            </w:r>
          </w:p>
        </w:tc>
        <w:tc>
          <w:tcPr>
            <w:tcW w:w="2106" w:type="dxa"/>
            <w:vAlign w:val="center"/>
          </w:tcPr>
          <w:p w14:paraId="79F41A83">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预算金额及最高限价</w:t>
            </w:r>
          </w:p>
        </w:tc>
        <w:tc>
          <w:tcPr>
            <w:tcW w:w="5577" w:type="dxa"/>
            <w:vAlign w:val="center"/>
          </w:tcPr>
          <w:p w14:paraId="61AFA4BB">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详见竞争性谈判文件第一章《竞争性谈判公告》“一、项目基本情况”</w:t>
            </w:r>
          </w:p>
        </w:tc>
      </w:tr>
      <w:tr w14:paraId="5CC1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1" w:hRule="atLeast"/>
          <w:jc w:val="center"/>
        </w:trPr>
        <w:tc>
          <w:tcPr>
            <w:tcW w:w="730" w:type="dxa"/>
            <w:vAlign w:val="center"/>
          </w:tcPr>
          <w:p w14:paraId="3AA18590">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2.1</w:t>
            </w:r>
          </w:p>
        </w:tc>
        <w:tc>
          <w:tcPr>
            <w:tcW w:w="2106" w:type="dxa"/>
            <w:vAlign w:val="center"/>
          </w:tcPr>
          <w:p w14:paraId="0236A69D">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采购需求</w:t>
            </w:r>
          </w:p>
        </w:tc>
        <w:tc>
          <w:tcPr>
            <w:tcW w:w="5577" w:type="dxa"/>
            <w:vAlign w:val="center"/>
          </w:tcPr>
          <w:p w14:paraId="068A770A">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详见竞争性谈判文件第一章《竞争性谈判公告》“一、项目基本情况”</w:t>
            </w:r>
          </w:p>
        </w:tc>
      </w:tr>
      <w:tr w14:paraId="448D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730" w:type="dxa"/>
            <w:vAlign w:val="center"/>
          </w:tcPr>
          <w:p w14:paraId="7B26592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2.2</w:t>
            </w:r>
          </w:p>
        </w:tc>
        <w:tc>
          <w:tcPr>
            <w:tcW w:w="2106" w:type="dxa"/>
            <w:vAlign w:val="center"/>
          </w:tcPr>
          <w:p w14:paraId="4B9BD509">
            <w:pPr>
              <w:autoSpaceDE w:val="0"/>
              <w:autoSpaceDN w:val="0"/>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交货期和交货地点</w:t>
            </w:r>
          </w:p>
        </w:tc>
        <w:tc>
          <w:tcPr>
            <w:tcW w:w="5577" w:type="dxa"/>
            <w:vAlign w:val="center"/>
          </w:tcPr>
          <w:p w14:paraId="6C60A37E">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详见竞争性谈判文件第一章《竞争性谈判公告》“一、项目基本情况”</w:t>
            </w:r>
          </w:p>
        </w:tc>
      </w:tr>
      <w:tr w14:paraId="3E92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39ECF02D">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3.1</w:t>
            </w:r>
          </w:p>
        </w:tc>
        <w:tc>
          <w:tcPr>
            <w:tcW w:w="2106" w:type="dxa"/>
            <w:vAlign w:val="center"/>
          </w:tcPr>
          <w:p w14:paraId="7FF4BA58">
            <w:pPr>
              <w:autoSpaceDE w:val="0"/>
              <w:autoSpaceDN w:val="0"/>
              <w:adjustRightInd w:val="0"/>
              <w:snapToGrid w:val="0"/>
              <w:spacing w:line="372" w:lineRule="auto"/>
              <w:jc w:val="center"/>
              <w:rPr>
                <w:rFonts w:ascii="宋体" w:hAnsi="宋体" w:cs="宋体"/>
                <w:szCs w:val="21"/>
                <w:highlight w:val="none"/>
              </w:rPr>
            </w:pPr>
            <w:r>
              <w:rPr>
                <w:rFonts w:hint="eastAsia" w:ascii="宋体" w:hAnsi="宋体" w:cs="宋体"/>
                <w:kern w:val="0"/>
                <w:szCs w:val="21"/>
                <w:highlight w:val="none"/>
              </w:rPr>
              <w:t>是否接受联合体参加</w:t>
            </w:r>
          </w:p>
        </w:tc>
        <w:tc>
          <w:tcPr>
            <w:tcW w:w="5577" w:type="dxa"/>
            <w:vAlign w:val="center"/>
          </w:tcPr>
          <w:p w14:paraId="1747BAA4">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不接受</w:t>
            </w:r>
          </w:p>
        </w:tc>
      </w:tr>
      <w:tr w14:paraId="2AD8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1A199F2">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4.1</w:t>
            </w:r>
          </w:p>
        </w:tc>
        <w:tc>
          <w:tcPr>
            <w:tcW w:w="2106" w:type="dxa"/>
            <w:vAlign w:val="center"/>
          </w:tcPr>
          <w:p w14:paraId="4B55EC0E">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供应商资格要求</w:t>
            </w:r>
          </w:p>
        </w:tc>
        <w:tc>
          <w:tcPr>
            <w:tcW w:w="5577" w:type="dxa"/>
            <w:vAlign w:val="center"/>
          </w:tcPr>
          <w:p w14:paraId="54258471">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详见竞争性谈判文件第一章《竞争性谈判公告》“二、供应商资格要求”</w:t>
            </w:r>
          </w:p>
        </w:tc>
      </w:tr>
      <w:tr w14:paraId="25A4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7212DDA9">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4.2</w:t>
            </w:r>
          </w:p>
        </w:tc>
        <w:tc>
          <w:tcPr>
            <w:tcW w:w="2106" w:type="dxa"/>
            <w:vAlign w:val="center"/>
          </w:tcPr>
          <w:p w14:paraId="3EC1ED5A">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落实政府采购政策需满足的资格要求</w:t>
            </w:r>
          </w:p>
        </w:tc>
        <w:tc>
          <w:tcPr>
            <w:tcW w:w="5577" w:type="dxa"/>
            <w:vAlign w:val="center"/>
          </w:tcPr>
          <w:p w14:paraId="3EA443F9">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详见竞争性谈判文件第一章《竞争性谈判公告》“二、供应商资格要求”</w:t>
            </w:r>
          </w:p>
        </w:tc>
      </w:tr>
      <w:tr w14:paraId="395B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C84B18E">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4.3</w:t>
            </w:r>
          </w:p>
        </w:tc>
        <w:tc>
          <w:tcPr>
            <w:tcW w:w="2106" w:type="dxa"/>
            <w:vAlign w:val="center"/>
          </w:tcPr>
          <w:p w14:paraId="36D42A7C">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本项目的特定资格要求</w:t>
            </w:r>
          </w:p>
        </w:tc>
        <w:tc>
          <w:tcPr>
            <w:tcW w:w="5577" w:type="dxa"/>
            <w:vAlign w:val="center"/>
          </w:tcPr>
          <w:p w14:paraId="513397C7">
            <w:pPr>
              <w:autoSpaceDE w:val="0"/>
              <w:autoSpaceDN w:val="0"/>
              <w:adjustRightInd w:val="0"/>
              <w:snapToGrid w:val="0"/>
              <w:spacing w:line="372" w:lineRule="auto"/>
              <w:jc w:val="left"/>
              <w:rPr>
                <w:rFonts w:ascii="宋体" w:hAnsi="宋体" w:cs="宋体"/>
                <w:szCs w:val="21"/>
                <w:highlight w:val="none"/>
              </w:rPr>
            </w:pPr>
            <w:r>
              <w:rPr>
                <w:rFonts w:hint="eastAsia" w:ascii="宋体" w:hAnsi="宋体" w:cs="宋体"/>
                <w:szCs w:val="21"/>
                <w:highlight w:val="none"/>
              </w:rPr>
              <w:t>详见竞争性谈判文件第一章《竞争性谈判公告》“二、供应商资格要求”</w:t>
            </w:r>
          </w:p>
        </w:tc>
      </w:tr>
      <w:tr w14:paraId="0165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C5BEB9C">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11.1</w:t>
            </w:r>
          </w:p>
        </w:tc>
        <w:tc>
          <w:tcPr>
            <w:tcW w:w="2106" w:type="dxa"/>
            <w:vAlign w:val="center"/>
          </w:tcPr>
          <w:p w14:paraId="128F3325">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竞争性谈判文件的询问时间</w:t>
            </w:r>
          </w:p>
        </w:tc>
        <w:tc>
          <w:tcPr>
            <w:tcW w:w="5577" w:type="dxa"/>
            <w:vAlign w:val="center"/>
          </w:tcPr>
          <w:p w14:paraId="69EB2415">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w:t>
            </w:r>
          </w:p>
        </w:tc>
      </w:tr>
      <w:tr w14:paraId="4F55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016F3301">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11.2</w:t>
            </w:r>
          </w:p>
        </w:tc>
        <w:tc>
          <w:tcPr>
            <w:tcW w:w="2106" w:type="dxa"/>
            <w:vAlign w:val="center"/>
          </w:tcPr>
          <w:p w14:paraId="1FE4F69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谈判文件询问联系方式</w:t>
            </w:r>
          </w:p>
        </w:tc>
        <w:tc>
          <w:tcPr>
            <w:tcW w:w="5577" w:type="dxa"/>
            <w:vAlign w:val="center"/>
          </w:tcPr>
          <w:p w14:paraId="1660BEC5">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询问联系人：邓楚卿、汪怡含、蒋兴杰、王国玺、吴翊、祝欣、李腾芳、陈沿锦、王彦飞、刘晓云、张振荣、丁传觐、杨益鑫、肖枝莲、戚玮薇</w:t>
            </w:r>
          </w:p>
          <w:p w14:paraId="14D8192E">
            <w:pPr>
              <w:adjustRightInd w:val="0"/>
              <w:snapToGrid w:val="0"/>
              <w:spacing w:line="372" w:lineRule="auto"/>
              <w:rPr>
                <w:rFonts w:ascii="宋体" w:hAnsi="宋体" w:cs="宋体"/>
                <w:szCs w:val="21"/>
                <w:highlight w:val="none"/>
              </w:rPr>
            </w:pPr>
            <w:r>
              <w:rPr>
                <w:rFonts w:hint="eastAsia" w:ascii="宋体" w:hAnsi="宋体" w:cs="宋体"/>
                <w:szCs w:val="21"/>
                <w:highlight w:val="none"/>
              </w:rPr>
              <w:t>电话：0871-65511240、65511241</w:t>
            </w:r>
          </w:p>
        </w:tc>
      </w:tr>
      <w:tr w14:paraId="1443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3CFAA260">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11.4</w:t>
            </w:r>
          </w:p>
        </w:tc>
        <w:tc>
          <w:tcPr>
            <w:tcW w:w="2106" w:type="dxa"/>
            <w:vAlign w:val="center"/>
          </w:tcPr>
          <w:p w14:paraId="1B090113">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竞争性谈判文件澄清、修改时间</w:t>
            </w:r>
          </w:p>
        </w:tc>
        <w:tc>
          <w:tcPr>
            <w:tcW w:w="5577" w:type="dxa"/>
            <w:vAlign w:val="center"/>
          </w:tcPr>
          <w:p w14:paraId="1408D63E">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澄清或者修改的内容可能影响响应文件编制的，采购人、采购代理机构将在提交首次响应文件截止时间至少3个工作日前，以书面形式通知所有获取竞争性谈判文件的供应商；不足3个工作日的，采购人、采购代理机构将顺延提交首次响应文件截止时间。</w:t>
            </w:r>
          </w:p>
        </w:tc>
      </w:tr>
      <w:tr w14:paraId="35EB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454DD8AE">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11.5</w:t>
            </w:r>
          </w:p>
        </w:tc>
        <w:tc>
          <w:tcPr>
            <w:tcW w:w="2106" w:type="dxa"/>
            <w:vAlign w:val="center"/>
          </w:tcPr>
          <w:p w14:paraId="7AEC82CD">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供应商确认收到竞争性谈判文件澄清、修改时间</w:t>
            </w:r>
          </w:p>
        </w:tc>
        <w:tc>
          <w:tcPr>
            <w:tcW w:w="5577" w:type="dxa"/>
            <w:vAlign w:val="center"/>
          </w:tcPr>
          <w:p w14:paraId="40206F6D">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供应商确认收到竞争性谈判文件澄清、修改后，应在收到澄清、修改后24小时内以书面形式通知采购人或采购代理机构，确认已收到该澄清、修改。</w:t>
            </w:r>
          </w:p>
        </w:tc>
      </w:tr>
      <w:tr w14:paraId="0C74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27EF72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11.6</w:t>
            </w:r>
          </w:p>
        </w:tc>
        <w:tc>
          <w:tcPr>
            <w:tcW w:w="2106" w:type="dxa"/>
            <w:vAlign w:val="center"/>
          </w:tcPr>
          <w:p w14:paraId="2A0D51D1">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谈判小组可以根据谈判文件和谈判情况实质性变动的内容</w:t>
            </w:r>
          </w:p>
        </w:tc>
        <w:tc>
          <w:tcPr>
            <w:tcW w:w="5577" w:type="dxa"/>
            <w:vAlign w:val="center"/>
          </w:tcPr>
          <w:p w14:paraId="032A119F">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在谈判过程中，谈判小组可以根据谈判文件和谈判情况实质性变动采购需求中的技术、服务要求以及合同草案条款，但不得变动谈判文件中的其他内容。实质性变动的内容，须经采购人代表确认。</w:t>
            </w:r>
          </w:p>
        </w:tc>
      </w:tr>
      <w:tr w14:paraId="7BF0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0487632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13.1</w:t>
            </w:r>
          </w:p>
        </w:tc>
        <w:tc>
          <w:tcPr>
            <w:tcW w:w="2106" w:type="dxa"/>
            <w:vAlign w:val="center"/>
          </w:tcPr>
          <w:p w14:paraId="1A1D96D9">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语言文字</w:t>
            </w:r>
          </w:p>
        </w:tc>
        <w:tc>
          <w:tcPr>
            <w:tcW w:w="5577" w:type="dxa"/>
            <w:vAlign w:val="center"/>
          </w:tcPr>
          <w:p w14:paraId="05D23E0C">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供应商的响应文件以及供应商与采购人、采购代理机构、谈判小组就有关谈判的所有来往函电统一使用中文（特别规定除外）。</w:t>
            </w:r>
          </w:p>
        </w:tc>
      </w:tr>
      <w:tr w14:paraId="0615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8F7450A">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14.1</w:t>
            </w:r>
          </w:p>
        </w:tc>
        <w:tc>
          <w:tcPr>
            <w:tcW w:w="2106" w:type="dxa"/>
            <w:vAlign w:val="center"/>
          </w:tcPr>
          <w:p w14:paraId="2FF6F47E">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计量单位</w:t>
            </w:r>
          </w:p>
        </w:tc>
        <w:tc>
          <w:tcPr>
            <w:tcW w:w="5577" w:type="dxa"/>
            <w:vAlign w:val="center"/>
          </w:tcPr>
          <w:p w14:paraId="4BC64058">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响应文件中使用的计量单位除谈判文件中有特殊规定外，一律使用中国法定计量单位。</w:t>
            </w:r>
          </w:p>
        </w:tc>
      </w:tr>
      <w:tr w14:paraId="461F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F132F6C">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15.2</w:t>
            </w:r>
          </w:p>
        </w:tc>
        <w:tc>
          <w:tcPr>
            <w:tcW w:w="2106" w:type="dxa"/>
            <w:vAlign w:val="center"/>
          </w:tcPr>
          <w:p w14:paraId="1B2008E3">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构成响应文件的其他资料</w:t>
            </w:r>
          </w:p>
        </w:tc>
        <w:tc>
          <w:tcPr>
            <w:tcW w:w="5577" w:type="dxa"/>
            <w:vAlign w:val="center"/>
          </w:tcPr>
          <w:p w14:paraId="7014CA4F">
            <w:pPr>
              <w:pStyle w:val="34"/>
              <w:adjustRightInd w:val="0"/>
              <w:snapToGrid w:val="0"/>
              <w:spacing w:before="0" w:beforeAutospacing="0" w:after="0" w:afterAutospacing="0" w:line="372" w:lineRule="auto"/>
              <w:jc w:val="both"/>
              <w:rPr>
                <w:rFonts w:cs="宋体"/>
                <w:bCs/>
                <w:sz w:val="21"/>
                <w:szCs w:val="21"/>
                <w:highlight w:val="none"/>
              </w:rPr>
            </w:pPr>
            <w:r>
              <w:rPr>
                <w:rFonts w:hint="eastAsia" w:cs="宋体"/>
                <w:bCs/>
                <w:sz w:val="21"/>
                <w:szCs w:val="21"/>
                <w:highlight w:val="none"/>
              </w:rPr>
              <w:t>1.谈判保证金交纳凭证或保函；</w:t>
            </w:r>
          </w:p>
          <w:p w14:paraId="3EC81E13">
            <w:pPr>
              <w:pStyle w:val="34"/>
              <w:adjustRightInd w:val="0"/>
              <w:snapToGrid w:val="0"/>
              <w:spacing w:before="0" w:beforeAutospacing="0" w:after="0" w:afterAutospacing="0" w:line="372" w:lineRule="auto"/>
              <w:jc w:val="both"/>
              <w:rPr>
                <w:rFonts w:cs="宋体"/>
                <w:bCs/>
                <w:sz w:val="21"/>
                <w:szCs w:val="21"/>
                <w:highlight w:val="none"/>
              </w:rPr>
            </w:pPr>
            <w:r>
              <w:rPr>
                <w:rFonts w:hint="eastAsia" w:cs="宋体"/>
                <w:bCs/>
                <w:sz w:val="21"/>
                <w:szCs w:val="21"/>
                <w:highlight w:val="none"/>
              </w:rPr>
              <w:t>2.第五章《</w:t>
            </w:r>
            <w:r>
              <w:rPr>
                <w:rFonts w:hint="eastAsia" w:cs="宋体"/>
                <w:sz w:val="21"/>
                <w:szCs w:val="21"/>
                <w:highlight w:val="none"/>
              </w:rPr>
              <w:t>采购</w:t>
            </w:r>
            <w:r>
              <w:rPr>
                <w:rFonts w:hint="eastAsia" w:cs="宋体"/>
                <w:bCs/>
                <w:sz w:val="21"/>
                <w:szCs w:val="21"/>
                <w:highlight w:val="none"/>
              </w:rPr>
              <w:t>需求》中要求提供的其他资料；</w:t>
            </w:r>
          </w:p>
          <w:p w14:paraId="46EE65D6">
            <w:pPr>
              <w:pStyle w:val="34"/>
              <w:adjustRightInd w:val="0"/>
              <w:snapToGrid w:val="0"/>
              <w:spacing w:before="0" w:beforeAutospacing="0" w:after="0" w:afterAutospacing="0" w:line="372" w:lineRule="auto"/>
              <w:jc w:val="both"/>
              <w:rPr>
                <w:rFonts w:cs="宋体"/>
                <w:bCs/>
                <w:sz w:val="21"/>
                <w:szCs w:val="21"/>
                <w:highlight w:val="none"/>
              </w:rPr>
            </w:pPr>
            <w:r>
              <w:rPr>
                <w:rFonts w:hint="eastAsia" w:cs="宋体"/>
                <w:bCs/>
                <w:sz w:val="21"/>
                <w:szCs w:val="21"/>
                <w:highlight w:val="none"/>
              </w:rPr>
              <w:t>3.谈判</w:t>
            </w:r>
            <w:r>
              <w:rPr>
                <w:rFonts w:hint="eastAsia" w:cs="宋体"/>
                <w:sz w:val="21"/>
                <w:szCs w:val="21"/>
                <w:highlight w:val="none"/>
              </w:rPr>
              <w:t>文件</w:t>
            </w:r>
            <w:r>
              <w:rPr>
                <w:rFonts w:hint="eastAsia" w:cs="宋体"/>
                <w:bCs/>
                <w:sz w:val="21"/>
                <w:szCs w:val="21"/>
                <w:highlight w:val="none"/>
              </w:rPr>
              <w:t>中所涉及到的相关资料及证明文件或供应商认为必须提供的其他</w:t>
            </w:r>
            <w:r>
              <w:rPr>
                <w:rFonts w:hint="eastAsia" w:cs="宋体"/>
                <w:sz w:val="21"/>
                <w:szCs w:val="21"/>
                <w:highlight w:val="none"/>
              </w:rPr>
              <w:t>相关</w:t>
            </w:r>
            <w:r>
              <w:rPr>
                <w:rFonts w:hint="eastAsia" w:cs="宋体"/>
                <w:bCs/>
                <w:sz w:val="21"/>
                <w:szCs w:val="21"/>
                <w:highlight w:val="none"/>
              </w:rPr>
              <w:t>资料。</w:t>
            </w:r>
          </w:p>
        </w:tc>
      </w:tr>
      <w:tr w14:paraId="2B44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B27E8CA">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17.1</w:t>
            </w:r>
          </w:p>
        </w:tc>
        <w:tc>
          <w:tcPr>
            <w:tcW w:w="2106" w:type="dxa"/>
            <w:vAlign w:val="center"/>
          </w:tcPr>
          <w:p w14:paraId="052ACA85">
            <w:pPr>
              <w:pStyle w:val="34"/>
              <w:adjustRightInd w:val="0"/>
              <w:snapToGrid w:val="0"/>
              <w:spacing w:before="0" w:beforeAutospacing="0" w:after="0" w:afterAutospacing="0" w:line="372" w:lineRule="auto"/>
              <w:jc w:val="center"/>
              <w:rPr>
                <w:rFonts w:cs="宋体"/>
                <w:sz w:val="21"/>
                <w:szCs w:val="21"/>
                <w:highlight w:val="none"/>
              </w:rPr>
            </w:pPr>
            <w:r>
              <w:rPr>
                <w:rFonts w:hint="eastAsia" w:cs="宋体"/>
                <w:sz w:val="21"/>
                <w:szCs w:val="21"/>
                <w:highlight w:val="none"/>
              </w:rPr>
              <w:t>响应文件有效期</w:t>
            </w:r>
          </w:p>
        </w:tc>
        <w:tc>
          <w:tcPr>
            <w:tcW w:w="5577" w:type="dxa"/>
            <w:vAlign w:val="center"/>
          </w:tcPr>
          <w:p w14:paraId="5B65E0B1">
            <w:pPr>
              <w:pStyle w:val="34"/>
              <w:adjustRightInd w:val="0"/>
              <w:snapToGrid w:val="0"/>
              <w:spacing w:before="0" w:beforeAutospacing="0" w:after="0" w:afterAutospacing="0" w:line="372" w:lineRule="auto"/>
              <w:rPr>
                <w:rFonts w:cs="宋体"/>
                <w:sz w:val="21"/>
                <w:szCs w:val="21"/>
                <w:highlight w:val="none"/>
              </w:rPr>
            </w:pPr>
            <w:r>
              <w:rPr>
                <w:rFonts w:hint="eastAsia" w:cs="宋体"/>
                <w:sz w:val="21"/>
                <w:szCs w:val="21"/>
                <w:highlight w:val="none"/>
              </w:rPr>
              <w:t>响应文件提交截止之日起90天</w:t>
            </w:r>
          </w:p>
        </w:tc>
      </w:tr>
      <w:tr w14:paraId="3747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730" w:type="dxa"/>
            <w:vAlign w:val="center"/>
          </w:tcPr>
          <w:p w14:paraId="279D7DF4">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18.1</w:t>
            </w:r>
          </w:p>
        </w:tc>
        <w:tc>
          <w:tcPr>
            <w:tcW w:w="2106" w:type="dxa"/>
            <w:vAlign w:val="center"/>
          </w:tcPr>
          <w:p w14:paraId="764DEFF1">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谈判保证金</w:t>
            </w:r>
          </w:p>
        </w:tc>
        <w:tc>
          <w:tcPr>
            <w:tcW w:w="5577" w:type="dxa"/>
            <w:vAlign w:val="center"/>
          </w:tcPr>
          <w:p w14:paraId="745D1442">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保证金的形式：网银、电汇、支票、汇票、本票或者金融机构、担保机构出具的保函等非现金形式提交，也可以选择投标（竞标）保证保险。</w:t>
            </w:r>
          </w:p>
          <w:p w14:paraId="6D3C5577">
            <w:pPr>
              <w:pStyle w:val="34"/>
              <w:adjustRightInd w:val="0"/>
              <w:snapToGrid w:val="0"/>
              <w:spacing w:before="0" w:beforeAutospacing="0" w:after="0" w:afterAutospacing="0" w:line="372" w:lineRule="auto"/>
              <w:jc w:val="both"/>
              <w:rPr>
                <w:rFonts w:cs="宋体"/>
                <w:b/>
                <w:sz w:val="21"/>
                <w:szCs w:val="21"/>
                <w:highlight w:val="none"/>
              </w:rPr>
            </w:pPr>
            <w:r>
              <w:rPr>
                <w:rFonts w:hint="eastAsia" w:cs="宋体"/>
                <w:b/>
                <w:bCs/>
                <w:sz w:val="21"/>
                <w:szCs w:val="21"/>
                <w:highlight w:val="none"/>
              </w:rPr>
              <w:t>谈判保证金的金额：小写：20000.00元（大写：贰万元整）</w:t>
            </w:r>
          </w:p>
          <w:p w14:paraId="32C560DF">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谈判保证金按规定数额从供应商基本账户直接转至</w:t>
            </w:r>
          </w:p>
          <w:p w14:paraId="4593CE55">
            <w:pPr>
              <w:pStyle w:val="34"/>
              <w:adjustRightInd w:val="0"/>
              <w:snapToGrid w:val="0"/>
              <w:spacing w:before="0" w:beforeAutospacing="0" w:after="0" w:afterAutospacing="0" w:line="372" w:lineRule="auto"/>
              <w:jc w:val="both"/>
              <w:rPr>
                <w:rFonts w:cs="宋体"/>
                <w:b/>
                <w:bCs/>
                <w:sz w:val="21"/>
                <w:szCs w:val="21"/>
                <w:highlight w:val="none"/>
              </w:rPr>
            </w:pPr>
            <w:r>
              <w:rPr>
                <w:rFonts w:hint="eastAsia" w:cs="宋体"/>
                <w:b/>
                <w:bCs/>
                <w:sz w:val="21"/>
                <w:szCs w:val="21"/>
                <w:highlight w:val="none"/>
              </w:rPr>
              <w:t>账户名称：云南冠睿咨询有限公司</w:t>
            </w:r>
          </w:p>
          <w:p w14:paraId="74ED5F47">
            <w:pPr>
              <w:pStyle w:val="34"/>
              <w:adjustRightInd w:val="0"/>
              <w:snapToGrid w:val="0"/>
              <w:spacing w:before="0" w:beforeAutospacing="0" w:after="0" w:afterAutospacing="0" w:line="372" w:lineRule="auto"/>
              <w:jc w:val="both"/>
              <w:rPr>
                <w:rFonts w:cs="宋体"/>
                <w:b/>
                <w:bCs/>
                <w:sz w:val="21"/>
                <w:szCs w:val="21"/>
                <w:highlight w:val="none"/>
              </w:rPr>
            </w:pPr>
            <w:r>
              <w:rPr>
                <w:rFonts w:hint="eastAsia" w:cs="宋体"/>
                <w:b/>
                <w:bCs/>
                <w:sz w:val="21"/>
                <w:szCs w:val="21"/>
                <w:highlight w:val="none"/>
              </w:rPr>
              <w:t>开户行名称：中国民生银行股份有限公司昆明拓东路支行</w:t>
            </w:r>
          </w:p>
          <w:p w14:paraId="4C7CCAB7">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b/>
                <w:bCs/>
                <w:sz w:val="21"/>
                <w:szCs w:val="21"/>
                <w:highlight w:val="none"/>
              </w:rPr>
              <w:t>开户行账号：636611192</w:t>
            </w:r>
          </w:p>
          <w:p w14:paraId="6D031417">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谈判保证金交纳说明：</w:t>
            </w:r>
          </w:p>
          <w:p w14:paraId="0278D429">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1.网银、电汇、支票、汇票、本票方式提交的，底单即为交纳凭证（需注明项目简称或项目编号）；其他方式的保证金在转账后供应商附有效付款凭证。</w:t>
            </w:r>
          </w:p>
          <w:p w14:paraId="1E4EF523">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2.供应商未按照竞争性谈判文件要求提交谈判保证金的，响应无效。</w:t>
            </w:r>
          </w:p>
        </w:tc>
      </w:tr>
      <w:tr w14:paraId="38B9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jc w:val="center"/>
        </w:trPr>
        <w:tc>
          <w:tcPr>
            <w:tcW w:w="730" w:type="dxa"/>
            <w:vAlign w:val="center"/>
          </w:tcPr>
          <w:p w14:paraId="159AE482">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19.7</w:t>
            </w:r>
          </w:p>
        </w:tc>
        <w:tc>
          <w:tcPr>
            <w:tcW w:w="2106" w:type="dxa"/>
            <w:vAlign w:val="center"/>
          </w:tcPr>
          <w:p w14:paraId="4A5B7A1A">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响应文件份数</w:t>
            </w:r>
          </w:p>
        </w:tc>
        <w:tc>
          <w:tcPr>
            <w:tcW w:w="5577" w:type="dxa"/>
            <w:vAlign w:val="center"/>
          </w:tcPr>
          <w:p w14:paraId="58747FAE">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按“政采云”要求，上传电子响应文件壹份。供应商应安装“政采云”投标客户端，根据采购文件格式编制响应文件，生成加密标书后进行上传（详见公告附件供应商操作指南及申领云南 CA操作手册）。</w:t>
            </w:r>
          </w:p>
        </w:tc>
      </w:tr>
      <w:tr w14:paraId="6B44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730" w:type="dxa"/>
            <w:vAlign w:val="center"/>
          </w:tcPr>
          <w:p w14:paraId="290472CB">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20.4</w:t>
            </w:r>
          </w:p>
        </w:tc>
        <w:tc>
          <w:tcPr>
            <w:tcW w:w="2106" w:type="dxa"/>
            <w:vAlign w:val="center"/>
          </w:tcPr>
          <w:p w14:paraId="18610B71">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备品备件</w:t>
            </w:r>
          </w:p>
        </w:tc>
        <w:tc>
          <w:tcPr>
            <w:tcW w:w="5577" w:type="dxa"/>
            <w:vAlign w:val="center"/>
          </w:tcPr>
          <w:p w14:paraId="6299F6E7">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kern w:val="2"/>
                <w:sz w:val="21"/>
                <w:szCs w:val="21"/>
                <w:highlight w:val="none"/>
              </w:rPr>
              <w:t>不要求</w:t>
            </w:r>
          </w:p>
        </w:tc>
      </w:tr>
      <w:tr w14:paraId="24A1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 w:hRule="atLeast"/>
          <w:jc w:val="center"/>
        </w:trPr>
        <w:tc>
          <w:tcPr>
            <w:tcW w:w="730" w:type="dxa"/>
            <w:vAlign w:val="center"/>
          </w:tcPr>
          <w:p w14:paraId="4C5BE7FC">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20.7</w:t>
            </w:r>
          </w:p>
        </w:tc>
        <w:tc>
          <w:tcPr>
            <w:tcW w:w="2106" w:type="dxa"/>
            <w:vAlign w:val="center"/>
          </w:tcPr>
          <w:p w14:paraId="342AD559">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报价货币</w:t>
            </w:r>
          </w:p>
        </w:tc>
        <w:tc>
          <w:tcPr>
            <w:tcW w:w="5577" w:type="dxa"/>
            <w:vAlign w:val="center"/>
          </w:tcPr>
          <w:p w14:paraId="5A73F1E3">
            <w:pPr>
              <w:adjustRightInd w:val="0"/>
              <w:snapToGrid w:val="0"/>
              <w:spacing w:line="372" w:lineRule="auto"/>
              <w:rPr>
                <w:rFonts w:ascii="宋体" w:hAnsi="宋体" w:cs="宋体"/>
                <w:szCs w:val="21"/>
                <w:highlight w:val="none"/>
              </w:rPr>
            </w:pPr>
            <w:r>
              <w:rPr>
                <w:rFonts w:hint="eastAsia" w:ascii="宋体" w:hAnsi="宋体" w:cs="宋体"/>
                <w:szCs w:val="21"/>
                <w:highlight w:val="none"/>
              </w:rPr>
              <w:t>人民币</w:t>
            </w:r>
          </w:p>
        </w:tc>
      </w:tr>
      <w:tr w14:paraId="2561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730" w:type="dxa"/>
            <w:vAlign w:val="center"/>
          </w:tcPr>
          <w:p w14:paraId="233924FF">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22.1</w:t>
            </w:r>
          </w:p>
        </w:tc>
        <w:tc>
          <w:tcPr>
            <w:tcW w:w="2106" w:type="dxa"/>
            <w:vAlign w:val="center"/>
          </w:tcPr>
          <w:p w14:paraId="62C337AF">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响应文件提交截止时间、提交响应文件的地点</w:t>
            </w:r>
          </w:p>
        </w:tc>
        <w:tc>
          <w:tcPr>
            <w:tcW w:w="5577" w:type="dxa"/>
            <w:vAlign w:val="center"/>
          </w:tcPr>
          <w:p w14:paraId="19F95927">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提交截止时间：详见竞争性谈判文件第一章《竞争性谈判公告》。</w:t>
            </w:r>
          </w:p>
          <w:p w14:paraId="52C711F1">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 xml:space="preserve">提交地点：详见竞争性谈判文件第一章《竞争性谈判公告》。 </w:t>
            </w:r>
          </w:p>
        </w:tc>
      </w:tr>
      <w:tr w14:paraId="3408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730" w:type="dxa"/>
            <w:vAlign w:val="center"/>
          </w:tcPr>
          <w:p w14:paraId="39E85B3D">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22.3</w:t>
            </w:r>
          </w:p>
        </w:tc>
        <w:tc>
          <w:tcPr>
            <w:tcW w:w="2106" w:type="dxa"/>
            <w:vAlign w:val="center"/>
          </w:tcPr>
          <w:p w14:paraId="25635FB3">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响应文件的密封和标记</w:t>
            </w:r>
          </w:p>
        </w:tc>
        <w:tc>
          <w:tcPr>
            <w:tcW w:w="5577" w:type="dxa"/>
            <w:vAlign w:val="center"/>
          </w:tcPr>
          <w:p w14:paraId="07D85C53">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tc>
      </w:tr>
      <w:tr w14:paraId="1AFC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8" w:hRule="atLeast"/>
          <w:jc w:val="center"/>
        </w:trPr>
        <w:tc>
          <w:tcPr>
            <w:tcW w:w="730" w:type="dxa"/>
            <w:vAlign w:val="center"/>
          </w:tcPr>
          <w:p w14:paraId="554325FF">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24.2</w:t>
            </w:r>
          </w:p>
        </w:tc>
        <w:tc>
          <w:tcPr>
            <w:tcW w:w="2106" w:type="dxa"/>
            <w:vAlign w:val="center"/>
          </w:tcPr>
          <w:p w14:paraId="2BCF8E1D">
            <w:pPr>
              <w:pStyle w:val="34"/>
              <w:adjustRightInd w:val="0"/>
              <w:snapToGrid w:val="0"/>
              <w:spacing w:before="0" w:beforeAutospacing="0" w:after="0" w:afterAutospacing="0" w:line="372" w:lineRule="auto"/>
              <w:jc w:val="center"/>
              <w:rPr>
                <w:rFonts w:cs="宋体"/>
                <w:sz w:val="21"/>
                <w:szCs w:val="21"/>
                <w:highlight w:val="none"/>
              </w:rPr>
            </w:pPr>
            <w:r>
              <w:rPr>
                <w:rFonts w:hint="eastAsia" w:cs="宋体"/>
                <w:sz w:val="21"/>
                <w:szCs w:val="21"/>
                <w:highlight w:val="none"/>
              </w:rPr>
              <w:t>谈判小组</w:t>
            </w:r>
          </w:p>
        </w:tc>
        <w:tc>
          <w:tcPr>
            <w:tcW w:w="5577" w:type="dxa"/>
            <w:vAlign w:val="center"/>
          </w:tcPr>
          <w:p w14:paraId="5015FF8B">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谈判小组由采购人依法组建，谈判由谈判小组负责。谈判小组由采购人代表和评审专家共3人以上单数组成，其中评审专家人数不得少于谈判小组成员总数的2/3。谈判小组应当推选组长，但采购人代表不得担任组长。</w:t>
            </w:r>
          </w:p>
        </w:tc>
      </w:tr>
      <w:tr w14:paraId="7EC77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0" w:hRule="atLeast"/>
          <w:jc w:val="center"/>
        </w:trPr>
        <w:tc>
          <w:tcPr>
            <w:tcW w:w="730" w:type="dxa"/>
            <w:vAlign w:val="center"/>
          </w:tcPr>
          <w:p w14:paraId="0FB42359">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24.5</w:t>
            </w:r>
          </w:p>
        </w:tc>
        <w:tc>
          <w:tcPr>
            <w:tcW w:w="2106" w:type="dxa"/>
            <w:vAlign w:val="center"/>
          </w:tcPr>
          <w:p w14:paraId="05CCC667">
            <w:pPr>
              <w:pStyle w:val="34"/>
              <w:adjustRightInd w:val="0"/>
              <w:snapToGrid w:val="0"/>
              <w:spacing w:before="0" w:beforeAutospacing="0" w:after="0" w:afterAutospacing="0" w:line="372" w:lineRule="auto"/>
              <w:jc w:val="center"/>
              <w:rPr>
                <w:rFonts w:cs="宋体"/>
                <w:sz w:val="21"/>
                <w:szCs w:val="21"/>
                <w:highlight w:val="none"/>
              </w:rPr>
            </w:pPr>
            <w:r>
              <w:rPr>
                <w:rFonts w:hint="eastAsia" w:cs="宋体"/>
                <w:sz w:val="21"/>
                <w:szCs w:val="21"/>
                <w:highlight w:val="none"/>
              </w:rPr>
              <w:t>评审方法</w:t>
            </w:r>
          </w:p>
        </w:tc>
        <w:tc>
          <w:tcPr>
            <w:tcW w:w="5577" w:type="dxa"/>
            <w:vAlign w:val="center"/>
          </w:tcPr>
          <w:p w14:paraId="0FBEFD5D">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谈判小组从质量和服务均能满足采购文件实质性响应要求的供应商中，按照最后报价（符合中小企业划分标准或残疾人福利性单位的用扣除后的价格参与评审）由低到高的顺序提出3名以上成交候选人。</w:t>
            </w:r>
          </w:p>
        </w:tc>
      </w:tr>
      <w:tr w14:paraId="40B8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jc w:val="center"/>
        </w:trPr>
        <w:tc>
          <w:tcPr>
            <w:tcW w:w="730" w:type="dxa"/>
            <w:vAlign w:val="center"/>
          </w:tcPr>
          <w:p w14:paraId="7DE222B8">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28.1</w:t>
            </w:r>
          </w:p>
        </w:tc>
        <w:tc>
          <w:tcPr>
            <w:tcW w:w="2106" w:type="dxa"/>
            <w:vAlign w:val="center"/>
          </w:tcPr>
          <w:p w14:paraId="607A3C82">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履约保证金</w:t>
            </w:r>
          </w:p>
        </w:tc>
        <w:tc>
          <w:tcPr>
            <w:tcW w:w="5577" w:type="dxa"/>
            <w:vAlign w:val="center"/>
          </w:tcPr>
          <w:p w14:paraId="36468048">
            <w:pPr>
              <w:adjustRightInd w:val="0"/>
              <w:snapToGrid w:val="0"/>
              <w:spacing w:line="372" w:lineRule="auto"/>
              <w:rPr>
                <w:rFonts w:ascii="宋体" w:hAnsi="宋体" w:cs="宋体"/>
                <w:highlight w:val="none"/>
              </w:rPr>
            </w:pPr>
            <w:r>
              <w:rPr>
                <w:rFonts w:hint="eastAsia" w:ascii="宋体" w:hAnsi="宋体" w:cs="宋体"/>
                <w:highlight w:val="none"/>
              </w:rPr>
              <w:t>金额：合同金额的5%。</w:t>
            </w:r>
          </w:p>
          <w:p w14:paraId="5F430148">
            <w:pPr>
              <w:adjustRightInd w:val="0"/>
              <w:snapToGrid w:val="0"/>
              <w:spacing w:line="372" w:lineRule="auto"/>
              <w:rPr>
                <w:rFonts w:ascii="宋体" w:hAnsi="宋体" w:cs="宋体"/>
                <w:szCs w:val="21"/>
                <w:highlight w:val="none"/>
              </w:rPr>
            </w:pPr>
            <w:r>
              <w:rPr>
                <w:rFonts w:hint="eastAsia" w:ascii="宋体" w:hAnsi="宋体" w:cs="宋体"/>
                <w:highlight w:val="none"/>
              </w:rPr>
              <w:t>形式：以支票、汇票、本票或者金融机构、担保机构出具的保函等非现金形式提交。</w:t>
            </w:r>
          </w:p>
        </w:tc>
      </w:tr>
      <w:tr w14:paraId="4A2F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730" w:type="dxa"/>
            <w:vAlign w:val="center"/>
          </w:tcPr>
          <w:p w14:paraId="7D85A0CD">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29.1</w:t>
            </w:r>
          </w:p>
        </w:tc>
        <w:tc>
          <w:tcPr>
            <w:tcW w:w="2106" w:type="dxa"/>
            <w:vAlign w:val="center"/>
          </w:tcPr>
          <w:p w14:paraId="6DAE9334">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采购代理服务费</w:t>
            </w:r>
          </w:p>
        </w:tc>
        <w:tc>
          <w:tcPr>
            <w:tcW w:w="5577" w:type="dxa"/>
            <w:vAlign w:val="center"/>
          </w:tcPr>
          <w:p w14:paraId="61EB1483">
            <w:pPr>
              <w:pStyle w:val="34"/>
              <w:adjustRightInd w:val="0"/>
              <w:snapToGrid w:val="0"/>
              <w:spacing w:before="0" w:beforeAutospacing="0" w:after="0" w:afterAutospacing="0" w:line="372" w:lineRule="auto"/>
              <w:jc w:val="both"/>
              <w:rPr>
                <w:rFonts w:hint="eastAsia" w:cs="宋体"/>
                <w:sz w:val="21"/>
                <w:szCs w:val="21"/>
                <w:highlight w:val="none"/>
              </w:rPr>
            </w:pPr>
            <w:r>
              <w:rPr>
                <w:rFonts w:hint="eastAsia" w:cs="宋体"/>
                <w:sz w:val="21"/>
                <w:szCs w:val="21"/>
                <w:highlight w:val="none"/>
              </w:rPr>
              <w:t>标准：采购代理服务费参照国家计委[2002]1980号文件规定的收费标准及国家发展和改革委员会发改办价格[2003]857号文规定的货物类收费标准下浮30%收取（计算基准价为成交金额），此费用包含在成交人报价中。</w:t>
            </w:r>
          </w:p>
          <w:p w14:paraId="66E286B4">
            <w:pPr>
              <w:pStyle w:val="34"/>
              <w:adjustRightInd w:val="0"/>
              <w:snapToGrid w:val="0"/>
              <w:spacing w:before="0" w:beforeAutospacing="0" w:after="0" w:afterAutospacing="0" w:line="372" w:lineRule="auto"/>
              <w:jc w:val="both"/>
              <w:rPr>
                <w:rFonts w:hint="eastAsia" w:eastAsia="宋体" w:cs="宋体"/>
                <w:sz w:val="21"/>
                <w:szCs w:val="21"/>
                <w:highlight w:val="none"/>
                <w:lang w:val="en-US" w:eastAsia="zh-CN"/>
              </w:rPr>
            </w:pPr>
            <w:r>
              <w:rPr>
                <w:rFonts w:hint="eastAsia" w:eastAsia="宋体" w:cs="宋体"/>
                <w:sz w:val="21"/>
                <w:szCs w:val="21"/>
                <w:highlight w:val="none"/>
                <w:lang w:val="en-US" w:eastAsia="zh-CN"/>
              </w:rPr>
              <w:t>方式：现金、网银、电汇、支票、汇票等形式。</w:t>
            </w:r>
          </w:p>
        </w:tc>
      </w:tr>
      <w:tr w14:paraId="6F03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730" w:type="dxa"/>
            <w:vAlign w:val="center"/>
          </w:tcPr>
          <w:p w14:paraId="5D9E82D9">
            <w:pPr>
              <w:adjustRightInd w:val="0"/>
              <w:snapToGrid w:val="0"/>
              <w:spacing w:line="372" w:lineRule="auto"/>
              <w:jc w:val="center"/>
              <w:rPr>
                <w:rFonts w:ascii="宋体" w:hAnsi="宋体" w:cs="宋体"/>
                <w:szCs w:val="21"/>
                <w:highlight w:val="none"/>
              </w:rPr>
            </w:pPr>
            <w:r>
              <w:rPr>
                <w:rFonts w:hint="eastAsia" w:ascii="宋体" w:hAnsi="宋体" w:cs="宋体"/>
                <w:szCs w:val="21"/>
                <w:highlight w:val="none"/>
              </w:rPr>
              <w:t>31.5</w:t>
            </w:r>
          </w:p>
        </w:tc>
        <w:tc>
          <w:tcPr>
            <w:tcW w:w="2106" w:type="dxa"/>
            <w:vAlign w:val="center"/>
          </w:tcPr>
          <w:p w14:paraId="089C29A4">
            <w:pPr>
              <w:pStyle w:val="34"/>
              <w:adjustRightInd w:val="0"/>
              <w:snapToGrid w:val="0"/>
              <w:spacing w:before="0" w:beforeAutospacing="0" w:after="0" w:afterAutospacing="0" w:line="372" w:lineRule="auto"/>
              <w:jc w:val="center"/>
              <w:rPr>
                <w:rFonts w:cs="宋体"/>
                <w:sz w:val="21"/>
                <w:szCs w:val="21"/>
                <w:highlight w:val="none"/>
              </w:rPr>
            </w:pPr>
            <w:r>
              <w:rPr>
                <w:rFonts w:hint="eastAsia" w:cs="宋体"/>
                <w:sz w:val="21"/>
                <w:szCs w:val="21"/>
                <w:highlight w:val="none"/>
              </w:rPr>
              <w:t>需要补充的其他内容</w:t>
            </w:r>
          </w:p>
        </w:tc>
        <w:tc>
          <w:tcPr>
            <w:tcW w:w="5577" w:type="dxa"/>
            <w:vAlign w:val="center"/>
          </w:tcPr>
          <w:p w14:paraId="4DFD24C3">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以下情况视为供应商同意撤回已上传系统的响应文件或其响应文件无效：</w:t>
            </w:r>
          </w:p>
          <w:p w14:paraId="7C55C931">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（1）政采云电子平台显示供应商未上传响应文件；</w:t>
            </w:r>
          </w:p>
          <w:p w14:paraId="3BC8D126">
            <w:pPr>
              <w:pStyle w:val="34"/>
              <w:adjustRightInd w:val="0"/>
              <w:snapToGrid w:val="0"/>
              <w:spacing w:before="0" w:beforeAutospacing="0" w:after="0" w:afterAutospacing="0" w:line="372" w:lineRule="auto"/>
              <w:jc w:val="both"/>
              <w:rPr>
                <w:rFonts w:cs="宋体"/>
                <w:sz w:val="21"/>
                <w:szCs w:val="21"/>
                <w:highlight w:val="none"/>
              </w:rPr>
            </w:pPr>
            <w:r>
              <w:rPr>
                <w:rFonts w:hint="eastAsia" w:cs="宋体"/>
                <w:sz w:val="21"/>
                <w:szCs w:val="21"/>
                <w:highlight w:val="none"/>
              </w:rPr>
              <w:t>（2）因供应商原因上传的响应文件在开启文件时无法解密。</w:t>
            </w:r>
          </w:p>
        </w:tc>
      </w:tr>
    </w:tbl>
    <w:p w14:paraId="19CA4A95">
      <w:pPr>
        <w:keepNext w:val="0"/>
        <w:keepLines w:val="0"/>
        <w:pageBreakBefore w:val="0"/>
        <w:widowControl w:val="0"/>
        <w:tabs>
          <w:tab w:val="left" w:pos="3150"/>
          <w:tab w:val="center" w:pos="4734"/>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32"/>
          <w:szCs w:val="32"/>
          <w:highlight w:val="none"/>
        </w:rPr>
      </w:pPr>
      <w:r>
        <w:rPr>
          <w:rFonts w:hint="eastAsia" w:ascii="宋体" w:hAnsi="宋体" w:cs="宋体"/>
          <w:b/>
          <w:sz w:val="32"/>
          <w:szCs w:val="32"/>
          <w:highlight w:val="none"/>
        </w:rPr>
        <w:t xml:space="preserve">  </w:t>
      </w:r>
      <w:r>
        <w:rPr>
          <w:rFonts w:hint="eastAsia" w:ascii="宋体" w:hAnsi="宋体" w:cs="宋体"/>
          <w:b/>
          <w:sz w:val="32"/>
          <w:szCs w:val="32"/>
          <w:highlight w:val="none"/>
        </w:rPr>
        <w:br w:type="page"/>
      </w:r>
      <w:r>
        <w:rPr>
          <w:rFonts w:hint="eastAsia" w:ascii="宋体" w:hAnsi="宋体" w:cs="宋体"/>
          <w:b/>
          <w:sz w:val="24"/>
          <w:highlight w:val="none"/>
        </w:rPr>
        <w:t>一、总则</w:t>
      </w:r>
    </w:p>
    <w:p w14:paraId="5CD22958">
      <w:pPr>
        <w:tabs>
          <w:tab w:val="left" w:pos="3150"/>
          <w:tab w:val="center" w:pos="4734"/>
        </w:tabs>
        <w:adjustRightInd w:val="0"/>
        <w:snapToGrid w:val="0"/>
        <w:spacing w:line="360" w:lineRule="auto"/>
        <w:ind w:firstLine="482"/>
        <w:jc w:val="left"/>
        <w:rPr>
          <w:rFonts w:ascii="宋体" w:hAnsi="宋体" w:cs="宋体"/>
          <w:b/>
          <w:sz w:val="24"/>
          <w:highlight w:val="none"/>
        </w:rPr>
      </w:pPr>
      <w:r>
        <w:rPr>
          <w:rFonts w:hint="eastAsia" w:ascii="宋体" w:hAnsi="宋体" w:cs="宋体"/>
          <w:b/>
          <w:sz w:val="24"/>
          <w:highlight w:val="none"/>
        </w:rPr>
        <w:t>1.项目概况</w:t>
      </w:r>
    </w:p>
    <w:p w14:paraId="3FE5DDA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根据《中华人民共和国政府采购法》、《中华人民共和国政府采购法实施条例》、《政府采购非招标采购方式管理办法》等有关法律、法规的规定，采购代理机构受采购人委托，采用竞争性谈判方式选定供应商承担本项目。</w:t>
      </w:r>
    </w:p>
    <w:p w14:paraId="6F5EE60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1.2采购人：详见《供应商须知前附表》。</w:t>
      </w:r>
    </w:p>
    <w:p w14:paraId="429D1AE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1.3采购代理机构：详见《供应商须知前附表》。</w:t>
      </w:r>
    </w:p>
    <w:p w14:paraId="27B8A94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1.4项目名称及项目编号：详见《供应商须知前附表》。</w:t>
      </w:r>
    </w:p>
    <w:p w14:paraId="24FC531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1.5预算金额及最高限价：详见《供应商须知前附表》。</w:t>
      </w:r>
    </w:p>
    <w:p w14:paraId="741840C4">
      <w:pPr>
        <w:tabs>
          <w:tab w:val="left" w:pos="3150"/>
          <w:tab w:val="center" w:pos="4734"/>
        </w:tabs>
        <w:adjustRightInd w:val="0"/>
        <w:snapToGrid w:val="0"/>
        <w:spacing w:line="360" w:lineRule="auto"/>
        <w:ind w:firstLine="482"/>
        <w:jc w:val="left"/>
        <w:rPr>
          <w:rFonts w:ascii="宋体" w:hAnsi="宋体" w:cs="宋体"/>
          <w:b/>
          <w:sz w:val="24"/>
          <w:highlight w:val="none"/>
        </w:rPr>
      </w:pPr>
      <w:r>
        <w:rPr>
          <w:rFonts w:hint="eastAsia" w:ascii="宋体" w:hAnsi="宋体" w:cs="宋体"/>
          <w:b/>
          <w:sz w:val="24"/>
          <w:highlight w:val="none"/>
        </w:rPr>
        <w:t>2.采购需求、交货期和交货地点</w:t>
      </w:r>
    </w:p>
    <w:p w14:paraId="6E6634E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2.1采购需求：详见《供应商须知前附表》。</w:t>
      </w:r>
    </w:p>
    <w:p w14:paraId="3C2054E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2.2交货期和交货地点：详见《供应商须知前附表》。</w:t>
      </w:r>
    </w:p>
    <w:p w14:paraId="593606D4">
      <w:pPr>
        <w:tabs>
          <w:tab w:val="left" w:pos="3150"/>
          <w:tab w:val="center" w:pos="4734"/>
        </w:tabs>
        <w:adjustRightInd w:val="0"/>
        <w:snapToGrid w:val="0"/>
        <w:spacing w:line="360" w:lineRule="auto"/>
        <w:ind w:firstLine="482"/>
        <w:jc w:val="left"/>
        <w:rPr>
          <w:rFonts w:ascii="宋体" w:hAnsi="宋体" w:cs="宋体"/>
          <w:b/>
          <w:sz w:val="24"/>
          <w:highlight w:val="none"/>
        </w:rPr>
      </w:pPr>
      <w:r>
        <w:rPr>
          <w:rFonts w:hint="eastAsia" w:ascii="宋体" w:hAnsi="宋体" w:cs="宋体"/>
          <w:b/>
          <w:sz w:val="24"/>
          <w:highlight w:val="none"/>
        </w:rPr>
        <w:t>3.联合体</w:t>
      </w:r>
    </w:p>
    <w:p w14:paraId="2EB23C0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3.1是否接受联合体参加：不接受。</w:t>
      </w:r>
    </w:p>
    <w:p w14:paraId="6A98AD9B">
      <w:pPr>
        <w:tabs>
          <w:tab w:val="left" w:pos="3150"/>
          <w:tab w:val="center" w:pos="4734"/>
        </w:tabs>
        <w:adjustRightInd w:val="0"/>
        <w:snapToGrid w:val="0"/>
        <w:spacing w:line="360" w:lineRule="auto"/>
        <w:ind w:firstLine="482"/>
        <w:jc w:val="left"/>
        <w:rPr>
          <w:rFonts w:ascii="宋体" w:hAnsi="宋体" w:cs="宋体"/>
          <w:b/>
          <w:sz w:val="24"/>
          <w:highlight w:val="none"/>
        </w:rPr>
      </w:pPr>
      <w:r>
        <w:rPr>
          <w:rFonts w:hint="eastAsia" w:ascii="宋体" w:hAnsi="宋体" w:cs="宋体"/>
          <w:b/>
          <w:sz w:val="24"/>
          <w:highlight w:val="none"/>
        </w:rPr>
        <w:t>▲4.供应商资格要求</w:t>
      </w:r>
    </w:p>
    <w:p w14:paraId="77B4D22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4.1供应商资格要求：详见《供应商须知前附表》</w:t>
      </w:r>
    </w:p>
    <w:p w14:paraId="4677C4E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4.2落实政府采购政策需满足的资格要求：详见《供应商须知前附表》</w:t>
      </w:r>
    </w:p>
    <w:p w14:paraId="7B2E722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4.3本项目的特定资格要求：详见《供应商须知前附表》。</w:t>
      </w:r>
    </w:p>
    <w:p w14:paraId="3813186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4.4如供应商为满足供应商资格要求提供虚假材料，一经查实，视为未实质性响应竞争性谈判文件，供应商响应文件将按无效处理。</w:t>
      </w:r>
    </w:p>
    <w:p w14:paraId="04EE6DA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4.5单位负责人为同一人或者存在直接控股、管理关系的不同供应商，不得参加同一合同项下的政府采购活动。</w:t>
      </w:r>
    </w:p>
    <w:p w14:paraId="393449E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4.6供应商不得为采购项目提供整体设计、规范编制和项目管理、监理、检测等服务。</w:t>
      </w:r>
    </w:p>
    <w:p w14:paraId="07C3F5B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4.7符合上述条件的供应商应承担参加采购活动及履约中应承担的全部责任与义务。</w:t>
      </w:r>
    </w:p>
    <w:p w14:paraId="4936786B">
      <w:pPr>
        <w:tabs>
          <w:tab w:val="left" w:pos="105"/>
          <w:tab w:val="left" w:pos="735"/>
          <w:tab w:val="left" w:pos="945"/>
          <w:tab w:val="left" w:pos="3360"/>
        </w:tabs>
        <w:adjustRightInd w:val="0"/>
        <w:snapToGrid w:val="0"/>
        <w:spacing w:line="360" w:lineRule="auto"/>
        <w:ind w:firstLine="482"/>
        <w:rPr>
          <w:rFonts w:ascii="宋体" w:hAnsi="宋体" w:cs="宋体"/>
          <w:b/>
          <w:sz w:val="24"/>
          <w:highlight w:val="none"/>
        </w:rPr>
      </w:pPr>
      <w:r>
        <w:rPr>
          <w:rFonts w:hint="eastAsia" w:ascii="宋体" w:hAnsi="宋体" w:cs="宋体"/>
          <w:b/>
          <w:sz w:val="24"/>
          <w:highlight w:val="none"/>
        </w:rPr>
        <w:t>5.费用承担</w:t>
      </w:r>
    </w:p>
    <w:p w14:paraId="05292C7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5.1无论是否成交，供应商自行承担所有与参加本次竞争性谈判采购活动所产生的全部费用。</w:t>
      </w:r>
    </w:p>
    <w:p w14:paraId="76892DEB">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6.现场考察</w:t>
      </w:r>
    </w:p>
    <w:p w14:paraId="6EE4BD1F">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6.1本项目采购人不组织现场考察。</w:t>
      </w:r>
    </w:p>
    <w:p w14:paraId="36B9DC08">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7.谈判前答疑会</w:t>
      </w:r>
    </w:p>
    <w:p w14:paraId="1FB7BD3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7.1本项目采购人不组织谈判前答疑会。</w:t>
      </w:r>
    </w:p>
    <w:p w14:paraId="3D646C01">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8.质疑</w:t>
      </w:r>
    </w:p>
    <w:p w14:paraId="59CC029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bookmarkStart w:id="73" w:name="_Toc482343732"/>
      <w:bookmarkStart w:id="74" w:name="_Toc383175058"/>
      <w:bookmarkStart w:id="75" w:name="_Toc470507046"/>
      <w:bookmarkStart w:id="76" w:name="_Toc383175282"/>
      <w:bookmarkStart w:id="77" w:name="_Toc432194832"/>
      <w:bookmarkStart w:id="78" w:name="_Toc432106481"/>
      <w:bookmarkStart w:id="79" w:name="_Toc383175480"/>
      <w:r>
        <w:rPr>
          <w:rFonts w:hint="eastAsia" w:ascii="宋体" w:hAnsi="宋体" w:cs="宋体"/>
          <w:szCs w:val="21"/>
          <w:highlight w:val="none"/>
        </w:rPr>
        <w:t>8.1供应商认为竞争性谈判文件、采购过程、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091ED85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8.2竞争性谈判文件第二章《供应商须知》8.1条中“知道或者应知其权益受到损害之日”是指：</w:t>
      </w:r>
    </w:p>
    <w:p w14:paraId="6AFF81B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（一）对可以质疑的采购文件提出质疑的，为收到采购文件之日或者采购文件公告期限届满之日；</w:t>
      </w:r>
    </w:p>
    <w:p w14:paraId="53216DB2">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04362AA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（三）对中标或者成交结果提出质疑的，为中标或者成交结果公告期限届满之日。</w:t>
      </w:r>
    </w:p>
    <w:p w14:paraId="5DF632DF">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78248D34">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提出质疑的供应商应当是参与所质疑项目采购活动的供应商。</w:t>
      </w:r>
    </w:p>
    <w:p w14:paraId="3499F9B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7FE2F13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（一）供应商的姓名或者名称、地址、邮编、联系人及联系电话；</w:t>
      </w:r>
    </w:p>
    <w:p w14:paraId="7E804682">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（二）质疑项目的名称、编号；</w:t>
      </w:r>
    </w:p>
    <w:p w14:paraId="4A9ABC74">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（三）具体、明确的质疑事项和与质疑事项相关的请求；</w:t>
      </w:r>
    </w:p>
    <w:p w14:paraId="1029F63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（四）事实依据；</w:t>
      </w:r>
    </w:p>
    <w:p w14:paraId="76920B02">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（五）必要的法律依据；</w:t>
      </w:r>
    </w:p>
    <w:p w14:paraId="3FE43B8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（六）提出质疑的日期。</w:t>
      </w:r>
    </w:p>
    <w:p w14:paraId="65599FC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w:t>
      </w:r>
    </w:p>
    <w:p w14:paraId="53B4DC1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8.5供应商不得捏造事实、提供虚假材料或者以非法手段取得证明材料。</w:t>
      </w:r>
    </w:p>
    <w:p w14:paraId="7623C8FF">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26AC917">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8.7采购人、采购代理机构将在收到供应商质疑函后七个工作日内作出答复，但质疑答复的内容不涉及商业秘密。</w:t>
      </w:r>
    </w:p>
    <w:p w14:paraId="2E559058">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8.8供应商对评审过程、成交结果提出质疑的，采购人、采购代理机构可以组织原评标委员会协助答复质疑。质疑答复导致成交结果改变的，采购人或者采购代理机构会将有关情况书面报告本级财政部门。</w:t>
      </w:r>
    </w:p>
    <w:p w14:paraId="506F575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8.9接收质疑函的方式：书面方式；接收质疑函的部门：云南冠睿咨询有限公司项目部；联系人、联系电话：邓楚卿、汪怡含、蒋兴杰、王国玺、吴翊、祝欣、李腾芳、陈沿锦、王彦飞、刘晓云、张振荣、丁传觐、杨益鑫、肖枝莲、戚玮薇0871-65511240、65511241；通讯地址：云南省昆明市西山区万达广场南塔32层3201号。</w:t>
      </w:r>
    </w:p>
    <w:p w14:paraId="4664B08B">
      <w:pPr>
        <w:autoSpaceDE w:val="0"/>
        <w:autoSpaceDN w:val="0"/>
        <w:adjustRightInd w:val="0"/>
        <w:snapToGrid w:val="0"/>
        <w:spacing w:line="360" w:lineRule="auto"/>
        <w:ind w:firstLine="482"/>
        <w:rPr>
          <w:rFonts w:ascii="宋体" w:hAnsi="宋体" w:cs="宋体"/>
          <w:b/>
          <w:kern w:val="0"/>
          <w:sz w:val="24"/>
          <w:highlight w:val="none"/>
        </w:rPr>
      </w:pPr>
      <w:r>
        <w:rPr>
          <w:rFonts w:hint="eastAsia" w:ascii="宋体" w:hAnsi="宋体" w:cs="宋体"/>
          <w:b/>
          <w:kern w:val="0"/>
          <w:sz w:val="24"/>
          <w:highlight w:val="none"/>
        </w:rPr>
        <w:t>9.</w:t>
      </w:r>
      <w:r>
        <w:rPr>
          <w:rFonts w:hint="eastAsia" w:ascii="宋体" w:hAnsi="宋体" w:cs="宋体"/>
          <w:b/>
          <w:bCs/>
          <w:sz w:val="24"/>
          <w:highlight w:val="none"/>
        </w:rPr>
        <w:t>投诉</w:t>
      </w:r>
    </w:p>
    <w:p w14:paraId="5E270921">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9.1投诉必须首先经过质疑程序。质疑供应商对采购人、采购代理机构的答复不满意，或者采购人、采购代理机构未在规定时间内作出答复的，可以在答复期满后十五个工作日内书面向财政部门提起投诉。</w:t>
      </w:r>
    </w:p>
    <w:p w14:paraId="03F54734">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24"/>
          <w:highlight w:val="none"/>
        </w:rPr>
      </w:pPr>
      <w:r>
        <w:rPr>
          <w:rFonts w:hint="eastAsia" w:ascii="宋体" w:hAnsi="宋体" w:cs="宋体"/>
          <w:b/>
          <w:sz w:val="24"/>
          <w:highlight w:val="none"/>
        </w:rPr>
        <w:t>二、谈判文件</w:t>
      </w:r>
    </w:p>
    <w:p w14:paraId="0C553DF3">
      <w:pPr>
        <w:tabs>
          <w:tab w:val="left" w:pos="105"/>
          <w:tab w:val="left" w:pos="735"/>
          <w:tab w:val="left" w:pos="945"/>
          <w:tab w:val="left" w:pos="3360"/>
        </w:tabs>
        <w:adjustRightInd w:val="0"/>
        <w:snapToGrid w:val="0"/>
        <w:spacing w:line="360" w:lineRule="auto"/>
        <w:ind w:firstLine="482"/>
        <w:rPr>
          <w:rFonts w:ascii="宋体" w:hAnsi="宋体" w:cs="宋体"/>
          <w:b/>
          <w:sz w:val="24"/>
          <w:highlight w:val="none"/>
        </w:rPr>
      </w:pPr>
      <w:r>
        <w:rPr>
          <w:rFonts w:hint="eastAsia" w:ascii="宋体" w:hAnsi="宋体" w:cs="宋体"/>
          <w:b/>
          <w:sz w:val="24"/>
          <w:highlight w:val="none"/>
        </w:rPr>
        <w:t>10.谈判文件的组成</w:t>
      </w:r>
      <w:bookmarkEnd w:id="73"/>
      <w:bookmarkEnd w:id="74"/>
      <w:bookmarkEnd w:id="75"/>
      <w:bookmarkEnd w:id="76"/>
      <w:bookmarkEnd w:id="77"/>
      <w:bookmarkEnd w:id="78"/>
      <w:bookmarkEnd w:id="79"/>
    </w:p>
    <w:p w14:paraId="025F533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采购人要求提供的</w:t>
      </w:r>
      <w:r>
        <w:rPr>
          <w:rFonts w:hint="eastAsia" w:ascii="宋体" w:hAnsi="宋体" w:cs="宋体"/>
          <w:kern w:val="0"/>
          <w:szCs w:val="21"/>
          <w:highlight w:val="none"/>
        </w:rPr>
        <w:t>货物、工程或者服务、</w:t>
      </w:r>
      <w:r>
        <w:rPr>
          <w:rFonts w:hint="eastAsia" w:ascii="宋体" w:hAnsi="宋体" w:cs="宋体"/>
          <w:szCs w:val="21"/>
          <w:highlight w:val="none"/>
        </w:rPr>
        <w:t>采购过程及合同条款在竞争性谈判文件中均有说明，竞争性谈判文件共六章，各章的内容如下：</w:t>
      </w:r>
    </w:p>
    <w:p w14:paraId="12A7F7F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第一章  竞争性谈判公告</w:t>
      </w:r>
    </w:p>
    <w:p w14:paraId="5EA48EE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第二章  供应商须知</w:t>
      </w:r>
    </w:p>
    <w:p w14:paraId="1027E5D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第三章  合同书样式及主要条款</w:t>
      </w:r>
    </w:p>
    <w:p w14:paraId="1315B95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第四章  响应文件格式</w:t>
      </w:r>
    </w:p>
    <w:p w14:paraId="5AEAADB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第五章  采购需求</w:t>
      </w:r>
    </w:p>
    <w:p w14:paraId="3BC7E8D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第六章  评审方法</w:t>
      </w:r>
    </w:p>
    <w:p w14:paraId="77917B62">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11.竞争性谈判文件的询问、澄清、修改</w:t>
      </w:r>
    </w:p>
    <w:p w14:paraId="7C22DA6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11.1供应商应认真阅读竞争性谈判文件，如有疑问的，供应商可以向采购人或采购代理机构提出询问，采购人或者采购代理机构在接到询问后的3个工作日内对供应商依法提出的询问作出答复，但答复的内容不涉及商业秘密。</w:t>
      </w:r>
    </w:p>
    <w:p w14:paraId="4E3C058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11.2谈判文件询问联系方式：详见《供应商须知前附表》。</w:t>
      </w:r>
    </w:p>
    <w:p w14:paraId="72FC3C0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11.3提交首次响应文件截止之日前，采购人、采购代理机构或者谈判小组可以对已发出的谈判文件进行必要的澄清或者修改，澄清或者修改的内容作为谈判文件的组成部分。</w:t>
      </w:r>
    </w:p>
    <w:p w14:paraId="583B5781">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11.4澄清或者修改的内容可能影响响应文件编制的，采购人、采购代理机构将在提交首次响应文件截止时间至少3个工作日前，以书面形式通知所有获取谈判文件的供应商；不足3个工作日的，采购人、采购代理机构将顺延提交首次响应文件截止时间。</w:t>
      </w:r>
    </w:p>
    <w:p w14:paraId="51BEFC02">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11.5供应商确认收到竞争性谈判文件澄清、修改后，应在收到澄清、修改后24小时内以书面形式通知采购人或采购代理机构，确认已收到该澄清、修改。</w:t>
      </w:r>
    </w:p>
    <w:p w14:paraId="0C104277">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11.6在谈判过程中，谈判小组可以根据谈判文件和谈判情况实质性变动采购需求中的技术、服务要求以及合同草案条款，但不得变动谈判文件中的其他内容。实质性变动的内容，须经采购人代表确认。本项目谈判小组根据与供应商谈判情况可能实质性变动的内容见《供应商须知前附表》。</w:t>
      </w:r>
    </w:p>
    <w:p w14:paraId="5F6BDEB1">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11.7实质性变动采购需求中的技术、服务要求以及合同草案条款不得对涉及对竞争性谈判文件公平、公正性内容进行修改、变动。</w:t>
      </w:r>
    </w:p>
    <w:p w14:paraId="4FA510F8">
      <w:pPr>
        <w:keepNext w:val="0"/>
        <w:keepLines w:val="0"/>
        <w:pageBreakBefore w:val="0"/>
        <w:widowControl w:val="0"/>
        <w:tabs>
          <w:tab w:val="left" w:pos="3150"/>
          <w:tab w:val="center" w:pos="4734"/>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24"/>
          <w:highlight w:val="none"/>
        </w:rPr>
      </w:pPr>
      <w:r>
        <w:rPr>
          <w:rFonts w:hint="eastAsia" w:ascii="宋体" w:hAnsi="宋体" w:cs="宋体"/>
          <w:b/>
          <w:sz w:val="24"/>
          <w:highlight w:val="none"/>
        </w:rPr>
        <w:t>三、响应文件</w:t>
      </w:r>
    </w:p>
    <w:p w14:paraId="1FFD7303">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12</w:t>
      </w:r>
      <w:bookmarkStart w:id="80" w:name="_Toc432106484"/>
      <w:bookmarkStart w:id="81" w:name="_Toc470507049"/>
      <w:bookmarkStart w:id="82" w:name="_Toc383175285"/>
      <w:bookmarkStart w:id="83" w:name="_Toc482343735"/>
      <w:bookmarkStart w:id="84" w:name="_Toc432194835"/>
      <w:bookmarkStart w:id="85" w:name="_Toc383175483"/>
      <w:bookmarkStart w:id="86" w:name="_Toc383175061"/>
      <w:r>
        <w:rPr>
          <w:rFonts w:hint="eastAsia" w:ascii="宋体" w:hAnsi="宋体" w:cs="宋体"/>
          <w:b/>
          <w:bCs/>
          <w:sz w:val="24"/>
          <w:highlight w:val="none"/>
        </w:rPr>
        <w:t>.响应文件编写注意事项</w:t>
      </w:r>
      <w:bookmarkEnd w:id="80"/>
      <w:bookmarkEnd w:id="81"/>
      <w:bookmarkEnd w:id="82"/>
      <w:bookmarkEnd w:id="83"/>
      <w:bookmarkEnd w:id="84"/>
      <w:bookmarkEnd w:id="85"/>
      <w:bookmarkEnd w:id="86"/>
    </w:p>
    <w:p w14:paraId="274270D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12.1供应商应仔细阅读竞争性谈判文件，在完全了解采购的内容、技术性能要求（见第五章《采购需求》）和商务条件后，根据竞争性谈判文件要求编写响应文件。</w:t>
      </w:r>
    </w:p>
    <w:p w14:paraId="2763B83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12.2对谈判文件提出的实质性要求和条件作出响应是指供应商的响应文件必须对竞争性谈判文件中规定的成交实质性要求和条件作出满足或者优于原要求和条件的承诺，并提供相应的证明材料，否则按无效响应处理。</w:t>
      </w:r>
    </w:p>
    <w:p w14:paraId="397A61E5">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13.语言文字</w:t>
      </w:r>
    </w:p>
    <w:p w14:paraId="7F8A99E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13.1供应商的响应文件以及供应商与采购人、采购代理机构、谈判小组就有关谈判的所有来往函电统一使用中文（特别规定除外）。</w:t>
      </w:r>
    </w:p>
    <w:p w14:paraId="05762A6F">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14.计量单位</w:t>
      </w:r>
    </w:p>
    <w:p w14:paraId="53E080AC">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14.1响应文件中使用的计量单位除谈判文件中有特殊规定外，一律使用中国法定计量单位。</w:t>
      </w:r>
    </w:p>
    <w:p w14:paraId="08333AEF">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15.响应文件的组成</w:t>
      </w:r>
    </w:p>
    <w:p w14:paraId="52E979D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15.1供应商编写的响应文件应由下列部分构成，并按第四章《响应文件格式》要求填写。有关文件的提交如未特别注明需提供原件的，可提供复印件。</w:t>
      </w:r>
    </w:p>
    <w:p w14:paraId="1E1C554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15.1.1资格证明文件；</w:t>
      </w:r>
    </w:p>
    <w:p w14:paraId="51D4DD9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15.1.2报价文件；</w:t>
      </w:r>
    </w:p>
    <w:p w14:paraId="0B6C0B2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15.1.3商务技术文件；</w:t>
      </w:r>
    </w:p>
    <w:p w14:paraId="3F905C4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15.2构成响应文件的其他资料：详见第二章《供应商须知前附表》；</w:t>
      </w:r>
    </w:p>
    <w:p w14:paraId="1A6F9A7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15.3供应商同时参加多个标段（若分标段时）的，响应文件应按标段分别编制，单独成册。</w:t>
      </w:r>
    </w:p>
    <w:p w14:paraId="6AAFD3EA">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▲16.响应文件的格式要求</w:t>
      </w:r>
    </w:p>
    <w:p w14:paraId="22CC48A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16.1供应商应按第四章《响应文件格式》提供的格式完整地填写，未按谈判文件规定格式填写的响应文件按无效响应处理。</w:t>
      </w:r>
    </w:p>
    <w:p w14:paraId="3DDBDBD9">
      <w:pPr>
        <w:tabs>
          <w:tab w:val="left" w:pos="105"/>
          <w:tab w:val="left" w:pos="735"/>
          <w:tab w:val="left" w:pos="945"/>
          <w:tab w:val="left" w:pos="3360"/>
          <w:tab w:val="left" w:pos="4988"/>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▲17.响应文件有效期</w:t>
      </w:r>
    </w:p>
    <w:p w14:paraId="3B9694F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17.1在《供应商须知前附表》规定的有效期内，供应商不得要求撤销或修改其响应文件。</w:t>
      </w:r>
    </w:p>
    <w:p w14:paraId="1A31C4E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17.2因特殊情况需要延长响应文件有效期的，采购代理机构以书面形式通知所有供应商延长有效期。供应商同意延长的，应相应延长其响应文件中所有内容及谈判保证金的有效期，但不得要求或被允许修改或撤销其响应文件；供应商拒绝延长的，其响应文件失效，但供应商有权收回其谈判保证金。</w:t>
      </w:r>
    </w:p>
    <w:p w14:paraId="690024E2">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▲18.谈判保证金交纳及退还</w:t>
      </w:r>
    </w:p>
    <w:p w14:paraId="1100AE9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18.1供应商应按《供应商须知前附表》规定的金额、形式向采购代理机构交纳谈判保证金，谈判保证金须在响应文件提交截止时间前从供应商基本账户交纳到云南冠睿咨询有限公司指定的帐户，供应商未按照谈判文件要求提交谈判保证金的，响应无效。</w:t>
      </w:r>
    </w:p>
    <w:p w14:paraId="05652CB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18.2采购代理机构在成交通知书发出后5个工作日内退还未成交供应商的谈判保证金，成交供应商的谈判保证金在采购合同签订后5个工作日内退还，但因供应商自身原因导致无法及时退还的除外。出现下列情形之一的，谈判保证金不予退还：</w:t>
      </w:r>
    </w:p>
    <w:p w14:paraId="08E2782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（1）供应商在提交响应文件截止时间后撤回响应文件的；</w:t>
      </w:r>
    </w:p>
    <w:p w14:paraId="6882DF1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（2）供应商在响应文件中提供虚假材料的；</w:t>
      </w:r>
    </w:p>
    <w:p w14:paraId="72E1ADD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（3）除因不可抗力或谈判文件认可的情形以外，成交供应商不与采购人签订合同的；</w:t>
      </w:r>
    </w:p>
    <w:p w14:paraId="54A5D6E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（4）供应商与采购人、其他供应商或者采购代理机构恶意串通的；</w:t>
      </w:r>
    </w:p>
    <w:p w14:paraId="662CE53E">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（5）竞争性谈判文件规定的其他情形。</w:t>
      </w:r>
    </w:p>
    <w:p w14:paraId="059FD470">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19.响应文件的编制</w:t>
      </w:r>
    </w:p>
    <w:p w14:paraId="57DBD92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19.1</w:t>
      </w:r>
      <w:r>
        <w:rPr>
          <w:rFonts w:hint="eastAsia" w:ascii="宋体" w:hAnsi="宋体" w:cs="宋体"/>
          <w:highlight w:val="none"/>
        </w:rPr>
        <w:t>响应文件编制完成后须用云南 CA 按格式进行电子签章，在所要求的 位置有法定代表人或委托代理人的电子签名或盖章，均使用云南 CA 按格式进行电子签章，联合体参加谈判的除格式要求外，可由联合体牵头 单位签署。签章操作详见公告附件</w:t>
      </w:r>
      <w:r>
        <w:rPr>
          <w:rFonts w:hint="eastAsia" w:ascii="宋体" w:hAnsi="宋体" w:cs="宋体"/>
          <w:szCs w:val="21"/>
          <w:highlight w:val="none"/>
        </w:rPr>
        <w:t>。</w:t>
      </w:r>
    </w:p>
    <w:p w14:paraId="4319B8B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19.2响应文件应尽量避免涂改、行间插字或删除。如果出现上述情况，改动之处应加盖供应商的公章或供应商法定代表人或委托代理人签字确认。</w:t>
      </w:r>
    </w:p>
    <w:p w14:paraId="3A8390B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19.3响应文件应由法定代表人或委托代理人在竞争性谈判文件规定签字处逐一签字或盖章，要求盖章处应加盖公章，若以“投标专用章”或“合同专用章”代替的，须出具供应商单位公章对“投标专用章”或“合同专用章”的授权函原件。</w:t>
      </w:r>
    </w:p>
    <w:p w14:paraId="0DB71D4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19.4响应文件和来往函件均应采用中文书写，计量单位使用中国或国际标准单位。</w:t>
      </w:r>
    </w:p>
    <w:p w14:paraId="3D0B158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19.5最后报价采用人民币进行报价，若中文文字形式表示的数值与数字形式表示的数值不一致，以中文文字形式表示的数值为准。</w:t>
      </w:r>
    </w:p>
    <w:p w14:paraId="6479D17C">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19.6响应文件的组成应包括下列内容（但不限于）：详见：《响应文件格式》部分。</w:t>
      </w:r>
    </w:p>
    <w:p w14:paraId="47161E3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19.7按“政采云”要求，上传电子响应文件壹份。供应商应安装“政采云”投标客户端，根据采购文件格式编制响应文件，生成加密标书后进行上传（详见公告附件供应商操作指南及申领云南 CA 操作手册）。</w:t>
      </w:r>
    </w:p>
    <w:p w14:paraId="6EDEEE9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19.8响应文件中提供的资料（包括复印件）、关键内容必须清晰可辨，若出现字迹潦草、表达不清、未按要求填写而导致非唯一理解，视为未实质性响应竞争性谈判文件，供应商响应文件将按无效响应处理。</w:t>
      </w:r>
      <w:bookmarkStart w:id="87" w:name="_Toc432106486"/>
      <w:bookmarkStart w:id="88" w:name="_Toc432194837"/>
      <w:bookmarkStart w:id="89" w:name="_Toc383175485"/>
      <w:bookmarkStart w:id="90" w:name="_Toc470507051"/>
      <w:bookmarkStart w:id="91" w:name="_Toc482343737"/>
      <w:bookmarkStart w:id="92" w:name="_Toc383175287"/>
      <w:bookmarkStart w:id="93" w:name="_Toc383175063"/>
    </w:p>
    <w:p w14:paraId="3892FE67">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20.报价和报价货币</w:t>
      </w:r>
      <w:bookmarkEnd w:id="87"/>
      <w:bookmarkEnd w:id="88"/>
      <w:bookmarkEnd w:id="89"/>
      <w:bookmarkEnd w:id="90"/>
      <w:bookmarkEnd w:id="91"/>
      <w:bookmarkEnd w:id="92"/>
      <w:bookmarkEnd w:id="93"/>
    </w:p>
    <w:p w14:paraId="6D165C2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20.1谈判结束后，谈判小组将要求所有实质性响应的供应商在规定时间内提交最后报价，提交最后报价的供应商不得少于3家。最后报价超过采购预算金额的供应商将被视为未实质性响应竞争性谈判文件要求，按无效响应处理。</w:t>
      </w:r>
    </w:p>
    <w:p w14:paraId="79998D0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20.2最后报价是供应商响应文件的有效组成部分，供应商必须对所参加项目内所有内容进行完整唯一报价，不得缺项、漏项，否则按无效响应处理。</w:t>
      </w:r>
    </w:p>
    <w:p w14:paraId="571C4F6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20.3供应商应依据谈判文件的要求及有关资料，执行国家或行业现行技术经济标准、定额及规范，自行测算出满足采购要求的货物、工程或者服务的竞争性报价，该报价应符合市场行情并能保证供应商完成履行合同所需的一切工作，包括但不限于各种货款、安装调试、技术服务、附件、备品备件、专用工具、零星耗材、包装装卸、运输保险、检验保管、检测验收以及税收等所有费用，不得以任何理由予以重复计价。合同一旦签订，此价格在合同实施期间将不因市场价格等的变化而调整。</w:t>
      </w:r>
    </w:p>
    <w:p w14:paraId="2556B24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20.4备品备件要求：见《供应商须知前附表》</w:t>
      </w:r>
    </w:p>
    <w:p w14:paraId="2408796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20.5提交响应文件的供应商，随机抽取谈判顺序，供应商按照“政采云”平台的顺序进行谈判、承诺及最后报价，操作流程详见公告附件供应商操作指南。供应商如果未进行最后报价的，则按照第一次报价进行评审。</w:t>
      </w:r>
    </w:p>
    <w:p w14:paraId="71AF443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20.6谈判小组认为供应商的报价明显低于其他通过实质性审查供应商的报价，有可能影响产品质量或者不能诚信履约的，将要求其在评标现场合理的时间内提供书面说明，必要时提交相关证明材料；供应商不能证明其报价合理性的，谈判小组将认定供应商响应文件无效。</w:t>
      </w:r>
    </w:p>
    <w:p w14:paraId="3845781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20.7报价货币为人民币。</w:t>
      </w:r>
    </w:p>
    <w:p w14:paraId="15A537D4">
      <w:pPr>
        <w:keepNext w:val="0"/>
        <w:keepLines w:val="0"/>
        <w:pageBreakBefore w:val="0"/>
        <w:widowControl w:val="0"/>
        <w:tabs>
          <w:tab w:val="left" w:pos="3150"/>
          <w:tab w:val="center" w:pos="4734"/>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24"/>
          <w:highlight w:val="none"/>
        </w:rPr>
      </w:pPr>
      <w:r>
        <w:rPr>
          <w:rFonts w:hint="eastAsia" w:ascii="宋体" w:hAnsi="宋体" w:cs="宋体"/>
          <w:b/>
          <w:sz w:val="24"/>
          <w:highlight w:val="none"/>
        </w:rPr>
        <w:t>四、提交响应文件</w:t>
      </w:r>
    </w:p>
    <w:p w14:paraId="5ED88D9C">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21.响应文件的密封和标记</w:t>
      </w:r>
    </w:p>
    <w:p w14:paraId="44D59BDE">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21.1按照“政采云”平台的要求编制、加密后在响应文件提交截止时间前上传至“政采云”平台，响应文件提交截止时间前未完成响应文件上传的，视为撤回响应文件。</w:t>
      </w:r>
    </w:p>
    <w:p w14:paraId="26EBAF39">
      <w:pPr>
        <w:autoSpaceDE w:val="0"/>
        <w:autoSpaceDN w:val="0"/>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22.响应文件的提交</w:t>
      </w:r>
    </w:p>
    <w:p w14:paraId="78D13C62">
      <w:pPr>
        <w:adjustRightInd w:val="0"/>
        <w:snapToGrid w:val="0"/>
        <w:spacing w:line="360" w:lineRule="auto"/>
        <w:ind w:firstLine="420" w:firstLineChars="200"/>
        <w:jc w:val="left"/>
        <w:rPr>
          <w:rFonts w:ascii="宋体" w:hAnsi="宋体" w:cs="宋体"/>
          <w:szCs w:val="21"/>
          <w:highlight w:val="none"/>
        </w:rPr>
      </w:pPr>
      <w:bookmarkStart w:id="94" w:name="_Toc296602445"/>
      <w:r>
        <w:rPr>
          <w:rFonts w:hint="eastAsia" w:ascii="宋体" w:hAnsi="宋体" w:cs="宋体"/>
          <w:szCs w:val="21"/>
          <w:highlight w:val="none"/>
        </w:rPr>
        <w:t>22.1响应文件提</w:t>
      </w:r>
      <w:bookmarkEnd w:id="94"/>
      <w:r>
        <w:rPr>
          <w:rFonts w:hint="eastAsia" w:ascii="宋体" w:hAnsi="宋体" w:cs="宋体"/>
          <w:szCs w:val="21"/>
          <w:highlight w:val="none"/>
        </w:rPr>
        <w:t>交截止时间、提交响应文件的地点：详见《供应商须知前附表》</w:t>
      </w:r>
    </w:p>
    <w:p w14:paraId="2255008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22.2除《供应商须知前附表》另有规定外，供应商所提交的响应文件不予退还。</w:t>
      </w:r>
    </w:p>
    <w:p w14:paraId="4ACCD7A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22.3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EF506E9">
      <w:pPr>
        <w:tabs>
          <w:tab w:val="left" w:pos="105"/>
          <w:tab w:val="left" w:pos="945"/>
          <w:tab w:val="left" w:pos="3360"/>
        </w:tabs>
        <w:adjustRightInd w:val="0"/>
        <w:snapToGrid w:val="0"/>
        <w:spacing w:line="360" w:lineRule="auto"/>
        <w:ind w:firstLine="482"/>
        <w:rPr>
          <w:rFonts w:ascii="宋体" w:hAnsi="宋体" w:cs="宋体"/>
          <w:b/>
          <w:bCs/>
          <w:sz w:val="24"/>
          <w:highlight w:val="none"/>
        </w:rPr>
      </w:pPr>
      <w:r>
        <w:rPr>
          <w:rFonts w:hint="eastAsia" w:ascii="宋体" w:hAnsi="宋体" w:cs="宋体"/>
          <w:b/>
          <w:bCs/>
          <w:sz w:val="24"/>
          <w:highlight w:val="none"/>
        </w:rPr>
        <w:t>23.响应文件的补充、修改或者撤回</w:t>
      </w:r>
    </w:p>
    <w:p w14:paraId="29F5E6C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2031B2E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23.2供应商在提交截止时间前撤回已提交的响应文件的，采购人或者采购代理机构将自收到供应商书面撤回通知之日起5个工作日内，退还已收取的谈判保证金，但因供应商自身原因导致无法及时退还的除外。</w:t>
      </w:r>
    </w:p>
    <w:p w14:paraId="37E21222">
      <w:pPr>
        <w:keepNext w:val="0"/>
        <w:keepLines w:val="0"/>
        <w:pageBreakBefore w:val="0"/>
        <w:widowControl w:val="0"/>
        <w:tabs>
          <w:tab w:val="left" w:pos="3150"/>
          <w:tab w:val="center" w:pos="4734"/>
        </w:tabs>
        <w:kinsoku/>
        <w:wordWrap/>
        <w:overflowPunct/>
        <w:topLinePunct w:val="0"/>
        <w:autoSpaceDE/>
        <w:autoSpaceDN/>
        <w:bidi w:val="0"/>
        <w:adjustRightInd w:val="0"/>
        <w:snapToGrid w:val="0"/>
        <w:spacing w:line="360" w:lineRule="auto"/>
        <w:ind w:firstLine="0" w:firstLineChars="0"/>
        <w:jc w:val="center"/>
        <w:textAlignment w:val="auto"/>
        <w:rPr>
          <w:rFonts w:ascii="宋体" w:hAnsi="宋体" w:cs="宋体"/>
          <w:b/>
          <w:sz w:val="24"/>
          <w:highlight w:val="none"/>
        </w:rPr>
      </w:pPr>
      <w:r>
        <w:rPr>
          <w:rFonts w:hint="eastAsia" w:ascii="宋体" w:hAnsi="宋体" w:cs="宋体"/>
          <w:b/>
          <w:sz w:val="24"/>
          <w:highlight w:val="none"/>
        </w:rPr>
        <w:t>五、谈判</w:t>
      </w:r>
    </w:p>
    <w:p w14:paraId="02B8DE9E">
      <w:pPr>
        <w:adjustRightInd w:val="0"/>
        <w:snapToGrid w:val="0"/>
        <w:spacing w:line="360" w:lineRule="auto"/>
        <w:ind w:firstLine="482"/>
        <w:rPr>
          <w:rFonts w:ascii="宋体" w:hAnsi="宋体" w:cs="宋体"/>
          <w:b/>
          <w:sz w:val="24"/>
          <w:highlight w:val="none"/>
        </w:rPr>
      </w:pPr>
      <w:r>
        <w:rPr>
          <w:rFonts w:hint="eastAsia" w:ascii="宋体" w:hAnsi="宋体" w:cs="宋体"/>
          <w:b/>
          <w:bCs/>
          <w:sz w:val="24"/>
          <w:highlight w:val="none"/>
        </w:rPr>
        <w:t>24.</w:t>
      </w:r>
      <w:r>
        <w:rPr>
          <w:rFonts w:hint="eastAsia" w:ascii="宋体" w:hAnsi="宋体" w:cs="宋体"/>
          <w:b/>
          <w:sz w:val="24"/>
          <w:highlight w:val="none"/>
        </w:rPr>
        <w:t>谈判小组</w:t>
      </w:r>
    </w:p>
    <w:p w14:paraId="32CCE11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24.1谈判小组将在规定的时间和地点进行谈判，供应商的法定代表人或委托代理人应按时参加。</w:t>
      </w:r>
    </w:p>
    <w:p w14:paraId="26040B6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24.2谈判小组由采购人依法组建，谈判由谈判小组负责。谈判小组由采购人代表和评审专家共3人以上单数组成，其中评审专家人数不得少于谈判小组成员总数的2/3。谈判小组应当推选组长，但采购人代表不得担任组长。</w:t>
      </w:r>
    </w:p>
    <w:p w14:paraId="1CDC985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24.3谈判小组成员人数及名单在谈判结束之前保密。</w:t>
      </w:r>
    </w:p>
    <w:p w14:paraId="4FBBF9E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24.4采购人委派代表参加谈判会议的，要向采购代理机构出具授权函。</w:t>
      </w:r>
    </w:p>
    <w:p w14:paraId="31F720D1">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24.5评审方法：从质量和服务均能满足采购文件实质性响应要求的供应商中，按照最后报价（符合中小企业划分标准或残疾人福利性单位的用扣除后的价格参与评审）由低到高的顺序提出3名以上成交候选人。</w:t>
      </w:r>
    </w:p>
    <w:p w14:paraId="7E017731">
      <w:pPr>
        <w:tabs>
          <w:tab w:val="left" w:pos="7980"/>
        </w:tabs>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24.6谈判小组根据竞争性谈判文件规定的谈判程序和方法对各供应商的响应文件进行评审，从质量和服务均能满足采购文件实质性响应要求的供应商中，按照最后报价</w:t>
      </w:r>
      <w:r>
        <w:rPr>
          <w:rFonts w:hint="eastAsia" w:ascii="宋体" w:hAnsi="宋体" w:cs="宋体"/>
          <w:highlight w:val="none"/>
        </w:rPr>
        <w:t>（符合中小企业划分标准或残疾人福利性单位的用扣除后的价格参与评审）</w:t>
      </w:r>
      <w:r>
        <w:rPr>
          <w:rFonts w:hint="eastAsia" w:ascii="宋体" w:hAnsi="宋体" w:cs="宋体"/>
          <w:szCs w:val="21"/>
          <w:highlight w:val="none"/>
        </w:rPr>
        <w:t>由低到高的顺序提出3名以上成交候选人，最后报价相同的，按照节能产品、环境标志产品、技术指标优劣顺序推荐，并编写评审报告。</w:t>
      </w:r>
    </w:p>
    <w:p w14:paraId="2F21844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24.7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DCC9DD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24.8谈判小组要求供应商澄清、说明或者更正响应文件应当以书面形式作出。供应商的澄清、说明或者更正应当由法定代表人或授权代表签字或者加盖公章。由授权代表签字的，应当附法定代表人授权书。供应商为自然人的，应当由本人签字并附身份证明。</w:t>
      </w:r>
    </w:p>
    <w:p w14:paraId="5FE644A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24.9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14:paraId="43A6810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w:t>
      </w:r>
      <w:bookmarkStart w:id="95" w:name="_Toc432106496"/>
      <w:bookmarkStart w:id="96" w:name="_Toc383175297"/>
      <w:bookmarkStart w:id="97" w:name="_Toc482343747"/>
      <w:bookmarkStart w:id="98" w:name="_Toc383175495"/>
      <w:bookmarkStart w:id="99" w:name="_Toc378499713"/>
      <w:bookmarkStart w:id="100" w:name="_Toc383175073"/>
      <w:bookmarkStart w:id="101" w:name="_Toc470507061"/>
      <w:bookmarkStart w:id="102" w:name="_Toc432194847"/>
      <w:r>
        <w:rPr>
          <w:rFonts w:hint="eastAsia" w:ascii="宋体" w:hAnsi="宋体" w:cs="宋体"/>
          <w:szCs w:val="21"/>
          <w:highlight w:val="none"/>
        </w:rPr>
        <w:t>10谈判小组发现谈判文件存在歧义、重大缺陷导致评审工作无法进行，或者谈判文件内容违反国家有关规定的，要停止评审工作并向采购人或采购代理机构书面说明情况，采购人或采购代理机构应当修改谈判文件后重新组织采购活动；发现供应商提供虚假材料、串通等违法违规行为的，要及时向采购人或采购代理机构报告。</w:t>
      </w:r>
      <w:bookmarkEnd w:id="95"/>
      <w:bookmarkEnd w:id="96"/>
      <w:bookmarkEnd w:id="97"/>
      <w:bookmarkEnd w:id="98"/>
      <w:bookmarkEnd w:id="99"/>
      <w:bookmarkEnd w:id="100"/>
      <w:bookmarkEnd w:id="101"/>
      <w:bookmarkEnd w:id="102"/>
    </w:p>
    <w:p w14:paraId="6075576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24.11出现下列情形之一的，将终止竞争性谈判采购活动，并发布项目终止公告并说明原因，重新开展采购活动：</w:t>
      </w:r>
    </w:p>
    <w:p w14:paraId="22194A4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（一）因情况变化，不再符合规定的竞争性谈判采购方式适用情形的；</w:t>
      </w:r>
    </w:p>
    <w:p w14:paraId="14D4897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（二）出现影响采购公正的违法、违规行为的；</w:t>
      </w:r>
    </w:p>
    <w:p w14:paraId="27F746A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（三）在采购过程中符合竞争要求的供应商或者报价未超过采购预算的供应商不足3家的</w:t>
      </w:r>
      <w:r>
        <w:rPr>
          <w:rFonts w:hint="eastAsia" w:ascii="宋体" w:hAnsi="宋体" w:cs="宋体"/>
          <w:highlight w:val="none"/>
        </w:rPr>
        <w:t>，但技术复杂或者性质特殊，不能确定详细规格或者具体要求的除外</w:t>
      </w:r>
      <w:r>
        <w:rPr>
          <w:rFonts w:hint="eastAsia" w:ascii="宋体" w:hAnsi="宋体" w:cs="宋体"/>
          <w:szCs w:val="21"/>
          <w:highlight w:val="none"/>
        </w:rPr>
        <w:t>。</w:t>
      </w:r>
    </w:p>
    <w:p w14:paraId="60B84744">
      <w:pPr>
        <w:keepNext w:val="0"/>
        <w:keepLines w:val="0"/>
        <w:pageBreakBefore w:val="0"/>
        <w:widowControl w:val="0"/>
        <w:tabs>
          <w:tab w:val="left" w:pos="3150"/>
          <w:tab w:val="center" w:pos="4734"/>
        </w:tabs>
        <w:kinsoku/>
        <w:wordWrap/>
        <w:overflowPunct/>
        <w:topLinePunct w:val="0"/>
        <w:autoSpaceDE/>
        <w:autoSpaceDN/>
        <w:bidi w:val="0"/>
        <w:adjustRightInd w:val="0"/>
        <w:snapToGrid w:val="0"/>
        <w:spacing w:line="360" w:lineRule="auto"/>
        <w:ind w:firstLine="0" w:firstLineChars="0"/>
        <w:jc w:val="center"/>
        <w:textAlignment w:val="auto"/>
        <w:rPr>
          <w:rFonts w:ascii="宋体" w:hAnsi="宋体" w:cs="宋体"/>
          <w:b/>
          <w:sz w:val="24"/>
          <w:highlight w:val="none"/>
        </w:rPr>
      </w:pPr>
      <w:r>
        <w:rPr>
          <w:rFonts w:hint="eastAsia" w:ascii="宋体" w:hAnsi="宋体" w:cs="宋体"/>
          <w:b/>
          <w:sz w:val="24"/>
          <w:highlight w:val="none"/>
        </w:rPr>
        <w:t>六、成交结果</w:t>
      </w:r>
    </w:p>
    <w:p w14:paraId="24136116">
      <w:pPr>
        <w:adjustRightInd w:val="0"/>
        <w:snapToGrid w:val="0"/>
        <w:spacing w:line="360" w:lineRule="auto"/>
        <w:ind w:firstLine="117" w:firstLineChars="49"/>
        <w:rPr>
          <w:rFonts w:ascii="宋体" w:hAnsi="宋体" w:cs="宋体"/>
          <w:b/>
          <w:sz w:val="24"/>
          <w:highlight w:val="none"/>
        </w:rPr>
      </w:pPr>
      <w:r>
        <w:rPr>
          <w:rFonts w:hint="eastAsia" w:ascii="宋体" w:hAnsi="宋体" w:cs="宋体"/>
          <w:b/>
          <w:sz w:val="24"/>
          <w:highlight w:val="none"/>
        </w:rPr>
        <w:t>25.成交供应商的确定</w:t>
      </w:r>
    </w:p>
    <w:p w14:paraId="28ED78F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25.1采购代理机构在评审结束后2个工作日内将评审报告送采购人确认。</w:t>
      </w:r>
    </w:p>
    <w:p w14:paraId="58F5A6F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25.2采购人应当在收到评审报告后5个工作日内，从评审报告提出的成交候选人中，按照排序由高到低的原则确定成交供应商。</w:t>
      </w:r>
    </w:p>
    <w:p w14:paraId="124028B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25.3采购代理机构无义务向未成交供应商解释未成交原因和退回响应文件。</w:t>
      </w:r>
    </w:p>
    <w:p w14:paraId="73E6F885">
      <w:pPr>
        <w:adjustRightInd w:val="0"/>
        <w:snapToGrid w:val="0"/>
        <w:spacing w:line="360" w:lineRule="auto"/>
        <w:ind w:firstLine="117" w:firstLineChars="49"/>
        <w:rPr>
          <w:rFonts w:ascii="宋体" w:hAnsi="宋体" w:cs="宋体"/>
          <w:b/>
          <w:sz w:val="24"/>
          <w:highlight w:val="none"/>
        </w:rPr>
      </w:pPr>
      <w:bookmarkStart w:id="103" w:name="_Toc320890573"/>
      <w:bookmarkStart w:id="104" w:name="_Toc112595555"/>
      <w:bookmarkStart w:id="105" w:name="_Toc497127308"/>
      <w:r>
        <w:rPr>
          <w:rFonts w:hint="eastAsia" w:ascii="宋体" w:hAnsi="宋体" w:cs="宋体"/>
          <w:b/>
          <w:sz w:val="24"/>
          <w:highlight w:val="none"/>
        </w:rPr>
        <w:t>26</w:t>
      </w:r>
      <w:bookmarkEnd w:id="103"/>
      <w:bookmarkEnd w:id="104"/>
      <w:bookmarkEnd w:id="105"/>
      <w:r>
        <w:rPr>
          <w:rFonts w:hint="eastAsia" w:ascii="宋体" w:hAnsi="宋体" w:cs="宋体"/>
          <w:b/>
          <w:sz w:val="24"/>
          <w:highlight w:val="none"/>
        </w:rPr>
        <w:t>.成交通知书</w:t>
      </w:r>
    </w:p>
    <w:p w14:paraId="1063E51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26.1成交供应商确定之日起2个工作日内，采购代理机构向成交供应商发出成交通知书，并在财政部门指定的政府采购信息发布媒体上公告成交结果。成交公告期限为1个工作日。</w:t>
      </w:r>
    </w:p>
    <w:p w14:paraId="3CE573F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26.2成交通知书是合同的一个组成部分。</w:t>
      </w:r>
    </w:p>
    <w:p w14:paraId="737374FD">
      <w:pPr>
        <w:adjustRightInd w:val="0"/>
        <w:snapToGrid w:val="0"/>
        <w:spacing w:line="360" w:lineRule="auto"/>
        <w:ind w:firstLine="117" w:firstLineChars="49"/>
        <w:rPr>
          <w:rFonts w:ascii="宋体" w:hAnsi="宋体" w:cs="宋体"/>
          <w:b/>
          <w:sz w:val="24"/>
          <w:highlight w:val="none"/>
        </w:rPr>
      </w:pPr>
      <w:r>
        <w:rPr>
          <w:rFonts w:hint="eastAsia" w:ascii="宋体" w:hAnsi="宋体" w:cs="宋体"/>
          <w:b/>
          <w:sz w:val="24"/>
          <w:highlight w:val="none"/>
        </w:rPr>
        <w:t>27.签订合同</w:t>
      </w:r>
    </w:p>
    <w:p w14:paraId="6FA1781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27.1采购人与成交供应商应当在成交通知书发出之日起30日内，按照谈判文件确定的合同文本以及采购标的、规格型号、采购金额、采购数量、技术和服务要求等事项签订政府采购合同。</w:t>
      </w:r>
    </w:p>
    <w:p w14:paraId="654C857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27.2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p>
    <w:p w14:paraId="53B2B12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27.3除采购人与成交供应商在合同中另行商定将中标项目的非主体、非关键性工作分包的，成交供应商在中标后将中标项目分包的，采购人取消其中标资格，其谈判保证金不予退还；给采购人造成的损失超过谈判保证金数额的，成交供应商还应当对超过部分予以赔偿。</w:t>
      </w:r>
    </w:p>
    <w:p w14:paraId="20FE990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61DED7A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27.5除不可抗力等因素外，成交通知书发出后，采购人改变成交结果，或者成交供应商拒绝签订政府采购合同的，应当承担相应的法律责任。</w:t>
      </w:r>
    </w:p>
    <w:p w14:paraId="52033C9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27.6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05F6FC96">
      <w:pPr>
        <w:adjustRightInd w:val="0"/>
        <w:snapToGrid w:val="0"/>
        <w:spacing w:line="360" w:lineRule="auto"/>
        <w:ind w:firstLine="482"/>
        <w:rPr>
          <w:rFonts w:ascii="宋体" w:hAnsi="宋体" w:cs="宋体"/>
          <w:b/>
          <w:sz w:val="24"/>
          <w:highlight w:val="none"/>
        </w:rPr>
      </w:pPr>
      <w:bookmarkStart w:id="106" w:name="_Toc296602459"/>
      <w:bookmarkStart w:id="107" w:name="_Toc247085727"/>
      <w:bookmarkStart w:id="108" w:name="_Toc144974537"/>
      <w:bookmarkStart w:id="109" w:name="_Toc179632587"/>
      <w:bookmarkStart w:id="110" w:name="_Toc152042345"/>
      <w:bookmarkStart w:id="111" w:name="_Toc488184244"/>
      <w:bookmarkStart w:id="112" w:name="_Toc246996956"/>
      <w:bookmarkStart w:id="113" w:name="_Toc152045569"/>
      <w:bookmarkStart w:id="114" w:name="_Toc246996213"/>
      <w:bookmarkStart w:id="115" w:name="_Toc461115644"/>
      <w:r>
        <w:rPr>
          <w:rFonts w:hint="eastAsia" w:ascii="宋体" w:hAnsi="宋体" w:cs="宋体"/>
          <w:b/>
          <w:sz w:val="24"/>
          <w:highlight w:val="none"/>
        </w:rPr>
        <w:t>28</w:t>
      </w:r>
      <w:bookmarkEnd w:id="106"/>
      <w:bookmarkEnd w:id="107"/>
      <w:bookmarkEnd w:id="108"/>
      <w:bookmarkEnd w:id="109"/>
      <w:bookmarkEnd w:id="110"/>
      <w:bookmarkEnd w:id="111"/>
      <w:bookmarkEnd w:id="112"/>
      <w:bookmarkEnd w:id="113"/>
      <w:bookmarkEnd w:id="114"/>
      <w:bookmarkEnd w:id="115"/>
      <w:bookmarkStart w:id="116" w:name="_Toc482343752"/>
      <w:r>
        <w:rPr>
          <w:rFonts w:hint="eastAsia" w:ascii="宋体" w:hAnsi="宋体" w:cs="宋体"/>
          <w:b/>
          <w:sz w:val="24"/>
          <w:highlight w:val="none"/>
        </w:rPr>
        <w:t>.履约保证金</w:t>
      </w:r>
      <w:bookmarkEnd w:id="116"/>
    </w:p>
    <w:p w14:paraId="0BA584B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28.1成交供应商应向采购人提交履约保证金，履约保证金递交的金额及形式详见《供应商须知前附表》。</w:t>
      </w:r>
    </w:p>
    <w:p w14:paraId="77A8205E">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28.2签订合同后，除因不可抗力或谈判文件认可的情形以外，成交供应商不与采购人签订合同的，视为自动放弃，采购人将没收其全部谈判保证金，谈判保证金不足以赔偿损失的，按实际损失赔偿。</w:t>
      </w:r>
    </w:p>
    <w:p w14:paraId="589716A2">
      <w:pPr>
        <w:adjustRightInd w:val="0"/>
        <w:snapToGrid w:val="0"/>
        <w:spacing w:line="360" w:lineRule="auto"/>
        <w:ind w:firstLine="482"/>
        <w:rPr>
          <w:rFonts w:ascii="宋体" w:hAnsi="宋体" w:cs="宋体"/>
          <w:b/>
          <w:sz w:val="24"/>
          <w:highlight w:val="none"/>
        </w:rPr>
      </w:pPr>
      <w:r>
        <w:rPr>
          <w:rFonts w:hint="eastAsia" w:ascii="宋体" w:hAnsi="宋体" w:cs="宋体"/>
          <w:b/>
          <w:sz w:val="24"/>
          <w:highlight w:val="none"/>
        </w:rPr>
        <w:t>29.采购代理服务费</w:t>
      </w:r>
    </w:p>
    <w:p w14:paraId="6B12F46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29.1采购代理服务费参照国家计委[2002]1980号文件规定的收费标准及国家发展和改革委员会发改办价格[2003]857号文规定的货物类收费标准下浮30%收取（计算基准价为成交金额），此费用包含在成交人报价中</w:t>
      </w:r>
      <w:r>
        <w:rPr>
          <w:rFonts w:hint="eastAsia" w:cs="宋体"/>
          <w:szCs w:val="21"/>
          <w:highlight w:val="none"/>
        </w:rPr>
        <w:t>。</w:t>
      </w:r>
    </w:p>
    <w:tbl>
      <w:tblPr>
        <w:tblStyle w:val="38"/>
        <w:tblW w:w="801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1984"/>
        <w:gridCol w:w="1984"/>
        <w:gridCol w:w="1969"/>
      </w:tblGrid>
      <w:tr w14:paraId="49DB48B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2082" w:type="dxa"/>
            <w:vMerge w:val="restart"/>
            <w:tcBorders>
              <w:tl2br w:val="nil"/>
              <w:tr2bl w:val="nil"/>
            </w:tcBorders>
            <w:vAlign w:val="center"/>
          </w:tcPr>
          <w:p w14:paraId="193C9A99">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成交金额</w:t>
            </w:r>
          </w:p>
          <w:p w14:paraId="3A59227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（万元）</w:t>
            </w:r>
          </w:p>
        </w:tc>
        <w:tc>
          <w:tcPr>
            <w:tcW w:w="5937" w:type="dxa"/>
            <w:gridSpan w:val="3"/>
            <w:tcBorders>
              <w:tl2br w:val="nil"/>
              <w:tr2bl w:val="nil"/>
            </w:tcBorders>
            <w:vAlign w:val="center"/>
          </w:tcPr>
          <w:p w14:paraId="59D6606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收费标准</w:t>
            </w:r>
          </w:p>
        </w:tc>
      </w:tr>
      <w:tr w14:paraId="7694B19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2082" w:type="dxa"/>
            <w:vMerge w:val="continue"/>
            <w:tcBorders>
              <w:tl2br w:val="nil"/>
              <w:tr2bl w:val="nil"/>
            </w:tcBorders>
            <w:vAlign w:val="center"/>
          </w:tcPr>
          <w:p w14:paraId="31FB7E49">
            <w:pPr>
              <w:adjustRightInd w:val="0"/>
              <w:snapToGrid w:val="0"/>
              <w:spacing w:line="360" w:lineRule="auto"/>
              <w:jc w:val="center"/>
              <w:rPr>
                <w:rFonts w:ascii="宋体" w:hAnsi="宋体" w:cs="宋体"/>
                <w:kern w:val="0"/>
                <w:szCs w:val="21"/>
                <w:highlight w:val="none"/>
              </w:rPr>
            </w:pPr>
          </w:p>
        </w:tc>
        <w:tc>
          <w:tcPr>
            <w:tcW w:w="1984" w:type="dxa"/>
            <w:tcBorders>
              <w:tl2br w:val="nil"/>
              <w:tr2bl w:val="nil"/>
            </w:tcBorders>
            <w:shd w:val="clear" w:color="auto" w:fill="FFFFFF"/>
            <w:vAlign w:val="center"/>
          </w:tcPr>
          <w:p w14:paraId="6C7F1DBB">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货物招标</w:t>
            </w:r>
          </w:p>
        </w:tc>
        <w:tc>
          <w:tcPr>
            <w:tcW w:w="1984" w:type="dxa"/>
            <w:tcBorders>
              <w:tl2br w:val="nil"/>
              <w:tr2bl w:val="nil"/>
            </w:tcBorders>
            <w:vAlign w:val="center"/>
          </w:tcPr>
          <w:p w14:paraId="28EB44A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服务招标</w:t>
            </w:r>
          </w:p>
        </w:tc>
        <w:tc>
          <w:tcPr>
            <w:tcW w:w="1969" w:type="dxa"/>
            <w:tcBorders>
              <w:tl2br w:val="nil"/>
              <w:tr2bl w:val="nil"/>
            </w:tcBorders>
            <w:vAlign w:val="center"/>
          </w:tcPr>
          <w:p w14:paraId="750A1A3C">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工程招标</w:t>
            </w:r>
          </w:p>
        </w:tc>
      </w:tr>
      <w:tr w14:paraId="2D4DD9A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2D68E0BD">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100以下</w:t>
            </w:r>
          </w:p>
        </w:tc>
        <w:tc>
          <w:tcPr>
            <w:tcW w:w="1984" w:type="dxa"/>
            <w:tcBorders>
              <w:tl2br w:val="nil"/>
              <w:tr2bl w:val="nil"/>
            </w:tcBorders>
            <w:shd w:val="clear" w:color="auto" w:fill="FFFFFF"/>
          </w:tcPr>
          <w:p w14:paraId="767F97DB">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1.5%</w:t>
            </w:r>
          </w:p>
        </w:tc>
        <w:tc>
          <w:tcPr>
            <w:tcW w:w="1984" w:type="dxa"/>
            <w:tcBorders>
              <w:tl2br w:val="nil"/>
              <w:tr2bl w:val="nil"/>
            </w:tcBorders>
          </w:tcPr>
          <w:p w14:paraId="6D50D6C6">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1.5%</w:t>
            </w:r>
          </w:p>
        </w:tc>
        <w:tc>
          <w:tcPr>
            <w:tcW w:w="1969" w:type="dxa"/>
            <w:tcBorders>
              <w:tl2br w:val="nil"/>
              <w:tr2bl w:val="nil"/>
            </w:tcBorders>
          </w:tcPr>
          <w:p w14:paraId="07F9BF5C">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1.0%</w:t>
            </w:r>
          </w:p>
        </w:tc>
      </w:tr>
      <w:tr w14:paraId="606EECD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4DD5B27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100—500</w:t>
            </w:r>
          </w:p>
        </w:tc>
        <w:tc>
          <w:tcPr>
            <w:tcW w:w="1984" w:type="dxa"/>
            <w:tcBorders>
              <w:tl2br w:val="nil"/>
              <w:tr2bl w:val="nil"/>
            </w:tcBorders>
            <w:shd w:val="clear" w:color="auto" w:fill="FFFFFF"/>
          </w:tcPr>
          <w:p w14:paraId="79982D7E">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1.1%</w:t>
            </w:r>
          </w:p>
        </w:tc>
        <w:tc>
          <w:tcPr>
            <w:tcW w:w="1984" w:type="dxa"/>
            <w:tcBorders>
              <w:tl2br w:val="nil"/>
              <w:tr2bl w:val="nil"/>
            </w:tcBorders>
          </w:tcPr>
          <w:p w14:paraId="791E1BB0">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0.8%</w:t>
            </w:r>
          </w:p>
        </w:tc>
        <w:tc>
          <w:tcPr>
            <w:tcW w:w="1969" w:type="dxa"/>
            <w:tcBorders>
              <w:tl2br w:val="nil"/>
              <w:tr2bl w:val="nil"/>
            </w:tcBorders>
          </w:tcPr>
          <w:p w14:paraId="4F42EA0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0.7%</w:t>
            </w:r>
          </w:p>
        </w:tc>
      </w:tr>
      <w:tr w14:paraId="1143339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1E0FF58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500—1000</w:t>
            </w:r>
          </w:p>
        </w:tc>
        <w:tc>
          <w:tcPr>
            <w:tcW w:w="1984" w:type="dxa"/>
            <w:tcBorders>
              <w:tl2br w:val="nil"/>
              <w:tr2bl w:val="nil"/>
            </w:tcBorders>
            <w:shd w:val="clear" w:color="auto" w:fill="FFFFFF"/>
          </w:tcPr>
          <w:p w14:paraId="52CC88F0">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0.8%</w:t>
            </w:r>
          </w:p>
        </w:tc>
        <w:tc>
          <w:tcPr>
            <w:tcW w:w="1984" w:type="dxa"/>
            <w:tcBorders>
              <w:tl2br w:val="nil"/>
              <w:tr2bl w:val="nil"/>
            </w:tcBorders>
          </w:tcPr>
          <w:p w14:paraId="7C31C31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0.45%</w:t>
            </w:r>
          </w:p>
        </w:tc>
        <w:tc>
          <w:tcPr>
            <w:tcW w:w="1969" w:type="dxa"/>
            <w:tcBorders>
              <w:tl2br w:val="nil"/>
              <w:tr2bl w:val="nil"/>
            </w:tcBorders>
          </w:tcPr>
          <w:p w14:paraId="77112903">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0.55%</w:t>
            </w:r>
          </w:p>
        </w:tc>
      </w:tr>
      <w:tr w14:paraId="1A455EC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48132D5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1000—5000</w:t>
            </w:r>
          </w:p>
        </w:tc>
        <w:tc>
          <w:tcPr>
            <w:tcW w:w="1984" w:type="dxa"/>
            <w:tcBorders>
              <w:tl2br w:val="nil"/>
              <w:tr2bl w:val="nil"/>
            </w:tcBorders>
            <w:shd w:val="clear" w:color="auto" w:fill="FFFFFF"/>
          </w:tcPr>
          <w:p w14:paraId="6AF5B652">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0.5%</w:t>
            </w:r>
          </w:p>
        </w:tc>
        <w:tc>
          <w:tcPr>
            <w:tcW w:w="1984" w:type="dxa"/>
            <w:tcBorders>
              <w:tl2br w:val="nil"/>
              <w:tr2bl w:val="nil"/>
            </w:tcBorders>
          </w:tcPr>
          <w:p w14:paraId="6D49D24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0.25%</w:t>
            </w:r>
          </w:p>
        </w:tc>
        <w:tc>
          <w:tcPr>
            <w:tcW w:w="1969" w:type="dxa"/>
            <w:tcBorders>
              <w:tl2br w:val="nil"/>
              <w:tr2bl w:val="nil"/>
            </w:tcBorders>
          </w:tcPr>
          <w:p w14:paraId="61293563">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0.35%</w:t>
            </w:r>
          </w:p>
        </w:tc>
      </w:tr>
      <w:tr w14:paraId="105F596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82" w:type="dxa"/>
            <w:tcBorders>
              <w:tl2br w:val="nil"/>
              <w:tr2bl w:val="nil"/>
            </w:tcBorders>
          </w:tcPr>
          <w:p w14:paraId="2B523FD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5000—10000</w:t>
            </w:r>
          </w:p>
        </w:tc>
        <w:tc>
          <w:tcPr>
            <w:tcW w:w="1984" w:type="dxa"/>
            <w:tcBorders>
              <w:tl2br w:val="nil"/>
              <w:tr2bl w:val="nil"/>
            </w:tcBorders>
            <w:shd w:val="clear" w:color="auto" w:fill="FFFFFF"/>
          </w:tcPr>
          <w:p w14:paraId="10BC4E44">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0.25%</w:t>
            </w:r>
          </w:p>
        </w:tc>
        <w:tc>
          <w:tcPr>
            <w:tcW w:w="1984" w:type="dxa"/>
            <w:tcBorders>
              <w:tl2br w:val="nil"/>
              <w:tr2bl w:val="nil"/>
            </w:tcBorders>
          </w:tcPr>
          <w:p w14:paraId="33BA39F4">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0.1%</w:t>
            </w:r>
          </w:p>
        </w:tc>
        <w:tc>
          <w:tcPr>
            <w:tcW w:w="1969" w:type="dxa"/>
            <w:tcBorders>
              <w:tl2br w:val="nil"/>
              <w:tr2bl w:val="nil"/>
            </w:tcBorders>
          </w:tcPr>
          <w:p w14:paraId="33B30B5F">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0.2%</w:t>
            </w:r>
          </w:p>
        </w:tc>
      </w:tr>
    </w:tbl>
    <w:p w14:paraId="65BE5FF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备注：采购代理服务收费按差额定率累进法计算。</w:t>
      </w:r>
    </w:p>
    <w:p w14:paraId="0726A0B8">
      <w:pPr>
        <w:adjustRightInd w:val="0"/>
        <w:snapToGrid w:val="0"/>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29.2方式：现金、网银、电汇、支票、汇票等形式。</w:t>
      </w:r>
    </w:p>
    <w:p w14:paraId="3F7B982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val="en-US" w:eastAsia="zh-CN"/>
        </w:rPr>
        <w:t>29.3</w:t>
      </w:r>
      <w:r>
        <w:rPr>
          <w:rFonts w:hint="eastAsia" w:ascii="宋体" w:hAnsi="宋体" w:cs="宋体"/>
          <w:szCs w:val="21"/>
          <w:highlight w:val="none"/>
        </w:rPr>
        <w:t>成交供应商应在接受“成交通知书”时向采购代理机构一次付清采购代理服务费。</w:t>
      </w:r>
    </w:p>
    <w:p w14:paraId="49934001">
      <w:pPr>
        <w:adjustRightInd w:val="0"/>
        <w:snapToGrid w:val="0"/>
        <w:spacing w:line="360" w:lineRule="auto"/>
        <w:ind w:firstLine="482"/>
        <w:rPr>
          <w:rFonts w:ascii="宋体" w:hAnsi="宋体" w:cs="宋体"/>
          <w:b/>
          <w:sz w:val="24"/>
          <w:highlight w:val="none"/>
        </w:rPr>
      </w:pPr>
      <w:r>
        <w:rPr>
          <w:rFonts w:hint="eastAsia" w:ascii="宋体" w:hAnsi="宋体" w:cs="宋体"/>
          <w:b/>
          <w:sz w:val="24"/>
          <w:highlight w:val="none"/>
        </w:rPr>
        <w:t>30.谈判文件编制依据</w:t>
      </w:r>
    </w:p>
    <w:p w14:paraId="2400DE39">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30.1本谈判文件根据《中华人民共和国政府采购法》、《中华人民共和国政府采购法实施条例》、《政府采购非招标采购方式管理办法》等有关法律、法规进行编制，解释权属于采购人、采购代理机构。</w:t>
      </w:r>
    </w:p>
    <w:bookmarkEnd w:id="72"/>
    <w:p w14:paraId="0AEEF0C8">
      <w:pPr>
        <w:adjustRightInd w:val="0"/>
        <w:snapToGrid w:val="0"/>
        <w:spacing w:line="360" w:lineRule="auto"/>
        <w:ind w:firstLine="482"/>
        <w:rPr>
          <w:rFonts w:ascii="宋体" w:hAnsi="宋体" w:cs="宋体"/>
          <w:b/>
          <w:sz w:val="24"/>
          <w:highlight w:val="none"/>
        </w:rPr>
      </w:pPr>
      <w:r>
        <w:rPr>
          <w:rFonts w:hint="eastAsia" w:ascii="宋体" w:hAnsi="宋体" w:cs="宋体"/>
          <w:b/>
          <w:sz w:val="24"/>
          <w:highlight w:val="none"/>
        </w:rPr>
        <w:t>31.需要补充的其他内容</w:t>
      </w:r>
    </w:p>
    <w:p w14:paraId="717A194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31.1关于中小企业：</w:t>
      </w:r>
    </w:p>
    <w:p w14:paraId="6EC9E4C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4C6965C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31.1.2符合中小企业划分标准的个体工商户，在政府采购活动中视同中小企业。</w:t>
      </w:r>
    </w:p>
    <w:p w14:paraId="6993137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31.1.3在政府采购活动中，供应商提供的货物、工程或者服务符合下列情形的，享受《关于印发&lt;政府采购促进中小企业发展管理办法&gt;的通知》（财库〔2020〕46号）规定的中小企业扶持政策：</w:t>
      </w:r>
    </w:p>
    <w:p w14:paraId="0F83DFC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（一）在货物采购项目中，货物由中小企业制造，即货物由中小企业生产且使用该中小企业商号或者注册商标；</w:t>
      </w:r>
    </w:p>
    <w:p w14:paraId="06C8B70B">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（二）在工程采购项目中，工程由中小企业承建，即工程施工单位为中小企业；</w:t>
      </w:r>
    </w:p>
    <w:p w14:paraId="6D38036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（三）在服务采购项目中，服务由中小企业承接，即提供服务的人员为中小企业依照《中华人民共和国劳动合同法》订立劳动合同的从业人员。</w:t>
      </w:r>
    </w:p>
    <w:p w14:paraId="2DF2D49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31.1.4在货物采购项目中，供应商提供的货物既有中小企业制造货物，也有大型企业制造货物的，不享受本办法规定的中小企业扶持政策。</w:t>
      </w:r>
    </w:p>
    <w:p w14:paraId="420EEEF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31.1.5以联合体形式参加政府采购活动，联合体各方均为中小企业的，联合体视同中小企业。其中，联合体各方均为小微企业的，联合体视同小微企业。</w:t>
      </w:r>
    </w:p>
    <w:p w14:paraId="599CA77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31.1.6中小企业参加政府采购活动，应当出具《关于印发&lt;政府采购促进中小企业发展管理办法&gt;的通知》（财库〔2020〕46号）规定的《中小企业声明函》，否则不得享受相关中小企业扶持政策。</w:t>
      </w:r>
    </w:p>
    <w:p w14:paraId="4C988DC3">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31.1.7规定依据《关于印发&lt;政府采购促进中小企业发展管理办法&gt;的通知》（财库〔2020〕46号）规定享受扶持政策获得政府采购合同的，小微企业不得将合同分包给大中型企业，中型企业不得将合同分包给大型企业。</w:t>
      </w:r>
    </w:p>
    <w:p w14:paraId="2DB331F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31.1.8根据《关于印发《政府采购促进中小企业发展管理办法》的通知》（财库〔2020〕46号）的规定，本项目针对小微企业报价给予10%的扣除，用扣除后的价格参与评审。“标的名称”、“所属行业”详见第四章  响应文件格式。</w:t>
      </w:r>
    </w:p>
    <w:p w14:paraId="7DCAC24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31.1.9中标、成交供应商享受本办法规定的中小企业扶持政策的，采购人、采购代理机构将随中标、成交结果公开中标、成交供应商的《中小企业声明函》。</w:t>
      </w:r>
    </w:p>
    <w:p w14:paraId="1DDCCA5F">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31.2关于监狱企业：</w:t>
      </w:r>
    </w:p>
    <w:p w14:paraId="471BEFE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8AA6A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31.2.2监狱企业参加政府采购活动时，应当提供由省级以上监狱管理局、戒毒管理局（含新疆生产建设兵团）出具的属于监狱企业的证明文件。</w:t>
      </w:r>
    </w:p>
    <w:p w14:paraId="551B9A22">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31.2.3在政府采购活动中，监狱企业视同小型、微型企业，享受预留份额、评审中价格扣除等政府采购促进中小企业发展的政府采购政策。</w:t>
      </w:r>
    </w:p>
    <w:p w14:paraId="2568B6B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31.3关于残疾人福利性单位：</w:t>
      </w:r>
    </w:p>
    <w:p w14:paraId="7C8AFAC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31.3.1根据《三部门联合发布关于促进残疾人就业政府采购政策的通知》（财库〔2017〕141号）的规定，享受政府采购支持政策的残疾人福利性单位应当同时满足以下条件：</w:t>
      </w:r>
    </w:p>
    <w:p w14:paraId="54871A9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（一）安置的残疾人占本单位在职职工人数的比例不低于25%（含25%），并且安置的残疾人人数不少于10人（含10人）；</w:t>
      </w:r>
    </w:p>
    <w:p w14:paraId="59941A78">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（二）依法与安置的每位残疾人签订了一年以上（含一年）的劳动合同或服务协议；</w:t>
      </w:r>
    </w:p>
    <w:p w14:paraId="4045782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（三）为安置的每位残疾人按月足额缴纳了基本养老保险、基本医疗保险、失业保险、工伤保险和生育保险等社会保险费；</w:t>
      </w:r>
    </w:p>
    <w:p w14:paraId="316FFFB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（四）通过银行等金融机构向安置的每位残疾人，按月支付了不低于单位所在区县适用的经省级人民政府批准的月最低工资标准的工资；</w:t>
      </w:r>
    </w:p>
    <w:p w14:paraId="49ADB7D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（五）提供本单位制造的货物、承担的工程或者服务（以下简称产品），或者提供其他残疾人福利性单位制造的货物（不包括使用非残疾人福利性单位注册商标的货物）。</w:t>
      </w:r>
    </w:p>
    <w:p w14:paraId="17B78159">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59B44D6">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31.3.2符合条件的残疾人福利性单位在参加政府采购活动时，应当按《三部门联合发布关于促进残疾人就业政府采购政策的通知》（财库〔2017〕141号）提供规定的《残疾人福利性单位声明函》，并对声明的真实性负责。</w:t>
      </w:r>
    </w:p>
    <w:p w14:paraId="235B6A8C">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31.3.3本项目针对残疾人福利性单位价格给予10%的扣除，用扣除后的价格参与评审。残疾人福利性单位属于小型、微型企业的，不重复享受政策。</w:t>
      </w:r>
    </w:p>
    <w:p w14:paraId="3289D4C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31.4关于节能产品及环境标志产品：</w:t>
      </w:r>
    </w:p>
    <w:p w14:paraId="1B7FE3F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31.4.1根据《财政部 发展改革委 生态环境部 市场监管总局 关于调整优化节能产品、环境标志产品政府采购执行机制的通知》（财库〔2019〕9号），对政府采购节能产品、环境标志产品实施品目清单管理。</w:t>
      </w:r>
    </w:p>
    <w:p w14:paraId="7223ACA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31.4.2节能产品是指列入财政部和发展改革委公布的《关于印发节能产品政府采购品目清单的通知》（财库〔2019〕19号）《节能产品政府采购品目清单》中的产品，其中以“★”标注的为政府强制采购产品。</w:t>
      </w:r>
    </w:p>
    <w:p w14:paraId="5A3306B7">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31.4.3环境标志产品是指列入财政部和生态环境部公布的《关于印发环境标志产品政府采购品目清单的通知》（财库〔2019〕18号）《环境标志产品政府采购品目清单》中的产品。</w:t>
      </w:r>
    </w:p>
    <w:p w14:paraId="16C3231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31.4.4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3D4FDCB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31.4.5若供应商在响应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供应商自行承担。</w:t>
      </w:r>
    </w:p>
    <w:p w14:paraId="7EA55497">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 xml:space="preserve">31.5其它需要补充的其他内容：以下情况视为供应商同意撤回已上传系统的响应文件或其响应文件无效： </w:t>
      </w:r>
    </w:p>
    <w:p w14:paraId="52DE0309">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（1）政采云电子平台显示供应商未上传响应文件；</w:t>
      </w:r>
    </w:p>
    <w:p w14:paraId="27B7676A">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（2）因供应商原因上传的响应文件在开启文件时无法解密。</w:t>
      </w:r>
    </w:p>
    <w:p w14:paraId="3998E87B">
      <w:pPr>
        <w:rPr>
          <w:rFonts w:ascii="宋体" w:hAnsi="宋体" w:cs="宋体"/>
          <w:szCs w:val="21"/>
          <w:highlight w:val="none"/>
        </w:rPr>
      </w:pPr>
      <w:r>
        <w:rPr>
          <w:rFonts w:hint="eastAsia" w:ascii="宋体" w:hAnsi="宋体" w:cs="宋体"/>
          <w:szCs w:val="21"/>
          <w:highlight w:val="none"/>
        </w:rPr>
        <w:br w:type="page"/>
      </w:r>
    </w:p>
    <w:p w14:paraId="5BEEB7FF">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附件：</w:t>
      </w:r>
    </w:p>
    <w:p w14:paraId="71A04E4B">
      <w:pPr>
        <w:pStyle w:val="34"/>
        <w:shd w:val="clear" w:color="auto" w:fill="FFFFFF"/>
        <w:adjustRightInd w:val="0"/>
        <w:snapToGrid w:val="0"/>
        <w:spacing w:before="0" w:beforeAutospacing="0" w:after="0" w:afterAutospacing="0" w:line="360" w:lineRule="auto"/>
        <w:jc w:val="center"/>
        <w:rPr>
          <w:rFonts w:cs="宋体"/>
          <w:highlight w:val="none"/>
        </w:rPr>
      </w:pPr>
      <w:r>
        <w:rPr>
          <w:rFonts w:hint="eastAsia" w:cs="宋体"/>
          <w:b/>
          <w:bCs/>
          <w:highlight w:val="none"/>
          <w:shd w:val="clear" w:color="auto" w:fill="FFFFFF"/>
          <w:lang w:bidi="ar"/>
        </w:rPr>
        <w:t>《中小企业划型标准规定》</w:t>
      </w:r>
    </w:p>
    <w:p w14:paraId="13609F11">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一、根据《中华人民共和国中小企业促进法》和《国务院关于进一步促进中小企业发展的若干意见》（国发〔2009〕36号），制定本规定。</w:t>
      </w:r>
    </w:p>
    <w:p w14:paraId="15A94800">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二、中小企业划分为中型、小型、微型三种类型，具体标准根据企业从业人员、营业收入、资产总额等指标，结合行业特点制定。</w:t>
      </w:r>
    </w:p>
    <w:p w14:paraId="47471C2A">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22F27DE">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四、各行业划型标准为：</w:t>
      </w:r>
    </w:p>
    <w:p w14:paraId="20BE04F8">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（一）农、林、牧、渔业。营业收入20000 万元以下的为中小微型企业。其中，营业收入500万元及以上的为中型企业，营业收入50万元及以上的为小型企业，营业收入 50 万元以下的为微型企业。</w:t>
      </w:r>
    </w:p>
    <w:p w14:paraId="3D5D91B7">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791223">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A20308">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0C574F5">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AAB3DC8">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82DADCA">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28FA7F8">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9FFF137">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3FCC6D">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F4EC982">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387A17">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EA144F4">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05051E3">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1BBA19">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7256E40">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（十六）其他未列明行业。从业人员300人以下的为中小微型企业。其中，从业人员100人及以上的为中型企业；从业人员10人及以上的为小型企业；从业人员10人以下的为微型企业。</w:t>
      </w:r>
    </w:p>
    <w:p w14:paraId="76C9CADB">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五、企业类型的划分以统计部门的统计数据为依据。</w:t>
      </w:r>
    </w:p>
    <w:p w14:paraId="0E4E3831">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六、本规定适用于在中华人民共和国境内依法设立的各类所有制和各种组织形式的企业。个体工商户和本规定以外的行业，参照本规定进行划型。</w:t>
      </w:r>
    </w:p>
    <w:p w14:paraId="5AC03BE3">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65F01232">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rPr>
      </w:pPr>
      <w:r>
        <w:rPr>
          <w:rFonts w:hint="eastAsia" w:cs="宋体"/>
          <w:sz w:val="21"/>
          <w:szCs w:val="21"/>
          <w:highlight w:val="none"/>
          <w:shd w:val="clear" w:color="auto" w:fill="FFFFFF"/>
          <w:lang w:bidi="ar"/>
        </w:rPr>
        <w:t>八、本规定由工业和信息化部、国家统计局会同有关部门根据《国民经济行业分类》修订情况和企业发展变化情况适时修订。</w:t>
      </w:r>
    </w:p>
    <w:p w14:paraId="1380D6D8">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shd w:val="clear" w:color="auto" w:fill="FFFFFF"/>
          <w:lang w:bidi="ar"/>
        </w:rPr>
      </w:pPr>
      <w:r>
        <w:rPr>
          <w:rFonts w:hint="eastAsia" w:cs="宋体"/>
          <w:sz w:val="21"/>
          <w:szCs w:val="21"/>
          <w:highlight w:val="none"/>
          <w:shd w:val="clear" w:color="auto" w:fill="FFFFFF"/>
          <w:lang w:bidi="ar"/>
        </w:rPr>
        <w:t>九、本规定由工业和信息化部、国家统计局会同有关部门负责解释。</w:t>
      </w:r>
    </w:p>
    <w:p w14:paraId="76845A3A">
      <w:pPr>
        <w:pStyle w:val="34"/>
        <w:shd w:val="clear" w:color="auto" w:fill="FFFFFF"/>
        <w:adjustRightInd w:val="0"/>
        <w:snapToGrid w:val="0"/>
        <w:spacing w:before="0" w:beforeAutospacing="0" w:after="0" w:afterAutospacing="0" w:line="360" w:lineRule="auto"/>
        <w:ind w:firstLine="420" w:firstLineChars="200"/>
        <w:jc w:val="both"/>
        <w:rPr>
          <w:rFonts w:cs="宋体"/>
          <w:sz w:val="21"/>
          <w:szCs w:val="21"/>
          <w:highlight w:val="none"/>
          <w:shd w:val="clear" w:color="auto" w:fill="FFFFFF"/>
          <w:lang w:bidi="ar"/>
        </w:rPr>
      </w:pPr>
      <w:r>
        <w:rPr>
          <w:rFonts w:hint="eastAsia" w:cs="宋体"/>
          <w:sz w:val="21"/>
          <w:szCs w:val="21"/>
          <w:highlight w:val="none"/>
          <w:shd w:val="clear" w:color="auto" w:fill="FFFFFF"/>
          <w:lang w:bidi="ar"/>
        </w:rPr>
        <w:t>十、本规定自发布之日起执行，原国家经贸委、原国家计委、财政部和国家统计局2003年颁布的《中小企业标准暂行规定》国经贸中小企〔2003〕143号同时废止。</w:t>
      </w:r>
    </w:p>
    <w:p w14:paraId="7C8B7086">
      <w:pPr>
        <w:adjustRightInd w:val="0"/>
        <w:snapToGrid w:val="0"/>
        <w:spacing w:line="360" w:lineRule="auto"/>
        <w:rPr>
          <w:rFonts w:ascii="宋体" w:hAnsi="宋体" w:cs="宋体"/>
          <w:highlight w:val="none"/>
        </w:rPr>
      </w:pPr>
      <w:r>
        <w:rPr>
          <w:rFonts w:hint="eastAsia" w:ascii="宋体" w:hAnsi="宋体" w:cs="宋体"/>
          <w:highlight w:val="none"/>
        </w:rPr>
        <w:br w:type="page"/>
      </w:r>
    </w:p>
    <w:p w14:paraId="1F43BCFC">
      <w:pPr>
        <w:pStyle w:val="2"/>
        <w:keepNext/>
        <w:pageBreakBefore w:val="0"/>
        <w:widowControl w:val="0"/>
        <w:kinsoku/>
        <w:wordWrap/>
        <w:overflowPunct/>
        <w:topLinePunct w:val="0"/>
        <w:bidi w:val="0"/>
        <w:adjustRightInd w:val="0"/>
        <w:snapToGrid w:val="0"/>
        <w:spacing w:line="360" w:lineRule="auto"/>
        <w:ind w:firstLine="0"/>
        <w:jc w:val="center"/>
        <w:textAlignment w:val="auto"/>
        <w:rPr>
          <w:rFonts w:ascii="宋体" w:hAnsi="宋体" w:eastAsia="宋体" w:cs="宋体"/>
          <w:color w:val="auto"/>
          <w:sz w:val="32"/>
          <w:szCs w:val="32"/>
          <w:highlight w:val="none"/>
        </w:rPr>
      </w:pPr>
      <w:bookmarkStart w:id="117" w:name="_Toc86124078"/>
      <w:bookmarkStart w:id="118" w:name="_Toc27872"/>
      <w:r>
        <w:rPr>
          <w:rFonts w:hint="eastAsia" w:ascii="宋体" w:hAnsi="宋体" w:eastAsia="宋体" w:cs="宋体"/>
          <w:color w:val="auto"/>
          <w:sz w:val="32"/>
          <w:szCs w:val="32"/>
          <w:highlight w:val="none"/>
        </w:rPr>
        <w:t>第三章  合同书样式及主要条款</w:t>
      </w:r>
      <w:bookmarkEnd w:id="117"/>
      <w:bookmarkEnd w:id="118"/>
    </w:p>
    <w:p w14:paraId="2444E4BA">
      <w:pPr>
        <w:pStyle w:val="3"/>
        <w:keepNext/>
        <w:pageBreakBefore w:val="0"/>
        <w:widowControl w:val="0"/>
        <w:kinsoku/>
        <w:wordWrap/>
        <w:overflowPunct/>
        <w:topLinePunct w:val="0"/>
        <w:bidi w:val="0"/>
        <w:adjustRightInd w:val="0"/>
        <w:snapToGrid w:val="0"/>
        <w:spacing w:before="0" w:after="0"/>
        <w:ind w:firstLine="0"/>
        <w:textAlignment w:val="auto"/>
        <w:rPr>
          <w:rFonts w:ascii="宋体" w:hAnsi="宋体" w:cs="宋体"/>
          <w:szCs w:val="28"/>
          <w:highlight w:val="none"/>
        </w:rPr>
      </w:pPr>
      <w:bookmarkStart w:id="119" w:name="_Toc492340338"/>
      <w:bookmarkStart w:id="120" w:name="_Toc86124079"/>
      <w:bookmarkStart w:id="121" w:name="_Toc9637"/>
      <w:r>
        <w:rPr>
          <w:rFonts w:hint="eastAsia" w:ascii="宋体" w:hAnsi="宋体" w:cs="宋体"/>
          <w:szCs w:val="28"/>
          <w:highlight w:val="none"/>
        </w:rPr>
        <w:t>▲合同条款前附表</w:t>
      </w:r>
      <w:bookmarkEnd w:id="119"/>
      <w:bookmarkEnd w:id="120"/>
      <w:bookmarkEnd w:id="121"/>
    </w:p>
    <w:tbl>
      <w:tblPr>
        <w:tblStyle w:val="38"/>
        <w:tblW w:w="8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7500"/>
      </w:tblGrid>
      <w:tr w14:paraId="1AC8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75" w:type="dxa"/>
            <w:tcBorders>
              <w:bottom w:val="single" w:color="auto" w:sz="4" w:space="0"/>
            </w:tcBorders>
            <w:vAlign w:val="center"/>
          </w:tcPr>
          <w:p w14:paraId="5117EB5B">
            <w:pPr>
              <w:pStyle w:val="17"/>
              <w:keepNext w:val="0"/>
              <w:keepLines w:val="0"/>
              <w:pageBreakBefore w:val="0"/>
              <w:widowControl w:val="0"/>
              <w:kinsoku/>
              <w:wordWrap/>
              <w:overflowPunct/>
              <w:topLinePunct w:val="0"/>
              <w:bidi w:val="0"/>
              <w:adjustRightInd w:val="0"/>
              <w:snapToGrid w:val="0"/>
              <w:spacing w:line="360" w:lineRule="auto"/>
              <w:ind w:firstLine="0"/>
              <w:jc w:val="center"/>
              <w:textAlignment w:val="auto"/>
              <w:rPr>
                <w:rFonts w:hAnsi="宋体" w:cs="宋体"/>
                <w:b/>
                <w:bCs/>
                <w:sz w:val="21"/>
                <w:szCs w:val="21"/>
                <w:highlight w:val="none"/>
              </w:rPr>
            </w:pPr>
            <w:r>
              <w:rPr>
                <w:rFonts w:hint="eastAsia" w:hAnsi="宋体" w:cs="宋体"/>
                <w:b/>
                <w:bCs/>
                <w:sz w:val="21"/>
                <w:szCs w:val="21"/>
                <w:highlight w:val="none"/>
              </w:rPr>
              <w:t>序号</w:t>
            </w:r>
          </w:p>
        </w:tc>
        <w:tc>
          <w:tcPr>
            <w:tcW w:w="7500" w:type="dxa"/>
            <w:tcBorders>
              <w:bottom w:val="single" w:color="auto" w:sz="4" w:space="0"/>
            </w:tcBorders>
            <w:vAlign w:val="center"/>
          </w:tcPr>
          <w:p w14:paraId="599171EC">
            <w:pPr>
              <w:pStyle w:val="17"/>
              <w:keepNext w:val="0"/>
              <w:keepLines w:val="0"/>
              <w:pageBreakBefore w:val="0"/>
              <w:widowControl w:val="0"/>
              <w:kinsoku/>
              <w:wordWrap/>
              <w:overflowPunct/>
              <w:topLinePunct w:val="0"/>
              <w:bidi w:val="0"/>
              <w:adjustRightInd w:val="0"/>
              <w:snapToGrid w:val="0"/>
              <w:spacing w:line="360" w:lineRule="auto"/>
              <w:ind w:firstLine="0"/>
              <w:jc w:val="center"/>
              <w:textAlignment w:val="auto"/>
              <w:rPr>
                <w:rFonts w:hAnsi="宋体" w:cs="宋体"/>
                <w:b/>
                <w:bCs/>
                <w:sz w:val="21"/>
                <w:szCs w:val="21"/>
                <w:highlight w:val="none"/>
              </w:rPr>
            </w:pPr>
            <w:r>
              <w:rPr>
                <w:rFonts w:hint="eastAsia" w:hAnsi="宋体" w:cs="宋体"/>
                <w:b/>
                <w:bCs/>
                <w:sz w:val="21"/>
                <w:szCs w:val="21"/>
                <w:highlight w:val="none"/>
              </w:rPr>
              <w:t>要   求</w:t>
            </w:r>
          </w:p>
        </w:tc>
      </w:tr>
      <w:tr w14:paraId="6516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14:paraId="70A5C8AD">
            <w:pPr>
              <w:pStyle w:val="17"/>
              <w:keepNext w:val="0"/>
              <w:keepLines w:val="0"/>
              <w:pageBreakBefore w:val="0"/>
              <w:widowControl w:val="0"/>
              <w:kinsoku/>
              <w:wordWrap/>
              <w:overflowPunct/>
              <w:topLinePunct w:val="0"/>
              <w:bidi w:val="0"/>
              <w:adjustRightInd w:val="0"/>
              <w:snapToGrid w:val="0"/>
              <w:spacing w:line="360" w:lineRule="auto"/>
              <w:ind w:firstLine="0"/>
              <w:jc w:val="center"/>
              <w:textAlignment w:val="auto"/>
              <w:rPr>
                <w:rFonts w:hAnsi="宋体" w:cs="宋体"/>
                <w:bCs/>
                <w:sz w:val="21"/>
                <w:szCs w:val="21"/>
                <w:highlight w:val="none"/>
              </w:rPr>
            </w:pPr>
            <w:r>
              <w:rPr>
                <w:rFonts w:hint="eastAsia" w:hAnsi="宋体" w:cs="宋体"/>
                <w:bCs/>
                <w:sz w:val="21"/>
                <w:szCs w:val="21"/>
                <w:highlight w:val="none"/>
              </w:rPr>
              <w:t>1</w:t>
            </w:r>
          </w:p>
        </w:tc>
        <w:tc>
          <w:tcPr>
            <w:tcW w:w="7500" w:type="dxa"/>
            <w:tcBorders>
              <w:top w:val="single" w:color="auto" w:sz="4" w:space="0"/>
              <w:left w:val="single" w:color="auto" w:sz="4" w:space="0"/>
              <w:bottom w:val="single" w:color="auto" w:sz="4" w:space="0"/>
            </w:tcBorders>
            <w:vAlign w:val="center"/>
          </w:tcPr>
          <w:p w14:paraId="775138E9">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b/>
                <w:bCs/>
                <w:szCs w:val="21"/>
                <w:highlight w:val="none"/>
              </w:rPr>
              <w:t>交货期</w:t>
            </w:r>
            <w:r>
              <w:rPr>
                <w:rFonts w:hint="eastAsia" w:ascii="宋体" w:hAnsi="宋体" w:cs="宋体"/>
                <w:szCs w:val="21"/>
                <w:highlight w:val="none"/>
              </w:rPr>
              <w:t>：</w:t>
            </w:r>
          </w:p>
          <w:p w14:paraId="7D129415">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合同签订后60日历天内完成产品供货并交付使用，供应商可自报最短交货期。</w:t>
            </w:r>
          </w:p>
          <w:p w14:paraId="52C44D65">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b/>
                <w:bCs/>
                <w:szCs w:val="21"/>
                <w:highlight w:val="none"/>
              </w:rPr>
              <w:t>交货地点</w:t>
            </w:r>
            <w:r>
              <w:rPr>
                <w:rFonts w:hint="eastAsia" w:ascii="宋体" w:hAnsi="宋体" w:cs="宋体"/>
                <w:szCs w:val="21"/>
                <w:highlight w:val="none"/>
              </w:rPr>
              <w:t>：</w:t>
            </w:r>
          </w:p>
          <w:p w14:paraId="2E641535">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云南大学指定地点。</w:t>
            </w:r>
          </w:p>
        </w:tc>
      </w:tr>
      <w:tr w14:paraId="0E7C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14:paraId="5C9AD39E">
            <w:pPr>
              <w:pStyle w:val="17"/>
              <w:keepNext w:val="0"/>
              <w:keepLines w:val="0"/>
              <w:pageBreakBefore w:val="0"/>
              <w:widowControl w:val="0"/>
              <w:kinsoku/>
              <w:wordWrap/>
              <w:overflowPunct/>
              <w:topLinePunct w:val="0"/>
              <w:bidi w:val="0"/>
              <w:adjustRightInd w:val="0"/>
              <w:snapToGrid w:val="0"/>
              <w:spacing w:line="360" w:lineRule="auto"/>
              <w:ind w:firstLine="0"/>
              <w:jc w:val="center"/>
              <w:textAlignment w:val="auto"/>
              <w:rPr>
                <w:rFonts w:hAnsi="宋体" w:cs="宋体"/>
                <w:szCs w:val="21"/>
                <w:highlight w:val="none"/>
              </w:rPr>
            </w:pPr>
            <w:r>
              <w:rPr>
                <w:rFonts w:hint="eastAsia" w:hAnsi="宋体" w:cs="宋体"/>
                <w:szCs w:val="21"/>
                <w:highlight w:val="none"/>
              </w:rPr>
              <w:t>2</w:t>
            </w:r>
          </w:p>
        </w:tc>
        <w:tc>
          <w:tcPr>
            <w:tcW w:w="7500" w:type="dxa"/>
            <w:tcBorders>
              <w:top w:val="single" w:color="auto" w:sz="4" w:space="0"/>
              <w:left w:val="single" w:color="auto" w:sz="4" w:space="0"/>
              <w:bottom w:val="single" w:color="auto" w:sz="4" w:space="0"/>
            </w:tcBorders>
            <w:vAlign w:val="center"/>
          </w:tcPr>
          <w:p w14:paraId="65E4D522">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b/>
                <w:bCs/>
                <w:szCs w:val="21"/>
                <w:highlight w:val="none"/>
              </w:rPr>
            </w:pPr>
            <w:r>
              <w:rPr>
                <w:rFonts w:hint="eastAsia" w:ascii="宋体" w:hAnsi="宋体" w:cs="宋体"/>
                <w:b/>
                <w:bCs/>
                <w:szCs w:val="21"/>
                <w:highlight w:val="none"/>
              </w:rPr>
              <w:t>付款方式：</w:t>
            </w:r>
          </w:p>
          <w:p w14:paraId="397D996E">
            <w:pPr>
              <w:keepNext w:val="0"/>
              <w:keepLines w:val="0"/>
              <w:pageBreakBefore w:val="0"/>
              <w:widowControl w:val="0"/>
              <w:kinsoku/>
              <w:wordWrap/>
              <w:overflowPunct/>
              <w:topLinePunct w:val="0"/>
              <w:bidi w:val="0"/>
              <w:adjustRightInd w:val="0"/>
              <w:snapToGrid w:val="0"/>
              <w:spacing w:line="360" w:lineRule="auto"/>
              <w:ind w:firstLine="0"/>
              <w:textAlignment w:val="auto"/>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本项目无预付款，</w:t>
            </w:r>
            <w:r>
              <w:rPr>
                <w:rFonts w:hint="eastAsia" w:ascii="宋体" w:hAnsi="宋体" w:cs="宋体"/>
                <w:szCs w:val="21"/>
                <w:highlight w:val="none"/>
                <w:lang w:val="en-US" w:eastAsia="zh-CN"/>
              </w:rPr>
              <w:t>甲方最终验收</w:t>
            </w:r>
            <w:r>
              <w:rPr>
                <w:rFonts w:hint="eastAsia" w:ascii="宋体" w:hAnsi="宋体" w:cs="宋体"/>
                <w:szCs w:val="21"/>
                <w:highlight w:val="none"/>
              </w:rPr>
              <w:t>合格后30日内支付合同金额的100%至乙方指定银行账户。付款时乙方需提供增值税专用发票。乙方缴纳履约保证金是甲方付款的必要条件。</w:t>
            </w:r>
          </w:p>
          <w:p w14:paraId="0695EBB8">
            <w:pPr>
              <w:keepNext w:val="0"/>
              <w:keepLines w:val="0"/>
              <w:pageBreakBefore w:val="0"/>
              <w:widowControl w:val="0"/>
              <w:kinsoku/>
              <w:wordWrap/>
              <w:overflowPunct/>
              <w:topLinePunct w:val="0"/>
              <w:bidi w:val="0"/>
              <w:adjustRightInd w:val="0"/>
              <w:snapToGrid w:val="0"/>
              <w:spacing w:line="360" w:lineRule="auto"/>
              <w:ind w:firstLine="0"/>
              <w:textAlignment w:val="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2.本合同签订后10日内，乙方应向甲方缴纳合同总金额的5%作为履约保证金，缴纳履约保证金后才能办理货款支付手续。</w:t>
            </w:r>
          </w:p>
        </w:tc>
      </w:tr>
      <w:tr w14:paraId="0EF0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14:paraId="4DCC8A97">
            <w:pPr>
              <w:keepNext w:val="0"/>
              <w:keepLines w:val="0"/>
              <w:pageBreakBefore w:val="0"/>
              <w:widowControl w:val="0"/>
              <w:kinsoku/>
              <w:wordWrap/>
              <w:overflowPunct/>
              <w:topLinePunct w:val="0"/>
              <w:bidi w:val="0"/>
              <w:adjustRightInd w:val="0"/>
              <w:snapToGrid w:val="0"/>
              <w:spacing w:line="360" w:lineRule="auto"/>
              <w:ind w:firstLine="0"/>
              <w:jc w:val="center"/>
              <w:textAlignment w:val="auto"/>
              <w:rPr>
                <w:rFonts w:ascii="宋体" w:hAnsi="宋体" w:cs="宋体"/>
                <w:szCs w:val="21"/>
                <w:highlight w:val="none"/>
              </w:rPr>
            </w:pPr>
            <w:r>
              <w:rPr>
                <w:rFonts w:hint="eastAsia" w:ascii="宋体" w:hAnsi="宋体" w:cs="宋体"/>
                <w:szCs w:val="21"/>
                <w:highlight w:val="none"/>
              </w:rPr>
              <w:t>3</w:t>
            </w:r>
          </w:p>
        </w:tc>
        <w:tc>
          <w:tcPr>
            <w:tcW w:w="7500" w:type="dxa"/>
            <w:tcBorders>
              <w:top w:val="single" w:color="auto" w:sz="4" w:space="0"/>
              <w:left w:val="single" w:color="auto" w:sz="4" w:space="0"/>
              <w:bottom w:val="single" w:color="auto" w:sz="4" w:space="0"/>
            </w:tcBorders>
            <w:vAlign w:val="center"/>
          </w:tcPr>
          <w:p w14:paraId="71F1DFE8">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b/>
                <w:bCs/>
                <w:szCs w:val="21"/>
                <w:highlight w:val="none"/>
              </w:rPr>
            </w:pPr>
            <w:r>
              <w:rPr>
                <w:rFonts w:hint="eastAsia" w:ascii="宋体" w:hAnsi="宋体" w:cs="宋体"/>
                <w:b/>
                <w:bCs/>
                <w:szCs w:val="21"/>
                <w:highlight w:val="none"/>
              </w:rPr>
              <w:t>售后服务要求：</w:t>
            </w:r>
          </w:p>
          <w:p w14:paraId="10B0DE3B">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1.乙方须提供自项目验收完成后不低于 1 年的质保服务，第五章 采购需求中明确质保期的以第五章 采购需求内容为准。</w:t>
            </w:r>
          </w:p>
          <w:p w14:paraId="2D124552">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2.本项目执行过程中，乙方需指派专人负责与甲方联系售后服务事宜，为甲方提供及时有效的服务。供应商须为甲方提供免费培训和技术指导。</w:t>
            </w:r>
          </w:p>
          <w:p w14:paraId="24794D9F">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3.售后服务联系地址和联系电话的变更，乙方应在第一时间及时书面通知甲方和甲方使用单位。</w:t>
            </w:r>
          </w:p>
          <w:p w14:paraId="4D064514">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4.货物验收合格后，在质量保证期内，所有货物保修服务方式均为乙方上门保修，即由乙方及时派员到货物使用现场维修，由此产生的一切费用均由乙方承担。</w:t>
            </w:r>
          </w:p>
          <w:p w14:paraId="0FCCC74E">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szCs w:val="21"/>
                <w:highlight w:val="none"/>
              </w:rPr>
            </w:pPr>
            <w:r>
              <w:rPr>
                <w:rFonts w:hint="eastAsia" w:ascii="宋体" w:hAnsi="宋体" w:cs="宋体"/>
                <w:szCs w:val="21"/>
                <w:highlight w:val="none"/>
              </w:rPr>
              <w:t>5.乙方应按照国家有关法律法规规章和“三包”规定，以及本合同或竞争性谈判文件、响应文件所约定的服务承诺提供服务。</w:t>
            </w:r>
          </w:p>
          <w:p w14:paraId="0A1DF7EF">
            <w:pPr>
              <w:keepNext w:val="0"/>
              <w:keepLines w:val="0"/>
              <w:pageBreakBefore w:val="0"/>
              <w:widowControl w:val="0"/>
              <w:kinsoku/>
              <w:wordWrap/>
              <w:overflowPunct/>
              <w:topLinePunct w:val="0"/>
              <w:bidi w:val="0"/>
              <w:adjustRightInd w:val="0"/>
              <w:snapToGrid w:val="0"/>
              <w:spacing w:line="360" w:lineRule="auto"/>
              <w:ind w:firstLine="0"/>
              <w:textAlignment w:val="auto"/>
              <w:rPr>
                <w:rFonts w:ascii="宋体" w:hAnsi="宋体" w:cs="宋体"/>
                <w:kern w:val="0"/>
                <w:sz w:val="20"/>
                <w:szCs w:val="21"/>
                <w:highlight w:val="none"/>
              </w:rPr>
            </w:pPr>
            <w:r>
              <w:rPr>
                <w:rFonts w:hint="eastAsia" w:ascii="宋体" w:hAnsi="宋体" w:cs="宋体"/>
                <w:szCs w:val="21"/>
                <w:highlight w:val="none"/>
              </w:rPr>
              <w:t>6.质保期后，乙方应当在接通知后及时向甲方提供维保服务并优惠收费。</w:t>
            </w:r>
          </w:p>
        </w:tc>
      </w:tr>
    </w:tbl>
    <w:p w14:paraId="68EE8121">
      <w:pPr>
        <w:widowControl/>
        <w:adjustRightInd w:val="0"/>
        <w:snapToGrid w:val="0"/>
        <w:spacing w:line="360" w:lineRule="auto"/>
        <w:ind w:firstLine="643"/>
        <w:jc w:val="left"/>
        <w:rPr>
          <w:rFonts w:ascii="宋体" w:hAnsi="宋体" w:cs="宋体"/>
          <w:b/>
          <w:bCs/>
          <w:sz w:val="32"/>
          <w:szCs w:val="32"/>
          <w:highlight w:val="none"/>
        </w:rPr>
      </w:pPr>
      <w:bookmarkStart w:id="122" w:name="_Toc86124081"/>
      <w:r>
        <w:rPr>
          <w:rFonts w:hint="eastAsia" w:ascii="宋体" w:hAnsi="宋体" w:cs="宋体"/>
          <w:b/>
          <w:bCs/>
          <w:sz w:val="32"/>
          <w:szCs w:val="32"/>
          <w:highlight w:val="none"/>
        </w:rPr>
        <w:br w:type="page"/>
      </w:r>
    </w:p>
    <w:p w14:paraId="276D6BD2">
      <w:pPr>
        <w:keepNext w:val="0"/>
        <w:keepLines w:val="0"/>
        <w:pageBreakBefore w:val="0"/>
        <w:kinsoku/>
        <w:wordWrap/>
        <w:overflowPunct/>
        <w:topLinePunct w:val="0"/>
        <w:bidi w:val="0"/>
        <w:spacing w:line="360" w:lineRule="auto"/>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云南大学货物采购合同</w:t>
      </w:r>
    </w:p>
    <w:p w14:paraId="2C4CD54E">
      <w:pPr>
        <w:keepNext w:val="0"/>
        <w:keepLines w:val="0"/>
        <w:pageBreakBefore w:val="0"/>
        <w:widowControl w:val="0"/>
        <w:tabs>
          <w:tab w:val="right" w:pos="8222"/>
        </w:tabs>
        <w:kinsoku/>
        <w:wordWrap/>
        <w:overflowPunct/>
        <w:topLinePunct w:val="0"/>
        <w:autoSpaceDE/>
        <w:autoSpaceDN/>
        <w:bidi w:val="0"/>
        <w:adjustRightInd/>
        <w:snapToGrid/>
        <w:spacing w:line="360" w:lineRule="auto"/>
        <w:textAlignment w:val="auto"/>
        <w:rPr>
          <w:rFonts w:hint="default" w:ascii="楷体" w:hAnsi="楷体" w:eastAsia="楷体"/>
          <w:bCs/>
          <w:sz w:val="24"/>
          <w:highlight w:val="none"/>
          <w:lang w:val="en-US" w:eastAsia="zh-CN"/>
        </w:rPr>
      </w:pPr>
      <w:r>
        <w:rPr>
          <w:rFonts w:hint="eastAsia" w:ascii="楷体" w:hAnsi="楷体" w:eastAsia="楷体"/>
          <w:bCs/>
          <w:sz w:val="24"/>
          <w:highlight w:val="none"/>
        </w:rPr>
        <w:t>计划编号：</w:t>
      </w:r>
      <w:r>
        <w:rPr>
          <w:rFonts w:hint="eastAsia" w:ascii="楷体" w:hAnsi="楷体" w:eastAsia="楷体"/>
          <w:bCs/>
          <w:sz w:val="24"/>
          <w:highlight w:val="none"/>
        </w:rPr>
        <w:tab/>
      </w:r>
      <w:r>
        <w:rPr>
          <w:rFonts w:hint="eastAsia" w:ascii="楷体" w:hAnsi="楷体" w:eastAsia="楷体"/>
          <w:bCs/>
          <w:sz w:val="24"/>
          <w:highlight w:val="none"/>
        </w:rPr>
        <w:t>合同编号：</w:t>
      </w:r>
    </w:p>
    <w:p w14:paraId="569FCB06">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sz w:val="24"/>
          <w:highlight w:val="none"/>
        </w:rPr>
      </w:pPr>
    </w:p>
    <w:p w14:paraId="254980BB">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sz w:val="24"/>
          <w:highlight w:val="none"/>
        </w:rPr>
      </w:pPr>
      <w:r>
        <w:rPr>
          <w:rFonts w:ascii="楷体" w:hAnsi="楷体" w:eastAsia="楷体"/>
          <w:bCs/>
          <w:sz w:val="24"/>
          <w:highlight w:val="none"/>
        </w:rPr>
        <w:t>采购方（甲方）：云南大学</w:t>
      </w:r>
    </w:p>
    <w:p w14:paraId="174D9FDD">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highlight w:val="none"/>
        </w:rPr>
      </w:pPr>
      <w:r>
        <w:rPr>
          <w:rFonts w:ascii="楷体" w:hAnsi="楷体" w:eastAsia="楷体"/>
          <w:bCs/>
          <w:sz w:val="24"/>
          <w:highlight w:val="none"/>
        </w:rPr>
        <w:t>统一社会信用代码：125300004312032649</w:t>
      </w:r>
    </w:p>
    <w:p w14:paraId="2F915545">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sz w:val="24"/>
          <w:highlight w:val="none"/>
        </w:rPr>
      </w:pPr>
      <w:r>
        <w:rPr>
          <w:rFonts w:ascii="楷体" w:hAnsi="楷体" w:eastAsia="楷体"/>
          <w:bCs/>
          <w:sz w:val="24"/>
          <w:highlight w:val="none"/>
        </w:rPr>
        <w:t>地址：昆明市翠湖北路2号</w:t>
      </w:r>
    </w:p>
    <w:p w14:paraId="33812510">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sz w:val="24"/>
          <w:highlight w:val="none"/>
        </w:rPr>
      </w:pPr>
      <w:r>
        <w:rPr>
          <w:rFonts w:ascii="楷体" w:hAnsi="楷体" w:eastAsia="楷体"/>
          <w:bCs/>
          <w:sz w:val="24"/>
          <w:highlight w:val="none"/>
        </w:rPr>
        <w:t>电话：0871-65032850</w:t>
      </w:r>
    </w:p>
    <w:p w14:paraId="65C00DF4">
      <w:pPr>
        <w:keepNext w:val="0"/>
        <w:keepLines w:val="0"/>
        <w:pageBreakBefore w:val="0"/>
        <w:widowControl w:val="0"/>
        <w:kinsoku/>
        <w:wordWrap/>
        <w:overflowPunct/>
        <w:topLinePunct w:val="0"/>
        <w:autoSpaceDE/>
        <w:autoSpaceDN/>
        <w:bidi w:val="0"/>
        <w:adjustRightInd/>
        <w:snapToGrid/>
        <w:spacing w:line="360" w:lineRule="auto"/>
        <w:textAlignment w:val="auto"/>
        <w:rPr>
          <w:rFonts w:ascii="楷体" w:hAnsi="楷体" w:eastAsia="楷体"/>
          <w:bCs/>
          <w:sz w:val="24"/>
          <w:highlight w:val="none"/>
        </w:rPr>
      </w:pPr>
    </w:p>
    <w:p w14:paraId="366D9569">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eastAsia="楷体"/>
          <w:bCs/>
          <w:sz w:val="24"/>
          <w:highlight w:val="none"/>
        </w:rPr>
      </w:pPr>
      <w:r>
        <w:rPr>
          <w:rFonts w:eastAsia="楷体"/>
          <w:bCs/>
          <w:sz w:val="24"/>
          <w:highlight w:val="none"/>
        </w:rPr>
        <w:t>供货方（乙方）：</w:t>
      </w:r>
    </w:p>
    <w:p w14:paraId="18556415">
      <w:pPr>
        <w:keepNext w:val="0"/>
        <w:keepLines w:val="0"/>
        <w:pageBreakBefore w:val="0"/>
        <w:widowControl w:val="0"/>
        <w:kinsoku/>
        <w:wordWrap/>
        <w:overflowPunct/>
        <w:topLinePunct w:val="0"/>
        <w:autoSpaceDE/>
        <w:autoSpaceDN/>
        <w:bidi w:val="0"/>
        <w:adjustRightInd/>
        <w:snapToGrid/>
        <w:spacing w:line="360" w:lineRule="auto"/>
        <w:textAlignment w:val="auto"/>
        <w:rPr>
          <w:rFonts w:eastAsia="楷体"/>
          <w:bCs/>
          <w:highlight w:val="none"/>
        </w:rPr>
      </w:pPr>
      <w:r>
        <w:rPr>
          <w:rFonts w:eastAsia="楷体"/>
          <w:bCs/>
          <w:sz w:val="24"/>
          <w:highlight w:val="none"/>
        </w:rPr>
        <w:t>统一社会信用代码：</w:t>
      </w:r>
    </w:p>
    <w:p w14:paraId="022C86B8">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eastAsia="楷体"/>
          <w:bCs/>
          <w:sz w:val="24"/>
          <w:highlight w:val="none"/>
        </w:rPr>
      </w:pPr>
      <w:r>
        <w:rPr>
          <w:rFonts w:hint="eastAsia" w:eastAsia="楷体"/>
          <w:bCs/>
          <w:sz w:val="24"/>
          <w:highlight w:val="none"/>
        </w:rPr>
        <w:t>地址：</w:t>
      </w:r>
    </w:p>
    <w:p w14:paraId="55E3AE97">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ascii="楷体" w:hAnsi="楷体" w:eastAsia="楷体"/>
          <w:bCs/>
          <w:sz w:val="24"/>
          <w:highlight w:val="none"/>
        </w:rPr>
      </w:pPr>
      <w:r>
        <w:rPr>
          <w:rFonts w:hint="eastAsia" w:eastAsia="楷体"/>
          <w:bCs/>
          <w:sz w:val="24"/>
          <w:highlight w:val="none"/>
        </w:rPr>
        <w:t>电话：</w:t>
      </w:r>
      <w:r>
        <w:rPr>
          <w:rFonts w:ascii="楷体" w:hAnsi="楷体" w:eastAsia="楷体"/>
          <w:bCs/>
          <w:sz w:val="24"/>
          <w:highlight w:val="none"/>
        </w:rPr>
        <w:t xml:space="preserve"> </w:t>
      </w:r>
    </w:p>
    <w:p w14:paraId="7FC0A2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b/>
          <w:sz w:val="24"/>
          <w:highlight w:val="none"/>
        </w:rPr>
      </w:pPr>
    </w:p>
    <w:p w14:paraId="15D23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根据</w:t>
      </w:r>
      <w:r>
        <w:rPr>
          <w:rFonts w:hint="eastAsia" w:ascii="仿宋" w:hAnsi="仿宋" w:eastAsia="仿宋" w:cs="仿宋"/>
          <w:bCs/>
          <w:sz w:val="24"/>
          <w:highlight w:val="none"/>
          <w:lang w:val="en-US" w:eastAsia="zh-CN"/>
        </w:rPr>
        <w:t xml:space="preserve">     </w:t>
      </w:r>
      <w:r>
        <w:rPr>
          <w:rFonts w:hint="eastAsia" w:ascii="仿宋" w:hAnsi="仿宋" w:eastAsia="仿宋" w:cs="仿宋"/>
          <w:bCs/>
          <w:sz w:val="24"/>
          <w:highlight w:val="none"/>
        </w:rPr>
        <w:t>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46E74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一、合同标的及要求</w:t>
      </w:r>
    </w:p>
    <w:p w14:paraId="61944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（一）合同标的</w:t>
      </w:r>
    </w:p>
    <w:p w14:paraId="308443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Cs/>
          <w:sz w:val="24"/>
          <w:highlight w:val="none"/>
        </w:rPr>
      </w:pPr>
    </w:p>
    <w:p w14:paraId="7D7E9A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（二）供货要求</w:t>
      </w:r>
    </w:p>
    <w:p w14:paraId="15BEA3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1.货物名称、规格型号、数量及价格：</w:t>
      </w:r>
    </w:p>
    <w:tbl>
      <w:tblPr>
        <w:tblStyle w:val="38"/>
        <w:tblW w:w="82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50"/>
        <w:gridCol w:w="1159"/>
        <w:gridCol w:w="2397"/>
        <w:gridCol w:w="784"/>
        <w:gridCol w:w="708"/>
        <w:gridCol w:w="1134"/>
        <w:gridCol w:w="1276"/>
      </w:tblGrid>
      <w:tr w14:paraId="24BD21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750" w:type="dxa"/>
            <w:vAlign w:val="center"/>
          </w:tcPr>
          <w:p w14:paraId="45B9E358">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序号</w:t>
            </w:r>
          </w:p>
        </w:tc>
        <w:tc>
          <w:tcPr>
            <w:tcW w:w="1159" w:type="dxa"/>
            <w:vAlign w:val="center"/>
          </w:tcPr>
          <w:p w14:paraId="6305BC46">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货物名称</w:t>
            </w:r>
          </w:p>
        </w:tc>
        <w:tc>
          <w:tcPr>
            <w:tcW w:w="2397" w:type="dxa"/>
            <w:vAlign w:val="center"/>
          </w:tcPr>
          <w:p w14:paraId="03DFBC48">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规格型号、生产厂商/制造商名称</w:t>
            </w:r>
          </w:p>
        </w:tc>
        <w:tc>
          <w:tcPr>
            <w:tcW w:w="784" w:type="dxa"/>
            <w:vAlign w:val="center"/>
          </w:tcPr>
          <w:p w14:paraId="55C26697">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数量</w:t>
            </w:r>
          </w:p>
        </w:tc>
        <w:tc>
          <w:tcPr>
            <w:tcW w:w="708" w:type="dxa"/>
            <w:vAlign w:val="center"/>
          </w:tcPr>
          <w:p w14:paraId="475C109F">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单位</w:t>
            </w:r>
          </w:p>
        </w:tc>
        <w:tc>
          <w:tcPr>
            <w:tcW w:w="1134" w:type="dxa"/>
            <w:vAlign w:val="center"/>
          </w:tcPr>
          <w:p w14:paraId="6F85F5A6">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单价（元）</w:t>
            </w:r>
          </w:p>
        </w:tc>
        <w:tc>
          <w:tcPr>
            <w:tcW w:w="1276" w:type="dxa"/>
            <w:vAlign w:val="center"/>
          </w:tcPr>
          <w:p w14:paraId="66128257">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小计（元）</w:t>
            </w:r>
          </w:p>
        </w:tc>
      </w:tr>
      <w:tr w14:paraId="304B23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2C44B392">
            <w:pPr>
              <w:keepNext w:val="0"/>
              <w:keepLines w:val="0"/>
              <w:pageBreakBefore w:val="0"/>
              <w:kinsoku/>
              <w:wordWrap/>
              <w:overflowPunct/>
              <w:topLinePunct w:val="0"/>
              <w:bidi w:val="0"/>
              <w:spacing w:line="360" w:lineRule="auto"/>
              <w:jc w:val="center"/>
              <w:rPr>
                <w:rFonts w:ascii="仿宋" w:hAnsi="仿宋" w:eastAsia="仿宋" w:cs="仿宋"/>
                <w:bCs/>
                <w:highlight w:val="none"/>
              </w:rPr>
            </w:pPr>
            <w:r>
              <w:rPr>
                <w:rFonts w:hint="eastAsia" w:ascii="仿宋" w:hAnsi="仿宋" w:eastAsia="仿宋" w:cs="仿宋"/>
                <w:bCs/>
                <w:highlight w:val="none"/>
              </w:rPr>
              <w:t>1</w:t>
            </w:r>
          </w:p>
        </w:tc>
        <w:tc>
          <w:tcPr>
            <w:tcW w:w="1159" w:type="dxa"/>
            <w:vAlign w:val="center"/>
          </w:tcPr>
          <w:p w14:paraId="2D160A02">
            <w:pPr>
              <w:keepNext w:val="0"/>
              <w:keepLines w:val="0"/>
              <w:pageBreakBefore w:val="0"/>
              <w:kinsoku/>
              <w:wordWrap/>
              <w:overflowPunct/>
              <w:topLinePunct w:val="0"/>
              <w:bidi w:val="0"/>
              <w:spacing w:line="360" w:lineRule="auto"/>
              <w:ind w:firstLine="2" w:firstLineChars="1"/>
              <w:jc w:val="center"/>
              <w:rPr>
                <w:rFonts w:ascii="仿宋" w:hAnsi="仿宋" w:eastAsia="仿宋" w:cs="仿宋"/>
                <w:bCs/>
                <w:szCs w:val="21"/>
                <w:highlight w:val="none"/>
              </w:rPr>
            </w:pPr>
          </w:p>
        </w:tc>
        <w:tc>
          <w:tcPr>
            <w:tcW w:w="2397" w:type="dxa"/>
            <w:vAlign w:val="center"/>
          </w:tcPr>
          <w:p w14:paraId="5C01E8AC">
            <w:pPr>
              <w:pStyle w:val="22"/>
              <w:keepNext w:val="0"/>
              <w:keepLines w:val="0"/>
              <w:pageBreakBefore w:val="0"/>
              <w:kinsoku/>
              <w:wordWrap/>
              <w:overflowPunct/>
              <w:topLinePunct w:val="0"/>
              <w:bidi w:val="0"/>
              <w:spacing w:line="360" w:lineRule="auto"/>
              <w:jc w:val="center"/>
              <w:rPr>
                <w:rFonts w:ascii="仿宋" w:hAnsi="仿宋" w:eastAsia="仿宋" w:cs="仿宋"/>
                <w:bCs/>
                <w:sz w:val="21"/>
                <w:szCs w:val="21"/>
                <w:highlight w:val="none"/>
              </w:rPr>
            </w:pPr>
          </w:p>
        </w:tc>
        <w:tc>
          <w:tcPr>
            <w:tcW w:w="784" w:type="dxa"/>
            <w:vAlign w:val="center"/>
          </w:tcPr>
          <w:p w14:paraId="582AD165">
            <w:pPr>
              <w:keepNext w:val="0"/>
              <w:keepLines w:val="0"/>
              <w:pageBreakBefore w:val="0"/>
              <w:kinsoku/>
              <w:wordWrap/>
              <w:overflowPunct/>
              <w:topLinePunct w:val="0"/>
              <w:bidi w:val="0"/>
              <w:spacing w:line="360" w:lineRule="auto"/>
              <w:ind w:firstLine="2" w:firstLineChars="1"/>
              <w:jc w:val="center"/>
              <w:rPr>
                <w:rFonts w:ascii="仿宋" w:hAnsi="仿宋" w:eastAsia="仿宋" w:cs="仿宋"/>
                <w:bCs/>
                <w:szCs w:val="21"/>
                <w:highlight w:val="none"/>
              </w:rPr>
            </w:pPr>
          </w:p>
        </w:tc>
        <w:tc>
          <w:tcPr>
            <w:tcW w:w="708" w:type="dxa"/>
            <w:vAlign w:val="center"/>
          </w:tcPr>
          <w:p w14:paraId="6D008FF6">
            <w:pPr>
              <w:keepNext w:val="0"/>
              <w:keepLines w:val="0"/>
              <w:pageBreakBefore w:val="0"/>
              <w:kinsoku/>
              <w:wordWrap/>
              <w:overflowPunct/>
              <w:topLinePunct w:val="0"/>
              <w:bidi w:val="0"/>
              <w:spacing w:line="360" w:lineRule="auto"/>
              <w:jc w:val="center"/>
              <w:rPr>
                <w:rFonts w:ascii="仿宋" w:hAnsi="仿宋" w:eastAsia="仿宋" w:cs="仿宋"/>
                <w:bCs/>
                <w:szCs w:val="21"/>
                <w:highlight w:val="none"/>
              </w:rPr>
            </w:pPr>
          </w:p>
        </w:tc>
        <w:tc>
          <w:tcPr>
            <w:tcW w:w="1134" w:type="dxa"/>
            <w:vAlign w:val="center"/>
          </w:tcPr>
          <w:p w14:paraId="51B54282">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p>
        </w:tc>
        <w:tc>
          <w:tcPr>
            <w:tcW w:w="1276" w:type="dxa"/>
            <w:vAlign w:val="center"/>
          </w:tcPr>
          <w:p w14:paraId="78560382">
            <w:pPr>
              <w:pStyle w:val="17"/>
              <w:keepNext w:val="0"/>
              <w:keepLines w:val="0"/>
              <w:pageBreakBefore w:val="0"/>
              <w:kinsoku/>
              <w:wordWrap/>
              <w:overflowPunct/>
              <w:topLinePunct w:val="0"/>
              <w:bidi w:val="0"/>
              <w:spacing w:line="360" w:lineRule="auto"/>
              <w:jc w:val="center"/>
              <w:rPr>
                <w:rFonts w:ascii="仿宋" w:hAnsi="仿宋" w:eastAsia="仿宋" w:cs="仿宋"/>
                <w:bCs/>
                <w:highlight w:val="none"/>
              </w:rPr>
            </w:pPr>
          </w:p>
        </w:tc>
      </w:tr>
      <w:tr w14:paraId="29BE9C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208" w:type="dxa"/>
            <w:gridSpan w:val="7"/>
            <w:vAlign w:val="center"/>
          </w:tcPr>
          <w:p w14:paraId="3EC1ED26">
            <w:pPr>
              <w:pStyle w:val="17"/>
              <w:keepNext w:val="0"/>
              <w:keepLines w:val="0"/>
              <w:pageBreakBefore w:val="0"/>
              <w:kinsoku/>
              <w:wordWrap/>
              <w:overflowPunct/>
              <w:topLinePunct w:val="0"/>
              <w:bidi w:val="0"/>
              <w:spacing w:line="360" w:lineRule="auto"/>
              <w:jc w:val="center"/>
              <w:rPr>
                <w:rFonts w:ascii="仿宋" w:hAnsi="仿宋" w:eastAsia="仿宋" w:cs="仿宋"/>
                <w:bCs/>
                <w:szCs w:val="24"/>
                <w:highlight w:val="none"/>
              </w:rPr>
            </w:pPr>
            <w:r>
              <w:rPr>
                <w:rFonts w:hint="eastAsia" w:ascii="仿宋" w:hAnsi="仿宋" w:eastAsia="仿宋" w:cs="仿宋"/>
                <w:bCs/>
                <w:highlight w:val="none"/>
              </w:rPr>
              <w:t>合计：（元）</w:t>
            </w:r>
          </w:p>
        </w:tc>
      </w:tr>
    </w:tbl>
    <w:p w14:paraId="592B2A9E">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2.以上提供的货物（均含备品备件）具体技术参数和指标</w:t>
      </w:r>
      <w:r>
        <w:rPr>
          <w:rFonts w:hint="eastAsia" w:ascii="仿宋" w:hAnsi="仿宋" w:eastAsia="仿宋" w:cs="仿宋"/>
          <w:bCs/>
          <w:sz w:val="24"/>
          <w:highlight w:val="none"/>
          <w:lang w:val="en-US" w:eastAsia="zh-CN"/>
        </w:rPr>
        <w:t>须</w:t>
      </w:r>
      <w:r>
        <w:rPr>
          <w:rFonts w:hint="eastAsia" w:ascii="仿宋" w:hAnsi="仿宋" w:eastAsia="仿宋" w:cs="仿宋"/>
          <w:bCs/>
          <w:sz w:val="24"/>
          <w:highlight w:val="none"/>
        </w:rPr>
        <w:t>符合本合同附件</w:t>
      </w:r>
      <w:r>
        <w:rPr>
          <w:rFonts w:hint="eastAsia" w:ascii="仿宋" w:hAnsi="仿宋" w:eastAsia="仿宋" w:cs="仿宋"/>
          <w:bCs/>
          <w:sz w:val="24"/>
          <w:highlight w:val="none"/>
          <w:lang w:val="en-US" w:eastAsia="zh-CN"/>
        </w:rPr>
        <w:t>1中</w:t>
      </w:r>
      <w:r>
        <w:rPr>
          <w:rFonts w:hint="eastAsia" w:ascii="仿宋" w:hAnsi="仿宋" w:eastAsia="仿宋" w:cs="仿宋"/>
          <w:bCs/>
          <w:sz w:val="24"/>
          <w:highlight w:val="none"/>
        </w:rPr>
        <w:t>关于货物指数的要求。</w:t>
      </w:r>
    </w:p>
    <w:p w14:paraId="249EE1E0">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3.交货及项目实施进度要求：乙方按甲方或甲方用户单位指定的时间、地点及项目实施进度要求履行（</w:t>
      </w:r>
      <w:r>
        <w:rPr>
          <w:rFonts w:hint="eastAsia" w:ascii="黑体" w:hAnsi="黑体" w:eastAsia="黑体" w:cs="黑体"/>
          <w:bCs/>
          <w:sz w:val="24"/>
          <w:highlight w:val="none"/>
        </w:rPr>
        <w:t>签订合同后</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日历天内完成全部设备的交货、安装及调试</w:t>
      </w:r>
      <w:r>
        <w:rPr>
          <w:rFonts w:hint="eastAsia" w:ascii="仿宋" w:hAnsi="仿宋" w:eastAsia="仿宋" w:cs="仿宋"/>
          <w:bCs/>
          <w:sz w:val="24"/>
          <w:highlight w:val="none"/>
        </w:rPr>
        <w:t>）。</w:t>
      </w:r>
    </w:p>
    <w:p w14:paraId="6E135406">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二、合同总价</w:t>
      </w:r>
    </w:p>
    <w:p w14:paraId="52583C7D">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人民币小写：</w:t>
      </w:r>
      <w:r>
        <w:rPr>
          <w:rFonts w:hint="eastAsia" w:ascii="仿宋" w:hAnsi="仿宋" w:eastAsia="仿宋" w:cs="仿宋"/>
          <w:bCs/>
          <w:sz w:val="24"/>
          <w:highlight w:val="none"/>
          <w:u w:val="single"/>
        </w:rPr>
        <w:t>￥   元</w:t>
      </w:r>
    </w:p>
    <w:p w14:paraId="09D0560E">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u w:val="single"/>
        </w:rPr>
      </w:pPr>
      <w:r>
        <w:rPr>
          <w:rFonts w:hint="eastAsia" w:ascii="仿宋" w:hAnsi="仿宋" w:eastAsia="仿宋" w:cs="仿宋"/>
          <w:bCs/>
          <w:sz w:val="24"/>
          <w:highlight w:val="none"/>
        </w:rPr>
        <w:t>大写：</w:t>
      </w:r>
      <w:r>
        <w:rPr>
          <w:rFonts w:hint="eastAsia" w:ascii="仿宋" w:hAnsi="仿宋" w:eastAsia="仿宋" w:cs="仿宋"/>
          <w:bCs/>
          <w:sz w:val="24"/>
          <w:highlight w:val="none"/>
          <w:u w:val="single"/>
        </w:rPr>
        <w:t xml:space="preserve">   元整 </w:t>
      </w:r>
    </w:p>
    <w:p w14:paraId="2BF01787">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黑体" w:hAnsi="黑体" w:eastAsia="黑体" w:cs="黑体"/>
          <w:bCs/>
          <w:sz w:val="24"/>
          <w:highlight w:val="none"/>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7F28A354">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三、甲、乙双方的权利和义务</w:t>
      </w:r>
    </w:p>
    <w:p w14:paraId="1E84D8C4">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（一）甲方的权利和义务</w:t>
      </w:r>
    </w:p>
    <w:p w14:paraId="620674E6">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1.甲方按本合同约定享有要求乙方提供货物及项目实施服务的权利。甲方用户单位（云南大学</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）有权对乙方提供的货物及项目实施服务进行监督。甲方用户单位联系人：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，联系电话：</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w:t>
      </w:r>
    </w:p>
    <w:p w14:paraId="74F52952">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2.甲方负责向乙方提供本合同货物及项目实施服务所必需的场地和环境。</w:t>
      </w:r>
    </w:p>
    <w:p w14:paraId="517C53AF">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3.甲方负责组织成立验收组对乙方提供的本合同货物及项目实施服务进行验收并签署验收报告。</w:t>
      </w:r>
    </w:p>
    <w:p w14:paraId="5F61C572">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4.甲方按照本合同的约定向乙方支付合同款项。</w:t>
      </w:r>
    </w:p>
    <w:p w14:paraId="38F96332">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（二）乙方的权利和义务</w:t>
      </w:r>
    </w:p>
    <w:p w14:paraId="4E6593C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1.乙方按本合同约定享有向甲方收取货款的权利。</w:t>
      </w:r>
    </w:p>
    <w:p w14:paraId="14575D8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2.乙方保证按本合同约定提供合法</w:t>
      </w:r>
      <w:r>
        <w:rPr>
          <w:rFonts w:hint="eastAsia" w:ascii="仿宋" w:hAnsi="仿宋" w:eastAsia="仿宋" w:cs="仿宋"/>
          <w:bCs/>
          <w:sz w:val="24"/>
          <w:highlight w:val="none"/>
          <w:lang w:val="en-US" w:eastAsia="zh-CN"/>
        </w:rPr>
        <w:t>合规</w:t>
      </w:r>
      <w:r>
        <w:rPr>
          <w:rFonts w:hint="eastAsia" w:ascii="仿宋" w:hAnsi="仿宋" w:eastAsia="仿宋" w:cs="仿宋"/>
          <w:bCs/>
          <w:sz w:val="24"/>
          <w:highlight w:val="none"/>
        </w:rPr>
        <w:t>的货物及项目实施服务，若涉及设备系统集成的，还应免费提供集成服务，并接受甲方及甲方用户单位的监督。</w:t>
      </w:r>
    </w:p>
    <w:p w14:paraId="1F2F978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3.乙方应严格遵守投标、技术澄清、谈判、中标所承诺的一切规定和条款。</w:t>
      </w:r>
    </w:p>
    <w:p w14:paraId="3F1C052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4.乙方应积极配合甲方共同进行货物和项目实施服务的验收，并提供相关资料；本合同终止时，应将全部档案资料移交给甲方。</w:t>
      </w:r>
    </w:p>
    <w:p w14:paraId="0F567D9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5.乙方保证其提供的合同货物及项目实施服务不侵犯他人的专利权、商标权或其他知识产权,若因此而引起的纠纷及法律责任，由乙方全部负责承担；若甲方</w:t>
      </w:r>
      <w:r>
        <w:rPr>
          <w:rFonts w:hint="eastAsia" w:ascii="黑体" w:hAnsi="黑体" w:eastAsia="黑体" w:cs="黑体"/>
          <w:bCs/>
          <w:sz w:val="24"/>
          <w:highlight w:val="none"/>
          <w:lang w:eastAsia="zh-CN"/>
        </w:rPr>
        <w:t>（</w:t>
      </w:r>
      <w:r>
        <w:rPr>
          <w:rFonts w:hint="eastAsia" w:ascii="黑体" w:hAnsi="黑体" w:eastAsia="黑体" w:cs="黑体"/>
          <w:bCs/>
          <w:sz w:val="24"/>
          <w:highlight w:val="none"/>
          <w:lang w:val="en-US" w:eastAsia="zh-CN"/>
        </w:rPr>
        <w:t>包括用户</w:t>
      </w:r>
      <w:r>
        <w:rPr>
          <w:rFonts w:hint="eastAsia" w:ascii="黑体" w:hAnsi="黑体" w:eastAsia="黑体" w:cs="黑体"/>
          <w:bCs/>
          <w:sz w:val="24"/>
          <w:highlight w:val="none"/>
        </w:rPr>
        <w:t>单位</w:t>
      </w:r>
      <w:r>
        <w:rPr>
          <w:rFonts w:hint="eastAsia" w:ascii="黑体" w:hAnsi="黑体" w:eastAsia="黑体" w:cs="黑体"/>
          <w:bCs/>
          <w:sz w:val="24"/>
          <w:highlight w:val="none"/>
          <w:lang w:eastAsia="zh-CN"/>
        </w:rPr>
        <w:t>）</w:t>
      </w:r>
      <w:r>
        <w:rPr>
          <w:rFonts w:hint="eastAsia" w:ascii="黑体" w:hAnsi="黑体" w:eastAsia="黑体" w:cs="黑体"/>
          <w:bCs/>
          <w:sz w:val="24"/>
          <w:highlight w:val="none"/>
        </w:rPr>
        <w:t>因此而遭受损失，乙方应向甲方进行赔偿。</w:t>
      </w:r>
    </w:p>
    <w:p w14:paraId="5D4BB73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6.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6C91E33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7.乙方承担本项目实施过程中的全部安全责任，包括但不限于</w:t>
      </w:r>
      <w:r>
        <w:rPr>
          <w:rFonts w:hint="eastAsia" w:ascii="黑体" w:hAnsi="黑体" w:eastAsia="黑体" w:cs="黑体"/>
          <w:bCs/>
          <w:sz w:val="24"/>
          <w:highlight w:val="none"/>
          <w:lang w:val="en-US" w:eastAsia="zh-CN"/>
        </w:rPr>
        <w:t>派出工作</w:t>
      </w:r>
      <w:r>
        <w:rPr>
          <w:rFonts w:hint="eastAsia" w:ascii="黑体" w:hAnsi="黑体" w:eastAsia="黑体" w:cs="黑体"/>
          <w:bCs/>
          <w:sz w:val="24"/>
          <w:highlight w:val="none"/>
        </w:rPr>
        <w:t>人员</w:t>
      </w:r>
      <w:r>
        <w:rPr>
          <w:rFonts w:hint="eastAsia" w:ascii="黑体" w:hAnsi="黑体" w:eastAsia="黑体" w:cs="黑体"/>
          <w:bCs/>
          <w:sz w:val="24"/>
          <w:highlight w:val="none"/>
          <w:lang w:eastAsia="zh-CN"/>
        </w:rPr>
        <w:t>（</w:t>
      </w:r>
      <w:r>
        <w:rPr>
          <w:rFonts w:hint="eastAsia" w:ascii="黑体" w:hAnsi="黑体" w:eastAsia="黑体" w:cs="黑体"/>
          <w:bCs/>
          <w:sz w:val="24"/>
          <w:highlight w:val="none"/>
          <w:lang w:val="en-US" w:eastAsia="zh-CN"/>
        </w:rPr>
        <w:t>包括但不限于运输人员、安装调试人员等</w:t>
      </w:r>
      <w:r>
        <w:rPr>
          <w:rFonts w:hint="eastAsia" w:ascii="黑体" w:hAnsi="黑体" w:eastAsia="黑体" w:cs="黑体"/>
          <w:bCs/>
          <w:sz w:val="24"/>
          <w:highlight w:val="none"/>
          <w:lang w:eastAsia="zh-CN"/>
        </w:rPr>
        <w:t>）</w:t>
      </w:r>
      <w:r>
        <w:rPr>
          <w:rFonts w:hint="eastAsia" w:ascii="黑体" w:hAnsi="黑体" w:eastAsia="黑体" w:cs="黑体"/>
          <w:bCs/>
          <w:sz w:val="24"/>
          <w:highlight w:val="none"/>
        </w:rPr>
        <w:t>的人身安全和财产安全责任。</w:t>
      </w:r>
    </w:p>
    <w:p w14:paraId="25E579D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黑体" w:hAnsi="黑体" w:eastAsia="黑体" w:cs="黑体"/>
          <w:bCs/>
          <w:sz w:val="24"/>
          <w:highlight w:val="none"/>
        </w:rPr>
      </w:pPr>
      <w:r>
        <w:rPr>
          <w:rFonts w:hint="eastAsia" w:ascii="黑体" w:hAnsi="黑体" w:eastAsia="黑体" w:cs="黑体"/>
          <w:bCs/>
          <w:sz w:val="24"/>
          <w:highlight w:val="none"/>
        </w:rPr>
        <w:t>8.乙方</w:t>
      </w:r>
      <w:r>
        <w:rPr>
          <w:rFonts w:hint="eastAsia" w:ascii="黑体" w:hAnsi="黑体" w:eastAsia="黑体" w:cs="黑体"/>
          <w:bCs/>
          <w:sz w:val="24"/>
          <w:highlight w:val="none"/>
          <w:lang w:val="en-US" w:eastAsia="zh-CN"/>
        </w:rPr>
        <w:t>派出工作</w:t>
      </w:r>
      <w:r>
        <w:rPr>
          <w:rFonts w:hint="eastAsia" w:ascii="黑体" w:hAnsi="黑体" w:eastAsia="黑体" w:cs="黑体"/>
          <w:bCs/>
          <w:sz w:val="24"/>
          <w:highlight w:val="none"/>
        </w:rPr>
        <w:t>人员应遵守甲方的管理制度。乙方</w:t>
      </w:r>
      <w:r>
        <w:rPr>
          <w:rFonts w:hint="eastAsia" w:ascii="黑体" w:hAnsi="黑体" w:eastAsia="黑体" w:cs="黑体"/>
          <w:bCs/>
          <w:sz w:val="24"/>
          <w:highlight w:val="none"/>
          <w:lang w:val="en-US" w:eastAsia="zh-CN"/>
        </w:rPr>
        <w:t>入校</w:t>
      </w:r>
      <w:r>
        <w:rPr>
          <w:rFonts w:hint="eastAsia" w:ascii="黑体" w:hAnsi="黑体" w:eastAsia="黑体" w:cs="黑体"/>
          <w:bCs/>
          <w:sz w:val="24"/>
          <w:highlight w:val="none"/>
          <w:lang w:eastAsia="zh-CN"/>
        </w:rPr>
        <w:t>工作</w:t>
      </w:r>
      <w:r>
        <w:rPr>
          <w:rFonts w:hint="eastAsia" w:ascii="黑体" w:hAnsi="黑体" w:eastAsia="黑体" w:cs="黑体"/>
          <w:bCs/>
          <w:sz w:val="24"/>
          <w:highlight w:val="none"/>
        </w:rPr>
        <w:t>人员，</w:t>
      </w:r>
      <w:r>
        <w:rPr>
          <w:rFonts w:hint="eastAsia" w:ascii="黑体" w:hAnsi="黑体" w:eastAsia="黑体" w:cs="黑体"/>
          <w:bCs/>
          <w:sz w:val="24"/>
          <w:highlight w:val="none"/>
          <w:lang w:eastAsia="zh-CN"/>
        </w:rPr>
        <w:t>须</w:t>
      </w:r>
      <w:r>
        <w:rPr>
          <w:rFonts w:hint="eastAsia" w:ascii="黑体" w:hAnsi="黑体" w:eastAsia="黑体" w:cs="黑体"/>
          <w:bCs/>
          <w:sz w:val="24"/>
          <w:highlight w:val="none"/>
        </w:rPr>
        <w:t>提前报甲方同意并备案，同时应向甲方申请办理相关入校手续；若有人员变动，</w:t>
      </w:r>
      <w:r>
        <w:rPr>
          <w:rFonts w:hint="eastAsia" w:ascii="黑体" w:hAnsi="黑体" w:eastAsia="黑体" w:cs="黑体"/>
          <w:bCs/>
          <w:sz w:val="24"/>
          <w:highlight w:val="none"/>
          <w:lang w:eastAsia="zh-CN"/>
        </w:rPr>
        <w:t>须</w:t>
      </w:r>
      <w:r>
        <w:rPr>
          <w:rFonts w:hint="eastAsia" w:ascii="黑体" w:hAnsi="黑体" w:eastAsia="黑体" w:cs="黑体"/>
          <w:bCs/>
          <w:sz w:val="24"/>
          <w:highlight w:val="none"/>
        </w:rPr>
        <w:t>书面通知甲方，经甲方同意并备案后，方可更换。</w:t>
      </w:r>
    </w:p>
    <w:p w14:paraId="5D32DDB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仿宋" w:hAnsi="仿宋" w:eastAsia="仿宋" w:cs="仿宋"/>
          <w:bCs/>
          <w:sz w:val="24"/>
          <w:highlight w:val="none"/>
        </w:rPr>
      </w:pPr>
      <w:r>
        <w:rPr>
          <w:rFonts w:hint="eastAsia" w:ascii="黑体" w:hAnsi="黑体" w:eastAsia="黑体" w:cs="黑体"/>
          <w:bCs/>
          <w:sz w:val="24"/>
          <w:highlight w:val="none"/>
          <w:lang w:val="en-US" w:eastAsia="zh-CN"/>
        </w:rPr>
        <w:t>9.如涉及施工的，</w:t>
      </w:r>
      <w:r>
        <w:rPr>
          <w:rFonts w:hint="eastAsia" w:ascii="黑体" w:hAnsi="黑体" w:eastAsia="黑体" w:cs="黑体"/>
          <w:bCs/>
          <w:sz w:val="24"/>
          <w:highlight w:val="none"/>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4AA530D2">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四、售后服务标准及要求</w:t>
      </w:r>
    </w:p>
    <w:p w14:paraId="1941B468">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本合同执行过程中，乙方应为甲方提供免费培训服务（培训内容、时间与地点以谈判响应文件为准），直到甲方必要的使用人员能正常使用为止，并指派专人负责与甲方联系售后服务事宜，为甲方提供及时有效的技术支持及服务。</w:t>
      </w:r>
    </w:p>
    <w:p w14:paraId="03C6760D">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2.售后服务联系地址和联系电话的变更，乙方应在第一时间及时书面通知甲方和甲方使用单位。</w:t>
      </w:r>
    </w:p>
    <w:p w14:paraId="44DF0B8C">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sz w:val="24"/>
          <w:highlight w:val="none"/>
        </w:rPr>
      </w:pPr>
      <w:r>
        <w:rPr>
          <w:rFonts w:hint="eastAsia" w:ascii="仿宋" w:hAnsi="仿宋" w:eastAsia="仿宋" w:cs="仿宋"/>
          <w:bCs/>
          <w:sz w:val="24"/>
          <w:highlight w:val="none"/>
        </w:rPr>
        <w:t>3.乙方本项目售后服务联系人：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，联系电话：</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w:t>
      </w:r>
    </w:p>
    <w:p w14:paraId="0C790E8D">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sz w:val="24"/>
          <w:highlight w:val="none"/>
        </w:rPr>
        <w:t>4.乙方在本地的售后服务联系地址：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rPr>
        <w:t xml:space="preserve">   </w:t>
      </w:r>
      <w:r>
        <w:rPr>
          <w:rFonts w:hint="eastAsia" w:ascii="仿宋" w:hAnsi="仿宋" w:eastAsia="仿宋" w:cs="仿宋"/>
          <w:bCs/>
          <w:sz w:val="24"/>
          <w:highlight w:val="none"/>
        </w:rPr>
        <w:t>。</w:t>
      </w:r>
    </w:p>
    <w:p w14:paraId="3BFDFAFA">
      <w:pPr>
        <w:pStyle w:val="8"/>
        <w:keepNext w:val="0"/>
        <w:keepLines w:val="0"/>
        <w:pageBreakBefore w:val="0"/>
        <w:kinsoku/>
        <w:wordWrap/>
        <w:overflowPunct/>
        <w:topLinePunct w:val="0"/>
        <w:bidi w:val="0"/>
        <w:spacing w:beforeLines="0" w:line="360" w:lineRule="auto"/>
        <w:ind w:firstLine="480" w:firstLineChars="200"/>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5.乙方迁址或者变更联系人及联系方式的，应于变更后3日内书面通知甲方。否则，因联系方式的错误致使甲方无法联系而造成的不利后果均由乙方承担。</w:t>
      </w:r>
    </w:p>
    <w:p w14:paraId="2C5F4981">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6.货物验收合格后，在质量保证期内，所有货物保修服务方式均为乙方上门保修，即由乙方派员到货物使用现场维修，由此产生的一切费用均由乙方承担。</w:t>
      </w:r>
    </w:p>
    <w:p w14:paraId="5F1BBF67">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7.乙方应按照国家有关法律法规规章和“三包”规定，以及本合同或招投标文件所约定的服务承诺提供服务。</w:t>
      </w:r>
    </w:p>
    <w:p w14:paraId="7729FBB9">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8.质量保证期：</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（若标的本身的质保期限大于该质量保证期，则执行标的本身的质保期限）。</w:t>
      </w:r>
    </w:p>
    <w:p w14:paraId="5F3459BD">
      <w:pPr>
        <w:pStyle w:val="8"/>
        <w:keepNext w:val="0"/>
        <w:keepLines w:val="0"/>
        <w:pageBreakBefore w:val="0"/>
        <w:kinsoku/>
        <w:wordWrap/>
        <w:overflowPunct/>
        <w:topLinePunct w:val="0"/>
        <w:bidi w:val="0"/>
        <w:spacing w:beforeLines="0" w:line="360" w:lineRule="auto"/>
        <w:ind w:firstLine="480" w:firstLineChars="200"/>
        <w:textAlignment w:val="auto"/>
        <w:rPr>
          <w:rFonts w:ascii="仿宋" w:hAnsi="仿宋" w:eastAsia="仿宋" w:cs="仿宋"/>
          <w:bCs/>
          <w:highlight w:val="none"/>
        </w:rPr>
      </w:pPr>
      <w:r>
        <w:rPr>
          <w:rFonts w:hint="eastAsia" w:ascii="仿宋" w:hAnsi="仿宋" w:eastAsia="仿宋" w:cs="仿宋"/>
          <w:bCs/>
          <w:sz w:val="24"/>
          <w:highlight w:val="none"/>
        </w:rPr>
        <w:t>9.</w:t>
      </w:r>
      <w:r>
        <w:rPr>
          <w:rFonts w:hint="eastAsia" w:ascii="黑体" w:hAnsi="黑体" w:eastAsia="黑体" w:cs="黑体"/>
          <w:bCs/>
          <w:sz w:val="24"/>
          <w:highlight w:val="none"/>
        </w:rPr>
        <w:t>质保期内，如设备或零部件因非人为因素岀现故障而造成短期停用时，则质保期和免费维修期相应顺延。如停用时间累计超过30天，则质保期重新计算。</w:t>
      </w:r>
    </w:p>
    <w:p w14:paraId="6A4EE9F9">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10.质量保证期后的货物维护由双方协商再定。</w:t>
      </w:r>
    </w:p>
    <w:p w14:paraId="670892FC">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五、包装要求及验收标准</w:t>
      </w:r>
    </w:p>
    <w:p w14:paraId="7B76DD76">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（一）包装要求</w:t>
      </w:r>
    </w:p>
    <w:p w14:paraId="54E1596F">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0D93F194">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（二）项目验收</w:t>
      </w:r>
    </w:p>
    <w:p w14:paraId="359AFEBA">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1.乙方交付的货物应当完全符合本合同以及采购文件所规定的货物、数量和规格要求。乙方提供的货物不符合采购文件和合同规定的，甲方有权拒收货物，由此引起的风险及责任，由乙方承担。</w:t>
      </w:r>
    </w:p>
    <w:p w14:paraId="4BF33D6F">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2.货物的到货验收包括：型号、规格、数量。</w:t>
      </w:r>
    </w:p>
    <w:p w14:paraId="3C769A00">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14BA36A6">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4.乙方对货物或系统进行安装调试、试运行。</w:t>
      </w:r>
      <w:r>
        <w:rPr>
          <w:rFonts w:hint="eastAsia" w:ascii="仿宋" w:hAnsi="仿宋" w:eastAsia="仿宋" w:cs="仿宋"/>
          <w:bCs/>
          <w:sz w:val="24"/>
          <w:highlight w:val="none"/>
          <w:lang w:val="en-US" w:eastAsia="zh-CN"/>
        </w:rPr>
        <w:t>试运行结束后，根据云南大学相关管理规定开展验收工作</w:t>
      </w:r>
      <w:r>
        <w:rPr>
          <w:rFonts w:hint="eastAsia" w:ascii="仿宋" w:hAnsi="仿宋" w:eastAsia="仿宋" w:cs="仿宋"/>
          <w:bCs/>
          <w:sz w:val="24"/>
          <w:highlight w:val="none"/>
        </w:rPr>
        <w:t>。采购文件对验收期限另有规定的，从其</w:t>
      </w:r>
      <w:r>
        <w:rPr>
          <w:rFonts w:hint="eastAsia" w:ascii="仿宋" w:hAnsi="仿宋" w:eastAsia="仿宋" w:cs="仿宋"/>
          <w:bCs/>
          <w:sz w:val="24"/>
          <w:highlight w:val="none"/>
          <w:lang w:val="en-US" w:eastAsia="zh-CN"/>
        </w:rPr>
        <w:t>约定</w:t>
      </w:r>
      <w:r>
        <w:rPr>
          <w:rFonts w:hint="eastAsia" w:ascii="仿宋" w:hAnsi="仿宋" w:eastAsia="仿宋" w:cs="仿宋"/>
          <w:bCs/>
          <w:sz w:val="24"/>
          <w:highlight w:val="none"/>
        </w:rPr>
        <w:t>。</w:t>
      </w:r>
    </w:p>
    <w:p w14:paraId="2D30617A">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5.货物和系统调试验收的标准：按行业通行标准、厂方出厂标准、谈判文件要求和乙方文件的承诺，且不低于国家相关标准。若有样品，则须同时不低于样品标准及投标时的承诺。</w:t>
      </w:r>
    </w:p>
    <w:p w14:paraId="5DEAEB53">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6.验收时须提供质保期满后备品、备件、服务价格清单。</w:t>
      </w:r>
    </w:p>
    <w:p w14:paraId="7D546FBE">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7.采购文件中另有规定的，从其</w:t>
      </w:r>
      <w:r>
        <w:rPr>
          <w:rFonts w:hint="eastAsia" w:ascii="仿宋" w:hAnsi="仿宋" w:eastAsia="仿宋" w:cs="仿宋"/>
          <w:bCs/>
          <w:sz w:val="24"/>
          <w:highlight w:val="none"/>
          <w:lang w:val="en-US" w:eastAsia="zh-CN"/>
        </w:rPr>
        <w:t>约定</w:t>
      </w:r>
      <w:r>
        <w:rPr>
          <w:rFonts w:hint="eastAsia" w:ascii="仿宋" w:hAnsi="仿宋" w:eastAsia="仿宋" w:cs="仿宋"/>
          <w:bCs/>
          <w:sz w:val="24"/>
          <w:highlight w:val="none"/>
        </w:rPr>
        <w:t>。</w:t>
      </w:r>
    </w:p>
    <w:p w14:paraId="2E71F07E">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六、合同价款结算</w:t>
      </w:r>
    </w:p>
    <w:p w14:paraId="41CCCBEC">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（一）履约保证</w:t>
      </w:r>
    </w:p>
    <w:p w14:paraId="50978932">
      <w:pPr>
        <w:keepNext w:val="0"/>
        <w:keepLines w:val="0"/>
        <w:pageBreakBefore w:val="0"/>
        <w:kinsoku/>
        <w:wordWrap/>
        <w:overflowPunct/>
        <w:topLinePunct w:val="0"/>
        <w:bidi w:val="0"/>
        <w:spacing w:line="360" w:lineRule="auto"/>
        <w:ind w:firstLine="480" w:firstLineChars="200"/>
        <w:textAlignment w:val="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1.本合同签订</w:t>
      </w:r>
      <w:r>
        <w:rPr>
          <w:rFonts w:hint="eastAsia" w:ascii="仿宋" w:hAnsi="仿宋" w:eastAsia="仿宋" w:cs="仿宋"/>
          <w:bCs/>
          <w:sz w:val="24"/>
          <w:highlight w:val="none"/>
          <w:lang w:val="en-US" w:eastAsia="zh-CN"/>
        </w:rPr>
        <w:t>后10日内</w:t>
      </w:r>
      <w:r>
        <w:rPr>
          <w:rFonts w:hint="eastAsia" w:ascii="仿宋" w:hAnsi="仿宋" w:eastAsia="仿宋" w:cs="仿宋"/>
          <w:bCs/>
          <w:sz w:val="24"/>
          <w:highlight w:val="none"/>
        </w:rPr>
        <w:t>，乙方应向甲方缴纳合同总金额</w:t>
      </w:r>
      <w:r>
        <w:rPr>
          <w:rFonts w:hint="eastAsia" w:ascii="仿宋" w:hAnsi="仿宋" w:eastAsia="仿宋" w:cs="仿宋"/>
          <w:bCs/>
          <w:sz w:val="24"/>
          <w:highlight w:val="none"/>
          <w:lang w:val="en-US" w:eastAsia="zh-CN"/>
        </w:rPr>
        <w:t>的</w:t>
      </w:r>
      <w:r>
        <w:rPr>
          <w:rFonts w:hint="eastAsia" w:ascii="仿宋" w:hAnsi="仿宋" w:eastAsia="仿宋" w:cs="仿宋"/>
          <w:bCs/>
          <w:sz w:val="24"/>
          <w:highlight w:val="none"/>
        </w:rPr>
        <w:t>5%</w:t>
      </w:r>
      <w:r>
        <w:rPr>
          <w:rFonts w:hint="eastAsia" w:ascii="仿宋" w:hAnsi="仿宋" w:eastAsia="仿宋" w:cs="仿宋"/>
          <w:bCs/>
          <w:sz w:val="24"/>
          <w:highlight w:val="none"/>
          <w:lang w:val="en-US" w:eastAsia="zh-CN"/>
        </w:rPr>
        <w:t>作为</w:t>
      </w:r>
      <w:r>
        <w:rPr>
          <w:rFonts w:hint="eastAsia" w:ascii="仿宋" w:hAnsi="仿宋" w:eastAsia="仿宋" w:cs="仿宋"/>
          <w:bCs/>
          <w:sz w:val="24"/>
          <w:highlight w:val="none"/>
        </w:rPr>
        <w:t>履约保证金，缴纳履约保证金后才能办理货款支付手续</w:t>
      </w:r>
      <w:r>
        <w:rPr>
          <w:rFonts w:hint="eastAsia" w:ascii="仿宋" w:hAnsi="仿宋" w:eastAsia="仿宋" w:cs="仿宋"/>
          <w:bCs/>
          <w:sz w:val="24"/>
          <w:highlight w:val="none"/>
          <w:lang w:eastAsia="zh-CN"/>
        </w:rPr>
        <w:t>。</w:t>
      </w:r>
    </w:p>
    <w:p w14:paraId="0C1A037F">
      <w:pPr>
        <w:pStyle w:val="8"/>
        <w:keepNext w:val="0"/>
        <w:keepLines w:val="0"/>
        <w:pageBreakBefore w:val="0"/>
        <w:widowControl w:val="0"/>
        <w:kinsoku/>
        <w:wordWrap/>
        <w:overflowPunct/>
        <w:topLinePunct w:val="0"/>
        <w:autoSpaceDE/>
        <w:autoSpaceDN/>
        <w:bidi w:val="0"/>
        <w:adjustRightInd/>
        <w:snapToGrid/>
        <w:spacing w:before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履约保证金需缴纳至以下账户：</w:t>
      </w:r>
    </w:p>
    <w:p w14:paraId="42C05FDF">
      <w:pPr>
        <w:pStyle w:val="8"/>
        <w:keepNext w:val="0"/>
        <w:keepLines w:val="0"/>
        <w:pageBreakBefore w:val="0"/>
        <w:widowControl w:val="0"/>
        <w:kinsoku/>
        <w:wordWrap/>
        <w:overflowPunct/>
        <w:topLinePunct w:val="0"/>
        <w:autoSpaceDE/>
        <w:autoSpaceDN/>
        <w:bidi w:val="0"/>
        <w:adjustRightInd/>
        <w:snapToGrid/>
        <w:spacing w:before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户名：云南大学</w:t>
      </w:r>
    </w:p>
    <w:p w14:paraId="3A58CBD8">
      <w:pPr>
        <w:pStyle w:val="8"/>
        <w:keepNext w:val="0"/>
        <w:keepLines w:val="0"/>
        <w:pageBreakBefore w:val="0"/>
        <w:widowControl w:val="0"/>
        <w:kinsoku/>
        <w:wordWrap/>
        <w:overflowPunct/>
        <w:topLinePunct w:val="0"/>
        <w:autoSpaceDE/>
        <w:autoSpaceDN/>
        <w:bidi w:val="0"/>
        <w:adjustRightInd/>
        <w:snapToGrid/>
        <w:spacing w:before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开户行：交通银行昆明护国支行</w:t>
      </w:r>
    </w:p>
    <w:p w14:paraId="5EC9BD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账号：531078126010149120198</w:t>
      </w:r>
    </w:p>
    <w:p w14:paraId="4571F60E">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2.</w:t>
      </w:r>
      <w:r>
        <w:rPr>
          <w:rFonts w:hint="eastAsia" w:ascii="仿宋" w:hAnsi="仿宋" w:eastAsia="仿宋" w:cs="仿宋"/>
          <w:bCs/>
          <w:sz w:val="24"/>
          <w:highlight w:val="none"/>
          <w:lang w:val="en-US" w:eastAsia="zh-CN"/>
        </w:rPr>
        <w:t>全部货物经甲方最终验收合格</w:t>
      </w: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且</w:t>
      </w:r>
      <w:r>
        <w:rPr>
          <w:rFonts w:hint="eastAsia" w:ascii="仿宋" w:hAnsi="仿宋" w:eastAsia="仿宋" w:cs="仿宋"/>
          <w:bCs/>
          <w:sz w:val="24"/>
          <w:highlight w:val="none"/>
        </w:rPr>
        <w:t>乙方无</w:t>
      </w:r>
      <w:r>
        <w:rPr>
          <w:rFonts w:hint="eastAsia" w:ascii="仿宋" w:hAnsi="仿宋" w:eastAsia="仿宋" w:cs="仿宋"/>
          <w:bCs/>
          <w:sz w:val="24"/>
          <w:highlight w:val="none"/>
          <w:lang w:val="en-US" w:eastAsia="zh-CN"/>
        </w:rPr>
        <w:t>任何</w:t>
      </w:r>
      <w:r>
        <w:rPr>
          <w:rFonts w:hint="eastAsia" w:ascii="仿宋" w:hAnsi="仿宋" w:eastAsia="仿宋" w:cs="仿宋"/>
          <w:bCs/>
          <w:sz w:val="24"/>
          <w:highlight w:val="none"/>
        </w:rPr>
        <w:t>违约责任</w:t>
      </w:r>
      <w:r>
        <w:rPr>
          <w:rFonts w:hint="eastAsia" w:ascii="仿宋" w:hAnsi="仿宋" w:eastAsia="仿宋" w:cs="仿宋"/>
          <w:bCs/>
          <w:sz w:val="24"/>
          <w:highlight w:val="none"/>
          <w:lang w:val="en-US" w:eastAsia="zh-CN"/>
        </w:rPr>
        <w:t>的</w:t>
      </w:r>
      <w:r>
        <w:rPr>
          <w:rFonts w:hint="eastAsia" w:ascii="仿宋" w:hAnsi="仿宋" w:eastAsia="仿宋" w:cs="仿宋"/>
          <w:bCs/>
          <w:sz w:val="24"/>
          <w:highlight w:val="none"/>
        </w:rPr>
        <w:t>，甲方无息退还乙方</w:t>
      </w:r>
      <w:r>
        <w:rPr>
          <w:rFonts w:hint="eastAsia" w:ascii="仿宋" w:hAnsi="仿宋" w:eastAsia="仿宋" w:cs="仿宋"/>
          <w:bCs/>
          <w:sz w:val="24"/>
          <w:highlight w:val="none"/>
          <w:lang w:val="en-US" w:eastAsia="zh-CN"/>
        </w:rPr>
        <w:t>全部</w:t>
      </w:r>
      <w:r>
        <w:rPr>
          <w:rFonts w:hint="eastAsia" w:ascii="仿宋" w:hAnsi="仿宋" w:eastAsia="仿宋" w:cs="仿宋"/>
          <w:bCs/>
          <w:sz w:val="24"/>
          <w:highlight w:val="none"/>
        </w:rPr>
        <w:t>履约保证金</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乙方存在违约行为的，甲方有权扣除部分或全部履约保证金抵扣乙方应支付的违约金</w:t>
      </w:r>
      <w:r>
        <w:rPr>
          <w:rFonts w:hint="eastAsia" w:ascii="仿宋" w:hAnsi="仿宋" w:eastAsia="仿宋" w:cs="仿宋"/>
          <w:bCs/>
          <w:sz w:val="24"/>
          <w:highlight w:val="none"/>
        </w:rPr>
        <w:t>。</w:t>
      </w:r>
    </w:p>
    <w:p w14:paraId="67A6AF08">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（二）本合同价款的支付办法</w:t>
      </w:r>
    </w:p>
    <w:p w14:paraId="5614A9F5">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1.本项目无预付款，</w:t>
      </w:r>
      <w:r>
        <w:rPr>
          <w:rFonts w:hint="eastAsia" w:ascii="仿宋" w:hAnsi="仿宋" w:eastAsia="仿宋" w:cs="仿宋"/>
          <w:bCs/>
          <w:sz w:val="24"/>
          <w:highlight w:val="none"/>
          <w:lang w:val="en-US" w:eastAsia="zh-CN"/>
        </w:rPr>
        <w:t>甲方最终验收</w:t>
      </w:r>
      <w:r>
        <w:rPr>
          <w:rFonts w:hint="eastAsia" w:ascii="仿宋" w:hAnsi="仿宋" w:eastAsia="仿宋" w:cs="仿宋"/>
          <w:bCs/>
          <w:sz w:val="24"/>
          <w:highlight w:val="none"/>
        </w:rPr>
        <w:t>合格后30日内支付合同金额的100%至乙方指定银行账户。付款时乙方需提供增值税专用发票。乙方缴纳履约保证金是甲方付款的必要条件。</w:t>
      </w:r>
    </w:p>
    <w:p w14:paraId="3E2D7C39">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.乙方指定银行账户信息如下：</w:t>
      </w:r>
    </w:p>
    <w:p w14:paraId="4A3195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开户名称：</w:t>
      </w:r>
      <w:r>
        <w:rPr>
          <w:rFonts w:ascii="仿宋" w:hAnsi="仿宋" w:eastAsia="仿宋" w:cs="仿宋"/>
          <w:sz w:val="24"/>
          <w:highlight w:val="none"/>
        </w:rPr>
        <w:t xml:space="preserve"> </w:t>
      </w:r>
    </w:p>
    <w:p w14:paraId="20019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开户银行：</w:t>
      </w:r>
      <w:r>
        <w:rPr>
          <w:rFonts w:ascii="仿宋" w:hAnsi="仿宋" w:eastAsia="仿宋" w:cs="仿宋"/>
          <w:sz w:val="24"/>
          <w:highlight w:val="none"/>
        </w:rPr>
        <w:t xml:space="preserve"> </w:t>
      </w:r>
    </w:p>
    <w:p w14:paraId="35E92004">
      <w:pPr>
        <w:pStyle w:val="8"/>
        <w:keepNext w:val="0"/>
        <w:keepLines w:val="0"/>
        <w:pageBreakBefore w:val="0"/>
        <w:widowControl w:val="0"/>
        <w:kinsoku/>
        <w:wordWrap/>
        <w:overflowPunct/>
        <w:topLinePunct w:val="0"/>
        <w:autoSpaceDE/>
        <w:autoSpaceDN/>
        <w:bidi w:val="0"/>
        <w:adjustRightInd/>
        <w:snapToGrid/>
        <w:spacing w:beforeLines="0" w:line="360" w:lineRule="auto"/>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账号：</w:t>
      </w:r>
    </w:p>
    <w:p w14:paraId="51868DDD">
      <w:pPr>
        <w:pStyle w:val="8"/>
        <w:keepNext w:val="0"/>
        <w:keepLines w:val="0"/>
        <w:pageBreakBefore w:val="0"/>
        <w:widowControl w:val="0"/>
        <w:kinsoku/>
        <w:wordWrap/>
        <w:overflowPunct/>
        <w:topLinePunct w:val="0"/>
        <w:autoSpaceDE/>
        <w:autoSpaceDN/>
        <w:bidi w:val="0"/>
        <w:adjustRightInd/>
        <w:snapToGrid/>
        <w:spacing w:beforeLines="0" w:line="360" w:lineRule="auto"/>
        <w:ind w:firstLine="480" w:firstLineChars="200"/>
        <w:textAlignment w:val="auto"/>
        <w:rPr>
          <w:rFonts w:ascii="仿宋" w:hAnsi="仿宋" w:eastAsia="仿宋" w:cs="仿宋"/>
          <w:bCs/>
          <w:sz w:val="24"/>
          <w:highlight w:val="none"/>
        </w:rPr>
      </w:pPr>
      <w:r>
        <w:rPr>
          <w:rFonts w:hint="eastAsia" w:ascii="黑体" w:hAnsi="黑体" w:eastAsia="黑体" w:cs="黑体"/>
          <w:bCs/>
          <w:sz w:val="24"/>
          <w:highlight w:val="none"/>
        </w:rPr>
        <w:t>若乙方指定银行账户信息发生变更，乙方应在甲方付款前10个工作日书面告知甲方，否则乙方自行承担相关责任和后果。</w:t>
      </w:r>
    </w:p>
    <w:p w14:paraId="2750F985">
      <w:pPr>
        <w:keepNext w:val="0"/>
        <w:keepLines w:val="0"/>
        <w:pageBreakBefore w:val="0"/>
        <w:kinsoku/>
        <w:wordWrap/>
        <w:overflowPunct/>
        <w:topLinePunct w:val="0"/>
        <w:bidi w:val="0"/>
        <w:spacing w:line="360" w:lineRule="auto"/>
        <w:ind w:firstLine="480" w:firstLineChars="200"/>
        <w:textAlignment w:val="auto"/>
        <w:rPr>
          <w:rFonts w:ascii="黑体" w:hAnsi="黑体" w:eastAsia="黑体" w:cs="黑体"/>
          <w:bCs/>
          <w:sz w:val="24"/>
          <w:highlight w:val="none"/>
        </w:rPr>
      </w:pPr>
      <w:r>
        <w:rPr>
          <w:rFonts w:hint="eastAsia" w:ascii="黑体" w:hAnsi="黑体" w:eastAsia="黑体" w:cs="黑体"/>
          <w:bCs/>
          <w:sz w:val="24"/>
          <w:highlight w:val="none"/>
          <w:lang w:val="en-US" w:eastAsia="zh-CN"/>
        </w:rPr>
        <w:t>3</w:t>
      </w:r>
      <w:r>
        <w:rPr>
          <w:rFonts w:hint="eastAsia" w:ascii="黑体" w:hAnsi="黑体" w:eastAsia="黑体" w:cs="黑体"/>
          <w:bCs/>
          <w:sz w:val="24"/>
          <w:highlight w:val="none"/>
        </w:rPr>
        <w:t>.若乙方存在违约行为，按本合同约定应向甲方支付违约金</w:t>
      </w:r>
      <w:r>
        <w:rPr>
          <w:rFonts w:hint="eastAsia" w:ascii="黑体" w:hAnsi="黑体" w:eastAsia="黑体" w:cs="黑体"/>
          <w:bCs/>
          <w:sz w:val="24"/>
          <w:highlight w:val="none"/>
          <w:lang w:val="en-US" w:eastAsia="zh-CN"/>
        </w:rPr>
        <w:t>且履约保证金不足抵扣违约金的</w:t>
      </w:r>
      <w:r>
        <w:rPr>
          <w:rFonts w:hint="eastAsia" w:ascii="黑体" w:hAnsi="黑体" w:eastAsia="黑体" w:cs="黑体"/>
          <w:bCs/>
          <w:sz w:val="24"/>
          <w:highlight w:val="none"/>
        </w:rPr>
        <w:t>，</w:t>
      </w:r>
      <w:r>
        <w:rPr>
          <w:rFonts w:hint="default" w:ascii="黑体" w:hAnsi="黑体" w:eastAsia="黑体" w:cs="黑体"/>
          <w:bCs/>
          <w:sz w:val="24"/>
          <w:highlight w:val="none"/>
          <w:lang w:val="en-US"/>
        </w:rPr>
        <w:t>则扣除乙方</w:t>
      </w:r>
      <w:r>
        <w:rPr>
          <w:rFonts w:hint="eastAsia" w:ascii="黑体" w:hAnsi="黑体" w:eastAsia="黑体" w:cs="黑体"/>
          <w:bCs/>
          <w:sz w:val="24"/>
          <w:highlight w:val="none"/>
          <w:lang w:val="en-US" w:eastAsia="zh-CN"/>
        </w:rPr>
        <w:t>剩余</w:t>
      </w:r>
      <w:r>
        <w:rPr>
          <w:rFonts w:hint="default" w:ascii="黑体" w:hAnsi="黑体" w:eastAsia="黑体" w:cs="黑体"/>
          <w:bCs/>
          <w:sz w:val="24"/>
          <w:highlight w:val="none"/>
          <w:lang w:val="en-US"/>
        </w:rPr>
        <w:t>应付违约金后的金额作为合同</w:t>
      </w:r>
      <w:r>
        <w:rPr>
          <w:rFonts w:hint="eastAsia" w:ascii="黑体" w:hAnsi="黑体" w:eastAsia="黑体" w:cs="黑体"/>
          <w:bCs/>
          <w:sz w:val="24"/>
          <w:highlight w:val="none"/>
          <w:lang w:val="en-US" w:eastAsia="zh-CN"/>
        </w:rPr>
        <w:t>价款</w:t>
      </w:r>
      <w:r>
        <w:rPr>
          <w:rFonts w:hint="default" w:ascii="黑体" w:hAnsi="黑体" w:eastAsia="黑体" w:cs="黑体"/>
          <w:bCs/>
          <w:sz w:val="24"/>
          <w:highlight w:val="none"/>
          <w:lang w:val="en-US"/>
        </w:rPr>
        <w:t>最终结算金额，并据此核定单价</w:t>
      </w:r>
      <w:r>
        <w:rPr>
          <w:rFonts w:hint="eastAsia" w:ascii="黑体" w:hAnsi="黑体" w:eastAsia="黑体" w:cs="黑体"/>
          <w:bCs/>
          <w:sz w:val="24"/>
          <w:highlight w:val="none"/>
        </w:rPr>
        <w:t>。</w:t>
      </w:r>
    </w:p>
    <w:p w14:paraId="32BACD0D">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七、合同的变更必须经甲、乙双方协商一致，并按照相关的变更程序加以书面确认后方可进行。</w:t>
      </w:r>
    </w:p>
    <w:p w14:paraId="5EE24847">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八、违约责任</w:t>
      </w:r>
    </w:p>
    <w:p w14:paraId="629D849B">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1.甲方无正当理由拒收货物、拒付货款的，每逾期1天，甲方应向乙方支付合同</w:t>
      </w:r>
      <w:r>
        <w:rPr>
          <w:rFonts w:hint="eastAsia" w:ascii="仿宋" w:hAnsi="仿宋" w:eastAsia="仿宋" w:cs="仿宋"/>
          <w:bCs/>
          <w:sz w:val="24"/>
          <w:highlight w:val="none"/>
          <w:lang w:val="en-US" w:eastAsia="zh-CN"/>
        </w:rPr>
        <w:t>总金额</w:t>
      </w:r>
      <w:r>
        <w:rPr>
          <w:rFonts w:hint="eastAsia" w:ascii="仿宋" w:hAnsi="仿宋" w:eastAsia="仿宋" w:cs="仿宋"/>
          <w:bCs/>
          <w:sz w:val="24"/>
          <w:highlight w:val="none"/>
        </w:rPr>
        <w:t>的5‰</w:t>
      </w:r>
      <w:r>
        <w:rPr>
          <w:rFonts w:hint="eastAsia" w:ascii="仿宋" w:hAnsi="仿宋" w:eastAsia="仿宋" w:cs="仿宋"/>
          <w:bCs/>
          <w:sz w:val="24"/>
          <w:highlight w:val="none"/>
          <w:lang w:val="en-US" w:eastAsia="zh-CN"/>
        </w:rPr>
        <w:t>作为</w:t>
      </w:r>
      <w:r>
        <w:rPr>
          <w:rFonts w:hint="eastAsia" w:ascii="仿宋" w:hAnsi="仿宋" w:eastAsia="仿宋" w:cs="仿宋"/>
          <w:bCs/>
          <w:sz w:val="24"/>
          <w:highlight w:val="none"/>
        </w:rPr>
        <w:t>违约金。如甲方逾期30天以上（含本数）未按约定接收货物和支付合同价款的，甲方应向乙方支付合同</w:t>
      </w:r>
      <w:r>
        <w:rPr>
          <w:rFonts w:hint="eastAsia" w:ascii="仿宋" w:hAnsi="仿宋" w:eastAsia="仿宋" w:cs="仿宋"/>
          <w:bCs/>
          <w:sz w:val="24"/>
          <w:highlight w:val="none"/>
          <w:lang w:val="en-US" w:eastAsia="zh-CN"/>
        </w:rPr>
        <w:t>总金额</w:t>
      </w:r>
      <w:r>
        <w:rPr>
          <w:rFonts w:hint="eastAsia" w:ascii="仿宋" w:hAnsi="仿宋" w:eastAsia="仿宋" w:cs="仿宋"/>
          <w:bCs/>
          <w:sz w:val="24"/>
          <w:highlight w:val="none"/>
        </w:rPr>
        <w:t>的30%</w:t>
      </w:r>
      <w:r>
        <w:rPr>
          <w:rFonts w:hint="eastAsia" w:ascii="仿宋" w:hAnsi="仿宋" w:eastAsia="仿宋" w:cs="仿宋"/>
          <w:bCs/>
          <w:sz w:val="24"/>
          <w:highlight w:val="none"/>
          <w:lang w:val="en-US" w:eastAsia="zh-CN"/>
        </w:rPr>
        <w:t>作为</w:t>
      </w:r>
      <w:r>
        <w:rPr>
          <w:rFonts w:hint="eastAsia" w:ascii="仿宋" w:hAnsi="仿宋" w:eastAsia="仿宋" w:cs="仿宋"/>
          <w:bCs/>
          <w:sz w:val="24"/>
          <w:highlight w:val="none"/>
        </w:rPr>
        <w:t>违约金，同时乙方有权选择单方解除合同，解除合同的通知自到达甲方时生效。</w:t>
      </w:r>
    </w:p>
    <w:p w14:paraId="08B10ABC">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2.乙方逾期交付货物的，每逾期1天，乙方应向甲方支付逾期交货部分</w:t>
      </w:r>
      <w:r>
        <w:rPr>
          <w:rFonts w:hint="eastAsia" w:ascii="黑体" w:hAnsi="黑体" w:eastAsia="黑体" w:cs="黑体"/>
          <w:bCs/>
          <w:sz w:val="24"/>
          <w:highlight w:val="none"/>
          <w:lang w:val="en-US" w:eastAsia="zh-CN"/>
        </w:rPr>
        <w:t>合同</w:t>
      </w:r>
      <w:r>
        <w:rPr>
          <w:rFonts w:hint="eastAsia" w:ascii="黑体" w:hAnsi="黑体" w:eastAsia="黑体" w:cs="黑体"/>
          <w:bCs/>
          <w:sz w:val="24"/>
          <w:highlight w:val="none"/>
        </w:rPr>
        <w:t>总金额的5‰</w:t>
      </w:r>
      <w:r>
        <w:rPr>
          <w:rFonts w:hint="eastAsia" w:ascii="黑体" w:hAnsi="黑体" w:eastAsia="黑体" w:cs="黑体"/>
          <w:bCs/>
          <w:sz w:val="24"/>
          <w:highlight w:val="none"/>
          <w:lang w:val="en-US" w:eastAsia="zh-CN"/>
        </w:rPr>
        <w:t>作为</w:t>
      </w:r>
      <w:r>
        <w:rPr>
          <w:rFonts w:hint="eastAsia" w:ascii="黑体" w:hAnsi="黑体" w:eastAsia="黑体" w:cs="黑体"/>
          <w:bCs/>
          <w:sz w:val="24"/>
          <w:highlight w:val="none"/>
        </w:rPr>
        <w:t>违约金；乙方支付迟延交货违约金并不免除乙方继续履行交货的义务。如乙方逾期交货达30天以上的（含本数），乙方应向甲方支付</w:t>
      </w:r>
      <w:r>
        <w:rPr>
          <w:rFonts w:hint="eastAsia" w:ascii="黑体" w:hAnsi="黑体" w:eastAsia="黑体" w:cs="黑体"/>
          <w:bCs/>
          <w:sz w:val="24"/>
          <w:highlight w:val="none"/>
          <w:lang w:val="en-US" w:eastAsia="zh-CN"/>
        </w:rPr>
        <w:t>合同</w:t>
      </w:r>
      <w:r>
        <w:rPr>
          <w:rFonts w:hint="eastAsia" w:ascii="黑体" w:hAnsi="黑体" w:eastAsia="黑体" w:cs="黑体"/>
          <w:bCs/>
          <w:sz w:val="24"/>
          <w:highlight w:val="none"/>
        </w:rPr>
        <w:t>总金额的30%</w:t>
      </w:r>
      <w:r>
        <w:rPr>
          <w:rFonts w:hint="eastAsia" w:ascii="黑体" w:hAnsi="黑体" w:eastAsia="黑体" w:cs="黑体"/>
          <w:bCs/>
          <w:sz w:val="24"/>
          <w:highlight w:val="none"/>
          <w:lang w:val="en-US" w:eastAsia="zh-CN"/>
        </w:rPr>
        <w:t>作为</w:t>
      </w:r>
      <w:r>
        <w:rPr>
          <w:rFonts w:hint="eastAsia" w:ascii="黑体" w:hAnsi="黑体" w:eastAsia="黑体" w:cs="黑体"/>
          <w:bCs/>
          <w:sz w:val="24"/>
          <w:highlight w:val="none"/>
        </w:rPr>
        <w:t>违约金，同时甲方有权选择解除合同，解除合同的通知自到达乙方时生效。</w:t>
      </w:r>
    </w:p>
    <w:p w14:paraId="30381AEC">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3.若乙方不能按照合同约定提供货物的，则视为违约。若乙方能及时提出符合参数和性能要求的替代品方案，并经甲方同意，甲乙双方就替代品方案签订补充协议；若乙方不能及时提出符合参数和</w:t>
      </w:r>
      <w:bookmarkStart w:id="296" w:name="_GoBack"/>
      <w:bookmarkEnd w:id="296"/>
      <w:r>
        <w:rPr>
          <w:rFonts w:hint="eastAsia" w:ascii="黑体" w:hAnsi="黑体" w:eastAsia="黑体" w:cs="黑体"/>
          <w:bCs/>
          <w:sz w:val="24"/>
          <w:highlight w:val="none"/>
        </w:rPr>
        <w:t>性能要求的替代品方案或甲乙双方不能就替代品方案协商一致，则</w:t>
      </w:r>
      <w:r>
        <w:rPr>
          <w:rFonts w:hint="eastAsia" w:ascii="黑体" w:hAnsi="黑体" w:eastAsia="黑体" w:cs="黑体"/>
          <w:bCs/>
          <w:sz w:val="24"/>
          <w:highlight w:val="none"/>
          <w:lang w:val="en-US" w:eastAsia="zh-CN"/>
        </w:rPr>
        <w:t>乙</w:t>
      </w:r>
      <w:r>
        <w:rPr>
          <w:rFonts w:hint="eastAsia" w:ascii="黑体" w:hAnsi="黑体" w:eastAsia="黑体" w:cs="黑体"/>
          <w:bCs/>
          <w:sz w:val="24"/>
          <w:highlight w:val="none"/>
        </w:rPr>
        <w:t>方</w:t>
      </w:r>
      <w:r>
        <w:rPr>
          <w:rFonts w:hint="eastAsia" w:ascii="黑体" w:hAnsi="黑体" w:eastAsia="黑体" w:cs="黑体"/>
          <w:bCs/>
          <w:sz w:val="24"/>
          <w:highlight w:val="none"/>
          <w:lang w:val="en-US" w:eastAsia="zh-CN"/>
        </w:rPr>
        <w:t>应向甲</w:t>
      </w:r>
      <w:r>
        <w:rPr>
          <w:rFonts w:hint="eastAsia" w:ascii="黑体" w:hAnsi="黑体" w:eastAsia="黑体" w:cs="黑体"/>
          <w:bCs/>
          <w:sz w:val="24"/>
          <w:highlight w:val="none"/>
        </w:rPr>
        <w:t>方支付</w:t>
      </w:r>
      <w:r>
        <w:rPr>
          <w:rFonts w:hint="eastAsia" w:ascii="黑体" w:hAnsi="黑体" w:eastAsia="黑体" w:cs="黑体"/>
          <w:bCs/>
          <w:sz w:val="24"/>
          <w:highlight w:val="none"/>
          <w:lang w:val="en-US" w:eastAsia="zh-CN"/>
        </w:rPr>
        <w:t>合同</w:t>
      </w:r>
      <w:r>
        <w:rPr>
          <w:rFonts w:hint="eastAsia" w:ascii="黑体" w:hAnsi="黑体" w:eastAsia="黑体" w:cs="黑体"/>
          <w:bCs/>
          <w:sz w:val="24"/>
          <w:highlight w:val="none"/>
        </w:rPr>
        <w:t>总金额的30%</w:t>
      </w:r>
      <w:r>
        <w:rPr>
          <w:rFonts w:hint="eastAsia" w:ascii="黑体" w:hAnsi="黑体" w:eastAsia="黑体" w:cs="黑体"/>
          <w:bCs/>
          <w:sz w:val="24"/>
          <w:highlight w:val="none"/>
          <w:lang w:val="en-US" w:eastAsia="zh-CN"/>
        </w:rPr>
        <w:t>作为</w:t>
      </w:r>
      <w:r>
        <w:rPr>
          <w:rFonts w:hint="eastAsia" w:ascii="黑体" w:hAnsi="黑体" w:eastAsia="黑体" w:cs="黑体"/>
          <w:bCs/>
          <w:sz w:val="24"/>
          <w:highlight w:val="none"/>
        </w:rPr>
        <w:t>违约金，同时甲方有权选择解除合同，解除合同的通知自到达乙方时生效。</w:t>
      </w:r>
    </w:p>
    <w:p w14:paraId="25DCE719">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6E8B166A">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黑体" w:hAnsi="黑体" w:eastAsia="黑体" w:cs="黑体"/>
          <w:bCs/>
          <w:sz w:val="24"/>
          <w:highlight w:val="none"/>
        </w:rPr>
      </w:pPr>
      <w:r>
        <w:rPr>
          <w:rFonts w:hint="eastAsia" w:ascii="黑体" w:hAnsi="黑体" w:eastAsia="黑体" w:cs="黑体"/>
          <w:bCs/>
          <w:sz w:val="24"/>
          <w:highlight w:val="none"/>
        </w:rPr>
        <w:t>5.在乙方承诺的或国家产品规定的质量保证期内（取两者中最长的期限），乙方未按本合同的规定和“服务承诺”提供伴随服务/售后服务的，除应继续提供伴随服务/售后服务外，还应按合同总</w:t>
      </w:r>
      <w:r>
        <w:rPr>
          <w:rFonts w:hint="eastAsia" w:ascii="黑体" w:hAnsi="黑体" w:eastAsia="黑体" w:cs="黑体"/>
          <w:bCs/>
          <w:sz w:val="24"/>
          <w:highlight w:val="none"/>
          <w:lang w:val="en-US" w:eastAsia="zh-CN"/>
        </w:rPr>
        <w:t>金额</w:t>
      </w:r>
      <w:r>
        <w:rPr>
          <w:rFonts w:hint="eastAsia" w:ascii="黑体" w:hAnsi="黑体" w:eastAsia="黑体" w:cs="黑体"/>
          <w:bCs/>
          <w:sz w:val="24"/>
          <w:highlight w:val="none"/>
        </w:rPr>
        <w:t>的5%向甲方承担违约责任。</w:t>
      </w:r>
    </w:p>
    <w:p w14:paraId="053C5C9F">
      <w:pPr>
        <w:keepNext w:val="0"/>
        <w:keepLines w:val="0"/>
        <w:pageBreakBefore w:val="0"/>
        <w:kinsoku/>
        <w:wordWrap/>
        <w:overflowPunct/>
        <w:topLinePunct w:val="0"/>
        <w:bidi w:val="0"/>
        <w:spacing w:line="360" w:lineRule="auto"/>
        <w:ind w:firstLine="480" w:firstLineChars="200"/>
        <w:textAlignment w:val="auto"/>
        <w:rPr>
          <w:rFonts w:ascii="黑体" w:hAnsi="黑体" w:eastAsia="黑体" w:cs="黑体"/>
          <w:bCs/>
          <w:sz w:val="24"/>
          <w:highlight w:val="none"/>
        </w:rPr>
      </w:pPr>
      <w:r>
        <w:rPr>
          <w:rFonts w:hint="eastAsia" w:ascii="黑体" w:hAnsi="黑体" w:eastAsia="黑体" w:cs="黑体"/>
          <w:bCs/>
          <w:sz w:val="24"/>
          <w:highlight w:val="none"/>
        </w:rPr>
        <w:t>6.质保期内若乙方未能实现售后服务承诺，学校除追究其违约责任外，还可以将相关情况上报上级主管部门。</w:t>
      </w:r>
    </w:p>
    <w:p w14:paraId="2BD9A2DC">
      <w:pPr>
        <w:keepNext w:val="0"/>
        <w:keepLines w:val="0"/>
        <w:pageBreakBefore w:val="0"/>
        <w:kinsoku/>
        <w:wordWrap/>
        <w:overflowPunct/>
        <w:topLinePunct w:val="0"/>
        <w:autoSpaceDE w:val="0"/>
        <w:autoSpaceDN w:val="0"/>
        <w:bidi w:val="0"/>
        <w:adjustRightInd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7.甲乙双方中的任何一方还有其他违约行为的，违约一方应赔偿守约一方的损失。</w:t>
      </w:r>
    </w:p>
    <w:p w14:paraId="21E7C435">
      <w:pPr>
        <w:keepNext w:val="0"/>
        <w:keepLines w:val="0"/>
        <w:pageBreakBefore w:val="0"/>
        <w:kinsoku/>
        <w:wordWrap/>
        <w:overflowPunct/>
        <w:topLinePunct w:val="0"/>
        <w:bidi w:val="0"/>
        <w:spacing w:line="360" w:lineRule="auto"/>
        <w:ind w:firstLine="480" w:firstLineChars="200"/>
        <w:textAlignment w:val="auto"/>
        <w:rPr>
          <w:rFonts w:ascii="黑体" w:hAnsi="黑体" w:eastAsia="黑体" w:cs="黑体"/>
          <w:bCs/>
          <w:sz w:val="24"/>
          <w:highlight w:val="none"/>
        </w:rPr>
      </w:pPr>
      <w:r>
        <w:rPr>
          <w:rFonts w:hint="eastAsia" w:ascii="黑体" w:hAnsi="黑体" w:eastAsia="黑体" w:cs="黑体"/>
          <w:bCs/>
          <w:sz w:val="24"/>
          <w:highlight w:val="none"/>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6EE8851B">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highlight w:val="none"/>
        </w:rPr>
      </w:pPr>
      <w:r>
        <w:rPr>
          <w:rFonts w:hint="eastAsia" w:ascii="黑体" w:hAnsi="黑体" w:eastAsia="黑体" w:cs="黑体"/>
          <w:bCs/>
          <w:sz w:val="24"/>
          <w:highlight w:val="none"/>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71867268">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九、甲方有权拒付合同价以外的任何费用；乙方有权拒绝合同整体范围以外的不合理条件。</w:t>
      </w:r>
    </w:p>
    <w:p w14:paraId="27AB76A2">
      <w:pPr>
        <w:keepNext w:val="0"/>
        <w:keepLines w:val="0"/>
        <w:pageBreakBefore w:val="0"/>
        <w:kinsoku/>
        <w:wordWrap/>
        <w:overflowPunct/>
        <w:topLinePunct w:val="0"/>
        <w:bidi w:val="0"/>
        <w:spacing w:line="360" w:lineRule="auto"/>
        <w:ind w:firstLine="480" w:firstLineChars="200"/>
        <w:textAlignment w:val="auto"/>
        <w:rPr>
          <w:rFonts w:ascii="黑体" w:hAnsi="黑体" w:eastAsia="黑体" w:cs="黑体"/>
          <w:bCs/>
          <w:sz w:val="24"/>
          <w:highlight w:val="none"/>
        </w:rPr>
      </w:pPr>
      <w:r>
        <w:rPr>
          <w:rFonts w:hint="eastAsia" w:ascii="黑体" w:hAnsi="黑体" w:eastAsia="黑体" w:cs="黑体"/>
          <w:bCs/>
          <w:sz w:val="24"/>
          <w:highlight w:val="none"/>
        </w:rPr>
        <w:t>十、除《中华人民共和国政府采购法》第49条、第50条第二款规定的情形外，本合同一经签订，甲、乙双方不得擅自变更、中止或终止合同。乙方不得擅自部分或全部转让其应履行的合同义务。</w:t>
      </w:r>
    </w:p>
    <w:p w14:paraId="46095463">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十一、经甲、乙双方协商一致，可以就本合同中的相关事宜签订补充协议，但不得违反相关法律法规规定。</w:t>
      </w:r>
    </w:p>
    <w:p w14:paraId="3D5E64E4">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二、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7C85C14A">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十三、本合同其他未尽事宜，按《中华人民共和国民法典》有关规定处理。</w:t>
      </w:r>
    </w:p>
    <w:p w14:paraId="69A61ADF">
      <w:pPr>
        <w:pStyle w:val="8"/>
        <w:keepNext w:val="0"/>
        <w:keepLines w:val="0"/>
        <w:pageBreakBefore w:val="0"/>
        <w:kinsoku/>
        <w:wordWrap/>
        <w:overflowPunct/>
        <w:topLinePunct w:val="0"/>
        <w:bidi w:val="0"/>
        <w:spacing w:beforeLines="0" w:line="360" w:lineRule="auto"/>
        <w:ind w:firstLine="0"/>
        <w:textAlignment w:val="auto"/>
        <w:rPr>
          <w:highlight w:val="none"/>
        </w:rPr>
      </w:pPr>
      <w:r>
        <w:rPr>
          <w:rFonts w:hint="eastAsia" w:ascii="黑体" w:hAnsi="黑体" w:eastAsia="黑体" w:cs="黑体"/>
          <w:bCs/>
          <w:sz w:val="24"/>
          <w:highlight w:val="none"/>
        </w:rPr>
        <w:t>★  十四、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376F885E">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十五、本合同一式八份，甲方七份（含用于结算支付的一份），乙方一份。</w:t>
      </w:r>
    </w:p>
    <w:p w14:paraId="21CD276F">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十六、本合同自签订之日起生效。</w:t>
      </w:r>
    </w:p>
    <w:p w14:paraId="4C6E4A65">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十七、本合同不可分割之部分及解释顺序：</w:t>
      </w:r>
    </w:p>
    <w:p w14:paraId="7CABB975">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1.合同及附件。</w:t>
      </w:r>
    </w:p>
    <w:p w14:paraId="5CF9046E">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2.乙方委托外贸企业的授权书。</w:t>
      </w:r>
    </w:p>
    <w:p w14:paraId="2179E877">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3.服务承诺。</w:t>
      </w:r>
    </w:p>
    <w:p w14:paraId="0AFF5DDA">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4.成交通知书。</w:t>
      </w:r>
    </w:p>
    <w:p w14:paraId="2DEAEE7C">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5.响应文件及澄清或谈判文件。</w:t>
      </w:r>
    </w:p>
    <w:p w14:paraId="4E8E7A1D">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6.单一来源采购文件。</w:t>
      </w:r>
    </w:p>
    <w:p w14:paraId="22CEC0D8">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7.外贸委托代理协议。</w:t>
      </w:r>
    </w:p>
    <w:p w14:paraId="04EC28B7">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8.外贸合同。</w:t>
      </w:r>
    </w:p>
    <w:p w14:paraId="1263D0F1">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9.甲、乙双方商定的其他文件。</w:t>
      </w:r>
    </w:p>
    <w:p w14:paraId="3A37871B">
      <w:pPr>
        <w:keepNext w:val="0"/>
        <w:keepLines w:val="0"/>
        <w:pageBreakBefore w:val="0"/>
        <w:kinsoku/>
        <w:wordWrap/>
        <w:overflowPunct/>
        <w:topLinePunct w:val="0"/>
        <w:bidi w:val="0"/>
        <w:spacing w:line="360" w:lineRule="auto"/>
        <w:ind w:firstLine="480" w:firstLineChars="200"/>
        <w:textAlignment w:val="auto"/>
        <w:rPr>
          <w:rFonts w:ascii="楷体" w:hAnsi="楷体" w:eastAsia="楷体" w:cs="楷体"/>
          <w:bCs/>
          <w:sz w:val="24"/>
          <w:highlight w:val="none"/>
        </w:rPr>
      </w:pPr>
      <w:r>
        <w:rPr>
          <w:rFonts w:hint="eastAsia" w:ascii="楷体" w:hAnsi="楷体" w:eastAsia="楷体" w:cs="楷体"/>
          <w:bCs/>
          <w:sz w:val="24"/>
          <w:highlight w:val="none"/>
        </w:rPr>
        <w:t>十八、合同签订地点：</w:t>
      </w:r>
      <w:r>
        <w:rPr>
          <w:rFonts w:hint="eastAsia" w:ascii="楷体" w:hAnsi="楷体" w:eastAsia="楷体" w:cs="楷体"/>
          <w:bCs/>
          <w:sz w:val="24"/>
          <w:highlight w:val="none"/>
          <w:u w:val="single"/>
        </w:rPr>
        <w:t>云南省昆明市</w:t>
      </w:r>
      <w:r>
        <w:rPr>
          <w:rFonts w:hint="eastAsia" w:ascii="楷体" w:hAnsi="楷体" w:eastAsia="楷体" w:cs="楷体"/>
          <w:bCs/>
          <w:sz w:val="24"/>
          <w:highlight w:val="none"/>
        </w:rPr>
        <w:t>。</w:t>
      </w:r>
    </w:p>
    <w:p w14:paraId="669C12AD">
      <w:pPr>
        <w:keepNext w:val="0"/>
        <w:keepLines w:val="0"/>
        <w:pageBreakBefore w:val="0"/>
        <w:kinsoku/>
        <w:wordWrap/>
        <w:overflowPunct/>
        <w:topLinePunct w:val="0"/>
        <w:bidi w:val="0"/>
        <w:spacing w:line="360" w:lineRule="auto"/>
        <w:ind w:firstLine="480" w:firstLineChars="200"/>
        <w:textAlignment w:val="auto"/>
        <w:outlineLvl w:val="0"/>
        <w:rPr>
          <w:rFonts w:ascii="楷体" w:hAnsi="楷体" w:eastAsia="楷体" w:cs="楷体"/>
          <w:bCs/>
          <w:sz w:val="24"/>
          <w:highlight w:val="none"/>
        </w:rPr>
      </w:pPr>
      <w:r>
        <w:rPr>
          <w:rFonts w:hint="eastAsia" w:ascii="楷体" w:hAnsi="楷体" w:eastAsia="楷体" w:cs="楷体"/>
          <w:bCs/>
          <w:sz w:val="24"/>
          <w:highlight w:val="none"/>
        </w:rPr>
        <w:t>十九、附件（有）</w:t>
      </w:r>
    </w:p>
    <w:p w14:paraId="44258521">
      <w:pPr>
        <w:keepNext w:val="0"/>
        <w:keepLines w:val="0"/>
        <w:pageBreakBefore w:val="0"/>
        <w:widowControl/>
        <w:kinsoku/>
        <w:wordWrap/>
        <w:overflowPunct/>
        <w:topLinePunct w:val="0"/>
        <w:bidi w:val="0"/>
        <w:spacing w:line="360" w:lineRule="auto"/>
        <w:ind w:firstLine="480" w:firstLineChars="200"/>
        <w:jc w:val="left"/>
        <w:textAlignment w:val="auto"/>
        <w:rPr>
          <w:rFonts w:ascii="仿宋" w:hAnsi="仿宋" w:eastAsia="仿宋" w:cs="仿宋"/>
          <w:bCs/>
          <w:sz w:val="24"/>
          <w:highlight w:val="none"/>
        </w:rPr>
      </w:pPr>
      <w:r>
        <w:rPr>
          <w:rFonts w:hint="eastAsia" w:ascii="仿宋" w:hAnsi="仿宋" w:eastAsia="仿宋" w:cs="仿宋"/>
          <w:bCs/>
          <w:sz w:val="24"/>
          <w:highlight w:val="none"/>
        </w:rPr>
        <w:t>附件1.货物详细技术参数</w:t>
      </w:r>
    </w:p>
    <w:p w14:paraId="329FC68E">
      <w:pPr>
        <w:keepNext w:val="0"/>
        <w:keepLines w:val="0"/>
        <w:pageBreakBefore w:val="0"/>
        <w:kinsoku/>
        <w:wordWrap/>
        <w:overflowPunct/>
        <w:topLinePunct w:val="0"/>
        <w:bidi w:val="0"/>
        <w:spacing w:line="360" w:lineRule="auto"/>
        <w:ind w:firstLine="480" w:firstLineChars="200"/>
        <w:textAlignment w:val="auto"/>
        <w:rPr>
          <w:rFonts w:ascii="仿宋" w:hAnsi="仿宋" w:eastAsia="仿宋" w:cs="仿宋"/>
          <w:bCs/>
          <w:sz w:val="24"/>
          <w:highlight w:val="none"/>
        </w:rPr>
      </w:pPr>
      <w:r>
        <w:rPr>
          <w:rFonts w:hint="eastAsia" w:ascii="仿宋" w:hAnsi="仿宋" w:eastAsia="仿宋" w:cs="仿宋"/>
          <w:bCs/>
          <w:sz w:val="24"/>
          <w:highlight w:val="none"/>
        </w:rPr>
        <w:t>附件2.售后服务承诺</w:t>
      </w:r>
    </w:p>
    <w:p w14:paraId="1F8540D0">
      <w:pPr>
        <w:keepNext w:val="0"/>
        <w:keepLines w:val="0"/>
        <w:pageBreakBefore w:val="0"/>
        <w:kinsoku/>
        <w:wordWrap/>
        <w:overflowPunct/>
        <w:topLinePunct w:val="0"/>
        <w:bidi w:val="0"/>
        <w:spacing w:line="360" w:lineRule="auto"/>
        <w:textAlignment w:val="auto"/>
        <w:rPr>
          <w:rFonts w:ascii="仿宋" w:hAnsi="仿宋" w:eastAsia="仿宋" w:cs="仿宋"/>
          <w:b/>
          <w:sz w:val="24"/>
          <w:highlight w:val="none"/>
        </w:rPr>
      </w:pPr>
      <w:r>
        <w:rPr>
          <w:rFonts w:hint="eastAsia" w:ascii="仿宋" w:hAnsi="仿宋" w:eastAsia="仿宋" w:cs="仿宋"/>
          <w:b/>
          <w:sz w:val="24"/>
          <w:highlight w:val="none"/>
        </w:rPr>
        <w:br w:type="page"/>
      </w:r>
    </w:p>
    <w:p w14:paraId="366901D9">
      <w:pPr>
        <w:keepNext w:val="0"/>
        <w:keepLines w:val="0"/>
        <w:pageBreakBefore w:val="0"/>
        <w:kinsoku/>
        <w:wordWrap/>
        <w:overflowPunct/>
        <w:topLinePunct w:val="0"/>
        <w:bidi w:val="0"/>
        <w:spacing w:line="360" w:lineRule="auto"/>
        <w:jc w:val="center"/>
        <w:rPr>
          <w:rFonts w:ascii="仿宋" w:hAnsi="仿宋" w:eastAsia="仿宋"/>
          <w:bCs/>
          <w:sz w:val="24"/>
          <w:highlight w:val="none"/>
        </w:rPr>
      </w:pPr>
      <w:r>
        <w:rPr>
          <w:rFonts w:hint="eastAsia" w:ascii="仿宋" w:hAnsi="仿宋" w:eastAsia="仿宋"/>
          <w:bCs/>
          <w:sz w:val="24"/>
          <w:highlight w:val="none"/>
        </w:rPr>
        <w:t>（以下无正文）</w:t>
      </w:r>
    </w:p>
    <w:p w14:paraId="26059F72">
      <w:pPr>
        <w:keepNext w:val="0"/>
        <w:keepLines w:val="0"/>
        <w:pageBreakBefore w:val="0"/>
        <w:kinsoku/>
        <w:wordWrap/>
        <w:overflowPunct/>
        <w:topLinePunct w:val="0"/>
        <w:bidi w:val="0"/>
        <w:spacing w:line="360" w:lineRule="auto"/>
        <w:jc w:val="center"/>
        <w:rPr>
          <w:rFonts w:ascii="仿宋" w:hAnsi="仿宋" w:eastAsia="仿宋"/>
          <w:bCs/>
          <w:sz w:val="24"/>
          <w:highlight w:val="none"/>
        </w:rPr>
      </w:pPr>
    </w:p>
    <w:p w14:paraId="6EB2CB61">
      <w:pPr>
        <w:keepNext w:val="0"/>
        <w:keepLines w:val="0"/>
        <w:pageBreakBefore w:val="0"/>
        <w:kinsoku/>
        <w:wordWrap/>
        <w:overflowPunct/>
        <w:topLinePunct w:val="0"/>
        <w:bidi w:val="0"/>
        <w:spacing w:line="360" w:lineRule="auto"/>
        <w:jc w:val="center"/>
        <w:rPr>
          <w:rFonts w:ascii="仿宋" w:hAnsi="仿宋" w:eastAsia="仿宋"/>
          <w:bCs/>
          <w:sz w:val="24"/>
          <w:highlight w:val="none"/>
        </w:rPr>
      </w:pPr>
    </w:p>
    <w:p w14:paraId="62C8D025">
      <w:pPr>
        <w:keepNext w:val="0"/>
        <w:keepLines w:val="0"/>
        <w:pageBreakBefore w:val="0"/>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采购方（甲方）：云南大学</w:t>
      </w:r>
    </w:p>
    <w:p w14:paraId="20144CC4">
      <w:pPr>
        <w:keepNext w:val="0"/>
        <w:keepLines w:val="0"/>
        <w:pageBreakBefore w:val="0"/>
        <w:kinsoku/>
        <w:wordWrap/>
        <w:overflowPunct/>
        <w:topLinePunct w:val="0"/>
        <w:bidi w:val="0"/>
        <w:spacing w:line="360" w:lineRule="auto"/>
        <w:rPr>
          <w:rFonts w:ascii="楷体_GB2312" w:hAnsi="宋体" w:eastAsia="楷体_GB2312"/>
          <w:bCs/>
          <w:sz w:val="24"/>
          <w:highlight w:val="none"/>
        </w:rPr>
      </w:pPr>
    </w:p>
    <w:p w14:paraId="4AA12FB8">
      <w:pPr>
        <w:keepNext w:val="0"/>
        <w:keepLines w:val="0"/>
        <w:pageBreakBefore w:val="0"/>
        <w:tabs>
          <w:tab w:val="left" w:pos="5529"/>
        </w:tabs>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法定代表人或委托代理人:</w:t>
      </w:r>
      <w:r>
        <w:rPr>
          <w:rFonts w:hint="eastAsia" w:ascii="楷体_GB2312" w:hAnsi="宋体" w:eastAsia="楷体_GB2312"/>
          <w:bCs/>
          <w:sz w:val="24"/>
          <w:highlight w:val="none"/>
        </w:rPr>
        <w:tab/>
      </w:r>
      <w:r>
        <w:rPr>
          <w:rFonts w:hint="eastAsia" w:ascii="楷体_GB2312" w:hAnsi="宋体" w:eastAsia="楷体_GB2312"/>
          <w:bCs/>
          <w:sz w:val="24"/>
          <w:highlight w:val="none"/>
        </w:rPr>
        <w:t>项目（技术）负责人：</w:t>
      </w:r>
    </w:p>
    <w:p w14:paraId="514F0DAD">
      <w:pPr>
        <w:keepNext w:val="0"/>
        <w:keepLines w:val="0"/>
        <w:pageBreakBefore w:val="0"/>
        <w:tabs>
          <w:tab w:val="left" w:pos="5529"/>
        </w:tabs>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ab/>
      </w:r>
      <w:r>
        <w:rPr>
          <w:rFonts w:hint="eastAsia" w:ascii="楷体_GB2312" w:hAnsi="宋体" w:eastAsia="楷体_GB2312"/>
          <w:bCs/>
          <w:sz w:val="24"/>
          <w:highlight w:val="none"/>
        </w:rPr>
        <w:t>签订日期：</w:t>
      </w:r>
    </w:p>
    <w:p w14:paraId="165F0B25">
      <w:pPr>
        <w:keepNext w:val="0"/>
        <w:keepLines w:val="0"/>
        <w:pageBreakBefore w:val="0"/>
        <w:tabs>
          <w:tab w:val="left" w:pos="5529"/>
        </w:tabs>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电话：</w:t>
      </w:r>
      <w:r>
        <w:rPr>
          <w:rFonts w:ascii="楷体_GB2312" w:hAnsi="宋体" w:eastAsia="楷体_GB2312"/>
          <w:bCs/>
          <w:sz w:val="24"/>
          <w:highlight w:val="none"/>
        </w:rPr>
        <w:t>0871-65032850</w:t>
      </w:r>
      <w:r>
        <w:rPr>
          <w:rFonts w:hint="eastAsia" w:ascii="楷体_GB2312" w:hAnsi="宋体" w:eastAsia="楷体_GB2312"/>
          <w:bCs/>
          <w:sz w:val="24"/>
          <w:highlight w:val="none"/>
        </w:rPr>
        <w:tab/>
      </w:r>
      <w:r>
        <w:rPr>
          <w:rFonts w:hint="eastAsia" w:ascii="楷体_GB2312" w:hAnsi="宋体" w:eastAsia="楷体_GB2312"/>
          <w:bCs/>
          <w:sz w:val="24"/>
          <w:highlight w:val="none"/>
        </w:rPr>
        <w:t>传真：</w:t>
      </w:r>
      <w:r>
        <w:rPr>
          <w:rFonts w:ascii="楷体_GB2312" w:hAnsi="宋体" w:eastAsia="楷体_GB2312"/>
          <w:bCs/>
          <w:sz w:val="24"/>
          <w:highlight w:val="none"/>
        </w:rPr>
        <w:t>0871-65032850</w:t>
      </w:r>
    </w:p>
    <w:p w14:paraId="1E9CFA2C">
      <w:pPr>
        <w:keepNext w:val="0"/>
        <w:keepLines w:val="0"/>
        <w:pageBreakBefore w:val="0"/>
        <w:tabs>
          <w:tab w:val="left" w:pos="5529"/>
        </w:tabs>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地址：昆明市翠湖北路2号</w:t>
      </w:r>
      <w:r>
        <w:rPr>
          <w:rFonts w:hint="eastAsia" w:ascii="楷体_GB2312" w:hAnsi="宋体" w:eastAsia="楷体_GB2312"/>
          <w:bCs/>
          <w:sz w:val="24"/>
          <w:highlight w:val="none"/>
        </w:rPr>
        <w:tab/>
      </w:r>
      <w:r>
        <w:rPr>
          <w:rFonts w:hint="eastAsia" w:ascii="楷体_GB2312" w:hAnsi="宋体" w:eastAsia="楷体_GB2312"/>
          <w:bCs/>
          <w:sz w:val="24"/>
          <w:highlight w:val="none"/>
        </w:rPr>
        <w:t>邮编：650091</w:t>
      </w:r>
    </w:p>
    <w:p w14:paraId="6FB7AB05">
      <w:pPr>
        <w:keepNext w:val="0"/>
        <w:keepLines w:val="0"/>
        <w:pageBreakBefore w:val="0"/>
        <w:tabs>
          <w:tab w:val="left" w:pos="5529"/>
        </w:tabs>
        <w:kinsoku/>
        <w:wordWrap/>
        <w:overflowPunct/>
        <w:topLinePunct w:val="0"/>
        <w:bidi w:val="0"/>
        <w:spacing w:line="360" w:lineRule="auto"/>
        <w:rPr>
          <w:rFonts w:ascii="楷体_GB2312" w:hAnsi="宋体" w:eastAsia="楷体_GB2312"/>
          <w:bCs/>
          <w:sz w:val="24"/>
          <w:highlight w:val="none"/>
        </w:rPr>
      </w:pPr>
      <w:r>
        <w:rPr>
          <w:rFonts w:hint="eastAsia" w:ascii="楷体_GB2312" w:hAnsi="宋体" w:eastAsia="楷体_GB2312"/>
          <w:bCs/>
          <w:sz w:val="24"/>
          <w:highlight w:val="none"/>
        </w:rPr>
        <w:tab/>
      </w:r>
    </w:p>
    <w:p w14:paraId="6EF6B70E">
      <w:pPr>
        <w:keepNext w:val="0"/>
        <w:keepLines w:val="0"/>
        <w:pageBreakBefore w:val="0"/>
        <w:kinsoku/>
        <w:wordWrap/>
        <w:overflowPunct/>
        <w:topLinePunct w:val="0"/>
        <w:bidi w:val="0"/>
        <w:spacing w:line="360" w:lineRule="auto"/>
        <w:rPr>
          <w:rFonts w:ascii="楷体_GB2312" w:hAnsi="宋体" w:eastAsia="楷体_GB2312"/>
          <w:bCs/>
          <w:sz w:val="24"/>
          <w:highlight w:val="none"/>
        </w:rPr>
      </w:pPr>
    </w:p>
    <w:p w14:paraId="13FC8B41">
      <w:pPr>
        <w:pStyle w:val="164"/>
        <w:keepNext w:val="0"/>
        <w:keepLines w:val="0"/>
        <w:pageBreakBefore w:val="0"/>
        <w:kinsoku/>
        <w:wordWrap/>
        <w:overflowPunct/>
        <w:topLinePunct w:val="0"/>
        <w:bidi w:val="0"/>
        <w:spacing w:line="360" w:lineRule="auto"/>
        <w:rPr>
          <w:bCs/>
          <w:highlight w:val="none"/>
        </w:rPr>
      </w:pPr>
    </w:p>
    <w:p w14:paraId="28513D83">
      <w:pPr>
        <w:keepNext w:val="0"/>
        <w:keepLines w:val="0"/>
        <w:pageBreakBefore w:val="0"/>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供货方（乙方）： </w:t>
      </w:r>
      <w:r>
        <w:rPr>
          <w:rFonts w:ascii="楷体_GB2312" w:hAnsi="宋体" w:eastAsia="楷体_GB2312"/>
          <w:sz w:val="24"/>
          <w:highlight w:val="none"/>
        </w:rPr>
        <w:t xml:space="preserve"> </w:t>
      </w:r>
    </w:p>
    <w:p w14:paraId="0E7404BB">
      <w:pPr>
        <w:keepNext w:val="0"/>
        <w:keepLines w:val="0"/>
        <w:pageBreakBefore w:val="0"/>
        <w:tabs>
          <w:tab w:val="left" w:pos="5529"/>
        </w:tabs>
        <w:kinsoku/>
        <w:wordWrap/>
        <w:overflowPunct/>
        <w:topLinePunct w:val="0"/>
        <w:bidi w:val="0"/>
        <w:spacing w:line="360" w:lineRule="auto"/>
        <w:rPr>
          <w:rFonts w:ascii="楷体_GB2312" w:hAnsi="宋体" w:eastAsia="楷体_GB2312"/>
          <w:sz w:val="24"/>
          <w:highlight w:val="none"/>
        </w:rPr>
      </w:pPr>
    </w:p>
    <w:p w14:paraId="33C0BA7A">
      <w:pPr>
        <w:keepNext w:val="0"/>
        <w:keepLines w:val="0"/>
        <w:pageBreakBefore w:val="0"/>
        <w:tabs>
          <w:tab w:val="left" w:pos="5529"/>
        </w:tabs>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法定代表人或委托代理人:</w:t>
      </w:r>
      <w:r>
        <w:rPr>
          <w:rFonts w:hint="eastAsia" w:ascii="楷体_GB2312" w:hAnsi="宋体" w:eastAsia="楷体_GB2312"/>
          <w:sz w:val="24"/>
          <w:highlight w:val="none"/>
        </w:rPr>
        <w:tab/>
      </w:r>
      <w:r>
        <w:rPr>
          <w:rFonts w:hint="eastAsia" w:ascii="楷体_GB2312" w:hAnsi="宋体" w:eastAsia="楷体_GB2312"/>
          <w:sz w:val="24"/>
          <w:highlight w:val="none"/>
        </w:rPr>
        <w:t>经办人：</w:t>
      </w:r>
    </w:p>
    <w:p w14:paraId="4C4FEB81">
      <w:pPr>
        <w:keepNext w:val="0"/>
        <w:keepLines w:val="0"/>
        <w:pageBreakBefore w:val="0"/>
        <w:tabs>
          <w:tab w:val="left" w:pos="5529"/>
        </w:tabs>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ab/>
      </w:r>
      <w:r>
        <w:rPr>
          <w:rFonts w:hint="eastAsia" w:ascii="楷体_GB2312" w:hAnsi="宋体" w:eastAsia="楷体_GB2312"/>
          <w:sz w:val="24"/>
          <w:highlight w:val="none"/>
        </w:rPr>
        <w:t>签订日期：</w:t>
      </w:r>
    </w:p>
    <w:p w14:paraId="7FBBAD1D">
      <w:pPr>
        <w:keepNext w:val="0"/>
        <w:keepLines w:val="0"/>
        <w:pageBreakBefore w:val="0"/>
        <w:tabs>
          <w:tab w:val="left" w:pos="5535"/>
        </w:tabs>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电话： </w:t>
      </w:r>
      <w:r>
        <w:rPr>
          <w:rFonts w:hint="eastAsia" w:ascii="楷体_GB2312" w:hAnsi="宋体" w:eastAsia="楷体_GB2312"/>
          <w:sz w:val="24"/>
          <w:highlight w:val="none"/>
        </w:rPr>
        <w:tab/>
      </w:r>
      <w:r>
        <w:rPr>
          <w:rFonts w:hint="eastAsia" w:ascii="楷体_GB2312" w:hAnsi="宋体" w:eastAsia="楷体_GB2312"/>
          <w:sz w:val="24"/>
          <w:highlight w:val="none"/>
        </w:rPr>
        <w:t xml:space="preserve">传真： </w:t>
      </w:r>
    </w:p>
    <w:p w14:paraId="25410294">
      <w:pPr>
        <w:keepNext w:val="0"/>
        <w:keepLines w:val="0"/>
        <w:pageBreakBefore w:val="0"/>
        <w:tabs>
          <w:tab w:val="left" w:pos="5529"/>
        </w:tabs>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地址： </w:t>
      </w:r>
    </w:p>
    <w:p w14:paraId="5F403B9F">
      <w:pPr>
        <w:keepNext w:val="0"/>
        <w:keepLines w:val="0"/>
        <w:pageBreakBefore w:val="0"/>
        <w:tabs>
          <w:tab w:val="left" w:pos="5529"/>
        </w:tabs>
        <w:kinsoku/>
        <w:wordWrap/>
        <w:overflowPunct/>
        <w:topLinePunct w:val="0"/>
        <w:bidi w:val="0"/>
        <w:spacing w:line="360" w:lineRule="auto"/>
        <w:rPr>
          <w:rFonts w:ascii="楷体_GB2312" w:hAnsi="宋体" w:eastAsia="楷体_GB2312"/>
          <w:sz w:val="24"/>
          <w:highlight w:val="none"/>
        </w:rPr>
      </w:pPr>
      <w:r>
        <w:rPr>
          <w:rFonts w:hint="eastAsia" w:ascii="楷体_GB2312" w:hAnsi="宋体" w:eastAsia="楷体_GB2312"/>
          <w:sz w:val="24"/>
          <w:highlight w:val="none"/>
        </w:rPr>
        <w:t>邮编：</w:t>
      </w:r>
    </w:p>
    <w:p w14:paraId="32422EB0">
      <w:pPr>
        <w:overflowPunct w:val="0"/>
        <w:autoSpaceDE w:val="0"/>
        <w:autoSpaceDN w:val="0"/>
        <w:adjustRightInd w:val="0"/>
        <w:snapToGrid w:val="0"/>
        <w:spacing w:line="360" w:lineRule="auto"/>
        <w:ind w:firstLine="525" w:firstLineChars="250"/>
        <w:jc w:val="left"/>
        <w:rPr>
          <w:rFonts w:ascii="宋体" w:hAnsi="宋体" w:cs="宋体"/>
          <w:highlight w:val="none"/>
        </w:rPr>
      </w:pPr>
      <w:r>
        <w:rPr>
          <w:rFonts w:hint="eastAsia" w:ascii="宋体" w:hAnsi="宋体" w:cs="宋体"/>
          <w:highlight w:val="none"/>
        </w:rPr>
        <w:br w:type="page"/>
      </w:r>
    </w:p>
    <w:p w14:paraId="16F0425D">
      <w:pPr>
        <w:adjustRightInd w:val="0"/>
        <w:snapToGrid w:val="0"/>
        <w:spacing w:line="360" w:lineRule="auto"/>
        <w:rPr>
          <w:rFonts w:ascii="宋体" w:hAnsi="宋体" w:cs="宋体"/>
          <w:highlight w:val="none"/>
        </w:rPr>
      </w:pPr>
    </w:p>
    <w:p w14:paraId="1ED5C67D">
      <w:pPr>
        <w:adjustRightInd w:val="0"/>
        <w:snapToGrid w:val="0"/>
        <w:spacing w:line="360" w:lineRule="auto"/>
        <w:rPr>
          <w:rFonts w:ascii="宋体" w:hAnsi="宋体" w:cs="宋体"/>
          <w:highlight w:val="none"/>
        </w:rPr>
      </w:pPr>
    </w:p>
    <w:p w14:paraId="4CC3892F">
      <w:pPr>
        <w:adjustRightInd w:val="0"/>
        <w:snapToGrid w:val="0"/>
        <w:spacing w:line="360" w:lineRule="auto"/>
        <w:rPr>
          <w:rFonts w:ascii="宋体" w:hAnsi="宋体" w:cs="宋体"/>
          <w:highlight w:val="none"/>
        </w:rPr>
      </w:pPr>
    </w:p>
    <w:p w14:paraId="34288743">
      <w:pPr>
        <w:adjustRightInd w:val="0"/>
        <w:snapToGrid w:val="0"/>
        <w:spacing w:line="360" w:lineRule="auto"/>
        <w:rPr>
          <w:rFonts w:ascii="宋体" w:hAnsi="宋体" w:cs="宋体"/>
          <w:highlight w:val="none"/>
        </w:rPr>
      </w:pPr>
    </w:p>
    <w:p w14:paraId="199D9624">
      <w:pPr>
        <w:adjustRightInd w:val="0"/>
        <w:snapToGrid w:val="0"/>
        <w:spacing w:line="360" w:lineRule="auto"/>
        <w:rPr>
          <w:rFonts w:ascii="宋体" w:hAnsi="宋体" w:cs="宋体"/>
          <w:highlight w:val="none"/>
        </w:rPr>
      </w:pPr>
    </w:p>
    <w:p w14:paraId="4EA0EBF8">
      <w:pPr>
        <w:adjustRightInd w:val="0"/>
        <w:snapToGrid w:val="0"/>
        <w:spacing w:line="360" w:lineRule="auto"/>
        <w:rPr>
          <w:rFonts w:ascii="宋体" w:hAnsi="宋体" w:cs="宋体"/>
          <w:highlight w:val="none"/>
        </w:rPr>
      </w:pPr>
    </w:p>
    <w:p w14:paraId="46749A7D">
      <w:pPr>
        <w:adjustRightInd w:val="0"/>
        <w:snapToGrid w:val="0"/>
        <w:spacing w:line="360" w:lineRule="auto"/>
        <w:rPr>
          <w:rFonts w:ascii="宋体" w:hAnsi="宋体" w:cs="宋体"/>
          <w:highlight w:val="none"/>
        </w:rPr>
      </w:pPr>
    </w:p>
    <w:p w14:paraId="38ABB51E">
      <w:pPr>
        <w:adjustRightInd w:val="0"/>
        <w:snapToGrid w:val="0"/>
        <w:spacing w:line="360" w:lineRule="auto"/>
        <w:rPr>
          <w:rFonts w:ascii="宋体" w:hAnsi="宋体" w:cs="宋体"/>
          <w:highlight w:val="none"/>
        </w:rPr>
      </w:pPr>
    </w:p>
    <w:p w14:paraId="6FDAEB1D">
      <w:pPr>
        <w:adjustRightInd w:val="0"/>
        <w:snapToGrid w:val="0"/>
        <w:spacing w:line="360" w:lineRule="auto"/>
        <w:rPr>
          <w:rFonts w:ascii="宋体" w:hAnsi="宋体" w:cs="宋体"/>
          <w:highlight w:val="none"/>
        </w:rPr>
      </w:pPr>
    </w:p>
    <w:p w14:paraId="7FEDF49E">
      <w:pPr>
        <w:adjustRightInd w:val="0"/>
        <w:snapToGrid w:val="0"/>
        <w:spacing w:line="360" w:lineRule="auto"/>
        <w:rPr>
          <w:rFonts w:ascii="宋体" w:hAnsi="宋体" w:cs="宋体"/>
          <w:highlight w:val="none"/>
        </w:rPr>
      </w:pPr>
    </w:p>
    <w:p w14:paraId="737289F7">
      <w:pPr>
        <w:adjustRightInd w:val="0"/>
        <w:snapToGrid w:val="0"/>
        <w:spacing w:line="360" w:lineRule="auto"/>
        <w:rPr>
          <w:rFonts w:ascii="宋体" w:hAnsi="宋体" w:cs="宋体"/>
          <w:highlight w:val="none"/>
        </w:rPr>
      </w:pPr>
    </w:p>
    <w:p w14:paraId="7650A40D">
      <w:pPr>
        <w:adjustRightInd w:val="0"/>
        <w:snapToGrid w:val="0"/>
        <w:spacing w:line="360" w:lineRule="auto"/>
        <w:rPr>
          <w:rFonts w:ascii="宋体" w:hAnsi="宋体" w:cs="宋体"/>
          <w:highlight w:val="none"/>
        </w:rPr>
      </w:pPr>
    </w:p>
    <w:p w14:paraId="40549FFE">
      <w:pPr>
        <w:adjustRightInd w:val="0"/>
        <w:snapToGrid w:val="0"/>
        <w:spacing w:line="360" w:lineRule="auto"/>
        <w:rPr>
          <w:rFonts w:ascii="宋体" w:hAnsi="宋体" w:cs="宋体"/>
          <w:highlight w:val="none"/>
        </w:rPr>
      </w:pPr>
    </w:p>
    <w:p w14:paraId="5172057C">
      <w:pPr>
        <w:adjustRightInd w:val="0"/>
        <w:snapToGrid w:val="0"/>
        <w:spacing w:line="360" w:lineRule="auto"/>
        <w:rPr>
          <w:rFonts w:ascii="宋体" w:hAnsi="宋体" w:cs="宋体"/>
          <w:highlight w:val="none"/>
        </w:rPr>
      </w:pPr>
    </w:p>
    <w:p w14:paraId="0C29C9B4">
      <w:pPr>
        <w:pStyle w:val="2"/>
        <w:snapToGrid w:val="0"/>
        <w:spacing w:line="360" w:lineRule="auto"/>
        <w:ind w:firstLine="643"/>
        <w:jc w:val="center"/>
        <w:rPr>
          <w:rFonts w:ascii="宋体" w:hAnsi="宋体" w:eastAsia="宋体" w:cs="宋体"/>
          <w:color w:val="auto"/>
          <w:sz w:val="32"/>
          <w:szCs w:val="32"/>
          <w:highlight w:val="none"/>
        </w:rPr>
      </w:pPr>
      <w:bookmarkStart w:id="123" w:name="_Toc12921"/>
      <w:r>
        <w:rPr>
          <w:rFonts w:hint="eastAsia" w:ascii="宋体" w:hAnsi="宋体" w:eastAsia="宋体" w:cs="宋体"/>
          <w:color w:val="auto"/>
          <w:sz w:val="32"/>
          <w:szCs w:val="32"/>
          <w:highlight w:val="none"/>
        </w:rPr>
        <w:t>第四章  响应文件格式</w:t>
      </w:r>
      <w:bookmarkEnd w:id="122"/>
      <w:bookmarkEnd w:id="123"/>
    </w:p>
    <w:p w14:paraId="02E37DA9">
      <w:pPr>
        <w:adjustRightInd w:val="0"/>
        <w:snapToGrid w:val="0"/>
        <w:spacing w:line="360" w:lineRule="auto"/>
        <w:ind w:firstLine="480"/>
        <w:jc w:val="left"/>
        <w:rPr>
          <w:rFonts w:ascii="宋体" w:hAnsi="宋体" w:cs="宋体"/>
          <w:sz w:val="24"/>
          <w:highlight w:val="none"/>
        </w:rPr>
      </w:pPr>
    </w:p>
    <w:p w14:paraId="5941DD36">
      <w:pPr>
        <w:widowControl/>
        <w:adjustRightInd w:val="0"/>
        <w:snapToGrid w:val="0"/>
        <w:spacing w:line="360" w:lineRule="auto"/>
        <w:ind w:firstLine="883"/>
        <w:jc w:val="left"/>
        <w:rPr>
          <w:rFonts w:ascii="宋体" w:hAnsi="宋体" w:cs="宋体"/>
          <w:b/>
          <w:sz w:val="44"/>
          <w:szCs w:val="44"/>
          <w:highlight w:val="none"/>
        </w:rPr>
      </w:pPr>
      <w:r>
        <w:rPr>
          <w:rFonts w:hint="eastAsia" w:ascii="宋体" w:hAnsi="宋体" w:cs="宋体"/>
          <w:b/>
          <w:sz w:val="44"/>
          <w:szCs w:val="44"/>
          <w:highlight w:val="none"/>
        </w:rPr>
        <w:br w:type="page"/>
      </w:r>
    </w:p>
    <w:p w14:paraId="0A8B7681">
      <w:pPr>
        <w:adjustRightInd w:val="0"/>
        <w:snapToGrid w:val="0"/>
        <w:spacing w:line="360" w:lineRule="auto"/>
        <w:jc w:val="center"/>
        <w:rPr>
          <w:rFonts w:ascii="宋体" w:hAnsi="宋体" w:cs="宋体"/>
          <w:b/>
          <w:bCs/>
          <w:snapToGrid w:val="0"/>
          <w:kern w:val="21"/>
          <w:sz w:val="28"/>
          <w:szCs w:val="32"/>
          <w:highlight w:val="none"/>
        </w:rPr>
      </w:pPr>
      <w:bookmarkStart w:id="124" w:name="_Toc19640"/>
      <w:bookmarkStart w:id="125" w:name="_Toc491307484"/>
      <w:bookmarkStart w:id="126" w:name="_Toc26152"/>
      <w:bookmarkStart w:id="127" w:name="_Toc494043338"/>
      <w:bookmarkStart w:id="128" w:name="_Toc14582"/>
      <w:bookmarkStart w:id="129" w:name="_Toc8306"/>
      <w:bookmarkStart w:id="130" w:name="_Toc491307302"/>
      <w:bookmarkStart w:id="131" w:name="_Toc491307364"/>
      <w:bookmarkStart w:id="132" w:name="_Toc5069"/>
      <w:bookmarkStart w:id="133" w:name="_Toc491307345"/>
      <w:bookmarkStart w:id="134" w:name="_Toc491307465"/>
      <w:bookmarkStart w:id="135" w:name="_Toc491307283"/>
      <w:r>
        <w:rPr>
          <w:rFonts w:hint="eastAsia" w:ascii="宋体" w:hAnsi="宋体" w:cs="宋体"/>
          <w:b/>
          <w:bCs/>
          <w:snapToGrid w:val="0"/>
          <w:kern w:val="21"/>
          <w:sz w:val="28"/>
          <w:szCs w:val="32"/>
          <w:highlight w:val="none"/>
        </w:rPr>
        <w:t>一、资格证明文件</w:t>
      </w:r>
      <w:bookmarkEnd w:id="124"/>
      <w:bookmarkEnd w:id="125"/>
      <w:bookmarkEnd w:id="126"/>
      <w:bookmarkEnd w:id="127"/>
      <w:bookmarkEnd w:id="128"/>
      <w:bookmarkEnd w:id="129"/>
      <w:bookmarkEnd w:id="130"/>
      <w:bookmarkEnd w:id="131"/>
      <w:bookmarkEnd w:id="132"/>
    </w:p>
    <w:p w14:paraId="6F388B86">
      <w:pPr>
        <w:adjustRightInd w:val="0"/>
        <w:snapToGrid w:val="0"/>
        <w:spacing w:line="360" w:lineRule="auto"/>
        <w:ind w:firstLine="420" w:firstLineChars="200"/>
        <w:rPr>
          <w:rFonts w:ascii="宋体" w:hAnsi="宋体" w:cs="宋体"/>
          <w:snapToGrid w:val="0"/>
          <w:kern w:val="21"/>
          <w:szCs w:val="21"/>
          <w:highlight w:val="none"/>
        </w:rPr>
      </w:pPr>
      <w:r>
        <w:rPr>
          <w:rFonts w:hint="eastAsia" w:ascii="宋体" w:hAnsi="宋体" w:cs="宋体"/>
          <w:snapToGrid w:val="0"/>
          <w:kern w:val="21"/>
          <w:szCs w:val="21"/>
          <w:highlight w:val="none"/>
        </w:rPr>
        <w:t>1.供应商应填写和提交下述规定的有关资料。</w:t>
      </w:r>
    </w:p>
    <w:p w14:paraId="74F7922D">
      <w:pPr>
        <w:adjustRightInd w:val="0"/>
        <w:snapToGrid w:val="0"/>
        <w:spacing w:line="360" w:lineRule="auto"/>
        <w:ind w:firstLine="420" w:firstLineChars="200"/>
        <w:rPr>
          <w:rFonts w:ascii="宋体" w:hAnsi="宋体" w:cs="宋体"/>
          <w:snapToGrid w:val="0"/>
          <w:kern w:val="21"/>
          <w:szCs w:val="21"/>
          <w:highlight w:val="none"/>
        </w:rPr>
      </w:pPr>
      <w:r>
        <w:rPr>
          <w:rFonts w:hint="eastAsia" w:ascii="宋体" w:hAnsi="宋体" w:cs="宋体"/>
          <w:snapToGrid w:val="0"/>
          <w:kern w:val="21"/>
          <w:szCs w:val="21"/>
          <w:highlight w:val="none"/>
        </w:rPr>
        <w:t>2.所附格式要求填写的全部内容都必须填写。</w:t>
      </w:r>
    </w:p>
    <w:p w14:paraId="6F9405CE">
      <w:pPr>
        <w:adjustRightInd w:val="0"/>
        <w:snapToGrid w:val="0"/>
        <w:spacing w:line="360" w:lineRule="auto"/>
        <w:ind w:firstLine="420" w:firstLineChars="200"/>
        <w:rPr>
          <w:rFonts w:ascii="宋体" w:hAnsi="宋体" w:cs="宋体"/>
          <w:snapToGrid w:val="0"/>
          <w:kern w:val="21"/>
          <w:szCs w:val="21"/>
          <w:highlight w:val="none"/>
        </w:rPr>
      </w:pPr>
      <w:r>
        <w:rPr>
          <w:rFonts w:hint="eastAsia" w:ascii="宋体" w:hAnsi="宋体" w:cs="宋体"/>
          <w:snapToGrid w:val="0"/>
          <w:kern w:val="21"/>
          <w:szCs w:val="21"/>
          <w:highlight w:val="none"/>
        </w:rPr>
        <w:t>3.供应商应保证全部声明和填写的内容是真实的和正确的。</w:t>
      </w:r>
    </w:p>
    <w:p w14:paraId="55C4E4EC">
      <w:pPr>
        <w:adjustRightInd w:val="0"/>
        <w:snapToGrid w:val="0"/>
        <w:spacing w:line="360" w:lineRule="auto"/>
        <w:ind w:firstLine="562"/>
        <w:rPr>
          <w:rFonts w:ascii="宋体" w:hAnsi="宋体" w:cs="宋体"/>
          <w:b/>
          <w:sz w:val="28"/>
          <w:szCs w:val="28"/>
          <w:highlight w:val="none"/>
        </w:rPr>
      </w:pPr>
      <w:r>
        <w:rPr>
          <w:rFonts w:hint="eastAsia" w:ascii="宋体" w:hAnsi="宋体" w:cs="宋体"/>
          <w:b/>
          <w:sz w:val="28"/>
          <w:szCs w:val="28"/>
          <w:highlight w:val="none"/>
        </w:rPr>
        <w:br w:type="page"/>
      </w:r>
    </w:p>
    <w:p w14:paraId="688DCE8F">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sz w:val="28"/>
          <w:szCs w:val="28"/>
          <w:highlight w:val="none"/>
        </w:rPr>
        <w:t>格式1</w:t>
      </w:r>
    </w:p>
    <w:p w14:paraId="05999E55">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highlight w:val="none"/>
        </w:rPr>
      </w:pPr>
      <w:r>
        <w:rPr>
          <w:rFonts w:hint="eastAsia" w:ascii="宋体" w:hAnsi="宋体" w:cs="宋体"/>
          <w:b/>
          <w:bCs/>
          <w:highlight w:val="none"/>
        </w:rPr>
        <w:t>供应商须具有独立承担民事责任的能力：</w:t>
      </w:r>
    </w:p>
    <w:p w14:paraId="74392249">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highlight w:val="none"/>
        </w:rPr>
      </w:pPr>
      <w:r>
        <w:rPr>
          <w:rFonts w:hint="eastAsia" w:ascii="宋体" w:hAnsi="宋体" w:cs="宋体"/>
          <w:b/>
          <w:bCs/>
          <w:highlight w:val="none"/>
        </w:rPr>
        <w:t>供应商为法人、其他组织或者自然人，提供有效的营业执照或事业单位法人证书或民办非企业登记证书或社会团体登记证或自然人身份证明（扫描件加盖供应商电子公章）</w:t>
      </w:r>
    </w:p>
    <w:p w14:paraId="5B4E9738">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bCs/>
          <w:sz w:val="28"/>
          <w:szCs w:val="32"/>
          <w:highlight w:val="none"/>
        </w:rPr>
        <w:br w:type="page"/>
      </w:r>
      <w:bookmarkStart w:id="136" w:name="_Toc491307367"/>
      <w:bookmarkStart w:id="137" w:name="_Toc491307305"/>
      <w:bookmarkStart w:id="138" w:name="_Toc491307487"/>
      <w:r>
        <w:rPr>
          <w:rFonts w:hint="eastAsia" w:ascii="宋体" w:hAnsi="宋体" w:cs="宋体"/>
          <w:b/>
          <w:sz w:val="28"/>
          <w:szCs w:val="28"/>
          <w:highlight w:val="none"/>
        </w:rPr>
        <w:t>格式</w:t>
      </w:r>
      <w:bookmarkEnd w:id="136"/>
      <w:bookmarkEnd w:id="137"/>
      <w:bookmarkEnd w:id="138"/>
      <w:r>
        <w:rPr>
          <w:rFonts w:hint="eastAsia" w:ascii="宋体" w:hAnsi="宋体" w:cs="宋体"/>
          <w:b/>
          <w:sz w:val="28"/>
          <w:szCs w:val="28"/>
          <w:highlight w:val="none"/>
        </w:rPr>
        <w:t>2</w:t>
      </w:r>
    </w:p>
    <w:p w14:paraId="7175EFCE">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供应商须具有良好的商业信誉和健全的财务会计制度：</w:t>
      </w:r>
    </w:p>
    <w:p w14:paraId="28BD40A1">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提供供应商2023年度经第三方审计的财务报告及报表（包括“四表一注”，即资产负债表、利润表、现金流量表、所有者权益变动表及其附注）或提供自提交响应文件截止时间前三个月内基本开户银行出具的资信证明（扫描件加盖供应商电子公章）</w:t>
      </w:r>
    </w:p>
    <w:p w14:paraId="4339DD7E">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bCs/>
          <w:sz w:val="28"/>
          <w:szCs w:val="32"/>
          <w:highlight w:val="none"/>
        </w:rPr>
        <w:br w:type="page"/>
      </w:r>
      <w:bookmarkStart w:id="139" w:name="_Toc491307489"/>
      <w:bookmarkStart w:id="140" w:name="_Toc491307369"/>
      <w:bookmarkStart w:id="141" w:name="_Toc491307307"/>
      <w:r>
        <w:rPr>
          <w:rFonts w:hint="eastAsia" w:ascii="宋体" w:hAnsi="宋体" w:cs="宋体"/>
          <w:b/>
          <w:sz w:val="28"/>
          <w:szCs w:val="28"/>
          <w:highlight w:val="none"/>
        </w:rPr>
        <w:t>格式</w:t>
      </w:r>
      <w:bookmarkEnd w:id="139"/>
      <w:bookmarkEnd w:id="140"/>
      <w:bookmarkEnd w:id="141"/>
      <w:r>
        <w:rPr>
          <w:rFonts w:hint="eastAsia" w:ascii="宋体" w:hAnsi="宋体" w:cs="宋体"/>
          <w:b/>
          <w:sz w:val="28"/>
          <w:szCs w:val="28"/>
          <w:highlight w:val="none"/>
        </w:rPr>
        <w:t>3</w:t>
      </w:r>
    </w:p>
    <w:p w14:paraId="68CFAD85">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具有履行合同所必需的设备和专业技术能力：</w:t>
      </w:r>
    </w:p>
    <w:p w14:paraId="779E2D71">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提供供应商具有履行合同所必需的设备和专业技术能力的书面声明（加盖供应商电子公章）</w:t>
      </w:r>
    </w:p>
    <w:p w14:paraId="57C63DA2">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bCs/>
          <w:sz w:val="28"/>
          <w:szCs w:val="32"/>
          <w:highlight w:val="none"/>
        </w:rPr>
        <w:br w:type="page"/>
      </w:r>
      <w:bookmarkStart w:id="142" w:name="_Toc491307491"/>
      <w:bookmarkStart w:id="143" w:name="_Toc491307371"/>
      <w:bookmarkStart w:id="144" w:name="_Toc491307309"/>
      <w:r>
        <w:rPr>
          <w:rFonts w:hint="eastAsia" w:ascii="宋体" w:hAnsi="宋体" w:cs="宋体"/>
          <w:b/>
          <w:sz w:val="28"/>
          <w:szCs w:val="28"/>
          <w:highlight w:val="none"/>
        </w:rPr>
        <w:t>格式</w:t>
      </w:r>
      <w:bookmarkEnd w:id="142"/>
      <w:bookmarkEnd w:id="143"/>
      <w:bookmarkEnd w:id="144"/>
      <w:r>
        <w:rPr>
          <w:rFonts w:hint="eastAsia" w:ascii="宋体" w:hAnsi="宋体" w:cs="宋体"/>
          <w:b/>
          <w:sz w:val="28"/>
          <w:szCs w:val="28"/>
          <w:highlight w:val="none"/>
        </w:rPr>
        <w:t>4</w:t>
      </w:r>
    </w:p>
    <w:p w14:paraId="4180F5DB">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供应商须具有依法缴纳税收和社会保障资金的良好记录：</w:t>
      </w:r>
    </w:p>
    <w:p w14:paraId="4DB9FCB4">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1.提供供应商缴税所属时间在2024年02月至本项目响应文件提交截止时间前任意连续2个月的税务局税收通用缴款书或银行电子缴税（费）凭证或税务局出具纳税情况的相关证明，依法免税的，应提供依法免税的相关证明文件（扫描件加盖供应商电子公章），至响应文件提交截止时间止成立不足一年的供应商可提供相关情况说明（加盖供应商电子公章）</w:t>
      </w:r>
    </w:p>
    <w:p w14:paraId="710D5B44">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2.提供供应商缴费所属时间在2024年02月至本项目响应文件提交截止时间前任意连续2个月的社会保险费缴款书或银行电子缴税（费）凭证或社保管理部门出具的有效的缴款证明，依法免缴的，应提供依法免缴的相关证明文件（扫描件加盖供应商电子公章），至响应文件提交截止时间止成立不足一年的供应商可提供相关情况说明（加盖供应商电子公章）</w:t>
      </w:r>
    </w:p>
    <w:p w14:paraId="49A25C0F">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szCs w:val="21"/>
          <w:highlight w:val="none"/>
        </w:rPr>
        <w:br w:type="page"/>
      </w:r>
      <w:bookmarkStart w:id="145" w:name="_Toc491307373"/>
      <w:bookmarkStart w:id="146" w:name="_Toc491307493"/>
      <w:bookmarkStart w:id="147" w:name="_Toc491307311"/>
      <w:r>
        <w:rPr>
          <w:rFonts w:hint="eastAsia" w:ascii="宋体" w:hAnsi="宋体" w:cs="宋体"/>
          <w:b/>
          <w:sz w:val="28"/>
          <w:szCs w:val="28"/>
          <w:highlight w:val="none"/>
        </w:rPr>
        <w:t>格式</w:t>
      </w:r>
      <w:bookmarkEnd w:id="145"/>
      <w:bookmarkEnd w:id="146"/>
      <w:bookmarkEnd w:id="147"/>
      <w:r>
        <w:rPr>
          <w:rFonts w:hint="eastAsia" w:ascii="宋体" w:hAnsi="宋体" w:cs="宋体"/>
          <w:b/>
          <w:sz w:val="28"/>
          <w:szCs w:val="28"/>
          <w:highlight w:val="none"/>
        </w:rPr>
        <w:t>5</w:t>
      </w:r>
    </w:p>
    <w:p w14:paraId="3B036A03">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参加政府采购活动前三年内，在经营活动中没有重大违法记录：</w:t>
      </w:r>
    </w:p>
    <w:p w14:paraId="3C224D5B">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szCs w:val="21"/>
          <w:highlight w:val="none"/>
        </w:rPr>
      </w:pPr>
      <w:r>
        <w:rPr>
          <w:rFonts w:hint="eastAsia" w:ascii="宋体" w:hAnsi="宋体" w:cs="宋体"/>
          <w:b/>
          <w:bCs/>
          <w:szCs w:val="21"/>
          <w:highlight w:val="none"/>
        </w:rPr>
        <w:t>提供供应商参加政府采购活动前三年内，在经营活动中没有重大违法记录（重大违法记录，是指供应商因违法经营受到刑事处罚或者责令停产停业、吊销许可证或者执照、较大数额罚款等行政处罚）的书面声明（加盖供应商电子公章）</w:t>
      </w:r>
    </w:p>
    <w:p w14:paraId="204978F3">
      <w:pPr>
        <w:pageBreakBefore w:val="0"/>
        <w:widowControl w:val="0"/>
        <w:kinsoku/>
        <w:wordWrap/>
        <w:overflowPunct/>
        <w:topLinePunct w:val="0"/>
        <w:bidi w:val="0"/>
        <w:ind w:firstLine="0" w:firstLineChars="0"/>
        <w:textAlignment w:val="auto"/>
        <w:rPr>
          <w:rFonts w:ascii="宋体" w:hAnsi="宋体" w:cs="宋体"/>
          <w:b/>
          <w:bCs/>
          <w:sz w:val="28"/>
          <w:szCs w:val="32"/>
          <w:highlight w:val="none"/>
        </w:rPr>
      </w:pPr>
      <w:r>
        <w:rPr>
          <w:rFonts w:hint="eastAsia" w:ascii="宋体" w:hAnsi="宋体" w:cs="宋体"/>
          <w:b/>
          <w:bCs/>
          <w:sz w:val="28"/>
          <w:szCs w:val="32"/>
          <w:highlight w:val="none"/>
        </w:rPr>
        <w:br w:type="page"/>
      </w:r>
    </w:p>
    <w:p w14:paraId="065A19DE">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sz w:val="28"/>
          <w:szCs w:val="28"/>
          <w:highlight w:val="none"/>
        </w:rPr>
        <w:t>格式6</w:t>
      </w:r>
    </w:p>
    <w:p w14:paraId="71509AA1">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法律、行政法规规定的其他条件：</w:t>
      </w:r>
    </w:p>
    <w:p w14:paraId="5A3C7464">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1.单位负责人为同一人或者存在直接控股、管理关系不同的供应商，不得同时参与本项目的采购活动（提供承诺函加盖供应商电子公章）。</w:t>
      </w:r>
    </w:p>
    <w:p w14:paraId="08F6E04E">
      <w:pPr>
        <w:pageBreakBefore w:val="0"/>
        <w:widowControl w:val="0"/>
        <w:kinsoku/>
        <w:wordWrap/>
        <w:overflowPunct/>
        <w:topLinePunct w:val="0"/>
        <w:bidi w:val="0"/>
        <w:ind w:firstLine="0" w:firstLineChars="0"/>
        <w:textAlignment w:val="auto"/>
        <w:rPr>
          <w:rFonts w:ascii="宋体" w:hAnsi="宋体" w:cs="宋体"/>
          <w:b/>
          <w:bCs/>
          <w:szCs w:val="21"/>
          <w:highlight w:val="none"/>
        </w:rPr>
      </w:pPr>
      <w:r>
        <w:rPr>
          <w:rFonts w:hint="eastAsia" w:ascii="宋体" w:hAnsi="宋体" w:cs="宋体"/>
          <w:b/>
          <w:bCs/>
          <w:szCs w:val="21"/>
          <w:highlight w:val="none"/>
        </w:rPr>
        <w:br w:type="page"/>
      </w:r>
    </w:p>
    <w:p w14:paraId="0EFF72F5">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sz w:val="28"/>
          <w:szCs w:val="28"/>
          <w:highlight w:val="none"/>
        </w:rPr>
      </w:pPr>
      <w:r>
        <w:rPr>
          <w:rFonts w:hint="eastAsia" w:ascii="宋体" w:hAnsi="宋体" w:cs="宋体"/>
          <w:b/>
          <w:sz w:val="28"/>
          <w:szCs w:val="28"/>
          <w:highlight w:val="none"/>
        </w:rPr>
        <w:t>格式7</w:t>
      </w:r>
    </w:p>
    <w:p w14:paraId="79F9A0EE">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Cs w:val="21"/>
          <w:highlight w:val="none"/>
        </w:rPr>
      </w:pPr>
      <w:r>
        <w:rPr>
          <w:rFonts w:hint="eastAsia" w:ascii="宋体" w:hAnsi="宋体" w:cs="宋体"/>
          <w:b/>
          <w:bCs/>
          <w:szCs w:val="21"/>
          <w:highlight w:val="none"/>
        </w:rPr>
        <w:t>法律、行政法规规定的其他条件：</w:t>
      </w:r>
    </w:p>
    <w:p w14:paraId="183FD8DB">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2.为采购项目提供整体设计、规范编制和项目管理、监理、检测等服务的供应商，不得参与本项目采购活动（提供承诺函加盖供应商电子公章）。</w:t>
      </w:r>
    </w:p>
    <w:p w14:paraId="4A9DB43A">
      <w:pPr>
        <w:pageBreakBefore w:val="0"/>
        <w:widowControl w:val="0"/>
        <w:kinsoku/>
        <w:wordWrap/>
        <w:overflowPunct/>
        <w:topLinePunct w:val="0"/>
        <w:bidi w:val="0"/>
        <w:adjustRightInd w:val="0"/>
        <w:snapToGrid w:val="0"/>
        <w:spacing w:line="360" w:lineRule="auto"/>
        <w:ind w:firstLine="0" w:firstLineChars="0"/>
        <w:textAlignment w:val="auto"/>
        <w:rPr>
          <w:rFonts w:ascii="宋体" w:hAnsi="宋体" w:cs="宋体"/>
          <w:b/>
          <w:sz w:val="28"/>
          <w:szCs w:val="28"/>
          <w:highlight w:val="none"/>
        </w:rPr>
      </w:pPr>
      <w:r>
        <w:rPr>
          <w:rFonts w:hint="eastAsia" w:ascii="宋体" w:hAnsi="宋体" w:cs="宋体"/>
          <w:b/>
          <w:bCs/>
          <w:szCs w:val="21"/>
          <w:highlight w:val="none"/>
        </w:rPr>
        <w:t xml:space="preserve"> </w:t>
      </w:r>
      <w:r>
        <w:rPr>
          <w:rFonts w:hint="eastAsia" w:ascii="宋体" w:hAnsi="宋体" w:cs="宋体"/>
          <w:b/>
          <w:bCs/>
          <w:sz w:val="28"/>
          <w:szCs w:val="32"/>
          <w:highlight w:val="none"/>
        </w:rPr>
        <w:br w:type="page"/>
      </w:r>
    </w:p>
    <w:p w14:paraId="2E412215">
      <w:pPr>
        <w:keepNext/>
        <w:keepLines/>
        <w:pageBreakBefore w:val="0"/>
        <w:widowControl w:val="0"/>
        <w:kinsoku/>
        <w:wordWrap/>
        <w:overflowPunct/>
        <w:topLinePunct w:val="0"/>
        <w:bidi w:val="0"/>
        <w:adjustRightInd w:val="0"/>
        <w:snapToGrid w:val="0"/>
        <w:spacing w:line="360" w:lineRule="auto"/>
        <w:ind w:firstLine="0" w:firstLineChars="0"/>
        <w:jc w:val="center"/>
        <w:textAlignment w:val="auto"/>
        <w:rPr>
          <w:rFonts w:ascii="宋体" w:hAnsi="宋体" w:cs="宋体"/>
          <w:b/>
          <w:sz w:val="28"/>
          <w:szCs w:val="28"/>
          <w:highlight w:val="none"/>
        </w:rPr>
      </w:pPr>
      <w:r>
        <w:rPr>
          <w:rFonts w:hint="eastAsia" w:ascii="宋体" w:hAnsi="宋体" w:cs="宋体"/>
          <w:b/>
          <w:sz w:val="28"/>
          <w:szCs w:val="28"/>
          <w:highlight w:val="none"/>
        </w:rPr>
        <w:t>二、报价文件</w:t>
      </w:r>
    </w:p>
    <w:p w14:paraId="33D477C0">
      <w:pPr>
        <w:keepNext/>
        <w:keepLines/>
        <w:pageBreakBefore w:val="0"/>
        <w:widowControl w:val="0"/>
        <w:kinsoku/>
        <w:wordWrap/>
        <w:overflowPunct/>
        <w:topLinePunct w:val="0"/>
        <w:bidi w:val="0"/>
        <w:adjustRightInd w:val="0"/>
        <w:snapToGrid w:val="0"/>
        <w:spacing w:line="360" w:lineRule="auto"/>
        <w:ind w:firstLine="0" w:firstLineChars="0"/>
        <w:jc w:val="left"/>
        <w:textAlignment w:val="auto"/>
        <w:rPr>
          <w:rFonts w:ascii="宋体" w:hAnsi="宋体" w:cs="宋体"/>
          <w:b/>
          <w:bCs/>
          <w:sz w:val="28"/>
          <w:szCs w:val="21"/>
          <w:highlight w:val="none"/>
        </w:rPr>
      </w:pPr>
      <w:r>
        <w:rPr>
          <w:rFonts w:hint="eastAsia" w:ascii="宋体" w:hAnsi="宋体" w:cs="宋体"/>
          <w:b/>
          <w:sz w:val="28"/>
          <w:szCs w:val="28"/>
          <w:highlight w:val="none"/>
        </w:rPr>
        <w:t>格式</w:t>
      </w:r>
      <w:bookmarkEnd w:id="133"/>
      <w:bookmarkEnd w:id="134"/>
      <w:bookmarkEnd w:id="135"/>
      <w:r>
        <w:rPr>
          <w:rFonts w:hint="eastAsia" w:ascii="宋体" w:hAnsi="宋体" w:cs="宋体"/>
          <w:b/>
          <w:sz w:val="28"/>
          <w:szCs w:val="28"/>
          <w:highlight w:val="none"/>
        </w:rPr>
        <w:t>8</w:t>
      </w:r>
    </w:p>
    <w:p w14:paraId="446903C3">
      <w:pPr>
        <w:keepNext/>
        <w:keepLines/>
        <w:pageBreakBefore w:val="0"/>
        <w:widowControl w:val="0"/>
        <w:kinsoku/>
        <w:wordWrap/>
        <w:overflowPunct/>
        <w:topLinePunct w:val="0"/>
        <w:bidi w:val="0"/>
        <w:adjustRightInd w:val="0"/>
        <w:snapToGrid w:val="0"/>
        <w:spacing w:line="360" w:lineRule="auto"/>
        <w:ind w:firstLine="0" w:firstLineChars="0"/>
        <w:jc w:val="center"/>
        <w:textAlignment w:val="auto"/>
        <w:outlineLvl w:val="1"/>
        <w:rPr>
          <w:rFonts w:ascii="宋体" w:hAnsi="宋体" w:cs="宋体"/>
          <w:b/>
          <w:bCs/>
          <w:sz w:val="28"/>
          <w:szCs w:val="32"/>
          <w:highlight w:val="none"/>
        </w:rPr>
      </w:pPr>
      <w:bookmarkStart w:id="148" w:name="_Toc491307466"/>
      <w:bookmarkStart w:id="149" w:name="_Toc491307284"/>
      <w:bookmarkStart w:id="150" w:name="_Toc491307346"/>
      <w:bookmarkStart w:id="151" w:name="_Toc415662825"/>
      <w:bookmarkStart w:id="152" w:name="_Toc383175510"/>
      <w:r>
        <w:rPr>
          <w:rFonts w:hint="eastAsia" w:ascii="宋体" w:hAnsi="宋体" w:cs="宋体"/>
          <w:b/>
          <w:bCs/>
          <w:sz w:val="28"/>
          <w:szCs w:val="32"/>
          <w:highlight w:val="none"/>
        </w:rPr>
        <w:t>谈判报价一览表</w:t>
      </w:r>
      <w:bookmarkEnd w:id="148"/>
      <w:bookmarkEnd w:id="149"/>
      <w:bookmarkEnd w:id="150"/>
    </w:p>
    <w:p w14:paraId="5A1CB046">
      <w:pPr>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ascii="宋体" w:hAnsi="宋体" w:cs="宋体"/>
          <w:b/>
          <w:kern w:val="0"/>
          <w:szCs w:val="21"/>
          <w:highlight w:val="none"/>
          <w:u w:val="single"/>
        </w:rPr>
      </w:pPr>
      <w:r>
        <w:rPr>
          <w:rFonts w:hint="eastAsia" w:ascii="宋体" w:hAnsi="宋体" w:cs="宋体"/>
          <w:b/>
          <w:kern w:val="0"/>
          <w:szCs w:val="21"/>
          <w:highlight w:val="none"/>
        </w:rPr>
        <w:t>项目名称：</w:t>
      </w:r>
    </w:p>
    <w:p w14:paraId="2DB00B7B">
      <w:pPr>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ascii="宋体" w:hAnsi="宋体" w:cs="宋体"/>
          <w:b/>
          <w:kern w:val="0"/>
          <w:szCs w:val="21"/>
          <w:highlight w:val="none"/>
        </w:rPr>
      </w:pPr>
      <w:r>
        <w:rPr>
          <w:rFonts w:hint="eastAsia" w:ascii="宋体" w:hAnsi="宋体" w:cs="宋体"/>
          <w:b/>
          <w:kern w:val="0"/>
          <w:szCs w:val="21"/>
          <w:highlight w:val="none"/>
        </w:rPr>
        <w:t>项目编号：</w:t>
      </w:r>
    </w:p>
    <w:tbl>
      <w:tblPr>
        <w:tblStyle w:val="38"/>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5408"/>
      </w:tblGrid>
      <w:tr w14:paraId="6135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20FF7D26">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供应商名称</w:t>
            </w:r>
          </w:p>
        </w:tc>
        <w:tc>
          <w:tcPr>
            <w:tcW w:w="5408" w:type="dxa"/>
            <w:tcBorders>
              <w:top w:val="single" w:color="auto" w:sz="4" w:space="0"/>
              <w:left w:val="single" w:color="auto" w:sz="4" w:space="0"/>
              <w:bottom w:val="single" w:color="auto" w:sz="4" w:space="0"/>
              <w:right w:val="single" w:color="auto" w:sz="4" w:space="0"/>
            </w:tcBorders>
            <w:vAlign w:val="center"/>
          </w:tcPr>
          <w:p w14:paraId="151C5DC0">
            <w:pPr>
              <w:adjustRightInd w:val="0"/>
              <w:snapToGrid w:val="0"/>
              <w:spacing w:line="360" w:lineRule="auto"/>
              <w:jc w:val="center"/>
              <w:rPr>
                <w:rFonts w:ascii="宋体" w:hAnsi="宋体" w:cs="宋体"/>
                <w:szCs w:val="21"/>
                <w:highlight w:val="none"/>
              </w:rPr>
            </w:pPr>
          </w:p>
        </w:tc>
      </w:tr>
      <w:tr w14:paraId="6731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5F5A313">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谈判报价（元）</w:t>
            </w:r>
          </w:p>
        </w:tc>
        <w:tc>
          <w:tcPr>
            <w:tcW w:w="5408" w:type="dxa"/>
            <w:tcBorders>
              <w:top w:val="single" w:color="auto" w:sz="4" w:space="0"/>
              <w:left w:val="single" w:color="auto" w:sz="4" w:space="0"/>
              <w:bottom w:val="single" w:color="auto" w:sz="4" w:space="0"/>
              <w:right w:val="single" w:color="auto" w:sz="4" w:space="0"/>
            </w:tcBorders>
            <w:vAlign w:val="center"/>
          </w:tcPr>
          <w:p w14:paraId="7720A026">
            <w:pPr>
              <w:adjustRightInd w:val="0"/>
              <w:snapToGrid w:val="0"/>
              <w:spacing w:line="360" w:lineRule="auto"/>
              <w:rPr>
                <w:rFonts w:ascii="宋体" w:hAnsi="宋体" w:cs="宋体"/>
                <w:szCs w:val="21"/>
                <w:highlight w:val="none"/>
              </w:rPr>
            </w:pPr>
          </w:p>
        </w:tc>
      </w:tr>
      <w:tr w14:paraId="217E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FCCADDC">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交货期</w:t>
            </w:r>
          </w:p>
        </w:tc>
        <w:tc>
          <w:tcPr>
            <w:tcW w:w="5408" w:type="dxa"/>
            <w:tcBorders>
              <w:top w:val="single" w:color="auto" w:sz="4" w:space="0"/>
              <w:left w:val="single" w:color="auto" w:sz="4" w:space="0"/>
              <w:bottom w:val="single" w:color="auto" w:sz="4" w:space="0"/>
              <w:right w:val="single" w:color="auto" w:sz="4" w:space="0"/>
            </w:tcBorders>
            <w:vAlign w:val="center"/>
          </w:tcPr>
          <w:p w14:paraId="35CA72A7">
            <w:pPr>
              <w:adjustRightInd w:val="0"/>
              <w:snapToGrid w:val="0"/>
              <w:spacing w:line="360" w:lineRule="auto"/>
              <w:rPr>
                <w:rFonts w:ascii="宋体" w:hAnsi="宋体" w:cs="宋体"/>
                <w:szCs w:val="21"/>
                <w:highlight w:val="none"/>
              </w:rPr>
            </w:pPr>
          </w:p>
        </w:tc>
      </w:tr>
      <w:tr w14:paraId="1741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AF506F4">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交货地点</w:t>
            </w:r>
          </w:p>
        </w:tc>
        <w:tc>
          <w:tcPr>
            <w:tcW w:w="5408" w:type="dxa"/>
            <w:tcBorders>
              <w:top w:val="single" w:color="auto" w:sz="4" w:space="0"/>
              <w:left w:val="single" w:color="auto" w:sz="4" w:space="0"/>
              <w:bottom w:val="single" w:color="auto" w:sz="4" w:space="0"/>
              <w:right w:val="single" w:color="auto" w:sz="4" w:space="0"/>
            </w:tcBorders>
            <w:vAlign w:val="center"/>
          </w:tcPr>
          <w:p w14:paraId="4CBD4D6C">
            <w:pPr>
              <w:adjustRightInd w:val="0"/>
              <w:snapToGrid w:val="0"/>
              <w:spacing w:line="360" w:lineRule="auto"/>
              <w:rPr>
                <w:rFonts w:ascii="宋体" w:hAnsi="宋体" w:cs="宋体"/>
                <w:szCs w:val="21"/>
                <w:highlight w:val="none"/>
              </w:rPr>
            </w:pPr>
          </w:p>
        </w:tc>
      </w:tr>
      <w:tr w14:paraId="0B64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D3B2BC">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谈判保证金形式</w:t>
            </w:r>
          </w:p>
        </w:tc>
        <w:tc>
          <w:tcPr>
            <w:tcW w:w="5408" w:type="dxa"/>
            <w:tcBorders>
              <w:top w:val="single" w:color="auto" w:sz="4" w:space="0"/>
              <w:left w:val="single" w:color="auto" w:sz="4" w:space="0"/>
              <w:bottom w:val="single" w:color="auto" w:sz="4" w:space="0"/>
              <w:right w:val="single" w:color="auto" w:sz="4" w:space="0"/>
            </w:tcBorders>
            <w:vAlign w:val="center"/>
          </w:tcPr>
          <w:p w14:paraId="0D69D793">
            <w:pPr>
              <w:adjustRightInd w:val="0"/>
              <w:snapToGrid w:val="0"/>
              <w:spacing w:line="360" w:lineRule="auto"/>
              <w:rPr>
                <w:rFonts w:ascii="宋体" w:hAnsi="宋体" w:cs="宋体"/>
                <w:szCs w:val="21"/>
                <w:highlight w:val="none"/>
              </w:rPr>
            </w:pPr>
          </w:p>
        </w:tc>
      </w:tr>
      <w:tr w14:paraId="3346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7876" w:type="dxa"/>
            <w:gridSpan w:val="2"/>
            <w:tcBorders>
              <w:top w:val="single" w:color="auto" w:sz="4" w:space="0"/>
              <w:left w:val="single" w:color="auto" w:sz="4" w:space="0"/>
              <w:bottom w:val="single" w:color="auto" w:sz="4" w:space="0"/>
              <w:right w:val="single" w:color="auto" w:sz="4" w:space="0"/>
            </w:tcBorders>
            <w:vAlign w:val="center"/>
          </w:tcPr>
          <w:p w14:paraId="2CACB849">
            <w:pPr>
              <w:adjustRightInd w:val="0"/>
              <w:snapToGrid w:val="0"/>
              <w:spacing w:line="360" w:lineRule="auto"/>
              <w:jc w:val="left"/>
              <w:rPr>
                <w:rFonts w:ascii="宋体" w:hAnsi="宋体" w:cs="宋体"/>
                <w:szCs w:val="21"/>
                <w:highlight w:val="none"/>
                <w:u w:val="single"/>
              </w:rPr>
            </w:pPr>
            <w:r>
              <w:rPr>
                <w:rFonts w:hint="eastAsia" w:ascii="宋体" w:hAnsi="宋体" w:cs="宋体"/>
                <w:szCs w:val="21"/>
                <w:highlight w:val="none"/>
              </w:rPr>
              <w:t>备 注</w:t>
            </w:r>
          </w:p>
        </w:tc>
      </w:tr>
    </w:tbl>
    <w:p w14:paraId="21298345">
      <w:pPr>
        <w:adjustRightInd w:val="0"/>
        <w:snapToGrid w:val="0"/>
        <w:spacing w:line="360" w:lineRule="auto"/>
        <w:ind w:firstLine="2" w:firstLineChars="1"/>
        <w:jc w:val="left"/>
        <w:rPr>
          <w:rFonts w:ascii="宋体" w:hAnsi="宋体" w:cs="宋体"/>
          <w:szCs w:val="21"/>
          <w:highlight w:val="none"/>
        </w:rPr>
      </w:pPr>
    </w:p>
    <w:p w14:paraId="3B11571C">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供应商：（加盖供应商电子公章）</w:t>
      </w:r>
    </w:p>
    <w:p w14:paraId="63CA07C7">
      <w:pPr>
        <w:adjustRightInd w:val="0"/>
        <w:snapToGrid w:val="0"/>
        <w:spacing w:line="360" w:lineRule="auto"/>
        <w:ind w:firstLine="2" w:firstLineChars="1"/>
        <w:jc w:val="left"/>
        <w:rPr>
          <w:rFonts w:ascii="宋体" w:hAnsi="宋体" w:cs="宋体"/>
          <w:highlight w:val="none"/>
        </w:rPr>
      </w:pPr>
    </w:p>
    <w:p w14:paraId="0FFC8B08">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5C742D9F">
      <w:pPr>
        <w:adjustRightInd w:val="0"/>
        <w:snapToGrid w:val="0"/>
        <w:spacing w:line="360" w:lineRule="auto"/>
        <w:ind w:firstLine="2" w:firstLineChars="1"/>
        <w:jc w:val="left"/>
        <w:rPr>
          <w:rFonts w:ascii="宋体" w:hAnsi="宋体" w:cs="宋体"/>
          <w:szCs w:val="21"/>
          <w:highlight w:val="none"/>
        </w:rPr>
      </w:pPr>
    </w:p>
    <w:p w14:paraId="4EC5D7AB">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日期：</w:t>
      </w:r>
    </w:p>
    <w:p w14:paraId="47DEC7DA">
      <w:pPr>
        <w:rPr>
          <w:rFonts w:ascii="宋体" w:hAnsi="宋体" w:cs="宋体"/>
          <w:szCs w:val="21"/>
          <w:highlight w:val="none"/>
        </w:rPr>
      </w:pPr>
      <w:bookmarkStart w:id="153" w:name="_Toc481694845"/>
      <w:bookmarkStart w:id="154" w:name="_Toc491307347"/>
      <w:bookmarkStart w:id="155" w:name="_Toc488633616"/>
      <w:bookmarkStart w:id="156" w:name="_Toc491307467"/>
      <w:bookmarkStart w:id="157" w:name="_Toc491307285"/>
      <w:r>
        <w:rPr>
          <w:rFonts w:hint="eastAsia" w:ascii="宋体" w:hAnsi="宋体" w:cs="宋体"/>
          <w:szCs w:val="21"/>
          <w:highlight w:val="none"/>
        </w:rPr>
        <w:br w:type="page"/>
      </w:r>
    </w:p>
    <w:p w14:paraId="2039D0BE">
      <w:pPr>
        <w:pageBreakBefore w:val="0"/>
        <w:widowControl w:val="0"/>
        <w:kinsoku/>
        <w:wordWrap/>
        <w:overflowPunct/>
        <w:topLinePunct w:val="0"/>
        <w:autoSpaceDE/>
        <w:autoSpaceDN/>
        <w:bidi w:val="0"/>
        <w:adjustRightInd w:val="0"/>
        <w:snapToGrid w:val="0"/>
        <w:spacing w:line="360" w:lineRule="auto"/>
        <w:ind w:firstLine="0"/>
        <w:jc w:val="center"/>
        <w:textAlignment w:val="auto"/>
        <w:rPr>
          <w:rFonts w:ascii="宋体" w:hAnsi="宋体" w:cs="宋体"/>
          <w:b/>
          <w:bCs/>
          <w:kern w:val="0"/>
          <w:sz w:val="32"/>
          <w:szCs w:val="32"/>
          <w:highlight w:val="none"/>
        </w:rPr>
      </w:pPr>
      <w:r>
        <w:rPr>
          <w:rFonts w:hint="eastAsia" w:ascii="宋体" w:hAnsi="宋体" w:cs="宋体"/>
          <w:b/>
          <w:bCs/>
          <w:kern w:val="0"/>
          <w:sz w:val="32"/>
          <w:szCs w:val="32"/>
          <w:highlight w:val="none"/>
        </w:rPr>
        <w:t>三、商务技术文件</w:t>
      </w:r>
    </w:p>
    <w:p w14:paraId="313C355D">
      <w:pPr>
        <w:keepNext/>
        <w:keepLines/>
        <w:pageBreakBefore w:val="0"/>
        <w:widowControl w:val="0"/>
        <w:kinsoku/>
        <w:wordWrap/>
        <w:overflowPunct/>
        <w:topLinePunct w:val="0"/>
        <w:autoSpaceDE/>
        <w:autoSpaceDN/>
        <w:bidi w:val="0"/>
        <w:adjustRightInd w:val="0"/>
        <w:snapToGrid w:val="0"/>
        <w:spacing w:line="360" w:lineRule="auto"/>
        <w:ind w:firstLine="0"/>
        <w:jc w:val="left"/>
        <w:textAlignment w:val="auto"/>
        <w:rPr>
          <w:rFonts w:ascii="宋体" w:hAnsi="宋体" w:cs="宋体"/>
          <w:b/>
          <w:sz w:val="28"/>
          <w:szCs w:val="28"/>
          <w:highlight w:val="none"/>
        </w:rPr>
      </w:pPr>
      <w:r>
        <w:rPr>
          <w:rFonts w:hint="eastAsia" w:ascii="宋体" w:hAnsi="宋体" w:cs="宋体"/>
          <w:b/>
          <w:sz w:val="28"/>
          <w:szCs w:val="28"/>
          <w:highlight w:val="none"/>
        </w:rPr>
        <w:t>格式9</w:t>
      </w:r>
    </w:p>
    <w:p w14:paraId="55508B45">
      <w:pPr>
        <w:keepNext/>
        <w:keepLines/>
        <w:pageBreakBefore w:val="0"/>
        <w:widowControl w:val="0"/>
        <w:kinsoku/>
        <w:wordWrap/>
        <w:overflowPunct/>
        <w:topLinePunct w:val="0"/>
        <w:autoSpaceDE/>
        <w:autoSpaceDN/>
        <w:bidi w:val="0"/>
        <w:adjustRightInd w:val="0"/>
        <w:snapToGrid w:val="0"/>
        <w:spacing w:line="360" w:lineRule="auto"/>
        <w:ind w:firstLine="0"/>
        <w:jc w:val="center"/>
        <w:textAlignment w:val="auto"/>
        <w:outlineLvl w:val="1"/>
        <w:rPr>
          <w:rFonts w:ascii="宋体" w:hAnsi="宋体" w:cs="宋体"/>
          <w:b/>
          <w:bCs/>
          <w:sz w:val="28"/>
          <w:szCs w:val="32"/>
          <w:highlight w:val="none"/>
        </w:rPr>
      </w:pPr>
      <w:bookmarkStart w:id="158" w:name="_Toc491307348"/>
      <w:bookmarkStart w:id="159" w:name="_Toc491307468"/>
      <w:bookmarkStart w:id="160" w:name="_Toc491307286"/>
      <w:r>
        <w:rPr>
          <w:rFonts w:hint="eastAsia" w:ascii="宋体" w:hAnsi="宋体" w:cs="宋体"/>
          <w:b/>
          <w:bCs/>
          <w:sz w:val="28"/>
          <w:szCs w:val="32"/>
          <w:highlight w:val="none"/>
        </w:rPr>
        <w:t>谈判申请函</w:t>
      </w:r>
      <w:bookmarkEnd w:id="158"/>
      <w:bookmarkEnd w:id="159"/>
      <w:bookmarkEnd w:id="160"/>
    </w:p>
    <w:p w14:paraId="3F301C63">
      <w:pPr>
        <w:pStyle w:val="17"/>
        <w:snapToGrid w:val="0"/>
        <w:spacing w:line="360" w:lineRule="auto"/>
        <w:rPr>
          <w:rFonts w:hAnsi="宋体" w:cs="宋体"/>
          <w:sz w:val="21"/>
          <w:szCs w:val="21"/>
          <w:highlight w:val="none"/>
        </w:rPr>
      </w:pPr>
      <w:r>
        <w:rPr>
          <w:rFonts w:hint="eastAsia" w:hAnsi="宋体" w:cs="宋体"/>
          <w:sz w:val="21"/>
          <w:szCs w:val="21"/>
          <w:highlight w:val="none"/>
        </w:rPr>
        <w:t>致：</w:t>
      </w:r>
      <w:r>
        <w:rPr>
          <w:rFonts w:hint="eastAsia" w:hAnsi="宋体" w:cs="宋体"/>
          <w:sz w:val="21"/>
          <w:szCs w:val="21"/>
          <w:highlight w:val="none"/>
          <w:u w:val="single"/>
        </w:rPr>
        <w:t>（采购人名称）</w:t>
      </w:r>
    </w:p>
    <w:p w14:paraId="47BDF865">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我方仔细研究了</w:t>
      </w:r>
      <w:r>
        <w:rPr>
          <w:rFonts w:hint="eastAsia" w:hAnsi="宋体" w:cs="宋体"/>
          <w:sz w:val="21"/>
          <w:szCs w:val="21"/>
          <w:highlight w:val="none"/>
          <w:u w:val="single"/>
        </w:rPr>
        <w:t>（项目名称）   （项目编号：）</w:t>
      </w:r>
      <w:r>
        <w:rPr>
          <w:rFonts w:hint="eastAsia" w:hAnsi="宋体" w:cs="宋体"/>
          <w:sz w:val="21"/>
          <w:szCs w:val="21"/>
          <w:highlight w:val="none"/>
        </w:rPr>
        <w:t>项目谈判文件的全部内容，正式授权</w:t>
      </w:r>
      <w:r>
        <w:rPr>
          <w:rFonts w:hint="eastAsia" w:hAnsi="宋体" w:cs="宋体"/>
          <w:sz w:val="21"/>
          <w:szCs w:val="21"/>
          <w:highlight w:val="none"/>
          <w:u w:val="single"/>
        </w:rPr>
        <w:t xml:space="preserve">   （姓名和职务）     </w:t>
      </w:r>
      <w:r>
        <w:rPr>
          <w:rFonts w:hint="eastAsia" w:hAnsi="宋体" w:cs="宋体"/>
          <w:sz w:val="21"/>
          <w:szCs w:val="21"/>
          <w:highlight w:val="none"/>
        </w:rPr>
        <w:t>全权代表供应商</w:t>
      </w:r>
      <w:r>
        <w:rPr>
          <w:rFonts w:hint="eastAsia" w:hAnsi="宋体" w:cs="宋体"/>
          <w:sz w:val="21"/>
          <w:szCs w:val="21"/>
          <w:highlight w:val="none"/>
          <w:u w:val="single"/>
        </w:rPr>
        <w:t xml:space="preserve">  （供应商全称）   </w:t>
      </w:r>
      <w:r>
        <w:rPr>
          <w:rFonts w:hint="eastAsia" w:hAnsi="宋体" w:cs="宋体"/>
          <w:sz w:val="21"/>
          <w:szCs w:val="21"/>
          <w:highlight w:val="none"/>
        </w:rPr>
        <w:t>参加谈判，并提交响应文件。</w:t>
      </w:r>
    </w:p>
    <w:p w14:paraId="2B21F202">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据此函，兹宣布同意如下：</w:t>
      </w:r>
    </w:p>
    <w:p w14:paraId="5D9D5C5E">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1.按谈判文件及采购需求和谈判报价明细表，谈判报价（大写）</w:t>
      </w:r>
      <w:r>
        <w:rPr>
          <w:rFonts w:hint="eastAsia" w:hAnsi="宋体" w:cs="宋体"/>
          <w:sz w:val="21"/>
          <w:szCs w:val="21"/>
          <w:highlight w:val="none"/>
          <w:u w:val="single"/>
        </w:rPr>
        <w:t xml:space="preserve">          </w:t>
      </w:r>
      <w:r>
        <w:rPr>
          <w:rFonts w:hint="eastAsia" w:hAnsi="宋体" w:cs="宋体"/>
          <w:sz w:val="21"/>
          <w:szCs w:val="21"/>
          <w:highlight w:val="none"/>
        </w:rPr>
        <w:t>，人民币（￥</w:t>
      </w:r>
      <w:r>
        <w:rPr>
          <w:rFonts w:hint="eastAsia" w:hAnsi="宋体" w:cs="宋体"/>
          <w:sz w:val="21"/>
          <w:szCs w:val="21"/>
          <w:highlight w:val="none"/>
          <w:u w:val="single"/>
        </w:rPr>
        <w:t xml:space="preserve">         </w:t>
      </w:r>
      <w:r>
        <w:rPr>
          <w:rFonts w:hint="eastAsia" w:hAnsi="宋体" w:cs="宋体"/>
          <w:sz w:val="21"/>
          <w:szCs w:val="21"/>
          <w:highlight w:val="none"/>
        </w:rPr>
        <w:t>），交货期：</w:t>
      </w:r>
      <w:r>
        <w:rPr>
          <w:rFonts w:hint="eastAsia" w:hAnsi="宋体" w:cs="宋体"/>
          <w:sz w:val="21"/>
          <w:szCs w:val="21"/>
          <w:highlight w:val="none"/>
          <w:u w:val="single"/>
        </w:rPr>
        <w:t xml:space="preserve">         </w:t>
      </w:r>
      <w:r>
        <w:rPr>
          <w:rFonts w:hint="eastAsia" w:hAnsi="宋体" w:cs="宋体"/>
          <w:sz w:val="21"/>
          <w:szCs w:val="21"/>
          <w:highlight w:val="none"/>
        </w:rPr>
        <w:t>。</w:t>
      </w:r>
    </w:p>
    <w:p w14:paraId="4F12BD6F">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2.我方已详细审查谈判文件的全部内容，包括</w:t>
      </w:r>
      <w:r>
        <w:rPr>
          <w:rFonts w:hint="eastAsia" w:hAnsi="宋体" w:cs="宋体"/>
          <w:sz w:val="21"/>
          <w:szCs w:val="21"/>
          <w:highlight w:val="none"/>
          <w:u w:val="single"/>
        </w:rPr>
        <w:t>（澄清文件）（如果有）</w:t>
      </w:r>
      <w:r>
        <w:rPr>
          <w:rFonts w:hint="eastAsia" w:hAnsi="宋体" w:cs="宋体"/>
          <w:sz w:val="21"/>
          <w:szCs w:val="21"/>
          <w:highlight w:val="none"/>
        </w:rPr>
        <w:t>。我方完全理解谈判文件相关要求，并承担对谈判文件有不明及误解的后果。</w:t>
      </w:r>
    </w:p>
    <w:p w14:paraId="7423FB6E">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3.在供应商须知规定的提交日期起遵循本谈判文件，并在供应商须知第17.1条规定的响应文件有效期届满之日前均具有约束力。</w:t>
      </w:r>
    </w:p>
    <w:p w14:paraId="3D8BA2D7">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4.同意谈判文件中关于没收谈判保证金的规定。</w:t>
      </w:r>
    </w:p>
    <w:p w14:paraId="311B0CD5">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5.同意应贵方要求提供与本项目有关的任何数据或资料，并保证数据和资料的完整性和真实性。</w:t>
      </w:r>
    </w:p>
    <w:p w14:paraId="137B2E7E">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6.如我方成交：</w:t>
      </w:r>
    </w:p>
    <w:p w14:paraId="052F8B63">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（1）我方承诺在收到成交通知书后，在成交通知书规定的期限内与你方签订合同，并履行相应的合同责任和义务。</w:t>
      </w:r>
    </w:p>
    <w:p w14:paraId="3D85B4C6">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（2）我方承诺按照竞争性谈判文件的规定向你方递交履约保证金。</w:t>
      </w:r>
    </w:p>
    <w:p w14:paraId="3595EBF1">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（3）我方承诺将承担售后服务及质量责任。</w:t>
      </w:r>
    </w:p>
    <w:p w14:paraId="56D46CD3">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7.我方在此声明，所递交的响应文件及有关资料内容完整、真实和准确。</w:t>
      </w:r>
    </w:p>
    <w:p w14:paraId="173EFFA8">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8.</w:t>
      </w:r>
      <w:r>
        <w:rPr>
          <w:rFonts w:hint="eastAsia" w:hAnsi="宋体" w:cs="宋体"/>
          <w:sz w:val="21"/>
          <w:szCs w:val="21"/>
          <w:highlight w:val="none"/>
          <w:u w:val="single"/>
        </w:rPr>
        <w:t>（其他补充说明）</w:t>
      </w:r>
      <w:r>
        <w:rPr>
          <w:rFonts w:hint="eastAsia" w:hAnsi="宋体" w:cs="宋体"/>
          <w:sz w:val="21"/>
          <w:szCs w:val="21"/>
          <w:highlight w:val="none"/>
        </w:rPr>
        <w:t>。</w:t>
      </w:r>
    </w:p>
    <w:p w14:paraId="348ABBA0">
      <w:pPr>
        <w:pStyle w:val="17"/>
        <w:snapToGrid w:val="0"/>
        <w:spacing w:line="360" w:lineRule="auto"/>
        <w:ind w:firstLine="420"/>
        <w:rPr>
          <w:rFonts w:hAnsi="宋体" w:cs="宋体"/>
          <w:sz w:val="21"/>
          <w:szCs w:val="21"/>
          <w:highlight w:val="none"/>
        </w:rPr>
      </w:pPr>
    </w:p>
    <w:p w14:paraId="6012A218">
      <w:pPr>
        <w:pStyle w:val="17"/>
        <w:snapToGrid w:val="0"/>
        <w:spacing w:line="360" w:lineRule="auto"/>
        <w:ind w:firstLine="422"/>
        <w:rPr>
          <w:rFonts w:hAnsi="宋体" w:cs="宋体"/>
          <w:b/>
          <w:bCs/>
          <w:sz w:val="21"/>
          <w:szCs w:val="21"/>
          <w:highlight w:val="none"/>
        </w:rPr>
      </w:pPr>
      <w:r>
        <w:rPr>
          <w:rFonts w:hint="eastAsia" w:hAnsi="宋体" w:cs="宋体"/>
          <w:b/>
          <w:bCs/>
          <w:sz w:val="21"/>
          <w:szCs w:val="21"/>
          <w:highlight w:val="none"/>
        </w:rPr>
        <w:t>我单位正式通讯地址为：</w:t>
      </w:r>
    </w:p>
    <w:p w14:paraId="17B8CB70">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统一社会信用代码：</w:t>
      </w:r>
    </w:p>
    <w:p w14:paraId="2BDB1DAB">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地址：</w:t>
      </w:r>
    </w:p>
    <w:p w14:paraId="0D5105F3">
      <w:pPr>
        <w:pStyle w:val="17"/>
        <w:snapToGrid w:val="0"/>
        <w:spacing w:line="360" w:lineRule="auto"/>
        <w:ind w:firstLine="420"/>
        <w:rPr>
          <w:rFonts w:hAnsi="宋体" w:cs="宋体"/>
          <w:sz w:val="21"/>
          <w:szCs w:val="21"/>
          <w:highlight w:val="none"/>
          <w:u w:val="single"/>
        </w:rPr>
      </w:pPr>
      <w:r>
        <w:rPr>
          <w:rFonts w:hint="eastAsia" w:hAnsi="宋体" w:cs="宋体"/>
          <w:sz w:val="21"/>
          <w:szCs w:val="21"/>
          <w:highlight w:val="none"/>
        </w:rPr>
        <w:t>邮政编码：</w:t>
      </w:r>
    </w:p>
    <w:p w14:paraId="3EEF0069">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电话：</w:t>
      </w:r>
    </w:p>
    <w:p w14:paraId="773114DF">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售后服务联系人：</w:t>
      </w:r>
    </w:p>
    <w:p w14:paraId="23871465">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售后服务联系电话：</w:t>
      </w:r>
    </w:p>
    <w:p w14:paraId="3E64F56C">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售后服务联系地址：</w:t>
      </w:r>
    </w:p>
    <w:p w14:paraId="648E519C">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邮箱：</w:t>
      </w:r>
    </w:p>
    <w:p w14:paraId="3F7413D7">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传真：</w:t>
      </w:r>
    </w:p>
    <w:p w14:paraId="269CBD32">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开户名称：</w:t>
      </w:r>
    </w:p>
    <w:p w14:paraId="1F6C2F5A">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开户银行：</w:t>
      </w:r>
    </w:p>
    <w:p w14:paraId="1EBE34F2">
      <w:pPr>
        <w:pStyle w:val="17"/>
        <w:snapToGrid w:val="0"/>
        <w:spacing w:line="360" w:lineRule="auto"/>
        <w:ind w:firstLine="420"/>
        <w:rPr>
          <w:rFonts w:hAnsi="宋体" w:cs="宋体"/>
          <w:sz w:val="21"/>
          <w:szCs w:val="21"/>
          <w:highlight w:val="none"/>
        </w:rPr>
      </w:pPr>
      <w:r>
        <w:rPr>
          <w:rFonts w:hint="eastAsia" w:hAnsi="宋体" w:cs="宋体"/>
          <w:sz w:val="21"/>
          <w:szCs w:val="21"/>
          <w:highlight w:val="none"/>
        </w:rPr>
        <w:t>帐号：</w:t>
      </w:r>
    </w:p>
    <w:p w14:paraId="72D25D65">
      <w:pPr>
        <w:adjustRightInd w:val="0"/>
        <w:snapToGrid w:val="0"/>
        <w:spacing w:line="360" w:lineRule="auto"/>
        <w:rPr>
          <w:rFonts w:ascii="宋体" w:hAnsi="宋体" w:cs="宋体"/>
          <w:szCs w:val="21"/>
          <w:highlight w:val="none"/>
        </w:rPr>
      </w:pPr>
    </w:p>
    <w:p w14:paraId="61C88560">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供应商：（加盖供应商电子公章）</w:t>
      </w:r>
    </w:p>
    <w:p w14:paraId="18928D75">
      <w:pPr>
        <w:adjustRightInd w:val="0"/>
        <w:snapToGrid w:val="0"/>
        <w:spacing w:line="360" w:lineRule="auto"/>
        <w:ind w:firstLine="2" w:firstLineChars="1"/>
        <w:jc w:val="left"/>
        <w:rPr>
          <w:rFonts w:ascii="宋体" w:hAnsi="宋体" w:cs="宋体"/>
          <w:highlight w:val="none"/>
        </w:rPr>
      </w:pPr>
    </w:p>
    <w:p w14:paraId="624088E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612D1A5B">
      <w:pPr>
        <w:adjustRightInd w:val="0"/>
        <w:snapToGrid w:val="0"/>
        <w:spacing w:line="360" w:lineRule="auto"/>
        <w:ind w:firstLine="2" w:firstLineChars="1"/>
        <w:jc w:val="left"/>
        <w:rPr>
          <w:rFonts w:ascii="宋体" w:hAnsi="宋体" w:cs="宋体"/>
          <w:szCs w:val="21"/>
          <w:highlight w:val="none"/>
        </w:rPr>
      </w:pPr>
    </w:p>
    <w:p w14:paraId="351BA401">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日期：</w:t>
      </w:r>
    </w:p>
    <w:p w14:paraId="44AE0AD9">
      <w:pPr>
        <w:rPr>
          <w:rFonts w:ascii="宋体" w:hAnsi="宋体" w:cs="宋体"/>
          <w:szCs w:val="21"/>
          <w:highlight w:val="none"/>
        </w:rPr>
        <w:sectPr>
          <w:footerReference r:id="rId8" w:type="first"/>
          <w:footerReference r:id="rId7" w:type="default"/>
          <w:pgSz w:w="11906" w:h="16838"/>
          <w:pgMar w:top="1440" w:right="1800" w:bottom="1440" w:left="1800" w:header="510" w:footer="680" w:gutter="0"/>
          <w:pgNumType w:start="1"/>
          <w:cols w:space="720" w:num="1"/>
          <w:titlePg/>
          <w:docGrid w:type="linesAndChars" w:linePitch="312" w:charSpace="0"/>
        </w:sectPr>
      </w:pPr>
      <w:r>
        <w:rPr>
          <w:rFonts w:hint="eastAsia" w:ascii="宋体" w:hAnsi="宋体" w:cs="宋体"/>
          <w:szCs w:val="21"/>
          <w:highlight w:val="none"/>
        </w:rPr>
        <w:br w:type="page"/>
      </w:r>
    </w:p>
    <w:p w14:paraId="2EB94307">
      <w:pPr>
        <w:keepNext/>
        <w:keepLines/>
        <w:pageBreakBefore w:val="0"/>
        <w:widowControl w:val="0"/>
        <w:kinsoku/>
        <w:wordWrap/>
        <w:overflowPunct/>
        <w:topLinePunct w:val="0"/>
        <w:bidi w:val="0"/>
        <w:adjustRightInd w:val="0"/>
        <w:snapToGrid w:val="0"/>
        <w:spacing w:line="360" w:lineRule="auto"/>
        <w:ind w:firstLine="0"/>
        <w:jc w:val="left"/>
        <w:textAlignment w:val="auto"/>
        <w:rPr>
          <w:rFonts w:ascii="宋体" w:hAnsi="宋体" w:cs="宋体"/>
          <w:b/>
          <w:sz w:val="28"/>
          <w:szCs w:val="28"/>
          <w:highlight w:val="none"/>
        </w:rPr>
      </w:pPr>
      <w:r>
        <w:rPr>
          <w:rFonts w:hint="eastAsia" w:ascii="宋体" w:hAnsi="宋体" w:cs="宋体"/>
          <w:b/>
          <w:sz w:val="28"/>
          <w:szCs w:val="28"/>
          <w:highlight w:val="none"/>
        </w:rPr>
        <w:t>格式10</w:t>
      </w:r>
    </w:p>
    <w:p w14:paraId="3E629DA7">
      <w:pPr>
        <w:keepNext/>
        <w:keepLines/>
        <w:pageBreakBefore w:val="0"/>
        <w:widowControl w:val="0"/>
        <w:kinsoku/>
        <w:wordWrap/>
        <w:overflowPunct/>
        <w:topLinePunct w:val="0"/>
        <w:bidi w:val="0"/>
        <w:adjustRightInd w:val="0"/>
        <w:snapToGrid w:val="0"/>
        <w:spacing w:line="360" w:lineRule="auto"/>
        <w:ind w:firstLine="0"/>
        <w:jc w:val="center"/>
        <w:textAlignment w:val="auto"/>
        <w:outlineLvl w:val="1"/>
        <w:rPr>
          <w:rFonts w:ascii="宋体" w:hAnsi="宋体" w:cs="宋体"/>
          <w:b/>
          <w:bCs/>
          <w:sz w:val="32"/>
          <w:szCs w:val="32"/>
          <w:highlight w:val="none"/>
        </w:rPr>
      </w:pPr>
      <w:bookmarkStart w:id="161" w:name="_Toc3586"/>
      <w:bookmarkStart w:id="162" w:name="_Toc18853"/>
      <w:r>
        <w:rPr>
          <w:rFonts w:hint="eastAsia" w:ascii="宋体" w:hAnsi="宋体" w:cs="宋体"/>
          <w:b/>
          <w:bCs/>
          <w:sz w:val="32"/>
          <w:szCs w:val="32"/>
          <w:highlight w:val="none"/>
        </w:rPr>
        <w:t>报价汇总表</w:t>
      </w:r>
      <w:bookmarkEnd w:id="161"/>
      <w:bookmarkEnd w:id="162"/>
    </w:p>
    <w:p w14:paraId="54074B6E">
      <w:pPr>
        <w:pStyle w:val="17"/>
        <w:pageBreakBefore w:val="0"/>
        <w:widowControl w:val="0"/>
        <w:kinsoku/>
        <w:wordWrap/>
        <w:overflowPunct/>
        <w:topLinePunct w:val="0"/>
        <w:bidi w:val="0"/>
        <w:adjustRightInd w:val="0"/>
        <w:spacing w:line="360" w:lineRule="auto"/>
        <w:ind w:firstLine="0"/>
        <w:textAlignment w:val="auto"/>
        <w:rPr>
          <w:rFonts w:hAnsi="宋体" w:cs="宋体"/>
          <w:b/>
          <w:sz w:val="21"/>
          <w:szCs w:val="21"/>
          <w:highlight w:val="none"/>
          <w:u w:val="single"/>
        </w:rPr>
      </w:pPr>
      <w:r>
        <w:rPr>
          <w:rFonts w:hint="eastAsia" w:hAnsi="宋体" w:cs="宋体"/>
          <w:b/>
          <w:sz w:val="21"/>
          <w:szCs w:val="21"/>
          <w:highlight w:val="none"/>
        </w:rPr>
        <w:t>项目名称：</w:t>
      </w:r>
    </w:p>
    <w:p w14:paraId="5FE8DEFA">
      <w:pPr>
        <w:pStyle w:val="17"/>
        <w:pageBreakBefore w:val="0"/>
        <w:widowControl w:val="0"/>
        <w:kinsoku/>
        <w:wordWrap/>
        <w:overflowPunct/>
        <w:topLinePunct w:val="0"/>
        <w:bidi w:val="0"/>
        <w:adjustRightInd w:val="0"/>
        <w:spacing w:line="360" w:lineRule="auto"/>
        <w:ind w:firstLine="0"/>
        <w:textAlignment w:val="auto"/>
        <w:rPr>
          <w:rFonts w:hAnsi="宋体" w:cs="宋体"/>
          <w:b/>
          <w:sz w:val="21"/>
          <w:szCs w:val="21"/>
          <w:highlight w:val="none"/>
        </w:rPr>
      </w:pPr>
      <w:r>
        <w:rPr>
          <w:rFonts w:hint="eastAsia" w:hAnsi="宋体" w:cs="宋体"/>
          <w:b/>
          <w:sz w:val="21"/>
          <w:szCs w:val="21"/>
          <w:highlight w:val="none"/>
        </w:rPr>
        <w:t>项目编号：</w:t>
      </w:r>
    </w:p>
    <w:tbl>
      <w:tblPr>
        <w:tblStyle w:val="38"/>
        <w:tblW w:w="13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84"/>
        <w:gridCol w:w="2086"/>
        <w:gridCol w:w="876"/>
        <w:gridCol w:w="1221"/>
        <w:gridCol w:w="1110"/>
        <w:gridCol w:w="818"/>
        <w:gridCol w:w="974"/>
        <w:gridCol w:w="1002"/>
        <w:gridCol w:w="1187"/>
        <w:gridCol w:w="1624"/>
        <w:gridCol w:w="1539"/>
        <w:gridCol w:w="765"/>
      </w:tblGrid>
      <w:tr w14:paraId="7A70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2" w:hRule="atLeast"/>
          <w:jc w:val="center"/>
        </w:trPr>
        <w:tc>
          <w:tcPr>
            <w:tcW w:w="584" w:type="dxa"/>
            <w:vAlign w:val="center"/>
          </w:tcPr>
          <w:p w14:paraId="0F4D252F">
            <w:pPr>
              <w:widowControl/>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2086" w:type="dxa"/>
            <w:vAlign w:val="center"/>
          </w:tcPr>
          <w:p w14:paraId="4A8028C2">
            <w:pPr>
              <w:widowControl/>
              <w:spacing w:line="360" w:lineRule="auto"/>
              <w:jc w:val="center"/>
              <w:rPr>
                <w:rFonts w:ascii="宋体" w:hAnsi="宋体" w:cs="宋体"/>
                <w:szCs w:val="21"/>
                <w:highlight w:val="none"/>
              </w:rPr>
            </w:pPr>
            <w:r>
              <w:rPr>
                <w:rFonts w:hint="eastAsia" w:ascii="宋体" w:hAnsi="宋体" w:cs="宋体"/>
                <w:szCs w:val="21"/>
                <w:highlight w:val="none"/>
              </w:rPr>
              <w:t>产品（项目）名称</w:t>
            </w:r>
          </w:p>
        </w:tc>
        <w:tc>
          <w:tcPr>
            <w:tcW w:w="876" w:type="dxa"/>
            <w:vAlign w:val="center"/>
          </w:tcPr>
          <w:p w14:paraId="3344916D">
            <w:pPr>
              <w:widowControl/>
              <w:spacing w:line="360" w:lineRule="auto"/>
              <w:jc w:val="center"/>
              <w:rPr>
                <w:rFonts w:ascii="宋体" w:hAnsi="宋体" w:cs="宋体"/>
                <w:szCs w:val="21"/>
                <w:highlight w:val="none"/>
              </w:rPr>
            </w:pPr>
            <w:r>
              <w:rPr>
                <w:rFonts w:hint="eastAsia" w:ascii="宋体" w:hAnsi="宋体" w:cs="宋体"/>
                <w:szCs w:val="21"/>
                <w:highlight w:val="none"/>
              </w:rPr>
              <w:t>品牌</w:t>
            </w:r>
          </w:p>
        </w:tc>
        <w:tc>
          <w:tcPr>
            <w:tcW w:w="1221" w:type="dxa"/>
            <w:vAlign w:val="center"/>
          </w:tcPr>
          <w:p w14:paraId="6E3F7EB9">
            <w:pPr>
              <w:widowControl/>
              <w:spacing w:line="360" w:lineRule="auto"/>
              <w:jc w:val="center"/>
              <w:rPr>
                <w:rFonts w:ascii="宋体" w:hAnsi="宋体" w:cs="宋体"/>
                <w:szCs w:val="21"/>
                <w:highlight w:val="none"/>
              </w:rPr>
            </w:pPr>
            <w:r>
              <w:rPr>
                <w:rFonts w:hint="eastAsia" w:ascii="宋体" w:hAnsi="宋体" w:cs="宋体"/>
                <w:szCs w:val="21"/>
                <w:highlight w:val="none"/>
              </w:rPr>
              <w:t>型号和规格</w:t>
            </w:r>
          </w:p>
        </w:tc>
        <w:tc>
          <w:tcPr>
            <w:tcW w:w="1110" w:type="dxa"/>
            <w:vAlign w:val="center"/>
          </w:tcPr>
          <w:p w14:paraId="128A159F">
            <w:pPr>
              <w:widowControl/>
              <w:spacing w:line="360" w:lineRule="auto"/>
              <w:jc w:val="center"/>
              <w:rPr>
                <w:rFonts w:ascii="宋体" w:hAnsi="宋体" w:cs="宋体"/>
                <w:szCs w:val="21"/>
                <w:highlight w:val="none"/>
              </w:rPr>
            </w:pPr>
            <w:r>
              <w:rPr>
                <w:rFonts w:hint="eastAsia" w:ascii="宋体" w:hAnsi="宋体" w:cs="宋体"/>
                <w:szCs w:val="21"/>
                <w:highlight w:val="none"/>
              </w:rPr>
              <w:t>生产制造商名称、国别</w:t>
            </w:r>
          </w:p>
        </w:tc>
        <w:tc>
          <w:tcPr>
            <w:tcW w:w="818" w:type="dxa"/>
            <w:vAlign w:val="center"/>
          </w:tcPr>
          <w:p w14:paraId="0DCB1C5D">
            <w:pPr>
              <w:widowControl/>
              <w:spacing w:line="360" w:lineRule="auto"/>
              <w:jc w:val="center"/>
              <w:rPr>
                <w:rFonts w:ascii="宋体" w:hAnsi="宋体" w:cs="宋体"/>
                <w:szCs w:val="21"/>
                <w:highlight w:val="none"/>
              </w:rPr>
            </w:pPr>
            <w:r>
              <w:rPr>
                <w:rFonts w:hint="eastAsia" w:ascii="宋体" w:hAnsi="宋体" w:cs="宋体"/>
                <w:szCs w:val="21"/>
                <w:highlight w:val="none"/>
              </w:rPr>
              <w:t>生产产地（国别）</w:t>
            </w:r>
          </w:p>
        </w:tc>
        <w:tc>
          <w:tcPr>
            <w:tcW w:w="974" w:type="dxa"/>
            <w:shd w:val="clear" w:color="auto" w:fill="auto"/>
            <w:vAlign w:val="center"/>
          </w:tcPr>
          <w:p w14:paraId="39C2B480">
            <w:pPr>
              <w:widowControl/>
              <w:spacing w:line="360" w:lineRule="auto"/>
              <w:jc w:val="center"/>
              <w:rPr>
                <w:rFonts w:ascii="宋体" w:hAnsi="宋体" w:cs="宋体"/>
                <w:szCs w:val="21"/>
                <w:highlight w:val="none"/>
              </w:rPr>
            </w:pPr>
            <w:r>
              <w:rPr>
                <w:rFonts w:hint="eastAsia" w:ascii="宋体" w:hAnsi="宋体" w:cs="宋体"/>
                <w:szCs w:val="21"/>
                <w:highlight w:val="none"/>
              </w:rPr>
              <w:t>数量</w:t>
            </w:r>
          </w:p>
        </w:tc>
        <w:tc>
          <w:tcPr>
            <w:tcW w:w="1002" w:type="dxa"/>
            <w:shd w:val="clear" w:color="auto" w:fill="auto"/>
            <w:vAlign w:val="center"/>
          </w:tcPr>
          <w:p w14:paraId="41F0C092">
            <w:pPr>
              <w:widowControl/>
              <w:spacing w:line="360" w:lineRule="auto"/>
              <w:jc w:val="center"/>
              <w:rPr>
                <w:rFonts w:ascii="宋体" w:hAnsi="宋体" w:cs="宋体"/>
                <w:szCs w:val="21"/>
                <w:highlight w:val="none"/>
              </w:rPr>
            </w:pPr>
            <w:r>
              <w:rPr>
                <w:rFonts w:hint="eastAsia" w:ascii="宋体" w:hAnsi="宋体" w:cs="宋体"/>
                <w:szCs w:val="21"/>
                <w:highlight w:val="none"/>
              </w:rPr>
              <w:t>计量单位</w:t>
            </w:r>
          </w:p>
        </w:tc>
        <w:tc>
          <w:tcPr>
            <w:tcW w:w="1187" w:type="dxa"/>
            <w:vAlign w:val="center"/>
          </w:tcPr>
          <w:p w14:paraId="2F7388EB">
            <w:pPr>
              <w:widowControl/>
              <w:spacing w:line="360" w:lineRule="auto"/>
              <w:jc w:val="center"/>
              <w:rPr>
                <w:rFonts w:ascii="宋体" w:hAnsi="宋体" w:cs="宋体"/>
                <w:szCs w:val="21"/>
                <w:highlight w:val="none"/>
              </w:rPr>
            </w:pPr>
            <w:r>
              <w:rPr>
                <w:rFonts w:hint="eastAsia" w:ascii="宋体" w:hAnsi="宋体" w:cs="宋体"/>
                <w:b/>
                <w:bCs/>
                <w:color w:val="FF0000"/>
                <w:szCs w:val="21"/>
                <w:highlight w:val="none"/>
              </w:rPr>
              <w:t>单价最高限价（元）</w:t>
            </w:r>
          </w:p>
        </w:tc>
        <w:tc>
          <w:tcPr>
            <w:tcW w:w="1624" w:type="dxa"/>
            <w:vAlign w:val="center"/>
          </w:tcPr>
          <w:p w14:paraId="6DA6DAD7">
            <w:pPr>
              <w:widowControl/>
              <w:spacing w:line="360" w:lineRule="auto"/>
              <w:jc w:val="center"/>
              <w:rPr>
                <w:rFonts w:ascii="宋体" w:hAnsi="宋体" w:cs="宋体"/>
                <w:szCs w:val="21"/>
                <w:highlight w:val="none"/>
              </w:rPr>
            </w:pPr>
            <w:r>
              <w:rPr>
                <w:rFonts w:hint="eastAsia" w:ascii="宋体" w:hAnsi="宋体" w:cs="宋体"/>
                <w:szCs w:val="21"/>
                <w:highlight w:val="none"/>
              </w:rPr>
              <w:t>单价（元）</w:t>
            </w:r>
          </w:p>
        </w:tc>
        <w:tc>
          <w:tcPr>
            <w:tcW w:w="1539" w:type="dxa"/>
            <w:vAlign w:val="center"/>
          </w:tcPr>
          <w:p w14:paraId="4DD31E89">
            <w:pPr>
              <w:widowControl/>
              <w:spacing w:line="360" w:lineRule="auto"/>
              <w:jc w:val="center"/>
              <w:rPr>
                <w:rFonts w:ascii="宋体" w:hAnsi="宋体" w:cs="宋体"/>
                <w:szCs w:val="21"/>
                <w:highlight w:val="none"/>
              </w:rPr>
            </w:pPr>
            <w:r>
              <w:rPr>
                <w:rFonts w:hint="eastAsia" w:ascii="宋体" w:hAnsi="宋体" w:cs="宋体"/>
                <w:szCs w:val="21"/>
                <w:highlight w:val="none"/>
              </w:rPr>
              <w:t>合计（元）</w:t>
            </w:r>
          </w:p>
        </w:tc>
        <w:tc>
          <w:tcPr>
            <w:tcW w:w="765" w:type="dxa"/>
            <w:vAlign w:val="center"/>
          </w:tcPr>
          <w:p w14:paraId="4E8DB6AB">
            <w:pPr>
              <w:widowControl/>
              <w:spacing w:line="360" w:lineRule="auto"/>
              <w:jc w:val="center"/>
              <w:rPr>
                <w:rFonts w:ascii="宋体" w:hAnsi="宋体" w:cs="宋体"/>
                <w:szCs w:val="21"/>
                <w:highlight w:val="none"/>
              </w:rPr>
            </w:pPr>
            <w:r>
              <w:rPr>
                <w:rFonts w:hint="eastAsia" w:ascii="宋体" w:hAnsi="宋体" w:cs="宋体"/>
                <w:szCs w:val="21"/>
                <w:highlight w:val="none"/>
              </w:rPr>
              <w:t>备注</w:t>
            </w:r>
          </w:p>
        </w:tc>
      </w:tr>
      <w:tr w14:paraId="21E0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70E5941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1</w:t>
            </w:r>
          </w:p>
        </w:tc>
        <w:tc>
          <w:tcPr>
            <w:tcW w:w="2086" w:type="dxa"/>
            <w:shd w:val="clear" w:color="auto" w:fill="auto"/>
            <w:vAlign w:val="center"/>
          </w:tcPr>
          <w:p w14:paraId="234BFD6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冠层分析仪</w:t>
            </w:r>
          </w:p>
        </w:tc>
        <w:tc>
          <w:tcPr>
            <w:tcW w:w="876" w:type="dxa"/>
            <w:vAlign w:val="center"/>
          </w:tcPr>
          <w:p w14:paraId="5B3FF4F9">
            <w:pPr>
              <w:widowControl/>
              <w:spacing w:line="360" w:lineRule="auto"/>
              <w:jc w:val="center"/>
              <w:rPr>
                <w:rFonts w:ascii="宋体" w:hAnsi="宋体" w:cs="宋体"/>
                <w:szCs w:val="21"/>
                <w:highlight w:val="none"/>
              </w:rPr>
            </w:pPr>
          </w:p>
        </w:tc>
        <w:tc>
          <w:tcPr>
            <w:tcW w:w="1221" w:type="dxa"/>
            <w:vAlign w:val="center"/>
          </w:tcPr>
          <w:p w14:paraId="3A2717D8">
            <w:pPr>
              <w:widowControl/>
              <w:spacing w:line="360" w:lineRule="auto"/>
              <w:jc w:val="center"/>
              <w:rPr>
                <w:rFonts w:ascii="宋体" w:hAnsi="宋体" w:cs="宋体"/>
                <w:szCs w:val="21"/>
                <w:highlight w:val="none"/>
              </w:rPr>
            </w:pPr>
          </w:p>
        </w:tc>
        <w:tc>
          <w:tcPr>
            <w:tcW w:w="1110" w:type="dxa"/>
            <w:vAlign w:val="center"/>
          </w:tcPr>
          <w:p w14:paraId="627B7C80">
            <w:pPr>
              <w:widowControl/>
              <w:spacing w:line="360" w:lineRule="auto"/>
              <w:jc w:val="center"/>
              <w:rPr>
                <w:rFonts w:ascii="宋体" w:hAnsi="宋体" w:cs="宋体"/>
                <w:szCs w:val="21"/>
                <w:highlight w:val="none"/>
              </w:rPr>
            </w:pPr>
          </w:p>
        </w:tc>
        <w:tc>
          <w:tcPr>
            <w:tcW w:w="818" w:type="dxa"/>
            <w:vAlign w:val="center"/>
          </w:tcPr>
          <w:p w14:paraId="404955AB">
            <w:pPr>
              <w:widowControl/>
              <w:spacing w:line="360" w:lineRule="auto"/>
              <w:jc w:val="center"/>
              <w:rPr>
                <w:rFonts w:ascii="宋体" w:hAnsi="宋体" w:cs="宋体"/>
                <w:szCs w:val="21"/>
                <w:highlight w:val="none"/>
              </w:rPr>
            </w:pPr>
          </w:p>
        </w:tc>
        <w:tc>
          <w:tcPr>
            <w:tcW w:w="974" w:type="dxa"/>
            <w:shd w:val="clear" w:color="auto" w:fill="auto"/>
            <w:vAlign w:val="center"/>
          </w:tcPr>
          <w:p w14:paraId="05CFC96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31AAD3A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000000" w:fill="FFFFFF"/>
            <w:vAlign w:val="center"/>
          </w:tcPr>
          <w:p w14:paraId="652A8CAB">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61400.00</w:t>
            </w:r>
          </w:p>
        </w:tc>
        <w:tc>
          <w:tcPr>
            <w:tcW w:w="1624" w:type="dxa"/>
            <w:vAlign w:val="center"/>
          </w:tcPr>
          <w:p w14:paraId="06ABC097">
            <w:pPr>
              <w:widowControl/>
              <w:spacing w:line="360" w:lineRule="auto"/>
              <w:jc w:val="center"/>
              <w:rPr>
                <w:rFonts w:ascii="宋体" w:hAnsi="宋体" w:cs="宋体"/>
                <w:szCs w:val="21"/>
                <w:highlight w:val="none"/>
              </w:rPr>
            </w:pPr>
          </w:p>
        </w:tc>
        <w:tc>
          <w:tcPr>
            <w:tcW w:w="1539" w:type="dxa"/>
            <w:vAlign w:val="center"/>
          </w:tcPr>
          <w:p w14:paraId="436AF20C">
            <w:pPr>
              <w:widowControl/>
              <w:spacing w:line="360" w:lineRule="auto"/>
              <w:jc w:val="center"/>
              <w:rPr>
                <w:rFonts w:ascii="宋体" w:hAnsi="宋体" w:cs="宋体"/>
                <w:szCs w:val="21"/>
                <w:highlight w:val="none"/>
              </w:rPr>
            </w:pPr>
          </w:p>
        </w:tc>
        <w:tc>
          <w:tcPr>
            <w:tcW w:w="765" w:type="dxa"/>
            <w:vAlign w:val="center"/>
          </w:tcPr>
          <w:p w14:paraId="79AA29DF">
            <w:pPr>
              <w:widowControl/>
              <w:spacing w:line="360" w:lineRule="auto"/>
              <w:jc w:val="center"/>
              <w:rPr>
                <w:rFonts w:ascii="宋体" w:hAnsi="宋体" w:cs="宋体"/>
                <w:szCs w:val="21"/>
                <w:highlight w:val="none"/>
              </w:rPr>
            </w:pPr>
          </w:p>
        </w:tc>
      </w:tr>
      <w:tr w14:paraId="5724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0B3E983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2</w:t>
            </w:r>
          </w:p>
        </w:tc>
        <w:tc>
          <w:tcPr>
            <w:tcW w:w="2086" w:type="dxa"/>
            <w:shd w:val="clear" w:color="auto" w:fill="auto"/>
            <w:vAlign w:val="center"/>
          </w:tcPr>
          <w:p w14:paraId="3248C4A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户外用温湿度记录器</w:t>
            </w:r>
          </w:p>
        </w:tc>
        <w:tc>
          <w:tcPr>
            <w:tcW w:w="876" w:type="dxa"/>
            <w:vAlign w:val="center"/>
          </w:tcPr>
          <w:p w14:paraId="16F09A65">
            <w:pPr>
              <w:widowControl/>
              <w:spacing w:line="360" w:lineRule="auto"/>
              <w:jc w:val="center"/>
              <w:rPr>
                <w:rFonts w:ascii="宋体" w:hAnsi="宋体" w:cs="宋体"/>
                <w:szCs w:val="21"/>
                <w:highlight w:val="none"/>
              </w:rPr>
            </w:pPr>
          </w:p>
        </w:tc>
        <w:tc>
          <w:tcPr>
            <w:tcW w:w="1221" w:type="dxa"/>
            <w:vAlign w:val="center"/>
          </w:tcPr>
          <w:p w14:paraId="7D6078B1">
            <w:pPr>
              <w:widowControl/>
              <w:spacing w:line="360" w:lineRule="auto"/>
              <w:jc w:val="center"/>
              <w:rPr>
                <w:rFonts w:ascii="宋体" w:hAnsi="宋体" w:cs="宋体"/>
                <w:szCs w:val="21"/>
                <w:highlight w:val="none"/>
              </w:rPr>
            </w:pPr>
          </w:p>
        </w:tc>
        <w:tc>
          <w:tcPr>
            <w:tcW w:w="1110" w:type="dxa"/>
            <w:vAlign w:val="center"/>
          </w:tcPr>
          <w:p w14:paraId="7BE96FF4">
            <w:pPr>
              <w:widowControl/>
              <w:spacing w:line="360" w:lineRule="auto"/>
              <w:jc w:val="center"/>
              <w:rPr>
                <w:rFonts w:ascii="宋体" w:hAnsi="宋体" w:cs="宋体"/>
                <w:szCs w:val="21"/>
                <w:highlight w:val="none"/>
              </w:rPr>
            </w:pPr>
          </w:p>
        </w:tc>
        <w:tc>
          <w:tcPr>
            <w:tcW w:w="818" w:type="dxa"/>
            <w:vAlign w:val="center"/>
          </w:tcPr>
          <w:p w14:paraId="4E12DC19">
            <w:pPr>
              <w:widowControl/>
              <w:spacing w:line="360" w:lineRule="auto"/>
              <w:jc w:val="center"/>
              <w:rPr>
                <w:rFonts w:ascii="宋体" w:hAnsi="宋体" w:cs="宋体"/>
                <w:szCs w:val="21"/>
                <w:highlight w:val="none"/>
              </w:rPr>
            </w:pPr>
          </w:p>
        </w:tc>
        <w:tc>
          <w:tcPr>
            <w:tcW w:w="974" w:type="dxa"/>
            <w:shd w:val="clear" w:color="auto" w:fill="auto"/>
            <w:vAlign w:val="center"/>
          </w:tcPr>
          <w:p w14:paraId="0885BAE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1002" w:type="dxa"/>
            <w:shd w:val="clear" w:color="auto" w:fill="auto"/>
            <w:vAlign w:val="center"/>
          </w:tcPr>
          <w:p w14:paraId="56942DD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000000" w:fill="FFFFFF"/>
            <w:vAlign w:val="center"/>
          </w:tcPr>
          <w:p w14:paraId="54274FCD">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2800.00</w:t>
            </w:r>
          </w:p>
        </w:tc>
        <w:tc>
          <w:tcPr>
            <w:tcW w:w="1624" w:type="dxa"/>
            <w:vAlign w:val="center"/>
          </w:tcPr>
          <w:p w14:paraId="4333B434">
            <w:pPr>
              <w:widowControl/>
              <w:spacing w:line="360" w:lineRule="auto"/>
              <w:jc w:val="center"/>
              <w:rPr>
                <w:rFonts w:ascii="宋体" w:hAnsi="宋体" w:cs="宋体"/>
                <w:szCs w:val="21"/>
                <w:highlight w:val="none"/>
              </w:rPr>
            </w:pPr>
          </w:p>
        </w:tc>
        <w:tc>
          <w:tcPr>
            <w:tcW w:w="1539" w:type="dxa"/>
            <w:vAlign w:val="center"/>
          </w:tcPr>
          <w:p w14:paraId="3F8D32D3">
            <w:pPr>
              <w:widowControl/>
              <w:spacing w:line="360" w:lineRule="auto"/>
              <w:jc w:val="center"/>
              <w:rPr>
                <w:rFonts w:ascii="宋体" w:hAnsi="宋体" w:cs="宋体"/>
                <w:szCs w:val="21"/>
                <w:highlight w:val="none"/>
              </w:rPr>
            </w:pPr>
          </w:p>
        </w:tc>
        <w:tc>
          <w:tcPr>
            <w:tcW w:w="765" w:type="dxa"/>
            <w:vAlign w:val="center"/>
          </w:tcPr>
          <w:p w14:paraId="3E10610E">
            <w:pPr>
              <w:widowControl/>
              <w:spacing w:line="360" w:lineRule="auto"/>
              <w:jc w:val="center"/>
              <w:rPr>
                <w:rFonts w:ascii="宋体" w:hAnsi="宋体" w:cs="宋体"/>
                <w:szCs w:val="21"/>
                <w:highlight w:val="none"/>
              </w:rPr>
            </w:pPr>
          </w:p>
        </w:tc>
      </w:tr>
      <w:tr w14:paraId="0F74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84" w:type="dxa"/>
            <w:shd w:val="clear" w:color="auto" w:fill="auto"/>
            <w:vAlign w:val="center"/>
          </w:tcPr>
          <w:p w14:paraId="50321F9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3</w:t>
            </w:r>
          </w:p>
        </w:tc>
        <w:tc>
          <w:tcPr>
            <w:tcW w:w="2086" w:type="dxa"/>
            <w:shd w:val="clear" w:color="auto" w:fill="auto"/>
            <w:vAlign w:val="center"/>
          </w:tcPr>
          <w:p w14:paraId="442C5F3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高精度室内温湿度记录器</w:t>
            </w:r>
          </w:p>
        </w:tc>
        <w:tc>
          <w:tcPr>
            <w:tcW w:w="876" w:type="dxa"/>
            <w:vAlign w:val="center"/>
          </w:tcPr>
          <w:p w14:paraId="1A1E3054">
            <w:pPr>
              <w:widowControl/>
              <w:spacing w:line="360" w:lineRule="auto"/>
              <w:jc w:val="center"/>
              <w:rPr>
                <w:rFonts w:ascii="宋体" w:hAnsi="宋体" w:cs="宋体"/>
                <w:szCs w:val="21"/>
                <w:highlight w:val="none"/>
              </w:rPr>
            </w:pPr>
          </w:p>
        </w:tc>
        <w:tc>
          <w:tcPr>
            <w:tcW w:w="1221" w:type="dxa"/>
            <w:vAlign w:val="center"/>
          </w:tcPr>
          <w:p w14:paraId="1E19AFDF">
            <w:pPr>
              <w:widowControl/>
              <w:spacing w:line="360" w:lineRule="auto"/>
              <w:jc w:val="center"/>
              <w:rPr>
                <w:rFonts w:ascii="宋体" w:hAnsi="宋体" w:cs="宋体"/>
                <w:szCs w:val="21"/>
                <w:highlight w:val="none"/>
              </w:rPr>
            </w:pPr>
          </w:p>
        </w:tc>
        <w:tc>
          <w:tcPr>
            <w:tcW w:w="1110" w:type="dxa"/>
            <w:vAlign w:val="center"/>
          </w:tcPr>
          <w:p w14:paraId="2FA8DB22">
            <w:pPr>
              <w:widowControl/>
              <w:spacing w:line="360" w:lineRule="auto"/>
              <w:jc w:val="center"/>
              <w:rPr>
                <w:rFonts w:ascii="宋体" w:hAnsi="宋体" w:cs="宋体"/>
                <w:szCs w:val="21"/>
                <w:highlight w:val="none"/>
              </w:rPr>
            </w:pPr>
          </w:p>
        </w:tc>
        <w:tc>
          <w:tcPr>
            <w:tcW w:w="818" w:type="dxa"/>
            <w:vAlign w:val="center"/>
          </w:tcPr>
          <w:p w14:paraId="387B372C">
            <w:pPr>
              <w:widowControl/>
              <w:spacing w:line="360" w:lineRule="auto"/>
              <w:jc w:val="center"/>
              <w:rPr>
                <w:rFonts w:ascii="宋体" w:hAnsi="宋体" w:cs="宋体"/>
                <w:szCs w:val="21"/>
                <w:highlight w:val="none"/>
              </w:rPr>
            </w:pPr>
          </w:p>
        </w:tc>
        <w:tc>
          <w:tcPr>
            <w:tcW w:w="974" w:type="dxa"/>
            <w:shd w:val="clear" w:color="auto" w:fill="auto"/>
            <w:vAlign w:val="center"/>
          </w:tcPr>
          <w:p w14:paraId="7E7971B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1002" w:type="dxa"/>
            <w:shd w:val="clear" w:color="auto" w:fill="auto"/>
            <w:vAlign w:val="center"/>
          </w:tcPr>
          <w:p w14:paraId="19793A2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000000" w:fill="FFFFFF"/>
            <w:vAlign w:val="center"/>
          </w:tcPr>
          <w:p w14:paraId="5FC79162">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1400.00</w:t>
            </w:r>
          </w:p>
        </w:tc>
        <w:tc>
          <w:tcPr>
            <w:tcW w:w="1624" w:type="dxa"/>
            <w:vAlign w:val="center"/>
          </w:tcPr>
          <w:p w14:paraId="32957149">
            <w:pPr>
              <w:widowControl/>
              <w:spacing w:line="360" w:lineRule="auto"/>
              <w:jc w:val="center"/>
              <w:rPr>
                <w:rFonts w:ascii="宋体" w:hAnsi="宋体" w:cs="宋体"/>
                <w:szCs w:val="21"/>
                <w:highlight w:val="none"/>
              </w:rPr>
            </w:pPr>
          </w:p>
        </w:tc>
        <w:tc>
          <w:tcPr>
            <w:tcW w:w="1539" w:type="dxa"/>
            <w:vAlign w:val="center"/>
          </w:tcPr>
          <w:p w14:paraId="0373CE23">
            <w:pPr>
              <w:widowControl/>
              <w:spacing w:line="360" w:lineRule="auto"/>
              <w:jc w:val="center"/>
              <w:rPr>
                <w:rFonts w:ascii="宋体" w:hAnsi="宋体" w:cs="宋体"/>
                <w:szCs w:val="21"/>
                <w:highlight w:val="none"/>
              </w:rPr>
            </w:pPr>
          </w:p>
        </w:tc>
        <w:tc>
          <w:tcPr>
            <w:tcW w:w="765" w:type="dxa"/>
            <w:vAlign w:val="center"/>
          </w:tcPr>
          <w:p w14:paraId="0C2ECA7C">
            <w:pPr>
              <w:widowControl/>
              <w:spacing w:line="360" w:lineRule="auto"/>
              <w:jc w:val="center"/>
              <w:rPr>
                <w:rFonts w:ascii="宋体" w:hAnsi="宋体" w:cs="宋体"/>
                <w:szCs w:val="21"/>
                <w:highlight w:val="none"/>
              </w:rPr>
            </w:pPr>
          </w:p>
        </w:tc>
      </w:tr>
      <w:tr w14:paraId="1F64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60040EC2">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w:t>
            </w:r>
          </w:p>
        </w:tc>
        <w:tc>
          <w:tcPr>
            <w:tcW w:w="2086" w:type="dxa"/>
            <w:shd w:val="clear" w:color="auto" w:fill="auto"/>
            <w:vAlign w:val="center"/>
          </w:tcPr>
          <w:p w14:paraId="3D8EFBD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四分量净辐射记录器</w:t>
            </w:r>
          </w:p>
        </w:tc>
        <w:tc>
          <w:tcPr>
            <w:tcW w:w="876" w:type="dxa"/>
            <w:vAlign w:val="center"/>
          </w:tcPr>
          <w:p w14:paraId="20838533">
            <w:pPr>
              <w:widowControl/>
              <w:spacing w:line="360" w:lineRule="auto"/>
              <w:jc w:val="center"/>
              <w:rPr>
                <w:rFonts w:ascii="宋体" w:hAnsi="宋体" w:cs="宋体"/>
                <w:szCs w:val="21"/>
                <w:highlight w:val="none"/>
              </w:rPr>
            </w:pPr>
          </w:p>
        </w:tc>
        <w:tc>
          <w:tcPr>
            <w:tcW w:w="1221" w:type="dxa"/>
            <w:vAlign w:val="center"/>
          </w:tcPr>
          <w:p w14:paraId="049A33A0">
            <w:pPr>
              <w:widowControl/>
              <w:spacing w:line="360" w:lineRule="auto"/>
              <w:jc w:val="center"/>
              <w:rPr>
                <w:rFonts w:ascii="宋体" w:hAnsi="宋体" w:cs="宋体"/>
                <w:szCs w:val="21"/>
                <w:highlight w:val="none"/>
              </w:rPr>
            </w:pPr>
          </w:p>
        </w:tc>
        <w:tc>
          <w:tcPr>
            <w:tcW w:w="1110" w:type="dxa"/>
            <w:vAlign w:val="center"/>
          </w:tcPr>
          <w:p w14:paraId="0F009A1F">
            <w:pPr>
              <w:widowControl/>
              <w:spacing w:line="360" w:lineRule="auto"/>
              <w:jc w:val="center"/>
              <w:rPr>
                <w:rFonts w:ascii="宋体" w:hAnsi="宋体" w:cs="宋体"/>
                <w:szCs w:val="21"/>
                <w:highlight w:val="none"/>
              </w:rPr>
            </w:pPr>
          </w:p>
        </w:tc>
        <w:tc>
          <w:tcPr>
            <w:tcW w:w="818" w:type="dxa"/>
            <w:vAlign w:val="center"/>
          </w:tcPr>
          <w:p w14:paraId="234F631A">
            <w:pPr>
              <w:widowControl/>
              <w:spacing w:line="360" w:lineRule="auto"/>
              <w:jc w:val="center"/>
              <w:rPr>
                <w:rFonts w:ascii="宋体" w:hAnsi="宋体" w:cs="宋体"/>
                <w:szCs w:val="21"/>
                <w:highlight w:val="none"/>
              </w:rPr>
            </w:pPr>
          </w:p>
        </w:tc>
        <w:tc>
          <w:tcPr>
            <w:tcW w:w="974" w:type="dxa"/>
            <w:shd w:val="clear" w:color="auto" w:fill="auto"/>
            <w:vAlign w:val="center"/>
          </w:tcPr>
          <w:p w14:paraId="6AB7F71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1C12501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43CED389">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50000.00</w:t>
            </w:r>
          </w:p>
        </w:tc>
        <w:tc>
          <w:tcPr>
            <w:tcW w:w="1624" w:type="dxa"/>
            <w:vAlign w:val="center"/>
          </w:tcPr>
          <w:p w14:paraId="3FBF3244">
            <w:pPr>
              <w:widowControl/>
              <w:spacing w:line="360" w:lineRule="auto"/>
              <w:jc w:val="center"/>
              <w:rPr>
                <w:rFonts w:ascii="宋体" w:hAnsi="宋体" w:cs="宋体"/>
                <w:szCs w:val="21"/>
                <w:highlight w:val="none"/>
              </w:rPr>
            </w:pPr>
          </w:p>
        </w:tc>
        <w:tc>
          <w:tcPr>
            <w:tcW w:w="1539" w:type="dxa"/>
            <w:vAlign w:val="center"/>
          </w:tcPr>
          <w:p w14:paraId="02DE72AD">
            <w:pPr>
              <w:widowControl/>
              <w:spacing w:line="360" w:lineRule="auto"/>
              <w:jc w:val="center"/>
              <w:rPr>
                <w:rFonts w:ascii="宋体" w:hAnsi="宋体" w:cs="宋体"/>
                <w:szCs w:val="21"/>
                <w:highlight w:val="none"/>
              </w:rPr>
            </w:pPr>
          </w:p>
        </w:tc>
        <w:tc>
          <w:tcPr>
            <w:tcW w:w="765" w:type="dxa"/>
            <w:vAlign w:val="center"/>
          </w:tcPr>
          <w:p w14:paraId="60B4F7D3">
            <w:pPr>
              <w:widowControl/>
              <w:spacing w:line="360" w:lineRule="auto"/>
              <w:jc w:val="center"/>
              <w:rPr>
                <w:rFonts w:ascii="宋体" w:hAnsi="宋体" w:cs="宋体"/>
                <w:szCs w:val="21"/>
                <w:highlight w:val="none"/>
              </w:rPr>
            </w:pPr>
          </w:p>
        </w:tc>
      </w:tr>
      <w:tr w14:paraId="73B43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17E77B4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5</w:t>
            </w:r>
          </w:p>
        </w:tc>
        <w:tc>
          <w:tcPr>
            <w:tcW w:w="2086" w:type="dxa"/>
            <w:shd w:val="clear" w:color="auto" w:fill="auto"/>
            <w:vAlign w:val="center"/>
          </w:tcPr>
          <w:p w14:paraId="367820A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便携式小型气象站</w:t>
            </w:r>
          </w:p>
        </w:tc>
        <w:tc>
          <w:tcPr>
            <w:tcW w:w="876" w:type="dxa"/>
            <w:vAlign w:val="center"/>
          </w:tcPr>
          <w:p w14:paraId="5E48078B">
            <w:pPr>
              <w:widowControl/>
              <w:spacing w:line="360" w:lineRule="auto"/>
              <w:jc w:val="center"/>
              <w:rPr>
                <w:rFonts w:ascii="宋体" w:hAnsi="宋体" w:cs="宋体"/>
                <w:szCs w:val="21"/>
                <w:highlight w:val="none"/>
              </w:rPr>
            </w:pPr>
          </w:p>
        </w:tc>
        <w:tc>
          <w:tcPr>
            <w:tcW w:w="1221" w:type="dxa"/>
            <w:vAlign w:val="center"/>
          </w:tcPr>
          <w:p w14:paraId="05EE75E0">
            <w:pPr>
              <w:widowControl/>
              <w:spacing w:line="360" w:lineRule="auto"/>
              <w:jc w:val="center"/>
              <w:rPr>
                <w:rFonts w:ascii="宋体" w:hAnsi="宋体" w:cs="宋体"/>
                <w:szCs w:val="21"/>
                <w:highlight w:val="none"/>
              </w:rPr>
            </w:pPr>
          </w:p>
        </w:tc>
        <w:tc>
          <w:tcPr>
            <w:tcW w:w="1110" w:type="dxa"/>
            <w:vAlign w:val="center"/>
          </w:tcPr>
          <w:p w14:paraId="69EB7C92">
            <w:pPr>
              <w:widowControl/>
              <w:spacing w:line="360" w:lineRule="auto"/>
              <w:jc w:val="center"/>
              <w:rPr>
                <w:rFonts w:ascii="宋体" w:hAnsi="宋体" w:cs="宋体"/>
                <w:szCs w:val="21"/>
                <w:highlight w:val="none"/>
              </w:rPr>
            </w:pPr>
          </w:p>
        </w:tc>
        <w:tc>
          <w:tcPr>
            <w:tcW w:w="818" w:type="dxa"/>
            <w:vAlign w:val="center"/>
          </w:tcPr>
          <w:p w14:paraId="1F2438A7">
            <w:pPr>
              <w:widowControl/>
              <w:spacing w:line="360" w:lineRule="auto"/>
              <w:jc w:val="center"/>
              <w:rPr>
                <w:rFonts w:ascii="宋体" w:hAnsi="宋体" w:cs="宋体"/>
                <w:szCs w:val="21"/>
                <w:highlight w:val="none"/>
              </w:rPr>
            </w:pPr>
          </w:p>
        </w:tc>
        <w:tc>
          <w:tcPr>
            <w:tcW w:w="974" w:type="dxa"/>
            <w:shd w:val="clear" w:color="auto" w:fill="auto"/>
            <w:vAlign w:val="center"/>
          </w:tcPr>
          <w:p w14:paraId="39409FE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1002" w:type="dxa"/>
            <w:shd w:val="clear" w:color="auto" w:fill="auto"/>
            <w:vAlign w:val="center"/>
          </w:tcPr>
          <w:p w14:paraId="08F4FAD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65C30095">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5000.00</w:t>
            </w:r>
          </w:p>
        </w:tc>
        <w:tc>
          <w:tcPr>
            <w:tcW w:w="1624" w:type="dxa"/>
            <w:vAlign w:val="center"/>
          </w:tcPr>
          <w:p w14:paraId="3F915192">
            <w:pPr>
              <w:widowControl/>
              <w:spacing w:line="360" w:lineRule="auto"/>
              <w:jc w:val="center"/>
              <w:rPr>
                <w:rFonts w:ascii="宋体" w:hAnsi="宋体" w:cs="宋体"/>
                <w:szCs w:val="21"/>
                <w:highlight w:val="none"/>
              </w:rPr>
            </w:pPr>
          </w:p>
        </w:tc>
        <w:tc>
          <w:tcPr>
            <w:tcW w:w="1539" w:type="dxa"/>
            <w:vAlign w:val="center"/>
          </w:tcPr>
          <w:p w14:paraId="7D4E637C">
            <w:pPr>
              <w:widowControl/>
              <w:spacing w:line="360" w:lineRule="auto"/>
              <w:jc w:val="center"/>
              <w:rPr>
                <w:rFonts w:ascii="宋体" w:hAnsi="宋体" w:cs="宋体"/>
                <w:szCs w:val="21"/>
                <w:highlight w:val="none"/>
              </w:rPr>
            </w:pPr>
          </w:p>
        </w:tc>
        <w:tc>
          <w:tcPr>
            <w:tcW w:w="765" w:type="dxa"/>
            <w:vAlign w:val="center"/>
          </w:tcPr>
          <w:p w14:paraId="3DBD2698">
            <w:pPr>
              <w:widowControl/>
              <w:spacing w:line="360" w:lineRule="auto"/>
              <w:jc w:val="center"/>
              <w:rPr>
                <w:rFonts w:ascii="宋体" w:hAnsi="宋体" w:cs="宋体"/>
                <w:szCs w:val="21"/>
                <w:highlight w:val="none"/>
              </w:rPr>
            </w:pPr>
          </w:p>
        </w:tc>
      </w:tr>
      <w:tr w14:paraId="33BC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6514FE76">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6</w:t>
            </w:r>
          </w:p>
        </w:tc>
        <w:tc>
          <w:tcPr>
            <w:tcW w:w="2086" w:type="dxa"/>
            <w:shd w:val="clear" w:color="auto" w:fill="auto"/>
            <w:vAlign w:val="center"/>
          </w:tcPr>
          <w:p w14:paraId="6255F49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固定式小型气象站</w:t>
            </w:r>
          </w:p>
        </w:tc>
        <w:tc>
          <w:tcPr>
            <w:tcW w:w="876" w:type="dxa"/>
            <w:vAlign w:val="center"/>
          </w:tcPr>
          <w:p w14:paraId="74B8A949">
            <w:pPr>
              <w:widowControl/>
              <w:spacing w:line="360" w:lineRule="auto"/>
              <w:jc w:val="center"/>
              <w:rPr>
                <w:rFonts w:ascii="宋体" w:hAnsi="宋体" w:cs="宋体"/>
                <w:szCs w:val="21"/>
                <w:highlight w:val="none"/>
              </w:rPr>
            </w:pPr>
          </w:p>
        </w:tc>
        <w:tc>
          <w:tcPr>
            <w:tcW w:w="1221" w:type="dxa"/>
            <w:vAlign w:val="center"/>
          </w:tcPr>
          <w:p w14:paraId="1D7AE8E9">
            <w:pPr>
              <w:widowControl/>
              <w:spacing w:line="360" w:lineRule="auto"/>
              <w:jc w:val="center"/>
              <w:rPr>
                <w:rFonts w:ascii="宋体" w:hAnsi="宋体" w:cs="宋体"/>
                <w:szCs w:val="21"/>
                <w:highlight w:val="none"/>
              </w:rPr>
            </w:pPr>
          </w:p>
        </w:tc>
        <w:tc>
          <w:tcPr>
            <w:tcW w:w="1110" w:type="dxa"/>
            <w:vAlign w:val="center"/>
          </w:tcPr>
          <w:p w14:paraId="45DC8826">
            <w:pPr>
              <w:widowControl/>
              <w:spacing w:line="360" w:lineRule="auto"/>
              <w:jc w:val="center"/>
              <w:rPr>
                <w:rFonts w:ascii="宋体" w:hAnsi="宋体" w:cs="宋体"/>
                <w:szCs w:val="21"/>
                <w:highlight w:val="none"/>
              </w:rPr>
            </w:pPr>
          </w:p>
        </w:tc>
        <w:tc>
          <w:tcPr>
            <w:tcW w:w="818" w:type="dxa"/>
            <w:vAlign w:val="center"/>
          </w:tcPr>
          <w:p w14:paraId="3A4D0E63">
            <w:pPr>
              <w:widowControl/>
              <w:spacing w:line="360" w:lineRule="auto"/>
              <w:jc w:val="center"/>
              <w:rPr>
                <w:rFonts w:ascii="宋体" w:hAnsi="宋体" w:cs="宋体"/>
                <w:szCs w:val="21"/>
                <w:highlight w:val="none"/>
              </w:rPr>
            </w:pPr>
          </w:p>
        </w:tc>
        <w:tc>
          <w:tcPr>
            <w:tcW w:w="974" w:type="dxa"/>
            <w:shd w:val="clear" w:color="auto" w:fill="auto"/>
            <w:vAlign w:val="center"/>
          </w:tcPr>
          <w:p w14:paraId="3E45759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1002" w:type="dxa"/>
            <w:shd w:val="clear" w:color="auto" w:fill="auto"/>
            <w:vAlign w:val="center"/>
          </w:tcPr>
          <w:p w14:paraId="2729182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3C51C7D3">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12500.00</w:t>
            </w:r>
          </w:p>
        </w:tc>
        <w:tc>
          <w:tcPr>
            <w:tcW w:w="1624" w:type="dxa"/>
            <w:vAlign w:val="center"/>
          </w:tcPr>
          <w:p w14:paraId="0A10252B">
            <w:pPr>
              <w:widowControl/>
              <w:spacing w:line="360" w:lineRule="auto"/>
              <w:jc w:val="center"/>
              <w:rPr>
                <w:rFonts w:ascii="宋体" w:hAnsi="宋体" w:cs="宋体"/>
                <w:szCs w:val="21"/>
                <w:highlight w:val="none"/>
              </w:rPr>
            </w:pPr>
          </w:p>
        </w:tc>
        <w:tc>
          <w:tcPr>
            <w:tcW w:w="1539" w:type="dxa"/>
            <w:vAlign w:val="center"/>
          </w:tcPr>
          <w:p w14:paraId="0F693DA7">
            <w:pPr>
              <w:widowControl/>
              <w:spacing w:line="360" w:lineRule="auto"/>
              <w:jc w:val="center"/>
              <w:rPr>
                <w:rFonts w:ascii="宋体" w:hAnsi="宋体" w:cs="宋体"/>
                <w:szCs w:val="21"/>
                <w:highlight w:val="none"/>
              </w:rPr>
            </w:pPr>
          </w:p>
        </w:tc>
        <w:tc>
          <w:tcPr>
            <w:tcW w:w="765" w:type="dxa"/>
            <w:vAlign w:val="center"/>
          </w:tcPr>
          <w:p w14:paraId="371BB406">
            <w:pPr>
              <w:widowControl/>
              <w:spacing w:line="360" w:lineRule="auto"/>
              <w:jc w:val="center"/>
              <w:rPr>
                <w:rFonts w:ascii="宋体" w:hAnsi="宋体" w:cs="宋体"/>
                <w:szCs w:val="21"/>
                <w:highlight w:val="none"/>
              </w:rPr>
            </w:pPr>
          </w:p>
        </w:tc>
      </w:tr>
      <w:tr w14:paraId="7EDC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583F11C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w:t>
            </w:r>
          </w:p>
        </w:tc>
        <w:tc>
          <w:tcPr>
            <w:tcW w:w="2086" w:type="dxa"/>
            <w:shd w:val="clear" w:color="auto" w:fill="auto"/>
            <w:vAlign w:val="center"/>
          </w:tcPr>
          <w:p w14:paraId="43F9A85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舱体及光环境模拟系统（人工气候模拟实验模块）</w:t>
            </w:r>
          </w:p>
        </w:tc>
        <w:tc>
          <w:tcPr>
            <w:tcW w:w="876" w:type="dxa"/>
            <w:vAlign w:val="center"/>
          </w:tcPr>
          <w:p w14:paraId="142C6DE8">
            <w:pPr>
              <w:widowControl/>
              <w:spacing w:line="360" w:lineRule="auto"/>
              <w:jc w:val="center"/>
              <w:rPr>
                <w:rFonts w:ascii="宋体" w:hAnsi="宋体" w:cs="宋体"/>
                <w:szCs w:val="21"/>
                <w:highlight w:val="none"/>
              </w:rPr>
            </w:pPr>
          </w:p>
        </w:tc>
        <w:tc>
          <w:tcPr>
            <w:tcW w:w="1221" w:type="dxa"/>
            <w:vAlign w:val="center"/>
          </w:tcPr>
          <w:p w14:paraId="7188D199">
            <w:pPr>
              <w:widowControl/>
              <w:spacing w:line="360" w:lineRule="auto"/>
              <w:jc w:val="center"/>
              <w:rPr>
                <w:rFonts w:ascii="宋体" w:hAnsi="宋体" w:cs="宋体"/>
                <w:szCs w:val="21"/>
                <w:highlight w:val="none"/>
              </w:rPr>
            </w:pPr>
          </w:p>
        </w:tc>
        <w:tc>
          <w:tcPr>
            <w:tcW w:w="1110" w:type="dxa"/>
            <w:vAlign w:val="center"/>
          </w:tcPr>
          <w:p w14:paraId="7669F825">
            <w:pPr>
              <w:widowControl/>
              <w:spacing w:line="360" w:lineRule="auto"/>
              <w:jc w:val="center"/>
              <w:rPr>
                <w:rFonts w:ascii="宋体" w:hAnsi="宋体" w:cs="宋体"/>
                <w:szCs w:val="21"/>
                <w:highlight w:val="none"/>
              </w:rPr>
            </w:pPr>
          </w:p>
        </w:tc>
        <w:tc>
          <w:tcPr>
            <w:tcW w:w="818" w:type="dxa"/>
            <w:vAlign w:val="center"/>
          </w:tcPr>
          <w:p w14:paraId="4949CBA2">
            <w:pPr>
              <w:widowControl/>
              <w:spacing w:line="360" w:lineRule="auto"/>
              <w:jc w:val="center"/>
              <w:rPr>
                <w:rFonts w:ascii="宋体" w:hAnsi="宋体" w:cs="宋体"/>
                <w:szCs w:val="21"/>
                <w:highlight w:val="none"/>
              </w:rPr>
            </w:pPr>
          </w:p>
        </w:tc>
        <w:tc>
          <w:tcPr>
            <w:tcW w:w="974" w:type="dxa"/>
            <w:shd w:val="clear" w:color="auto" w:fill="auto"/>
            <w:vAlign w:val="center"/>
          </w:tcPr>
          <w:p w14:paraId="153EE9C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63DF9A8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3FC9F0DC">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140000.00</w:t>
            </w:r>
          </w:p>
        </w:tc>
        <w:tc>
          <w:tcPr>
            <w:tcW w:w="1624" w:type="dxa"/>
            <w:vAlign w:val="center"/>
          </w:tcPr>
          <w:p w14:paraId="59158EF7">
            <w:pPr>
              <w:widowControl/>
              <w:spacing w:line="360" w:lineRule="auto"/>
              <w:jc w:val="center"/>
              <w:rPr>
                <w:rFonts w:ascii="宋体" w:hAnsi="宋体" w:cs="宋体"/>
                <w:szCs w:val="21"/>
                <w:highlight w:val="none"/>
              </w:rPr>
            </w:pPr>
          </w:p>
        </w:tc>
        <w:tc>
          <w:tcPr>
            <w:tcW w:w="1539" w:type="dxa"/>
            <w:vAlign w:val="center"/>
          </w:tcPr>
          <w:p w14:paraId="12E02CCE">
            <w:pPr>
              <w:widowControl/>
              <w:spacing w:line="360" w:lineRule="auto"/>
              <w:jc w:val="center"/>
              <w:rPr>
                <w:rFonts w:ascii="宋体" w:hAnsi="宋体" w:cs="宋体"/>
                <w:szCs w:val="21"/>
                <w:highlight w:val="none"/>
              </w:rPr>
            </w:pPr>
          </w:p>
        </w:tc>
        <w:tc>
          <w:tcPr>
            <w:tcW w:w="765" w:type="dxa"/>
            <w:vAlign w:val="center"/>
          </w:tcPr>
          <w:p w14:paraId="1A17290F">
            <w:pPr>
              <w:widowControl/>
              <w:spacing w:line="360" w:lineRule="auto"/>
              <w:jc w:val="center"/>
              <w:rPr>
                <w:rFonts w:ascii="宋体" w:hAnsi="宋体" w:cs="宋体"/>
                <w:szCs w:val="21"/>
                <w:highlight w:val="none"/>
              </w:rPr>
            </w:pPr>
          </w:p>
        </w:tc>
      </w:tr>
      <w:tr w14:paraId="215F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584" w:type="dxa"/>
            <w:shd w:val="clear" w:color="auto" w:fill="auto"/>
            <w:vAlign w:val="center"/>
          </w:tcPr>
          <w:p w14:paraId="12689E67">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8</w:t>
            </w:r>
          </w:p>
        </w:tc>
        <w:tc>
          <w:tcPr>
            <w:tcW w:w="2086" w:type="dxa"/>
            <w:shd w:val="clear" w:color="auto" w:fill="auto"/>
            <w:vAlign w:val="center"/>
          </w:tcPr>
          <w:p w14:paraId="2CAF91A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热指数仪</w:t>
            </w:r>
          </w:p>
        </w:tc>
        <w:tc>
          <w:tcPr>
            <w:tcW w:w="876" w:type="dxa"/>
            <w:vAlign w:val="center"/>
          </w:tcPr>
          <w:p w14:paraId="6D05B31B">
            <w:pPr>
              <w:widowControl/>
              <w:spacing w:line="360" w:lineRule="auto"/>
              <w:jc w:val="center"/>
              <w:rPr>
                <w:rFonts w:ascii="宋体" w:hAnsi="宋体" w:cs="宋体"/>
                <w:szCs w:val="21"/>
                <w:highlight w:val="none"/>
              </w:rPr>
            </w:pPr>
          </w:p>
        </w:tc>
        <w:tc>
          <w:tcPr>
            <w:tcW w:w="1221" w:type="dxa"/>
            <w:vAlign w:val="center"/>
          </w:tcPr>
          <w:p w14:paraId="4BCCBE73">
            <w:pPr>
              <w:widowControl/>
              <w:spacing w:line="360" w:lineRule="auto"/>
              <w:jc w:val="center"/>
              <w:rPr>
                <w:rFonts w:ascii="宋体" w:hAnsi="宋体" w:cs="宋体"/>
                <w:szCs w:val="21"/>
                <w:highlight w:val="none"/>
              </w:rPr>
            </w:pPr>
          </w:p>
        </w:tc>
        <w:tc>
          <w:tcPr>
            <w:tcW w:w="1110" w:type="dxa"/>
            <w:vAlign w:val="center"/>
          </w:tcPr>
          <w:p w14:paraId="1A20B578">
            <w:pPr>
              <w:widowControl/>
              <w:spacing w:line="360" w:lineRule="auto"/>
              <w:jc w:val="center"/>
              <w:rPr>
                <w:rFonts w:ascii="宋体" w:hAnsi="宋体" w:cs="宋体"/>
                <w:szCs w:val="21"/>
                <w:highlight w:val="none"/>
              </w:rPr>
            </w:pPr>
          </w:p>
        </w:tc>
        <w:tc>
          <w:tcPr>
            <w:tcW w:w="818" w:type="dxa"/>
            <w:vAlign w:val="center"/>
          </w:tcPr>
          <w:p w14:paraId="14B4BDCE">
            <w:pPr>
              <w:widowControl/>
              <w:spacing w:line="360" w:lineRule="auto"/>
              <w:jc w:val="center"/>
              <w:rPr>
                <w:rFonts w:ascii="宋体" w:hAnsi="宋体" w:cs="宋体"/>
                <w:szCs w:val="21"/>
                <w:highlight w:val="none"/>
              </w:rPr>
            </w:pPr>
          </w:p>
        </w:tc>
        <w:tc>
          <w:tcPr>
            <w:tcW w:w="974" w:type="dxa"/>
            <w:shd w:val="clear" w:color="auto" w:fill="auto"/>
            <w:vAlign w:val="center"/>
          </w:tcPr>
          <w:p w14:paraId="760D7B2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4</w:t>
            </w:r>
          </w:p>
        </w:tc>
        <w:tc>
          <w:tcPr>
            <w:tcW w:w="1002" w:type="dxa"/>
            <w:shd w:val="clear" w:color="auto" w:fill="auto"/>
            <w:vAlign w:val="center"/>
          </w:tcPr>
          <w:p w14:paraId="38B4DCE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2E0401BE">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27000.00</w:t>
            </w:r>
          </w:p>
        </w:tc>
        <w:tc>
          <w:tcPr>
            <w:tcW w:w="1624" w:type="dxa"/>
            <w:vAlign w:val="center"/>
          </w:tcPr>
          <w:p w14:paraId="7D104143">
            <w:pPr>
              <w:widowControl/>
              <w:spacing w:line="360" w:lineRule="auto"/>
              <w:jc w:val="center"/>
              <w:rPr>
                <w:rFonts w:ascii="宋体" w:hAnsi="宋体" w:cs="宋体"/>
                <w:szCs w:val="21"/>
                <w:highlight w:val="none"/>
              </w:rPr>
            </w:pPr>
          </w:p>
        </w:tc>
        <w:tc>
          <w:tcPr>
            <w:tcW w:w="1539" w:type="dxa"/>
            <w:vAlign w:val="center"/>
          </w:tcPr>
          <w:p w14:paraId="63FC49FD">
            <w:pPr>
              <w:widowControl/>
              <w:spacing w:line="360" w:lineRule="auto"/>
              <w:jc w:val="center"/>
              <w:rPr>
                <w:rFonts w:ascii="宋体" w:hAnsi="宋体" w:cs="宋体"/>
                <w:szCs w:val="21"/>
                <w:highlight w:val="none"/>
              </w:rPr>
            </w:pPr>
          </w:p>
        </w:tc>
        <w:tc>
          <w:tcPr>
            <w:tcW w:w="765" w:type="dxa"/>
            <w:vAlign w:val="center"/>
          </w:tcPr>
          <w:p w14:paraId="0CAAB3AF">
            <w:pPr>
              <w:widowControl/>
              <w:spacing w:line="360" w:lineRule="auto"/>
              <w:jc w:val="center"/>
              <w:rPr>
                <w:rFonts w:ascii="宋体" w:hAnsi="宋体" w:cs="宋体"/>
                <w:szCs w:val="21"/>
                <w:highlight w:val="none"/>
              </w:rPr>
            </w:pPr>
          </w:p>
        </w:tc>
      </w:tr>
      <w:tr w14:paraId="6C8A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2CBD9B6A">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9</w:t>
            </w:r>
          </w:p>
        </w:tc>
        <w:tc>
          <w:tcPr>
            <w:tcW w:w="2086" w:type="dxa"/>
            <w:shd w:val="clear" w:color="auto" w:fill="auto"/>
            <w:vAlign w:val="center"/>
          </w:tcPr>
          <w:p w14:paraId="5FE5970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热电偶+多通道记录仪</w:t>
            </w:r>
          </w:p>
        </w:tc>
        <w:tc>
          <w:tcPr>
            <w:tcW w:w="876" w:type="dxa"/>
            <w:vAlign w:val="center"/>
          </w:tcPr>
          <w:p w14:paraId="44408D65">
            <w:pPr>
              <w:widowControl/>
              <w:spacing w:line="360" w:lineRule="auto"/>
              <w:jc w:val="center"/>
              <w:rPr>
                <w:rFonts w:ascii="宋体" w:hAnsi="宋体" w:cs="宋体"/>
                <w:szCs w:val="21"/>
                <w:highlight w:val="none"/>
              </w:rPr>
            </w:pPr>
          </w:p>
        </w:tc>
        <w:tc>
          <w:tcPr>
            <w:tcW w:w="1221" w:type="dxa"/>
            <w:vAlign w:val="center"/>
          </w:tcPr>
          <w:p w14:paraId="788C3E9A">
            <w:pPr>
              <w:widowControl/>
              <w:spacing w:line="360" w:lineRule="auto"/>
              <w:jc w:val="center"/>
              <w:rPr>
                <w:rFonts w:ascii="宋体" w:hAnsi="宋体" w:cs="宋体"/>
                <w:szCs w:val="21"/>
                <w:highlight w:val="none"/>
              </w:rPr>
            </w:pPr>
          </w:p>
        </w:tc>
        <w:tc>
          <w:tcPr>
            <w:tcW w:w="1110" w:type="dxa"/>
            <w:vAlign w:val="center"/>
          </w:tcPr>
          <w:p w14:paraId="63D42886">
            <w:pPr>
              <w:widowControl/>
              <w:spacing w:line="360" w:lineRule="auto"/>
              <w:jc w:val="center"/>
              <w:rPr>
                <w:rFonts w:ascii="宋体" w:hAnsi="宋体" w:cs="宋体"/>
                <w:szCs w:val="21"/>
                <w:highlight w:val="none"/>
              </w:rPr>
            </w:pPr>
          </w:p>
        </w:tc>
        <w:tc>
          <w:tcPr>
            <w:tcW w:w="818" w:type="dxa"/>
            <w:vAlign w:val="center"/>
          </w:tcPr>
          <w:p w14:paraId="09FBDDE1">
            <w:pPr>
              <w:widowControl/>
              <w:spacing w:line="360" w:lineRule="auto"/>
              <w:jc w:val="center"/>
              <w:rPr>
                <w:rFonts w:ascii="宋体" w:hAnsi="宋体" w:cs="宋体"/>
                <w:szCs w:val="21"/>
                <w:highlight w:val="none"/>
              </w:rPr>
            </w:pPr>
          </w:p>
        </w:tc>
        <w:tc>
          <w:tcPr>
            <w:tcW w:w="974" w:type="dxa"/>
            <w:shd w:val="clear" w:color="auto" w:fill="auto"/>
            <w:vAlign w:val="center"/>
          </w:tcPr>
          <w:p w14:paraId="543CAC8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1002" w:type="dxa"/>
            <w:shd w:val="clear" w:color="auto" w:fill="auto"/>
            <w:vAlign w:val="center"/>
          </w:tcPr>
          <w:p w14:paraId="43FCD00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3F73DE63">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3000.00</w:t>
            </w:r>
          </w:p>
        </w:tc>
        <w:tc>
          <w:tcPr>
            <w:tcW w:w="1624" w:type="dxa"/>
            <w:vAlign w:val="center"/>
          </w:tcPr>
          <w:p w14:paraId="10C6E20A">
            <w:pPr>
              <w:widowControl/>
              <w:spacing w:line="360" w:lineRule="auto"/>
              <w:jc w:val="center"/>
              <w:rPr>
                <w:rFonts w:ascii="宋体" w:hAnsi="宋体" w:cs="宋体"/>
                <w:szCs w:val="21"/>
                <w:highlight w:val="none"/>
              </w:rPr>
            </w:pPr>
          </w:p>
        </w:tc>
        <w:tc>
          <w:tcPr>
            <w:tcW w:w="1539" w:type="dxa"/>
            <w:vAlign w:val="center"/>
          </w:tcPr>
          <w:p w14:paraId="4B7DC420">
            <w:pPr>
              <w:widowControl/>
              <w:spacing w:line="360" w:lineRule="auto"/>
              <w:jc w:val="center"/>
              <w:rPr>
                <w:rFonts w:ascii="宋体" w:hAnsi="宋体" w:cs="宋体"/>
                <w:szCs w:val="21"/>
                <w:highlight w:val="none"/>
              </w:rPr>
            </w:pPr>
          </w:p>
        </w:tc>
        <w:tc>
          <w:tcPr>
            <w:tcW w:w="765" w:type="dxa"/>
            <w:vAlign w:val="center"/>
          </w:tcPr>
          <w:p w14:paraId="473E28FF">
            <w:pPr>
              <w:widowControl/>
              <w:spacing w:line="360" w:lineRule="auto"/>
              <w:jc w:val="center"/>
              <w:rPr>
                <w:rFonts w:ascii="宋体" w:hAnsi="宋体" w:cs="宋体"/>
                <w:szCs w:val="21"/>
                <w:highlight w:val="none"/>
              </w:rPr>
            </w:pPr>
          </w:p>
        </w:tc>
      </w:tr>
      <w:tr w14:paraId="2E42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628090F5">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w:t>
            </w:r>
          </w:p>
        </w:tc>
        <w:tc>
          <w:tcPr>
            <w:tcW w:w="2086" w:type="dxa"/>
            <w:shd w:val="clear" w:color="auto" w:fill="auto"/>
            <w:vAlign w:val="center"/>
          </w:tcPr>
          <w:p w14:paraId="73FC494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温湿度处理及气流组织系统（人工气候模拟实验模块）</w:t>
            </w:r>
          </w:p>
        </w:tc>
        <w:tc>
          <w:tcPr>
            <w:tcW w:w="876" w:type="dxa"/>
            <w:vAlign w:val="center"/>
          </w:tcPr>
          <w:p w14:paraId="5AB66E63">
            <w:pPr>
              <w:widowControl/>
              <w:spacing w:line="360" w:lineRule="auto"/>
              <w:jc w:val="center"/>
              <w:rPr>
                <w:rFonts w:ascii="宋体" w:hAnsi="宋体" w:cs="宋体"/>
                <w:szCs w:val="21"/>
                <w:highlight w:val="none"/>
              </w:rPr>
            </w:pPr>
          </w:p>
        </w:tc>
        <w:tc>
          <w:tcPr>
            <w:tcW w:w="1221" w:type="dxa"/>
            <w:vAlign w:val="center"/>
          </w:tcPr>
          <w:p w14:paraId="7E327244">
            <w:pPr>
              <w:widowControl/>
              <w:spacing w:line="360" w:lineRule="auto"/>
              <w:jc w:val="center"/>
              <w:rPr>
                <w:rFonts w:ascii="宋体" w:hAnsi="宋体" w:cs="宋体"/>
                <w:szCs w:val="21"/>
                <w:highlight w:val="none"/>
              </w:rPr>
            </w:pPr>
          </w:p>
        </w:tc>
        <w:tc>
          <w:tcPr>
            <w:tcW w:w="1110" w:type="dxa"/>
            <w:vAlign w:val="center"/>
          </w:tcPr>
          <w:p w14:paraId="172C7BC6">
            <w:pPr>
              <w:widowControl/>
              <w:spacing w:line="360" w:lineRule="auto"/>
              <w:jc w:val="center"/>
              <w:rPr>
                <w:rFonts w:ascii="宋体" w:hAnsi="宋体" w:cs="宋体"/>
                <w:szCs w:val="21"/>
                <w:highlight w:val="none"/>
              </w:rPr>
            </w:pPr>
          </w:p>
        </w:tc>
        <w:tc>
          <w:tcPr>
            <w:tcW w:w="818" w:type="dxa"/>
            <w:vAlign w:val="center"/>
          </w:tcPr>
          <w:p w14:paraId="4B37AB09">
            <w:pPr>
              <w:widowControl/>
              <w:spacing w:line="360" w:lineRule="auto"/>
              <w:jc w:val="center"/>
              <w:rPr>
                <w:rFonts w:ascii="宋体" w:hAnsi="宋体" w:cs="宋体"/>
                <w:szCs w:val="21"/>
                <w:highlight w:val="none"/>
              </w:rPr>
            </w:pPr>
          </w:p>
        </w:tc>
        <w:tc>
          <w:tcPr>
            <w:tcW w:w="974" w:type="dxa"/>
            <w:shd w:val="clear" w:color="auto" w:fill="auto"/>
            <w:vAlign w:val="center"/>
          </w:tcPr>
          <w:p w14:paraId="2B2B3C4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63E27EC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3749B271">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160000.00</w:t>
            </w:r>
          </w:p>
        </w:tc>
        <w:tc>
          <w:tcPr>
            <w:tcW w:w="1624" w:type="dxa"/>
            <w:vAlign w:val="center"/>
          </w:tcPr>
          <w:p w14:paraId="6FBD293B">
            <w:pPr>
              <w:widowControl/>
              <w:spacing w:line="360" w:lineRule="auto"/>
              <w:jc w:val="center"/>
              <w:rPr>
                <w:rFonts w:ascii="宋体" w:hAnsi="宋体" w:cs="宋体"/>
                <w:szCs w:val="21"/>
                <w:highlight w:val="none"/>
              </w:rPr>
            </w:pPr>
          </w:p>
        </w:tc>
        <w:tc>
          <w:tcPr>
            <w:tcW w:w="1539" w:type="dxa"/>
            <w:vAlign w:val="center"/>
          </w:tcPr>
          <w:p w14:paraId="6626A513">
            <w:pPr>
              <w:widowControl/>
              <w:spacing w:line="360" w:lineRule="auto"/>
              <w:jc w:val="center"/>
              <w:rPr>
                <w:rFonts w:ascii="宋体" w:hAnsi="宋体" w:cs="宋体"/>
                <w:szCs w:val="21"/>
                <w:highlight w:val="none"/>
              </w:rPr>
            </w:pPr>
          </w:p>
        </w:tc>
        <w:tc>
          <w:tcPr>
            <w:tcW w:w="765" w:type="dxa"/>
            <w:vAlign w:val="center"/>
          </w:tcPr>
          <w:p w14:paraId="1A01836E">
            <w:pPr>
              <w:widowControl/>
              <w:spacing w:line="360" w:lineRule="auto"/>
              <w:jc w:val="center"/>
              <w:rPr>
                <w:rFonts w:ascii="宋体" w:hAnsi="宋体" w:cs="宋体"/>
                <w:szCs w:val="21"/>
                <w:highlight w:val="none"/>
              </w:rPr>
            </w:pPr>
          </w:p>
        </w:tc>
      </w:tr>
      <w:tr w14:paraId="5F83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1C6D19E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11</w:t>
            </w:r>
          </w:p>
        </w:tc>
        <w:tc>
          <w:tcPr>
            <w:tcW w:w="2086" w:type="dxa"/>
            <w:shd w:val="clear" w:color="auto" w:fill="auto"/>
            <w:vAlign w:val="center"/>
          </w:tcPr>
          <w:p w14:paraId="1F57E98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冷热源及新风系统（人工气候模拟实验模块）</w:t>
            </w:r>
          </w:p>
        </w:tc>
        <w:tc>
          <w:tcPr>
            <w:tcW w:w="876" w:type="dxa"/>
            <w:vAlign w:val="center"/>
          </w:tcPr>
          <w:p w14:paraId="71A0EDFC">
            <w:pPr>
              <w:widowControl/>
              <w:spacing w:line="360" w:lineRule="auto"/>
              <w:jc w:val="center"/>
              <w:rPr>
                <w:rFonts w:ascii="宋体" w:hAnsi="宋体" w:cs="宋体"/>
                <w:szCs w:val="21"/>
                <w:highlight w:val="none"/>
              </w:rPr>
            </w:pPr>
          </w:p>
        </w:tc>
        <w:tc>
          <w:tcPr>
            <w:tcW w:w="1221" w:type="dxa"/>
            <w:vAlign w:val="center"/>
          </w:tcPr>
          <w:p w14:paraId="6E71C316">
            <w:pPr>
              <w:widowControl/>
              <w:spacing w:line="360" w:lineRule="auto"/>
              <w:jc w:val="center"/>
              <w:rPr>
                <w:rFonts w:ascii="宋体" w:hAnsi="宋体" w:cs="宋体"/>
                <w:szCs w:val="21"/>
                <w:highlight w:val="none"/>
              </w:rPr>
            </w:pPr>
          </w:p>
        </w:tc>
        <w:tc>
          <w:tcPr>
            <w:tcW w:w="1110" w:type="dxa"/>
            <w:vAlign w:val="center"/>
          </w:tcPr>
          <w:p w14:paraId="6FB8BB09">
            <w:pPr>
              <w:widowControl/>
              <w:spacing w:line="360" w:lineRule="auto"/>
              <w:jc w:val="center"/>
              <w:rPr>
                <w:rFonts w:ascii="宋体" w:hAnsi="宋体" w:cs="宋体"/>
                <w:szCs w:val="21"/>
                <w:highlight w:val="none"/>
              </w:rPr>
            </w:pPr>
          </w:p>
        </w:tc>
        <w:tc>
          <w:tcPr>
            <w:tcW w:w="818" w:type="dxa"/>
            <w:vAlign w:val="center"/>
          </w:tcPr>
          <w:p w14:paraId="5EF191AB">
            <w:pPr>
              <w:widowControl/>
              <w:spacing w:line="360" w:lineRule="auto"/>
              <w:jc w:val="center"/>
              <w:rPr>
                <w:rFonts w:ascii="宋体" w:hAnsi="宋体" w:cs="宋体"/>
                <w:szCs w:val="21"/>
                <w:highlight w:val="none"/>
              </w:rPr>
            </w:pPr>
          </w:p>
        </w:tc>
        <w:tc>
          <w:tcPr>
            <w:tcW w:w="974" w:type="dxa"/>
            <w:shd w:val="clear" w:color="auto" w:fill="auto"/>
            <w:vAlign w:val="center"/>
          </w:tcPr>
          <w:p w14:paraId="2878F53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3F8C8B6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2D98056B">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120000.00</w:t>
            </w:r>
          </w:p>
        </w:tc>
        <w:tc>
          <w:tcPr>
            <w:tcW w:w="1624" w:type="dxa"/>
            <w:vAlign w:val="center"/>
          </w:tcPr>
          <w:p w14:paraId="04B77059">
            <w:pPr>
              <w:widowControl/>
              <w:spacing w:line="360" w:lineRule="auto"/>
              <w:jc w:val="center"/>
              <w:rPr>
                <w:rFonts w:ascii="宋体" w:hAnsi="宋体" w:cs="宋体"/>
                <w:szCs w:val="21"/>
                <w:highlight w:val="none"/>
              </w:rPr>
            </w:pPr>
          </w:p>
        </w:tc>
        <w:tc>
          <w:tcPr>
            <w:tcW w:w="1539" w:type="dxa"/>
            <w:vAlign w:val="center"/>
          </w:tcPr>
          <w:p w14:paraId="575243E3">
            <w:pPr>
              <w:widowControl/>
              <w:spacing w:line="360" w:lineRule="auto"/>
              <w:jc w:val="center"/>
              <w:rPr>
                <w:rFonts w:ascii="宋体" w:hAnsi="宋体" w:cs="宋体"/>
                <w:szCs w:val="21"/>
                <w:highlight w:val="none"/>
              </w:rPr>
            </w:pPr>
          </w:p>
        </w:tc>
        <w:tc>
          <w:tcPr>
            <w:tcW w:w="765" w:type="dxa"/>
            <w:vAlign w:val="center"/>
          </w:tcPr>
          <w:p w14:paraId="07D7C479">
            <w:pPr>
              <w:widowControl/>
              <w:spacing w:line="360" w:lineRule="auto"/>
              <w:jc w:val="center"/>
              <w:rPr>
                <w:rFonts w:ascii="宋体" w:hAnsi="宋体" w:cs="宋体"/>
                <w:szCs w:val="21"/>
                <w:highlight w:val="none"/>
              </w:rPr>
            </w:pPr>
          </w:p>
        </w:tc>
      </w:tr>
      <w:tr w14:paraId="5267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0735F9F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12</w:t>
            </w:r>
          </w:p>
        </w:tc>
        <w:tc>
          <w:tcPr>
            <w:tcW w:w="2086" w:type="dxa"/>
            <w:shd w:val="clear" w:color="auto" w:fill="auto"/>
            <w:vAlign w:val="center"/>
          </w:tcPr>
          <w:p w14:paraId="166C32A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壁面辐射及供电供水系统（人工气候模拟实验模块）</w:t>
            </w:r>
          </w:p>
        </w:tc>
        <w:tc>
          <w:tcPr>
            <w:tcW w:w="876" w:type="dxa"/>
            <w:vAlign w:val="center"/>
          </w:tcPr>
          <w:p w14:paraId="131EC020">
            <w:pPr>
              <w:widowControl/>
              <w:spacing w:line="360" w:lineRule="auto"/>
              <w:jc w:val="center"/>
              <w:rPr>
                <w:rFonts w:ascii="宋体" w:hAnsi="宋体" w:cs="宋体"/>
                <w:szCs w:val="21"/>
                <w:highlight w:val="none"/>
              </w:rPr>
            </w:pPr>
          </w:p>
        </w:tc>
        <w:tc>
          <w:tcPr>
            <w:tcW w:w="1221" w:type="dxa"/>
            <w:vAlign w:val="center"/>
          </w:tcPr>
          <w:p w14:paraId="5933C4F2">
            <w:pPr>
              <w:widowControl/>
              <w:spacing w:line="360" w:lineRule="auto"/>
              <w:jc w:val="center"/>
              <w:rPr>
                <w:rFonts w:ascii="宋体" w:hAnsi="宋体" w:cs="宋体"/>
                <w:szCs w:val="21"/>
                <w:highlight w:val="none"/>
              </w:rPr>
            </w:pPr>
          </w:p>
        </w:tc>
        <w:tc>
          <w:tcPr>
            <w:tcW w:w="1110" w:type="dxa"/>
            <w:vAlign w:val="center"/>
          </w:tcPr>
          <w:p w14:paraId="6B6AB7BC">
            <w:pPr>
              <w:widowControl/>
              <w:spacing w:line="360" w:lineRule="auto"/>
              <w:jc w:val="center"/>
              <w:rPr>
                <w:rFonts w:ascii="宋体" w:hAnsi="宋体" w:cs="宋体"/>
                <w:szCs w:val="21"/>
                <w:highlight w:val="none"/>
              </w:rPr>
            </w:pPr>
          </w:p>
        </w:tc>
        <w:tc>
          <w:tcPr>
            <w:tcW w:w="818" w:type="dxa"/>
            <w:vAlign w:val="center"/>
          </w:tcPr>
          <w:p w14:paraId="2850348E">
            <w:pPr>
              <w:widowControl/>
              <w:spacing w:line="360" w:lineRule="auto"/>
              <w:jc w:val="center"/>
              <w:rPr>
                <w:rFonts w:ascii="宋体" w:hAnsi="宋体" w:cs="宋体"/>
                <w:szCs w:val="21"/>
                <w:highlight w:val="none"/>
              </w:rPr>
            </w:pPr>
          </w:p>
        </w:tc>
        <w:tc>
          <w:tcPr>
            <w:tcW w:w="974" w:type="dxa"/>
            <w:shd w:val="clear" w:color="auto" w:fill="auto"/>
            <w:vAlign w:val="center"/>
          </w:tcPr>
          <w:p w14:paraId="417C33D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741E74E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2DA6D5B9">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170000.00</w:t>
            </w:r>
          </w:p>
        </w:tc>
        <w:tc>
          <w:tcPr>
            <w:tcW w:w="1624" w:type="dxa"/>
            <w:vAlign w:val="center"/>
          </w:tcPr>
          <w:p w14:paraId="17E4C030">
            <w:pPr>
              <w:widowControl/>
              <w:spacing w:line="360" w:lineRule="auto"/>
              <w:jc w:val="center"/>
              <w:rPr>
                <w:rFonts w:ascii="宋体" w:hAnsi="宋体" w:cs="宋体"/>
                <w:szCs w:val="21"/>
                <w:highlight w:val="none"/>
              </w:rPr>
            </w:pPr>
          </w:p>
        </w:tc>
        <w:tc>
          <w:tcPr>
            <w:tcW w:w="1539" w:type="dxa"/>
            <w:vAlign w:val="center"/>
          </w:tcPr>
          <w:p w14:paraId="54AE7983">
            <w:pPr>
              <w:widowControl/>
              <w:spacing w:line="360" w:lineRule="auto"/>
              <w:jc w:val="center"/>
              <w:rPr>
                <w:rFonts w:ascii="宋体" w:hAnsi="宋体" w:cs="宋体"/>
                <w:szCs w:val="21"/>
                <w:highlight w:val="none"/>
              </w:rPr>
            </w:pPr>
          </w:p>
        </w:tc>
        <w:tc>
          <w:tcPr>
            <w:tcW w:w="765" w:type="dxa"/>
            <w:vAlign w:val="center"/>
          </w:tcPr>
          <w:p w14:paraId="752B1D76">
            <w:pPr>
              <w:widowControl/>
              <w:spacing w:line="360" w:lineRule="auto"/>
              <w:jc w:val="center"/>
              <w:rPr>
                <w:rFonts w:ascii="宋体" w:hAnsi="宋体" w:cs="宋体"/>
                <w:szCs w:val="21"/>
                <w:highlight w:val="none"/>
              </w:rPr>
            </w:pPr>
          </w:p>
        </w:tc>
      </w:tr>
      <w:tr w14:paraId="3BBC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51E94432">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13</w:t>
            </w:r>
          </w:p>
        </w:tc>
        <w:tc>
          <w:tcPr>
            <w:tcW w:w="2086" w:type="dxa"/>
            <w:shd w:val="clear" w:color="auto" w:fill="auto"/>
            <w:vAlign w:val="center"/>
          </w:tcPr>
          <w:p w14:paraId="774834F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自控\数据采集系统及整体设计（人工气候模拟实验模块）</w:t>
            </w:r>
          </w:p>
        </w:tc>
        <w:tc>
          <w:tcPr>
            <w:tcW w:w="876" w:type="dxa"/>
            <w:vAlign w:val="center"/>
          </w:tcPr>
          <w:p w14:paraId="08ACBCAF">
            <w:pPr>
              <w:widowControl/>
              <w:spacing w:line="360" w:lineRule="auto"/>
              <w:jc w:val="center"/>
              <w:rPr>
                <w:rFonts w:ascii="宋体" w:hAnsi="宋体" w:cs="宋体"/>
                <w:szCs w:val="21"/>
                <w:highlight w:val="none"/>
              </w:rPr>
            </w:pPr>
          </w:p>
        </w:tc>
        <w:tc>
          <w:tcPr>
            <w:tcW w:w="1221" w:type="dxa"/>
            <w:vAlign w:val="center"/>
          </w:tcPr>
          <w:p w14:paraId="680BFB36">
            <w:pPr>
              <w:widowControl/>
              <w:spacing w:line="360" w:lineRule="auto"/>
              <w:jc w:val="center"/>
              <w:rPr>
                <w:rFonts w:ascii="宋体" w:hAnsi="宋体" w:cs="宋体"/>
                <w:szCs w:val="21"/>
                <w:highlight w:val="none"/>
              </w:rPr>
            </w:pPr>
          </w:p>
        </w:tc>
        <w:tc>
          <w:tcPr>
            <w:tcW w:w="1110" w:type="dxa"/>
            <w:vAlign w:val="center"/>
          </w:tcPr>
          <w:p w14:paraId="115429BD">
            <w:pPr>
              <w:widowControl/>
              <w:spacing w:line="360" w:lineRule="auto"/>
              <w:jc w:val="center"/>
              <w:rPr>
                <w:rFonts w:ascii="宋体" w:hAnsi="宋体" w:cs="宋体"/>
                <w:szCs w:val="21"/>
                <w:highlight w:val="none"/>
              </w:rPr>
            </w:pPr>
          </w:p>
        </w:tc>
        <w:tc>
          <w:tcPr>
            <w:tcW w:w="818" w:type="dxa"/>
            <w:vAlign w:val="center"/>
          </w:tcPr>
          <w:p w14:paraId="6D51FF6C">
            <w:pPr>
              <w:widowControl/>
              <w:spacing w:line="360" w:lineRule="auto"/>
              <w:jc w:val="center"/>
              <w:rPr>
                <w:rFonts w:ascii="宋体" w:hAnsi="宋体" w:cs="宋体"/>
                <w:szCs w:val="21"/>
                <w:highlight w:val="none"/>
              </w:rPr>
            </w:pPr>
          </w:p>
        </w:tc>
        <w:tc>
          <w:tcPr>
            <w:tcW w:w="974" w:type="dxa"/>
            <w:shd w:val="clear" w:color="auto" w:fill="auto"/>
            <w:vAlign w:val="center"/>
          </w:tcPr>
          <w:p w14:paraId="4E81655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2936540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4CBACD75">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160000.00</w:t>
            </w:r>
          </w:p>
        </w:tc>
        <w:tc>
          <w:tcPr>
            <w:tcW w:w="1624" w:type="dxa"/>
            <w:vAlign w:val="center"/>
          </w:tcPr>
          <w:p w14:paraId="346A097C">
            <w:pPr>
              <w:widowControl/>
              <w:spacing w:line="360" w:lineRule="auto"/>
              <w:jc w:val="center"/>
              <w:rPr>
                <w:rFonts w:ascii="宋体" w:hAnsi="宋体" w:cs="宋体"/>
                <w:szCs w:val="21"/>
                <w:highlight w:val="none"/>
              </w:rPr>
            </w:pPr>
          </w:p>
        </w:tc>
        <w:tc>
          <w:tcPr>
            <w:tcW w:w="1539" w:type="dxa"/>
            <w:vAlign w:val="center"/>
          </w:tcPr>
          <w:p w14:paraId="084C7559">
            <w:pPr>
              <w:widowControl/>
              <w:spacing w:line="360" w:lineRule="auto"/>
              <w:jc w:val="center"/>
              <w:rPr>
                <w:rFonts w:ascii="宋体" w:hAnsi="宋体" w:cs="宋体"/>
                <w:szCs w:val="21"/>
                <w:highlight w:val="none"/>
              </w:rPr>
            </w:pPr>
          </w:p>
        </w:tc>
        <w:tc>
          <w:tcPr>
            <w:tcW w:w="765" w:type="dxa"/>
            <w:vAlign w:val="center"/>
          </w:tcPr>
          <w:p w14:paraId="69681989">
            <w:pPr>
              <w:widowControl/>
              <w:spacing w:line="360" w:lineRule="auto"/>
              <w:jc w:val="center"/>
              <w:rPr>
                <w:rFonts w:ascii="宋体" w:hAnsi="宋体" w:cs="宋体"/>
                <w:szCs w:val="21"/>
                <w:highlight w:val="none"/>
              </w:rPr>
            </w:pPr>
          </w:p>
        </w:tc>
      </w:tr>
      <w:tr w14:paraId="210B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6A783657">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14</w:t>
            </w:r>
          </w:p>
        </w:tc>
        <w:tc>
          <w:tcPr>
            <w:tcW w:w="2086" w:type="dxa"/>
            <w:shd w:val="clear" w:color="auto" w:fill="auto"/>
            <w:vAlign w:val="center"/>
          </w:tcPr>
          <w:p w14:paraId="701FAF9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高性能计算机工作站</w:t>
            </w:r>
          </w:p>
        </w:tc>
        <w:tc>
          <w:tcPr>
            <w:tcW w:w="876" w:type="dxa"/>
            <w:vAlign w:val="center"/>
          </w:tcPr>
          <w:p w14:paraId="0281877A">
            <w:pPr>
              <w:widowControl/>
              <w:spacing w:line="360" w:lineRule="auto"/>
              <w:jc w:val="center"/>
              <w:rPr>
                <w:rFonts w:ascii="宋体" w:hAnsi="宋体" w:cs="宋体"/>
                <w:szCs w:val="21"/>
                <w:highlight w:val="none"/>
              </w:rPr>
            </w:pPr>
          </w:p>
        </w:tc>
        <w:tc>
          <w:tcPr>
            <w:tcW w:w="1221" w:type="dxa"/>
            <w:vAlign w:val="center"/>
          </w:tcPr>
          <w:p w14:paraId="194E9CB6">
            <w:pPr>
              <w:widowControl/>
              <w:spacing w:line="360" w:lineRule="auto"/>
              <w:jc w:val="center"/>
              <w:rPr>
                <w:rFonts w:ascii="宋体" w:hAnsi="宋体" w:cs="宋体"/>
                <w:szCs w:val="21"/>
                <w:highlight w:val="none"/>
              </w:rPr>
            </w:pPr>
          </w:p>
        </w:tc>
        <w:tc>
          <w:tcPr>
            <w:tcW w:w="1110" w:type="dxa"/>
            <w:vAlign w:val="center"/>
          </w:tcPr>
          <w:p w14:paraId="022830B6">
            <w:pPr>
              <w:widowControl/>
              <w:spacing w:line="360" w:lineRule="auto"/>
              <w:jc w:val="center"/>
              <w:rPr>
                <w:rFonts w:ascii="宋体" w:hAnsi="宋体" w:cs="宋体"/>
                <w:szCs w:val="21"/>
                <w:highlight w:val="none"/>
              </w:rPr>
            </w:pPr>
          </w:p>
        </w:tc>
        <w:tc>
          <w:tcPr>
            <w:tcW w:w="818" w:type="dxa"/>
            <w:vAlign w:val="center"/>
          </w:tcPr>
          <w:p w14:paraId="2CE3CEEC">
            <w:pPr>
              <w:widowControl/>
              <w:spacing w:line="360" w:lineRule="auto"/>
              <w:jc w:val="center"/>
              <w:rPr>
                <w:rFonts w:ascii="宋体" w:hAnsi="宋体" w:cs="宋体"/>
                <w:szCs w:val="21"/>
                <w:highlight w:val="none"/>
              </w:rPr>
            </w:pPr>
          </w:p>
        </w:tc>
        <w:tc>
          <w:tcPr>
            <w:tcW w:w="974" w:type="dxa"/>
            <w:shd w:val="clear" w:color="auto" w:fill="auto"/>
            <w:vAlign w:val="center"/>
          </w:tcPr>
          <w:p w14:paraId="5F9402F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683AD96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65B909FA">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60000.00</w:t>
            </w:r>
          </w:p>
        </w:tc>
        <w:tc>
          <w:tcPr>
            <w:tcW w:w="1624" w:type="dxa"/>
            <w:vAlign w:val="center"/>
          </w:tcPr>
          <w:p w14:paraId="3A43FABD">
            <w:pPr>
              <w:widowControl/>
              <w:spacing w:line="360" w:lineRule="auto"/>
              <w:jc w:val="center"/>
              <w:rPr>
                <w:rFonts w:ascii="宋体" w:hAnsi="宋体" w:cs="宋体"/>
                <w:szCs w:val="21"/>
                <w:highlight w:val="none"/>
              </w:rPr>
            </w:pPr>
          </w:p>
        </w:tc>
        <w:tc>
          <w:tcPr>
            <w:tcW w:w="1539" w:type="dxa"/>
            <w:vAlign w:val="center"/>
          </w:tcPr>
          <w:p w14:paraId="475D25D0">
            <w:pPr>
              <w:widowControl/>
              <w:spacing w:line="360" w:lineRule="auto"/>
              <w:jc w:val="center"/>
              <w:rPr>
                <w:rFonts w:ascii="宋体" w:hAnsi="宋体" w:cs="宋体"/>
                <w:szCs w:val="21"/>
                <w:highlight w:val="none"/>
              </w:rPr>
            </w:pPr>
          </w:p>
        </w:tc>
        <w:tc>
          <w:tcPr>
            <w:tcW w:w="765" w:type="dxa"/>
            <w:vAlign w:val="center"/>
          </w:tcPr>
          <w:p w14:paraId="5F730637">
            <w:pPr>
              <w:widowControl/>
              <w:spacing w:line="360" w:lineRule="auto"/>
              <w:jc w:val="center"/>
              <w:rPr>
                <w:rFonts w:ascii="宋体" w:hAnsi="宋体" w:cs="宋体"/>
                <w:szCs w:val="21"/>
                <w:highlight w:val="none"/>
              </w:rPr>
            </w:pPr>
          </w:p>
        </w:tc>
      </w:tr>
      <w:tr w14:paraId="6291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3B61029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15</w:t>
            </w:r>
          </w:p>
        </w:tc>
        <w:tc>
          <w:tcPr>
            <w:tcW w:w="2086" w:type="dxa"/>
            <w:shd w:val="clear" w:color="auto" w:fill="auto"/>
            <w:vAlign w:val="center"/>
          </w:tcPr>
          <w:p w14:paraId="3E0A325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大型激光雕刻机A</w:t>
            </w:r>
          </w:p>
        </w:tc>
        <w:tc>
          <w:tcPr>
            <w:tcW w:w="876" w:type="dxa"/>
            <w:vAlign w:val="center"/>
          </w:tcPr>
          <w:p w14:paraId="63ADB60E">
            <w:pPr>
              <w:widowControl/>
              <w:spacing w:line="360" w:lineRule="auto"/>
              <w:jc w:val="center"/>
              <w:rPr>
                <w:rFonts w:ascii="宋体" w:hAnsi="宋体" w:cs="宋体"/>
                <w:szCs w:val="21"/>
                <w:highlight w:val="none"/>
              </w:rPr>
            </w:pPr>
          </w:p>
        </w:tc>
        <w:tc>
          <w:tcPr>
            <w:tcW w:w="1221" w:type="dxa"/>
            <w:vAlign w:val="center"/>
          </w:tcPr>
          <w:p w14:paraId="1A0F0159">
            <w:pPr>
              <w:widowControl/>
              <w:spacing w:line="360" w:lineRule="auto"/>
              <w:jc w:val="center"/>
              <w:rPr>
                <w:rFonts w:ascii="宋体" w:hAnsi="宋体" w:cs="宋体"/>
                <w:szCs w:val="21"/>
                <w:highlight w:val="none"/>
              </w:rPr>
            </w:pPr>
          </w:p>
        </w:tc>
        <w:tc>
          <w:tcPr>
            <w:tcW w:w="1110" w:type="dxa"/>
            <w:vAlign w:val="center"/>
          </w:tcPr>
          <w:p w14:paraId="7C80C5B1">
            <w:pPr>
              <w:widowControl/>
              <w:spacing w:line="360" w:lineRule="auto"/>
              <w:jc w:val="center"/>
              <w:rPr>
                <w:rFonts w:ascii="宋体" w:hAnsi="宋体" w:cs="宋体"/>
                <w:szCs w:val="21"/>
                <w:highlight w:val="none"/>
              </w:rPr>
            </w:pPr>
          </w:p>
        </w:tc>
        <w:tc>
          <w:tcPr>
            <w:tcW w:w="818" w:type="dxa"/>
            <w:vAlign w:val="center"/>
          </w:tcPr>
          <w:p w14:paraId="1CB1B411">
            <w:pPr>
              <w:widowControl/>
              <w:spacing w:line="360" w:lineRule="auto"/>
              <w:jc w:val="center"/>
              <w:rPr>
                <w:rFonts w:ascii="宋体" w:hAnsi="宋体" w:cs="宋体"/>
                <w:szCs w:val="21"/>
                <w:highlight w:val="none"/>
              </w:rPr>
            </w:pPr>
          </w:p>
        </w:tc>
        <w:tc>
          <w:tcPr>
            <w:tcW w:w="974" w:type="dxa"/>
            <w:shd w:val="clear" w:color="auto" w:fill="auto"/>
            <w:vAlign w:val="center"/>
          </w:tcPr>
          <w:p w14:paraId="07D053D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516638C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6B23CDE1">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78000.00</w:t>
            </w:r>
          </w:p>
        </w:tc>
        <w:tc>
          <w:tcPr>
            <w:tcW w:w="1624" w:type="dxa"/>
            <w:vAlign w:val="center"/>
          </w:tcPr>
          <w:p w14:paraId="7F47B9AA">
            <w:pPr>
              <w:widowControl/>
              <w:spacing w:line="360" w:lineRule="auto"/>
              <w:jc w:val="center"/>
              <w:rPr>
                <w:rFonts w:ascii="宋体" w:hAnsi="宋体" w:cs="宋体"/>
                <w:szCs w:val="21"/>
                <w:highlight w:val="none"/>
              </w:rPr>
            </w:pPr>
          </w:p>
        </w:tc>
        <w:tc>
          <w:tcPr>
            <w:tcW w:w="1539" w:type="dxa"/>
            <w:vAlign w:val="center"/>
          </w:tcPr>
          <w:p w14:paraId="718019B6">
            <w:pPr>
              <w:widowControl/>
              <w:spacing w:line="360" w:lineRule="auto"/>
              <w:jc w:val="center"/>
              <w:rPr>
                <w:rFonts w:ascii="宋体" w:hAnsi="宋体" w:cs="宋体"/>
                <w:szCs w:val="21"/>
                <w:highlight w:val="none"/>
              </w:rPr>
            </w:pPr>
          </w:p>
        </w:tc>
        <w:tc>
          <w:tcPr>
            <w:tcW w:w="765" w:type="dxa"/>
            <w:vAlign w:val="center"/>
          </w:tcPr>
          <w:p w14:paraId="0EB516D8">
            <w:pPr>
              <w:widowControl/>
              <w:spacing w:line="360" w:lineRule="auto"/>
              <w:jc w:val="center"/>
              <w:rPr>
                <w:rFonts w:ascii="宋体" w:hAnsi="宋体" w:cs="宋体"/>
                <w:szCs w:val="21"/>
                <w:highlight w:val="none"/>
              </w:rPr>
            </w:pPr>
          </w:p>
        </w:tc>
      </w:tr>
      <w:tr w14:paraId="6F7A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0C1031E2">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16</w:t>
            </w:r>
          </w:p>
        </w:tc>
        <w:tc>
          <w:tcPr>
            <w:tcW w:w="2086" w:type="dxa"/>
            <w:shd w:val="clear" w:color="auto" w:fill="auto"/>
            <w:vAlign w:val="center"/>
          </w:tcPr>
          <w:p w14:paraId="5991FA9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大型激光雕刻机B</w:t>
            </w:r>
          </w:p>
        </w:tc>
        <w:tc>
          <w:tcPr>
            <w:tcW w:w="876" w:type="dxa"/>
            <w:vAlign w:val="center"/>
          </w:tcPr>
          <w:p w14:paraId="1973051F">
            <w:pPr>
              <w:widowControl/>
              <w:spacing w:line="360" w:lineRule="auto"/>
              <w:jc w:val="center"/>
              <w:rPr>
                <w:rFonts w:ascii="宋体" w:hAnsi="宋体" w:cs="宋体"/>
                <w:szCs w:val="21"/>
                <w:highlight w:val="none"/>
              </w:rPr>
            </w:pPr>
          </w:p>
        </w:tc>
        <w:tc>
          <w:tcPr>
            <w:tcW w:w="1221" w:type="dxa"/>
            <w:vAlign w:val="center"/>
          </w:tcPr>
          <w:p w14:paraId="3B5F20EA">
            <w:pPr>
              <w:widowControl/>
              <w:spacing w:line="360" w:lineRule="auto"/>
              <w:jc w:val="center"/>
              <w:rPr>
                <w:rFonts w:ascii="宋体" w:hAnsi="宋体" w:cs="宋体"/>
                <w:szCs w:val="21"/>
                <w:highlight w:val="none"/>
              </w:rPr>
            </w:pPr>
          </w:p>
        </w:tc>
        <w:tc>
          <w:tcPr>
            <w:tcW w:w="1110" w:type="dxa"/>
            <w:vAlign w:val="center"/>
          </w:tcPr>
          <w:p w14:paraId="13543FD0">
            <w:pPr>
              <w:widowControl/>
              <w:spacing w:line="360" w:lineRule="auto"/>
              <w:jc w:val="center"/>
              <w:rPr>
                <w:rFonts w:ascii="宋体" w:hAnsi="宋体" w:cs="宋体"/>
                <w:szCs w:val="21"/>
                <w:highlight w:val="none"/>
              </w:rPr>
            </w:pPr>
          </w:p>
        </w:tc>
        <w:tc>
          <w:tcPr>
            <w:tcW w:w="818" w:type="dxa"/>
            <w:vAlign w:val="center"/>
          </w:tcPr>
          <w:p w14:paraId="2954C8A2">
            <w:pPr>
              <w:widowControl/>
              <w:spacing w:line="360" w:lineRule="auto"/>
              <w:jc w:val="center"/>
              <w:rPr>
                <w:rFonts w:ascii="宋体" w:hAnsi="宋体" w:cs="宋体"/>
                <w:szCs w:val="21"/>
                <w:highlight w:val="none"/>
              </w:rPr>
            </w:pPr>
          </w:p>
        </w:tc>
        <w:tc>
          <w:tcPr>
            <w:tcW w:w="974" w:type="dxa"/>
            <w:shd w:val="clear" w:color="auto" w:fill="auto"/>
            <w:vAlign w:val="center"/>
          </w:tcPr>
          <w:p w14:paraId="0C138E2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3E42F19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7AC07278">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60000.00</w:t>
            </w:r>
          </w:p>
        </w:tc>
        <w:tc>
          <w:tcPr>
            <w:tcW w:w="1624" w:type="dxa"/>
            <w:vAlign w:val="center"/>
          </w:tcPr>
          <w:p w14:paraId="47BAC303">
            <w:pPr>
              <w:widowControl/>
              <w:spacing w:line="360" w:lineRule="auto"/>
              <w:jc w:val="center"/>
              <w:rPr>
                <w:rFonts w:ascii="宋体" w:hAnsi="宋体" w:cs="宋体"/>
                <w:szCs w:val="21"/>
                <w:highlight w:val="none"/>
              </w:rPr>
            </w:pPr>
          </w:p>
        </w:tc>
        <w:tc>
          <w:tcPr>
            <w:tcW w:w="1539" w:type="dxa"/>
            <w:vAlign w:val="center"/>
          </w:tcPr>
          <w:p w14:paraId="04467F89">
            <w:pPr>
              <w:widowControl/>
              <w:spacing w:line="360" w:lineRule="auto"/>
              <w:jc w:val="center"/>
              <w:rPr>
                <w:rFonts w:ascii="宋体" w:hAnsi="宋体" w:cs="宋体"/>
                <w:szCs w:val="21"/>
                <w:highlight w:val="none"/>
              </w:rPr>
            </w:pPr>
          </w:p>
        </w:tc>
        <w:tc>
          <w:tcPr>
            <w:tcW w:w="765" w:type="dxa"/>
            <w:vAlign w:val="center"/>
          </w:tcPr>
          <w:p w14:paraId="6200DF70">
            <w:pPr>
              <w:widowControl/>
              <w:spacing w:line="360" w:lineRule="auto"/>
              <w:jc w:val="center"/>
              <w:rPr>
                <w:rFonts w:ascii="宋体" w:hAnsi="宋体" w:cs="宋体"/>
                <w:szCs w:val="21"/>
                <w:highlight w:val="none"/>
              </w:rPr>
            </w:pPr>
          </w:p>
        </w:tc>
      </w:tr>
      <w:tr w14:paraId="387D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4" w:hRule="atLeast"/>
          <w:jc w:val="center"/>
        </w:trPr>
        <w:tc>
          <w:tcPr>
            <w:tcW w:w="584" w:type="dxa"/>
            <w:shd w:val="clear" w:color="auto" w:fill="auto"/>
            <w:vAlign w:val="center"/>
          </w:tcPr>
          <w:p w14:paraId="76CD5A5D">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17</w:t>
            </w:r>
          </w:p>
        </w:tc>
        <w:tc>
          <w:tcPr>
            <w:tcW w:w="2086" w:type="dxa"/>
            <w:shd w:val="clear" w:color="auto" w:fill="auto"/>
            <w:vAlign w:val="center"/>
          </w:tcPr>
          <w:p w14:paraId="2E886FA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木工模型制作工具套装</w:t>
            </w:r>
          </w:p>
        </w:tc>
        <w:tc>
          <w:tcPr>
            <w:tcW w:w="876" w:type="dxa"/>
            <w:vAlign w:val="center"/>
          </w:tcPr>
          <w:p w14:paraId="491BF01F">
            <w:pPr>
              <w:widowControl/>
              <w:spacing w:line="360" w:lineRule="auto"/>
              <w:jc w:val="center"/>
              <w:rPr>
                <w:rFonts w:ascii="宋体" w:hAnsi="宋体" w:cs="宋体"/>
                <w:szCs w:val="21"/>
                <w:highlight w:val="none"/>
              </w:rPr>
            </w:pPr>
          </w:p>
        </w:tc>
        <w:tc>
          <w:tcPr>
            <w:tcW w:w="1221" w:type="dxa"/>
            <w:vAlign w:val="center"/>
          </w:tcPr>
          <w:p w14:paraId="308676D3">
            <w:pPr>
              <w:widowControl/>
              <w:spacing w:line="360" w:lineRule="auto"/>
              <w:jc w:val="center"/>
              <w:rPr>
                <w:rFonts w:ascii="宋体" w:hAnsi="宋体" w:cs="宋体"/>
                <w:szCs w:val="21"/>
                <w:highlight w:val="none"/>
              </w:rPr>
            </w:pPr>
          </w:p>
        </w:tc>
        <w:tc>
          <w:tcPr>
            <w:tcW w:w="1110" w:type="dxa"/>
            <w:vAlign w:val="center"/>
          </w:tcPr>
          <w:p w14:paraId="38E4CA5D">
            <w:pPr>
              <w:widowControl/>
              <w:spacing w:line="360" w:lineRule="auto"/>
              <w:jc w:val="center"/>
              <w:rPr>
                <w:rFonts w:ascii="宋体" w:hAnsi="宋体" w:cs="宋体"/>
                <w:szCs w:val="21"/>
                <w:highlight w:val="none"/>
              </w:rPr>
            </w:pPr>
          </w:p>
        </w:tc>
        <w:tc>
          <w:tcPr>
            <w:tcW w:w="818" w:type="dxa"/>
            <w:vAlign w:val="center"/>
          </w:tcPr>
          <w:p w14:paraId="1EAFABFC">
            <w:pPr>
              <w:widowControl/>
              <w:spacing w:line="360" w:lineRule="auto"/>
              <w:jc w:val="center"/>
              <w:rPr>
                <w:rFonts w:ascii="宋体" w:hAnsi="宋体" w:cs="宋体"/>
                <w:szCs w:val="21"/>
                <w:highlight w:val="none"/>
              </w:rPr>
            </w:pPr>
          </w:p>
        </w:tc>
        <w:tc>
          <w:tcPr>
            <w:tcW w:w="974" w:type="dxa"/>
            <w:shd w:val="clear" w:color="auto" w:fill="auto"/>
            <w:vAlign w:val="center"/>
          </w:tcPr>
          <w:p w14:paraId="077372F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1002" w:type="dxa"/>
            <w:shd w:val="clear" w:color="auto" w:fill="auto"/>
            <w:vAlign w:val="center"/>
          </w:tcPr>
          <w:p w14:paraId="555609B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38DB881B">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28000.00</w:t>
            </w:r>
          </w:p>
        </w:tc>
        <w:tc>
          <w:tcPr>
            <w:tcW w:w="1624" w:type="dxa"/>
            <w:vAlign w:val="center"/>
          </w:tcPr>
          <w:p w14:paraId="69F67E25">
            <w:pPr>
              <w:widowControl/>
              <w:spacing w:line="360" w:lineRule="auto"/>
              <w:jc w:val="center"/>
              <w:rPr>
                <w:rFonts w:ascii="宋体" w:hAnsi="宋体" w:cs="宋体"/>
                <w:szCs w:val="21"/>
                <w:highlight w:val="none"/>
              </w:rPr>
            </w:pPr>
          </w:p>
        </w:tc>
        <w:tc>
          <w:tcPr>
            <w:tcW w:w="1539" w:type="dxa"/>
            <w:vAlign w:val="center"/>
          </w:tcPr>
          <w:p w14:paraId="19E5FFC7">
            <w:pPr>
              <w:widowControl/>
              <w:spacing w:line="360" w:lineRule="auto"/>
              <w:jc w:val="center"/>
              <w:rPr>
                <w:rFonts w:ascii="宋体" w:hAnsi="宋体" w:cs="宋体"/>
                <w:szCs w:val="21"/>
                <w:highlight w:val="none"/>
              </w:rPr>
            </w:pPr>
          </w:p>
        </w:tc>
        <w:tc>
          <w:tcPr>
            <w:tcW w:w="765" w:type="dxa"/>
            <w:vAlign w:val="center"/>
          </w:tcPr>
          <w:p w14:paraId="0E05E1C2">
            <w:pPr>
              <w:widowControl/>
              <w:spacing w:line="360" w:lineRule="auto"/>
              <w:jc w:val="center"/>
              <w:rPr>
                <w:rFonts w:ascii="宋体" w:hAnsi="宋体" w:cs="宋体"/>
                <w:szCs w:val="21"/>
                <w:highlight w:val="none"/>
              </w:rPr>
            </w:pPr>
          </w:p>
        </w:tc>
      </w:tr>
      <w:tr w14:paraId="4B25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51305524">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18</w:t>
            </w:r>
          </w:p>
        </w:tc>
        <w:tc>
          <w:tcPr>
            <w:tcW w:w="2086" w:type="dxa"/>
            <w:shd w:val="clear" w:color="auto" w:fill="auto"/>
            <w:vAlign w:val="center"/>
          </w:tcPr>
          <w:p w14:paraId="21F639B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高精度全自动交流稳压器</w:t>
            </w:r>
          </w:p>
        </w:tc>
        <w:tc>
          <w:tcPr>
            <w:tcW w:w="876" w:type="dxa"/>
            <w:vAlign w:val="center"/>
          </w:tcPr>
          <w:p w14:paraId="31C2B97E">
            <w:pPr>
              <w:widowControl/>
              <w:spacing w:line="360" w:lineRule="auto"/>
              <w:jc w:val="center"/>
              <w:rPr>
                <w:rFonts w:ascii="宋体" w:hAnsi="宋体" w:cs="宋体"/>
                <w:szCs w:val="21"/>
                <w:highlight w:val="none"/>
              </w:rPr>
            </w:pPr>
          </w:p>
        </w:tc>
        <w:tc>
          <w:tcPr>
            <w:tcW w:w="1221" w:type="dxa"/>
            <w:vAlign w:val="center"/>
          </w:tcPr>
          <w:p w14:paraId="63E33505">
            <w:pPr>
              <w:widowControl/>
              <w:spacing w:line="360" w:lineRule="auto"/>
              <w:jc w:val="center"/>
              <w:rPr>
                <w:rFonts w:ascii="宋体" w:hAnsi="宋体" w:cs="宋体"/>
                <w:szCs w:val="21"/>
                <w:highlight w:val="none"/>
              </w:rPr>
            </w:pPr>
          </w:p>
        </w:tc>
        <w:tc>
          <w:tcPr>
            <w:tcW w:w="1110" w:type="dxa"/>
            <w:vAlign w:val="center"/>
          </w:tcPr>
          <w:p w14:paraId="7ABDC447">
            <w:pPr>
              <w:widowControl/>
              <w:spacing w:line="360" w:lineRule="auto"/>
              <w:jc w:val="center"/>
              <w:rPr>
                <w:rFonts w:ascii="宋体" w:hAnsi="宋体" w:cs="宋体"/>
                <w:szCs w:val="21"/>
                <w:highlight w:val="none"/>
              </w:rPr>
            </w:pPr>
          </w:p>
        </w:tc>
        <w:tc>
          <w:tcPr>
            <w:tcW w:w="818" w:type="dxa"/>
            <w:vAlign w:val="center"/>
          </w:tcPr>
          <w:p w14:paraId="62E2D3D3">
            <w:pPr>
              <w:widowControl/>
              <w:spacing w:line="360" w:lineRule="auto"/>
              <w:jc w:val="center"/>
              <w:rPr>
                <w:rFonts w:ascii="宋体" w:hAnsi="宋体" w:cs="宋体"/>
                <w:szCs w:val="21"/>
                <w:highlight w:val="none"/>
              </w:rPr>
            </w:pPr>
          </w:p>
        </w:tc>
        <w:tc>
          <w:tcPr>
            <w:tcW w:w="974" w:type="dxa"/>
            <w:shd w:val="clear" w:color="auto" w:fill="auto"/>
            <w:vAlign w:val="center"/>
          </w:tcPr>
          <w:p w14:paraId="23791E4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5B817CC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759DA21E">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7000.00</w:t>
            </w:r>
          </w:p>
        </w:tc>
        <w:tc>
          <w:tcPr>
            <w:tcW w:w="1624" w:type="dxa"/>
            <w:vAlign w:val="center"/>
          </w:tcPr>
          <w:p w14:paraId="6B6A1866">
            <w:pPr>
              <w:widowControl/>
              <w:spacing w:line="360" w:lineRule="auto"/>
              <w:jc w:val="center"/>
              <w:rPr>
                <w:rFonts w:ascii="宋体" w:hAnsi="宋体" w:cs="宋体"/>
                <w:szCs w:val="21"/>
                <w:highlight w:val="none"/>
              </w:rPr>
            </w:pPr>
          </w:p>
        </w:tc>
        <w:tc>
          <w:tcPr>
            <w:tcW w:w="1539" w:type="dxa"/>
            <w:vAlign w:val="center"/>
          </w:tcPr>
          <w:p w14:paraId="65C7BBB7">
            <w:pPr>
              <w:widowControl/>
              <w:spacing w:line="360" w:lineRule="auto"/>
              <w:jc w:val="center"/>
              <w:rPr>
                <w:rFonts w:ascii="宋体" w:hAnsi="宋体" w:cs="宋体"/>
                <w:szCs w:val="21"/>
                <w:highlight w:val="none"/>
              </w:rPr>
            </w:pPr>
          </w:p>
        </w:tc>
        <w:tc>
          <w:tcPr>
            <w:tcW w:w="765" w:type="dxa"/>
            <w:vAlign w:val="center"/>
          </w:tcPr>
          <w:p w14:paraId="440F9C46">
            <w:pPr>
              <w:widowControl/>
              <w:spacing w:line="360" w:lineRule="auto"/>
              <w:jc w:val="center"/>
              <w:rPr>
                <w:rFonts w:ascii="宋体" w:hAnsi="宋体" w:cs="宋体"/>
                <w:szCs w:val="21"/>
                <w:highlight w:val="none"/>
              </w:rPr>
            </w:pPr>
          </w:p>
        </w:tc>
      </w:tr>
      <w:tr w14:paraId="7FB8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22DA9686">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19</w:t>
            </w:r>
          </w:p>
        </w:tc>
        <w:tc>
          <w:tcPr>
            <w:tcW w:w="2086" w:type="dxa"/>
            <w:shd w:val="clear" w:color="auto" w:fill="auto"/>
            <w:vAlign w:val="center"/>
          </w:tcPr>
          <w:p w14:paraId="7F4E36B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中央集尘管道系统</w:t>
            </w:r>
          </w:p>
        </w:tc>
        <w:tc>
          <w:tcPr>
            <w:tcW w:w="876" w:type="dxa"/>
            <w:vAlign w:val="center"/>
          </w:tcPr>
          <w:p w14:paraId="5E9594A3">
            <w:pPr>
              <w:widowControl/>
              <w:spacing w:line="360" w:lineRule="auto"/>
              <w:jc w:val="center"/>
              <w:rPr>
                <w:rFonts w:ascii="宋体" w:hAnsi="宋体" w:cs="宋体"/>
                <w:szCs w:val="21"/>
                <w:highlight w:val="none"/>
              </w:rPr>
            </w:pPr>
          </w:p>
        </w:tc>
        <w:tc>
          <w:tcPr>
            <w:tcW w:w="1221" w:type="dxa"/>
            <w:vAlign w:val="center"/>
          </w:tcPr>
          <w:p w14:paraId="5695C659">
            <w:pPr>
              <w:widowControl/>
              <w:spacing w:line="360" w:lineRule="auto"/>
              <w:jc w:val="center"/>
              <w:rPr>
                <w:rFonts w:ascii="宋体" w:hAnsi="宋体" w:cs="宋体"/>
                <w:szCs w:val="21"/>
                <w:highlight w:val="none"/>
              </w:rPr>
            </w:pPr>
          </w:p>
        </w:tc>
        <w:tc>
          <w:tcPr>
            <w:tcW w:w="1110" w:type="dxa"/>
            <w:vAlign w:val="center"/>
          </w:tcPr>
          <w:p w14:paraId="25B97952">
            <w:pPr>
              <w:widowControl/>
              <w:spacing w:line="360" w:lineRule="auto"/>
              <w:jc w:val="center"/>
              <w:rPr>
                <w:rFonts w:ascii="宋体" w:hAnsi="宋体" w:cs="宋体"/>
                <w:szCs w:val="21"/>
                <w:highlight w:val="none"/>
              </w:rPr>
            </w:pPr>
          </w:p>
        </w:tc>
        <w:tc>
          <w:tcPr>
            <w:tcW w:w="818" w:type="dxa"/>
            <w:vAlign w:val="center"/>
          </w:tcPr>
          <w:p w14:paraId="35D9A67B">
            <w:pPr>
              <w:widowControl/>
              <w:spacing w:line="360" w:lineRule="auto"/>
              <w:jc w:val="center"/>
              <w:rPr>
                <w:rFonts w:ascii="宋体" w:hAnsi="宋体" w:cs="宋体"/>
                <w:szCs w:val="21"/>
                <w:highlight w:val="none"/>
              </w:rPr>
            </w:pPr>
          </w:p>
        </w:tc>
        <w:tc>
          <w:tcPr>
            <w:tcW w:w="974" w:type="dxa"/>
            <w:shd w:val="clear" w:color="auto" w:fill="auto"/>
            <w:vAlign w:val="center"/>
          </w:tcPr>
          <w:p w14:paraId="7A6FE80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6CA9EEC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187" w:type="dxa"/>
            <w:shd w:val="clear" w:color="auto" w:fill="auto"/>
            <w:vAlign w:val="center"/>
          </w:tcPr>
          <w:p w14:paraId="39A9D30E">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30000.00</w:t>
            </w:r>
          </w:p>
        </w:tc>
        <w:tc>
          <w:tcPr>
            <w:tcW w:w="1624" w:type="dxa"/>
            <w:vAlign w:val="center"/>
          </w:tcPr>
          <w:p w14:paraId="0EC61205">
            <w:pPr>
              <w:widowControl/>
              <w:spacing w:line="360" w:lineRule="auto"/>
              <w:jc w:val="center"/>
              <w:rPr>
                <w:rFonts w:ascii="宋体" w:hAnsi="宋体" w:cs="宋体"/>
                <w:szCs w:val="21"/>
                <w:highlight w:val="none"/>
              </w:rPr>
            </w:pPr>
          </w:p>
        </w:tc>
        <w:tc>
          <w:tcPr>
            <w:tcW w:w="1539" w:type="dxa"/>
            <w:vAlign w:val="center"/>
          </w:tcPr>
          <w:p w14:paraId="5216E3FC">
            <w:pPr>
              <w:widowControl/>
              <w:spacing w:line="360" w:lineRule="auto"/>
              <w:jc w:val="center"/>
              <w:rPr>
                <w:rFonts w:ascii="宋体" w:hAnsi="宋体" w:cs="宋体"/>
                <w:szCs w:val="21"/>
                <w:highlight w:val="none"/>
              </w:rPr>
            </w:pPr>
          </w:p>
        </w:tc>
        <w:tc>
          <w:tcPr>
            <w:tcW w:w="765" w:type="dxa"/>
            <w:vAlign w:val="center"/>
          </w:tcPr>
          <w:p w14:paraId="1F20A4BB">
            <w:pPr>
              <w:widowControl/>
              <w:spacing w:line="360" w:lineRule="auto"/>
              <w:jc w:val="center"/>
              <w:rPr>
                <w:rFonts w:ascii="宋体" w:hAnsi="宋体" w:cs="宋体"/>
                <w:szCs w:val="21"/>
                <w:highlight w:val="none"/>
              </w:rPr>
            </w:pPr>
          </w:p>
        </w:tc>
      </w:tr>
      <w:tr w14:paraId="2D30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2EF9A5CF">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20</w:t>
            </w:r>
          </w:p>
        </w:tc>
        <w:tc>
          <w:tcPr>
            <w:tcW w:w="2086" w:type="dxa"/>
            <w:shd w:val="clear" w:color="auto" w:fill="auto"/>
            <w:vAlign w:val="center"/>
          </w:tcPr>
          <w:p w14:paraId="3F97F3D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安全防护用品套装</w:t>
            </w:r>
          </w:p>
        </w:tc>
        <w:tc>
          <w:tcPr>
            <w:tcW w:w="876" w:type="dxa"/>
            <w:vAlign w:val="center"/>
          </w:tcPr>
          <w:p w14:paraId="0CFE5793">
            <w:pPr>
              <w:widowControl/>
              <w:spacing w:line="360" w:lineRule="auto"/>
              <w:jc w:val="center"/>
              <w:rPr>
                <w:rFonts w:ascii="宋体" w:hAnsi="宋体" w:cs="宋体"/>
                <w:szCs w:val="21"/>
                <w:highlight w:val="none"/>
              </w:rPr>
            </w:pPr>
          </w:p>
        </w:tc>
        <w:tc>
          <w:tcPr>
            <w:tcW w:w="1221" w:type="dxa"/>
            <w:vAlign w:val="center"/>
          </w:tcPr>
          <w:p w14:paraId="33F20D24">
            <w:pPr>
              <w:widowControl/>
              <w:spacing w:line="360" w:lineRule="auto"/>
              <w:jc w:val="center"/>
              <w:rPr>
                <w:rFonts w:ascii="宋体" w:hAnsi="宋体" w:cs="宋体"/>
                <w:szCs w:val="21"/>
                <w:highlight w:val="none"/>
              </w:rPr>
            </w:pPr>
          </w:p>
        </w:tc>
        <w:tc>
          <w:tcPr>
            <w:tcW w:w="1110" w:type="dxa"/>
            <w:vAlign w:val="center"/>
          </w:tcPr>
          <w:p w14:paraId="5B07C535">
            <w:pPr>
              <w:widowControl/>
              <w:spacing w:line="360" w:lineRule="auto"/>
              <w:jc w:val="center"/>
              <w:rPr>
                <w:rFonts w:ascii="宋体" w:hAnsi="宋体" w:cs="宋体"/>
                <w:szCs w:val="21"/>
                <w:highlight w:val="none"/>
              </w:rPr>
            </w:pPr>
          </w:p>
        </w:tc>
        <w:tc>
          <w:tcPr>
            <w:tcW w:w="818" w:type="dxa"/>
            <w:vAlign w:val="center"/>
          </w:tcPr>
          <w:p w14:paraId="24D67108">
            <w:pPr>
              <w:widowControl/>
              <w:spacing w:line="360" w:lineRule="auto"/>
              <w:jc w:val="center"/>
              <w:rPr>
                <w:rFonts w:ascii="宋体" w:hAnsi="宋体" w:cs="宋体"/>
                <w:szCs w:val="21"/>
                <w:highlight w:val="none"/>
              </w:rPr>
            </w:pPr>
          </w:p>
        </w:tc>
        <w:tc>
          <w:tcPr>
            <w:tcW w:w="974" w:type="dxa"/>
            <w:shd w:val="clear" w:color="auto" w:fill="auto"/>
            <w:vAlign w:val="center"/>
          </w:tcPr>
          <w:p w14:paraId="2448C62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02" w:type="dxa"/>
            <w:shd w:val="clear" w:color="auto" w:fill="auto"/>
            <w:vAlign w:val="center"/>
          </w:tcPr>
          <w:p w14:paraId="074A6F7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187" w:type="dxa"/>
            <w:shd w:val="clear" w:color="auto" w:fill="auto"/>
            <w:vAlign w:val="center"/>
          </w:tcPr>
          <w:p w14:paraId="60574C42">
            <w:pPr>
              <w:widowControl/>
              <w:adjustRightInd w:val="0"/>
              <w:snapToGrid w:val="0"/>
              <w:spacing w:line="360" w:lineRule="auto"/>
              <w:jc w:val="center"/>
              <w:textAlignment w:val="center"/>
              <w:rPr>
                <w:rFonts w:hint="eastAsia" w:ascii="宋体" w:hAnsi="宋体" w:cs="宋体"/>
                <w:b/>
                <w:bCs/>
                <w:color w:val="FF0000"/>
                <w:kern w:val="0"/>
                <w:szCs w:val="21"/>
                <w:highlight w:val="none"/>
                <w:lang w:val="en-US" w:eastAsia="zh-CN"/>
              </w:rPr>
            </w:pPr>
            <w:r>
              <w:rPr>
                <w:rFonts w:hint="eastAsia" w:ascii="宋体" w:hAnsi="宋体" w:cs="宋体"/>
                <w:b/>
                <w:bCs/>
                <w:color w:val="FF0000"/>
                <w:kern w:val="0"/>
                <w:szCs w:val="21"/>
                <w:highlight w:val="none"/>
                <w:lang w:val="en-US" w:eastAsia="zh-CN"/>
              </w:rPr>
              <w:t>15000.00</w:t>
            </w:r>
          </w:p>
        </w:tc>
        <w:tc>
          <w:tcPr>
            <w:tcW w:w="1624" w:type="dxa"/>
            <w:vAlign w:val="center"/>
          </w:tcPr>
          <w:p w14:paraId="60FFC290">
            <w:pPr>
              <w:widowControl/>
              <w:spacing w:line="360" w:lineRule="auto"/>
              <w:jc w:val="center"/>
              <w:rPr>
                <w:rFonts w:ascii="宋体" w:hAnsi="宋体" w:cs="宋体"/>
                <w:szCs w:val="21"/>
                <w:highlight w:val="none"/>
              </w:rPr>
            </w:pPr>
          </w:p>
        </w:tc>
        <w:tc>
          <w:tcPr>
            <w:tcW w:w="1539" w:type="dxa"/>
            <w:vAlign w:val="center"/>
          </w:tcPr>
          <w:p w14:paraId="58DDAE8B">
            <w:pPr>
              <w:widowControl/>
              <w:spacing w:line="360" w:lineRule="auto"/>
              <w:jc w:val="center"/>
              <w:rPr>
                <w:rFonts w:ascii="宋体" w:hAnsi="宋体" w:cs="宋体"/>
                <w:szCs w:val="21"/>
                <w:highlight w:val="none"/>
              </w:rPr>
            </w:pPr>
          </w:p>
        </w:tc>
        <w:tc>
          <w:tcPr>
            <w:tcW w:w="765" w:type="dxa"/>
            <w:vAlign w:val="center"/>
          </w:tcPr>
          <w:p w14:paraId="7CE793F5">
            <w:pPr>
              <w:widowControl/>
              <w:spacing w:line="360" w:lineRule="auto"/>
              <w:jc w:val="center"/>
              <w:rPr>
                <w:rFonts w:ascii="宋体" w:hAnsi="宋体" w:cs="宋体"/>
                <w:szCs w:val="21"/>
                <w:highlight w:val="none"/>
              </w:rPr>
            </w:pPr>
          </w:p>
        </w:tc>
      </w:tr>
      <w:tr w14:paraId="49AE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6" w:hRule="atLeast"/>
          <w:jc w:val="center"/>
        </w:trPr>
        <w:tc>
          <w:tcPr>
            <w:tcW w:w="9858" w:type="dxa"/>
            <w:gridSpan w:val="9"/>
            <w:vAlign w:val="center"/>
          </w:tcPr>
          <w:p w14:paraId="72FF53E8">
            <w:pPr>
              <w:spacing w:line="360" w:lineRule="auto"/>
              <w:jc w:val="center"/>
              <w:rPr>
                <w:rFonts w:ascii="宋体" w:hAnsi="宋体" w:cs="宋体"/>
                <w:szCs w:val="21"/>
                <w:highlight w:val="none"/>
              </w:rPr>
            </w:pPr>
            <w:r>
              <w:rPr>
                <w:rFonts w:hint="eastAsia" w:ascii="宋体" w:hAnsi="宋体" w:cs="宋体"/>
                <w:bCs/>
                <w:szCs w:val="21"/>
                <w:highlight w:val="none"/>
              </w:rPr>
              <w:t>谈判报价</w:t>
            </w:r>
          </w:p>
        </w:tc>
        <w:tc>
          <w:tcPr>
            <w:tcW w:w="3928" w:type="dxa"/>
            <w:gridSpan w:val="3"/>
            <w:vAlign w:val="center"/>
          </w:tcPr>
          <w:p w14:paraId="1A5F7D38">
            <w:pPr>
              <w:spacing w:line="360" w:lineRule="auto"/>
              <w:jc w:val="center"/>
              <w:rPr>
                <w:rFonts w:ascii="宋体" w:hAnsi="宋体" w:cs="宋体"/>
                <w:szCs w:val="21"/>
                <w:highlight w:val="none"/>
              </w:rPr>
            </w:pPr>
            <w:r>
              <w:rPr>
                <w:rFonts w:hint="eastAsia" w:ascii="宋体" w:hAnsi="宋体" w:cs="宋体"/>
                <w:szCs w:val="21"/>
                <w:highlight w:val="none"/>
              </w:rPr>
              <w:t xml:space="preserve">                   元</w:t>
            </w:r>
          </w:p>
        </w:tc>
      </w:tr>
    </w:tbl>
    <w:p w14:paraId="1F421109">
      <w:pPr>
        <w:pStyle w:val="17"/>
        <w:snapToGrid w:val="0"/>
        <w:spacing w:line="360" w:lineRule="auto"/>
        <w:ind w:firstLine="422"/>
        <w:rPr>
          <w:rFonts w:hAnsi="宋体" w:cs="宋体"/>
          <w:b/>
          <w:sz w:val="21"/>
          <w:szCs w:val="21"/>
          <w:highlight w:val="none"/>
        </w:rPr>
      </w:pPr>
    </w:p>
    <w:p w14:paraId="46B51E45">
      <w:pPr>
        <w:pStyle w:val="17"/>
        <w:snapToGrid w:val="0"/>
        <w:spacing w:line="360" w:lineRule="auto"/>
        <w:ind w:firstLine="422"/>
        <w:rPr>
          <w:rFonts w:hAnsi="宋体" w:cs="宋体"/>
          <w:b/>
          <w:sz w:val="21"/>
          <w:szCs w:val="21"/>
          <w:highlight w:val="none"/>
        </w:rPr>
      </w:pPr>
      <w:r>
        <w:rPr>
          <w:rFonts w:hint="eastAsia" w:hAnsi="宋体" w:cs="宋体"/>
          <w:b/>
          <w:sz w:val="21"/>
          <w:szCs w:val="21"/>
          <w:highlight w:val="none"/>
        </w:rPr>
        <w:t>注：</w:t>
      </w:r>
    </w:p>
    <w:p w14:paraId="1CF8A36C">
      <w:pPr>
        <w:adjustRightInd w:val="0"/>
        <w:snapToGrid w:val="0"/>
        <w:spacing w:line="360" w:lineRule="auto"/>
        <w:rPr>
          <w:rFonts w:ascii="宋体" w:hAnsi="宋体" w:cs="宋体"/>
          <w:szCs w:val="21"/>
          <w:highlight w:val="none"/>
        </w:rPr>
      </w:pPr>
      <w:r>
        <w:rPr>
          <w:rFonts w:hint="eastAsia" w:ascii="宋体" w:hAnsi="宋体" w:cs="宋体"/>
          <w:szCs w:val="21"/>
          <w:highlight w:val="none"/>
        </w:rPr>
        <w:t>1.供应商</w:t>
      </w:r>
      <w:r>
        <w:rPr>
          <w:rFonts w:hint="eastAsia" w:ascii="宋体" w:hAnsi="宋体" w:cs="宋体"/>
          <w:highlight w:val="none"/>
        </w:rPr>
        <w:t>必须按竞争性谈判文件第五章“采购需求”中采购货物顺序逐项填报此表，不得缺项、漏项，否则响应文件将按无效处理。</w:t>
      </w:r>
      <w:r>
        <w:rPr>
          <w:rFonts w:hint="eastAsia" w:ascii="宋体" w:hAnsi="宋体" w:cs="宋体"/>
          <w:bCs/>
          <w:szCs w:val="21"/>
          <w:highlight w:val="none"/>
        </w:rPr>
        <w:t>谈判报价包括但不限于各种货款、安装调试、备品备件、专用工具、零星耗材、包装装卸、运输保险、检测验收、</w:t>
      </w:r>
      <w:r>
        <w:rPr>
          <w:rFonts w:hint="eastAsia" w:ascii="宋体" w:hAnsi="宋体" w:cs="宋体"/>
          <w:szCs w:val="21"/>
          <w:highlight w:val="none"/>
        </w:rPr>
        <w:t>采购代理服务费</w:t>
      </w:r>
      <w:r>
        <w:rPr>
          <w:rFonts w:hint="eastAsia" w:ascii="宋体" w:hAnsi="宋体" w:cs="宋体"/>
          <w:bCs/>
          <w:szCs w:val="21"/>
          <w:highlight w:val="none"/>
        </w:rPr>
        <w:t>以及税收等所有费用</w:t>
      </w:r>
      <w:r>
        <w:rPr>
          <w:rFonts w:hint="eastAsia" w:ascii="宋体" w:hAnsi="宋体" w:cs="宋体"/>
          <w:szCs w:val="21"/>
          <w:highlight w:val="none"/>
        </w:rPr>
        <w:t>，在合同期内采购人不接受任何方式的调价申请，</w:t>
      </w:r>
      <w:r>
        <w:rPr>
          <w:rFonts w:hint="eastAsia" w:ascii="宋体" w:hAnsi="宋体" w:cs="宋体"/>
          <w:b/>
          <w:bCs/>
          <w:szCs w:val="21"/>
          <w:highlight w:val="none"/>
        </w:rPr>
        <w:t>表中各项费用不得填报为0</w:t>
      </w:r>
      <w:r>
        <w:rPr>
          <w:rFonts w:hint="eastAsia" w:ascii="宋体" w:hAnsi="宋体" w:cs="宋体"/>
          <w:szCs w:val="21"/>
          <w:highlight w:val="none"/>
        </w:rPr>
        <w:t>。</w:t>
      </w:r>
    </w:p>
    <w:p w14:paraId="6E0FAB59">
      <w:pPr>
        <w:pStyle w:val="17"/>
        <w:snapToGrid w:val="0"/>
        <w:spacing w:line="360" w:lineRule="auto"/>
        <w:rPr>
          <w:rFonts w:hAnsi="宋体" w:cs="宋体"/>
          <w:sz w:val="21"/>
          <w:szCs w:val="21"/>
          <w:highlight w:val="none"/>
        </w:rPr>
      </w:pPr>
      <w:r>
        <w:rPr>
          <w:rFonts w:hint="eastAsia" w:hAnsi="宋体" w:cs="宋体"/>
          <w:bCs/>
          <w:kern w:val="2"/>
          <w:sz w:val="21"/>
          <w:szCs w:val="21"/>
          <w:highlight w:val="none"/>
        </w:rPr>
        <w:t>2.本表中“谈判报价”项应与谈判报价一览表中“谈判报价（元）”一致</w:t>
      </w:r>
      <w:r>
        <w:rPr>
          <w:rFonts w:hint="eastAsia" w:hAnsi="宋体" w:cs="宋体"/>
          <w:sz w:val="21"/>
          <w:szCs w:val="21"/>
          <w:highlight w:val="none"/>
        </w:rPr>
        <w:t>。</w:t>
      </w:r>
    </w:p>
    <w:p w14:paraId="439B938D">
      <w:pPr>
        <w:adjustRightInd w:val="0"/>
        <w:snapToGrid w:val="0"/>
        <w:spacing w:line="360" w:lineRule="auto"/>
        <w:jc w:val="left"/>
        <w:rPr>
          <w:rFonts w:ascii="宋体" w:hAnsi="宋体" w:cs="宋体"/>
          <w:szCs w:val="21"/>
          <w:highlight w:val="none"/>
        </w:rPr>
      </w:pPr>
    </w:p>
    <w:p w14:paraId="62E68F7E">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供应商：（加盖供应商电子公章）</w:t>
      </w:r>
    </w:p>
    <w:p w14:paraId="61FCA68C">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695A24E5">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日期：</w:t>
      </w:r>
    </w:p>
    <w:p w14:paraId="1245FCBB">
      <w:pPr>
        <w:rPr>
          <w:rFonts w:ascii="宋体" w:hAnsi="宋体" w:cs="宋体"/>
          <w:szCs w:val="21"/>
          <w:highlight w:val="none"/>
        </w:rPr>
        <w:sectPr>
          <w:pgSz w:w="16838" w:h="11906" w:orient="landscape"/>
          <w:pgMar w:top="1800" w:right="1440" w:bottom="1800" w:left="1440" w:header="510" w:footer="680" w:gutter="0"/>
          <w:cols w:space="720" w:num="1"/>
          <w:titlePg/>
          <w:docGrid w:type="linesAndChars" w:linePitch="312" w:charSpace="0"/>
        </w:sectPr>
      </w:pPr>
      <w:r>
        <w:rPr>
          <w:rFonts w:hint="eastAsia" w:ascii="宋体" w:hAnsi="宋体" w:cs="宋体"/>
          <w:szCs w:val="21"/>
          <w:highlight w:val="none"/>
        </w:rPr>
        <w:br w:type="page"/>
      </w:r>
    </w:p>
    <w:p w14:paraId="7B42B5BC">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 w:val="28"/>
          <w:szCs w:val="28"/>
          <w:highlight w:val="none"/>
        </w:rPr>
      </w:pPr>
      <w:r>
        <w:rPr>
          <w:rFonts w:hint="eastAsia" w:hAnsi="宋体" w:cs="宋体"/>
          <w:b/>
          <w:sz w:val="28"/>
          <w:szCs w:val="28"/>
          <w:highlight w:val="none"/>
        </w:rPr>
        <w:t>格式11</w:t>
      </w:r>
    </w:p>
    <w:p w14:paraId="3D494791">
      <w:pPr>
        <w:keepNext/>
        <w:keepLines/>
        <w:pageBreakBefore w:val="0"/>
        <w:widowControl w:val="0"/>
        <w:kinsoku/>
        <w:wordWrap/>
        <w:overflowPunct/>
        <w:topLinePunct w:val="0"/>
        <w:bidi w:val="0"/>
        <w:adjustRightInd w:val="0"/>
        <w:snapToGrid w:val="0"/>
        <w:spacing w:line="360" w:lineRule="auto"/>
        <w:ind w:firstLine="0"/>
        <w:jc w:val="center"/>
        <w:textAlignment w:val="auto"/>
        <w:rPr>
          <w:rFonts w:ascii="宋体" w:hAnsi="宋体" w:cs="宋体"/>
          <w:b/>
          <w:bCs/>
          <w:sz w:val="32"/>
          <w:szCs w:val="36"/>
          <w:highlight w:val="none"/>
        </w:rPr>
      </w:pPr>
      <w:r>
        <w:rPr>
          <w:rFonts w:hint="eastAsia" w:ascii="宋体" w:hAnsi="宋体" w:cs="宋体"/>
          <w:b/>
          <w:bCs/>
          <w:sz w:val="32"/>
          <w:szCs w:val="36"/>
          <w:highlight w:val="none"/>
        </w:rPr>
        <w:t>随机专用工具明细表</w:t>
      </w:r>
    </w:p>
    <w:p w14:paraId="28DE5676">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项目名称：</w:t>
      </w:r>
    </w:p>
    <w:p w14:paraId="4C12F131">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项目编号：</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0"/>
        <w:gridCol w:w="1279"/>
        <w:gridCol w:w="1383"/>
        <w:gridCol w:w="733"/>
        <w:gridCol w:w="1088"/>
        <w:gridCol w:w="708"/>
      </w:tblGrid>
      <w:tr w14:paraId="3BD7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vAlign w:val="center"/>
          </w:tcPr>
          <w:p w14:paraId="5AA30297">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2400" w:type="dxa"/>
            <w:vAlign w:val="center"/>
          </w:tcPr>
          <w:p w14:paraId="4EC7AAC4">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名称</w:t>
            </w:r>
          </w:p>
        </w:tc>
        <w:tc>
          <w:tcPr>
            <w:tcW w:w="1279" w:type="dxa"/>
            <w:vAlign w:val="center"/>
          </w:tcPr>
          <w:p w14:paraId="37D37325">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型号和规格</w:t>
            </w:r>
          </w:p>
        </w:tc>
        <w:tc>
          <w:tcPr>
            <w:tcW w:w="1383" w:type="dxa"/>
            <w:vAlign w:val="center"/>
          </w:tcPr>
          <w:p w14:paraId="426EA3DA">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生产制造商名称、国别</w:t>
            </w:r>
          </w:p>
        </w:tc>
        <w:tc>
          <w:tcPr>
            <w:tcW w:w="733" w:type="dxa"/>
            <w:vAlign w:val="center"/>
          </w:tcPr>
          <w:p w14:paraId="34533754">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数量</w:t>
            </w:r>
          </w:p>
        </w:tc>
        <w:tc>
          <w:tcPr>
            <w:tcW w:w="1088" w:type="dxa"/>
            <w:vAlign w:val="center"/>
          </w:tcPr>
          <w:p w14:paraId="690952BA">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计量单位</w:t>
            </w:r>
          </w:p>
        </w:tc>
        <w:tc>
          <w:tcPr>
            <w:tcW w:w="708" w:type="dxa"/>
            <w:vAlign w:val="center"/>
          </w:tcPr>
          <w:p w14:paraId="4D034A08">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备注</w:t>
            </w:r>
          </w:p>
        </w:tc>
      </w:tr>
      <w:tr w14:paraId="693F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0EA8E7B2">
            <w:pPr>
              <w:adjustRightInd w:val="0"/>
              <w:snapToGrid w:val="0"/>
              <w:spacing w:line="360" w:lineRule="auto"/>
              <w:rPr>
                <w:rFonts w:ascii="宋体" w:hAnsi="宋体" w:cs="宋体"/>
                <w:szCs w:val="21"/>
                <w:highlight w:val="none"/>
              </w:rPr>
            </w:pPr>
          </w:p>
        </w:tc>
        <w:tc>
          <w:tcPr>
            <w:tcW w:w="2400" w:type="dxa"/>
          </w:tcPr>
          <w:p w14:paraId="27652C96">
            <w:pPr>
              <w:adjustRightInd w:val="0"/>
              <w:snapToGrid w:val="0"/>
              <w:spacing w:line="360" w:lineRule="auto"/>
              <w:rPr>
                <w:rFonts w:ascii="宋体" w:hAnsi="宋体" w:cs="宋体"/>
                <w:szCs w:val="21"/>
                <w:highlight w:val="none"/>
              </w:rPr>
            </w:pPr>
          </w:p>
        </w:tc>
        <w:tc>
          <w:tcPr>
            <w:tcW w:w="1279" w:type="dxa"/>
          </w:tcPr>
          <w:p w14:paraId="22E2FC17">
            <w:pPr>
              <w:adjustRightInd w:val="0"/>
              <w:snapToGrid w:val="0"/>
              <w:spacing w:line="360" w:lineRule="auto"/>
              <w:rPr>
                <w:rFonts w:ascii="宋体" w:hAnsi="宋体" w:cs="宋体"/>
                <w:szCs w:val="21"/>
                <w:highlight w:val="none"/>
              </w:rPr>
            </w:pPr>
          </w:p>
        </w:tc>
        <w:tc>
          <w:tcPr>
            <w:tcW w:w="1383" w:type="dxa"/>
          </w:tcPr>
          <w:p w14:paraId="1CC9F790">
            <w:pPr>
              <w:adjustRightInd w:val="0"/>
              <w:snapToGrid w:val="0"/>
              <w:spacing w:line="360" w:lineRule="auto"/>
              <w:rPr>
                <w:rFonts w:ascii="宋体" w:hAnsi="宋体" w:cs="宋体"/>
                <w:szCs w:val="21"/>
                <w:highlight w:val="none"/>
              </w:rPr>
            </w:pPr>
          </w:p>
        </w:tc>
        <w:tc>
          <w:tcPr>
            <w:tcW w:w="733" w:type="dxa"/>
          </w:tcPr>
          <w:p w14:paraId="45BD62D6">
            <w:pPr>
              <w:adjustRightInd w:val="0"/>
              <w:snapToGrid w:val="0"/>
              <w:spacing w:line="360" w:lineRule="auto"/>
              <w:rPr>
                <w:rFonts w:ascii="宋体" w:hAnsi="宋体" w:cs="宋体"/>
                <w:szCs w:val="21"/>
                <w:highlight w:val="none"/>
              </w:rPr>
            </w:pPr>
          </w:p>
        </w:tc>
        <w:tc>
          <w:tcPr>
            <w:tcW w:w="1088" w:type="dxa"/>
          </w:tcPr>
          <w:p w14:paraId="0D739FC7">
            <w:pPr>
              <w:adjustRightInd w:val="0"/>
              <w:snapToGrid w:val="0"/>
              <w:spacing w:line="360" w:lineRule="auto"/>
              <w:rPr>
                <w:rFonts w:ascii="宋体" w:hAnsi="宋体" w:cs="宋体"/>
                <w:szCs w:val="21"/>
                <w:highlight w:val="none"/>
              </w:rPr>
            </w:pPr>
          </w:p>
        </w:tc>
        <w:tc>
          <w:tcPr>
            <w:tcW w:w="708" w:type="dxa"/>
          </w:tcPr>
          <w:p w14:paraId="7197B432">
            <w:pPr>
              <w:adjustRightInd w:val="0"/>
              <w:snapToGrid w:val="0"/>
              <w:spacing w:line="360" w:lineRule="auto"/>
              <w:rPr>
                <w:rFonts w:ascii="宋体" w:hAnsi="宋体" w:cs="宋体"/>
                <w:szCs w:val="21"/>
                <w:highlight w:val="none"/>
              </w:rPr>
            </w:pPr>
          </w:p>
        </w:tc>
      </w:tr>
      <w:tr w14:paraId="10B6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52F3AD93">
            <w:pPr>
              <w:adjustRightInd w:val="0"/>
              <w:snapToGrid w:val="0"/>
              <w:spacing w:line="360" w:lineRule="auto"/>
              <w:rPr>
                <w:rFonts w:ascii="宋体" w:hAnsi="宋体" w:cs="宋体"/>
                <w:szCs w:val="21"/>
                <w:highlight w:val="none"/>
              </w:rPr>
            </w:pPr>
          </w:p>
        </w:tc>
        <w:tc>
          <w:tcPr>
            <w:tcW w:w="2400" w:type="dxa"/>
          </w:tcPr>
          <w:p w14:paraId="68910F72">
            <w:pPr>
              <w:adjustRightInd w:val="0"/>
              <w:snapToGrid w:val="0"/>
              <w:spacing w:line="360" w:lineRule="auto"/>
              <w:rPr>
                <w:rFonts w:ascii="宋体" w:hAnsi="宋体" w:cs="宋体"/>
                <w:szCs w:val="21"/>
                <w:highlight w:val="none"/>
              </w:rPr>
            </w:pPr>
          </w:p>
        </w:tc>
        <w:tc>
          <w:tcPr>
            <w:tcW w:w="1279" w:type="dxa"/>
          </w:tcPr>
          <w:p w14:paraId="1E4C0AD5">
            <w:pPr>
              <w:adjustRightInd w:val="0"/>
              <w:snapToGrid w:val="0"/>
              <w:spacing w:line="360" w:lineRule="auto"/>
              <w:rPr>
                <w:rFonts w:ascii="宋体" w:hAnsi="宋体" w:cs="宋体"/>
                <w:szCs w:val="21"/>
                <w:highlight w:val="none"/>
              </w:rPr>
            </w:pPr>
          </w:p>
        </w:tc>
        <w:tc>
          <w:tcPr>
            <w:tcW w:w="1383" w:type="dxa"/>
          </w:tcPr>
          <w:p w14:paraId="6B8C156A">
            <w:pPr>
              <w:adjustRightInd w:val="0"/>
              <w:snapToGrid w:val="0"/>
              <w:spacing w:line="360" w:lineRule="auto"/>
              <w:rPr>
                <w:rFonts w:ascii="宋体" w:hAnsi="宋体" w:cs="宋体"/>
                <w:szCs w:val="21"/>
                <w:highlight w:val="none"/>
              </w:rPr>
            </w:pPr>
          </w:p>
        </w:tc>
        <w:tc>
          <w:tcPr>
            <w:tcW w:w="733" w:type="dxa"/>
          </w:tcPr>
          <w:p w14:paraId="32F3E963">
            <w:pPr>
              <w:adjustRightInd w:val="0"/>
              <w:snapToGrid w:val="0"/>
              <w:spacing w:line="360" w:lineRule="auto"/>
              <w:rPr>
                <w:rFonts w:ascii="宋体" w:hAnsi="宋体" w:cs="宋体"/>
                <w:szCs w:val="21"/>
                <w:highlight w:val="none"/>
              </w:rPr>
            </w:pPr>
          </w:p>
        </w:tc>
        <w:tc>
          <w:tcPr>
            <w:tcW w:w="1088" w:type="dxa"/>
          </w:tcPr>
          <w:p w14:paraId="2DBDBD28">
            <w:pPr>
              <w:adjustRightInd w:val="0"/>
              <w:snapToGrid w:val="0"/>
              <w:spacing w:line="360" w:lineRule="auto"/>
              <w:rPr>
                <w:rFonts w:ascii="宋体" w:hAnsi="宋体" w:cs="宋体"/>
                <w:szCs w:val="21"/>
                <w:highlight w:val="none"/>
              </w:rPr>
            </w:pPr>
          </w:p>
        </w:tc>
        <w:tc>
          <w:tcPr>
            <w:tcW w:w="708" w:type="dxa"/>
          </w:tcPr>
          <w:p w14:paraId="0A36E595">
            <w:pPr>
              <w:adjustRightInd w:val="0"/>
              <w:snapToGrid w:val="0"/>
              <w:spacing w:line="360" w:lineRule="auto"/>
              <w:rPr>
                <w:rFonts w:ascii="宋体" w:hAnsi="宋体" w:cs="宋体"/>
                <w:szCs w:val="21"/>
                <w:highlight w:val="none"/>
              </w:rPr>
            </w:pPr>
          </w:p>
        </w:tc>
      </w:tr>
      <w:tr w14:paraId="405A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jc w:val="center"/>
        </w:trPr>
        <w:tc>
          <w:tcPr>
            <w:tcW w:w="710" w:type="dxa"/>
          </w:tcPr>
          <w:p w14:paraId="4B24DB57">
            <w:pPr>
              <w:adjustRightInd w:val="0"/>
              <w:snapToGrid w:val="0"/>
              <w:spacing w:line="360" w:lineRule="auto"/>
              <w:rPr>
                <w:rFonts w:ascii="宋体" w:hAnsi="宋体" w:cs="宋体"/>
                <w:szCs w:val="21"/>
                <w:highlight w:val="none"/>
              </w:rPr>
            </w:pPr>
          </w:p>
        </w:tc>
        <w:tc>
          <w:tcPr>
            <w:tcW w:w="2400" w:type="dxa"/>
          </w:tcPr>
          <w:p w14:paraId="03D2C746">
            <w:pPr>
              <w:adjustRightInd w:val="0"/>
              <w:snapToGrid w:val="0"/>
              <w:spacing w:line="360" w:lineRule="auto"/>
              <w:rPr>
                <w:rFonts w:ascii="宋体" w:hAnsi="宋体" w:cs="宋体"/>
                <w:szCs w:val="21"/>
                <w:highlight w:val="none"/>
              </w:rPr>
            </w:pPr>
          </w:p>
        </w:tc>
        <w:tc>
          <w:tcPr>
            <w:tcW w:w="1279" w:type="dxa"/>
          </w:tcPr>
          <w:p w14:paraId="31CAD2EB">
            <w:pPr>
              <w:adjustRightInd w:val="0"/>
              <w:snapToGrid w:val="0"/>
              <w:spacing w:line="360" w:lineRule="auto"/>
              <w:rPr>
                <w:rFonts w:ascii="宋体" w:hAnsi="宋体" w:cs="宋体"/>
                <w:szCs w:val="21"/>
                <w:highlight w:val="none"/>
              </w:rPr>
            </w:pPr>
          </w:p>
        </w:tc>
        <w:tc>
          <w:tcPr>
            <w:tcW w:w="1383" w:type="dxa"/>
          </w:tcPr>
          <w:p w14:paraId="2DDDC8BA">
            <w:pPr>
              <w:adjustRightInd w:val="0"/>
              <w:snapToGrid w:val="0"/>
              <w:spacing w:line="360" w:lineRule="auto"/>
              <w:rPr>
                <w:rFonts w:ascii="宋体" w:hAnsi="宋体" w:cs="宋体"/>
                <w:szCs w:val="21"/>
                <w:highlight w:val="none"/>
              </w:rPr>
            </w:pPr>
          </w:p>
        </w:tc>
        <w:tc>
          <w:tcPr>
            <w:tcW w:w="733" w:type="dxa"/>
          </w:tcPr>
          <w:p w14:paraId="3BA47CC7">
            <w:pPr>
              <w:adjustRightInd w:val="0"/>
              <w:snapToGrid w:val="0"/>
              <w:spacing w:line="360" w:lineRule="auto"/>
              <w:rPr>
                <w:rFonts w:ascii="宋体" w:hAnsi="宋体" w:cs="宋体"/>
                <w:szCs w:val="21"/>
                <w:highlight w:val="none"/>
              </w:rPr>
            </w:pPr>
          </w:p>
        </w:tc>
        <w:tc>
          <w:tcPr>
            <w:tcW w:w="1088" w:type="dxa"/>
          </w:tcPr>
          <w:p w14:paraId="6B4BFD44">
            <w:pPr>
              <w:adjustRightInd w:val="0"/>
              <w:snapToGrid w:val="0"/>
              <w:spacing w:line="360" w:lineRule="auto"/>
              <w:rPr>
                <w:rFonts w:ascii="宋体" w:hAnsi="宋体" w:cs="宋体"/>
                <w:szCs w:val="21"/>
                <w:highlight w:val="none"/>
              </w:rPr>
            </w:pPr>
          </w:p>
        </w:tc>
        <w:tc>
          <w:tcPr>
            <w:tcW w:w="708" w:type="dxa"/>
          </w:tcPr>
          <w:p w14:paraId="3D3199EA">
            <w:pPr>
              <w:adjustRightInd w:val="0"/>
              <w:snapToGrid w:val="0"/>
              <w:spacing w:line="360" w:lineRule="auto"/>
              <w:rPr>
                <w:rFonts w:ascii="宋体" w:hAnsi="宋体" w:cs="宋体"/>
                <w:szCs w:val="21"/>
                <w:highlight w:val="none"/>
              </w:rPr>
            </w:pPr>
          </w:p>
        </w:tc>
      </w:tr>
    </w:tbl>
    <w:p w14:paraId="4BEB8AF9">
      <w:pPr>
        <w:adjustRightInd w:val="0"/>
        <w:snapToGrid w:val="0"/>
        <w:spacing w:line="360" w:lineRule="auto"/>
        <w:rPr>
          <w:rFonts w:ascii="宋体" w:hAnsi="宋体" w:cs="宋体"/>
          <w:szCs w:val="21"/>
          <w:highlight w:val="none"/>
        </w:rPr>
      </w:pPr>
      <w:r>
        <w:rPr>
          <w:rFonts w:hint="eastAsia" w:ascii="宋体" w:hAnsi="宋体" w:cs="宋体"/>
          <w:szCs w:val="21"/>
          <w:highlight w:val="none"/>
        </w:rPr>
        <w:t>注：</w:t>
      </w:r>
    </w:p>
    <w:p w14:paraId="2F3D5B4F">
      <w:pPr>
        <w:adjustRightInd w:val="0"/>
        <w:snapToGrid w:val="0"/>
        <w:spacing w:line="360" w:lineRule="auto"/>
        <w:rPr>
          <w:rFonts w:ascii="宋体" w:hAnsi="宋体" w:cs="宋体"/>
          <w:szCs w:val="21"/>
          <w:highlight w:val="none"/>
        </w:rPr>
      </w:pPr>
      <w:r>
        <w:rPr>
          <w:rFonts w:hint="eastAsia" w:ascii="宋体" w:hAnsi="宋体" w:cs="宋体"/>
          <w:szCs w:val="21"/>
          <w:highlight w:val="none"/>
        </w:rPr>
        <w:t>1.供应商若提供随机专用工具，此费用须包含在谈判报价中，不单独列报。</w:t>
      </w:r>
    </w:p>
    <w:p w14:paraId="644B134B">
      <w:pPr>
        <w:adjustRightInd w:val="0"/>
        <w:snapToGrid w:val="0"/>
        <w:spacing w:line="360" w:lineRule="auto"/>
        <w:rPr>
          <w:rFonts w:ascii="宋体" w:hAnsi="宋体" w:cs="宋体"/>
          <w:szCs w:val="21"/>
          <w:highlight w:val="none"/>
        </w:rPr>
      </w:pPr>
      <w:bookmarkStart w:id="163" w:name="_Toc32441"/>
      <w:r>
        <w:rPr>
          <w:rFonts w:hint="eastAsia" w:ascii="宋体" w:hAnsi="宋体" w:cs="宋体"/>
          <w:szCs w:val="21"/>
          <w:highlight w:val="none"/>
        </w:rPr>
        <w:t>2.供应商可根据实际情况拓展本表。</w:t>
      </w:r>
      <w:bookmarkEnd w:id="163"/>
    </w:p>
    <w:p w14:paraId="642EED54">
      <w:pPr>
        <w:adjustRightInd w:val="0"/>
        <w:snapToGrid w:val="0"/>
        <w:spacing w:line="360" w:lineRule="auto"/>
        <w:rPr>
          <w:rFonts w:ascii="宋体" w:hAnsi="宋体" w:cs="宋体"/>
          <w:szCs w:val="21"/>
          <w:highlight w:val="none"/>
        </w:rPr>
      </w:pPr>
    </w:p>
    <w:p w14:paraId="0C7FDB9D">
      <w:pPr>
        <w:adjustRightInd w:val="0"/>
        <w:snapToGrid w:val="0"/>
        <w:spacing w:line="360" w:lineRule="auto"/>
        <w:jc w:val="left"/>
        <w:rPr>
          <w:rFonts w:ascii="宋体" w:hAnsi="宋体" w:cs="宋体"/>
          <w:szCs w:val="21"/>
          <w:highlight w:val="none"/>
        </w:rPr>
      </w:pPr>
    </w:p>
    <w:p w14:paraId="390BADD0">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供应商：（加盖供应商电子公章）</w:t>
      </w:r>
    </w:p>
    <w:p w14:paraId="5D494B22">
      <w:pPr>
        <w:adjustRightInd w:val="0"/>
        <w:snapToGrid w:val="0"/>
        <w:spacing w:line="360" w:lineRule="auto"/>
        <w:ind w:firstLine="2" w:firstLineChars="1"/>
        <w:jc w:val="left"/>
        <w:rPr>
          <w:rFonts w:ascii="宋体" w:hAnsi="宋体" w:cs="宋体"/>
          <w:highlight w:val="none"/>
        </w:rPr>
      </w:pPr>
    </w:p>
    <w:p w14:paraId="765E4F72">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5B739030">
      <w:pPr>
        <w:adjustRightInd w:val="0"/>
        <w:snapToGrid w:val="0"/>
        <w:spacing w:line="360" w:lineRule="auto"/>
        <w:ind w:firstLine="2" w:firstLineChars="1"/>
        <w:jc w:val="left"/>
        <w:rPr>
          <w:rFonts w:ascii="宋体" w:hAnsi="宋体" w:cs="宋体"/>
          <w:szCs w:val="21"/>
          <w:highlight w:val="none"/>
        </w:rPr>
      </w:pPr>
    </w:p>
    <w:p w14:paraId="386302C4">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日期：</w:t>
      </w:r>
    </w:p>
    <w:p w14:paraId="7CDE7754">
      <w:pPr>
        <w:keepNext/>
        <w:keepLines/>
        <w:pageBreakBefore w:val="0"/>
        <w:widowControl w:val="0"/>
        <w:kinsoku/>
        <w:wordWrap/>
        <w:overflowPunct/>
        <w:topLinePunct w:val="0"/>
        <w:bidi w:val="0"/>
        <w:adjustRightInd w:val="0"/>
        <w:snapToGrid w:val="0"/>
        <w:spacing w:line="360" w:lineRule="auto"/>
        <w:ind w:firstLine="0"/>
        <w:jc w:val="left"/>
        <w:textAlignment w:val="auto"/>
        <w:rPr>
          <w:rFonts w:ascii="宋体" w:hAnsi="宋体" w:cs="宋体"/>
          <w:b/>
          <w:sz w:val="28"/>
          <w:szCs w:val="28"/>
          <w:highlight w:val="none"/>
        </w:rPr>
      </w:pPr>
      <w:r>
        <w:rPr>
          <w:rFonts w:hint="eastAsia" w:ascii="宋体" w:hAnsi="宋体" w:cs="宋体"/>
          <w:b/>
          <w:sz w:val="28"/>
          <w:szCs w:val="28"/>
          <w:highlight w:val="none"/>
        </w:rPr>
        <w:br w:type="page"/>
      </w:r>
      <w:r>
        <w:rPr>
          <w:rFonts w:hint="eastAsia" w:ascii="宋体" w:hAnsi="宋体" w:cs="宋体"/>
          <w:b/>
          <w:sz w:val="28"/>
          <w:szCs w:val="28"/>
          <w:highlight w:val="none"/>
        </w:rPr>
        <w:t>格式12</w:t>
      </w:r>
    </w:p>
    <w:p w14:paraId="1C6AD630">
      <w:pPr>
        <w:keepNext/>
        <w:keepLines/>
        <w:pageBreakBefore w:val="0"/>
        <w:widowControl w:val="0"/>
        <w:kinsoku/>
        <w:wordWrap/>
        <w:overflowPunct/>
        <w:topLinePunct w:val="0"/>
        <w:bidi w:val="0"/>
        <w:adjustRightInd w:val="0"/>
        <w:snapToGrid w:val="0"/>
        <w:spacing w:line="360" w:lineRule="auto"/>
        <w:ind w:firstLine="0"/>
        <w:jc w:val="center"/>
        <w:textAlignment w:val="auto"/>
        <w:rPr>
          <w:rFonts w:ascii="宋体" w:hAnsi="宋体" w:cs="宋体"/>
          <w:b/>
          <w:bCs/>
          <w:sz w:val="32"/>
          <w:szCs w:val="36"/>
          <w:highlight w:val="none"/>
        </w:rPr>
      </w:pPr>
      <w:r>
        <w:rPr>
          <w:rFonts w:hint="eastAsia" w:ascii="宋体" w:hAnsi="宋体" w:cs="宋体"/>
          <w:b/>
          <w:bCs/>
          <w:sz w:val="32"/>
          <w:szCs w:val="36"/>
          <w:highlight w:val="none"/>
        </w:rPr>
        <w:t>备品备件明细表</w:t>
      </w:r>
    </w:p>
    <w:p w14:paraId="3EA923D2">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项目名称：</w:t>
      </w:r>
    </w:p>
    <w:p w14:paraId="7004D61E">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项目编号：</w:t>
      </w:r>
    </w:p>
    <w:tbl>
      <w:tblPr>
        <w:tblStyle w:val="38"/>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867"/>
        <w:gridCol w:w="1279"/>
        <w:gridCol w:w="1383"/>
        <w:gridCol w:w="925"/>
        <w:gridCol w:w="1134"/>
        <w:gridCol w:w="1134"/>
      </w:tblGrid>
      <w:tr w14:paraId="76BA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vAlign w:val="center"/>
          </w:tcPr>
          <w:p w14:paraId="7BC53757">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1867" w:type="dxa"/>
            <w:vAlign w:val="center"/>
          </w:tcPr>
          <w:p w14:paraId="50CE1F37">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名称</w:t>
            </w:r>
          </w:p>
        </w:tc>
        <w:tc>
          <w:tcPr>
            <w:tcW w:w="1279" w:type="dxa"/>
            <w:vAlign w:val="center"/>
          </w:tcPr>
          <w:p w14:paraId="7C63B1F6">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型号和规格</w:t>
            </w:r>
          </w:p>
        </w:tc>
        <w:tc>
          <w:tcPr>
            <w:tcW w:w="1383" w:type="dxa"/>
            <w:vAlign w:val="center"/>
          </w:tcPr>
          <w:p w14:paraId="48E2AF0C">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生产制造商名称、国别</w:t>
            </w:r>
          </w:p>
        </w:tc>
        <w:tc>
          <w:tcPr>
            <w:tcW w:w="925" w:type="dxa"/>
            <w:vAlign w:val="center"/>
          </w:tcPr>
          <w:p w14:paraId="59F83C03">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数量</w:t>
            </w:r>
          </w:p>
        </w:tc>
        <w:tc>
          <w:tcPr>
            <w:tcW w:w="1134" w:type="dxa"/>
            <w:vAlign w:val="center"/>
          </w:tcPr>
          <w:p w14:paraId="7E42D907">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计量单位</w:t>
            </w:r>
          </w:p>
        </w:tc>
        <w:tc>
          <w:tcPr>
            <w:tcW w:w="1134" w:type="dxa"/>
            <w:vAlign w:val="center"/>
          </w:tcPr>
          <w:p w14:paraId="0C4BE043">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备注</w:t>
            </w:r>
          </w:p>
        </w:tc>
      </w:tr>
      <w:tr w14:paraId="4EDC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1625D108">
            <w:pPr>
              <w:adjustRightInd w:val="0"/>
              <w:snapToGrid w:val="0"/>
              <w:spacing w:line="360" w:lineRule="auto"/>
              <w:rPr>
                <w:rFonts w:ascii="宋体" w:hAnsi="宋体" w:cs="宋体"/>
                <w:szCs w:val="21"/>
                <w:highlight w:val="none"/>
              </w:rPr>
            </w:pPr>
          </w:p>
        </w:tc>
        <w:tc>
          <w:tcPr>
            <w:tcW w:w="1867" w:type="dxa"/>
          </w:tcPr>
          <w:p w14:paraId="5A398D24">
            <w:pPr>
              <w:adjustRightInd w:val="0"/>
              <w:snapToGrid w:val="0"/>
              <w:spacing w:line="360" w:lineRule="auto"/>
              <w:rPr>
                <w:rFonts w:ascii="宋体" w:hAnsi="宋体" w:cs="宋体"/>
                <w:szCs w:val="21"/>
                <w:highlight w:val="none"/>
              </w:rPr>
            </w:pPr>
          </w:p>
        </w:tc>
        <w:tc>
          <w:tcPr>
            <w:tcW w:w="1279" w:type="dxa"/>
          </w:tcPr>
          <w:p w14:paraId="3055425F">
            <w:pPr>
              <w:adjustRightInd w:val="0"/>
              <w:snapToGrid w:val="0"/>
              <w:spacing w:line="360" w:lineRule="auto"/>
              <w:rPr>
                <w:rFonts w:ascii="宋体" w:hAnsi="宋体" w:cs="宋体"/>
                <w:szCs w:val="21"/>
                <w:highlight w:val="none"/>
              </w:rPr>
            </w:pPr>
          </w:p>
        </w:tc>
        <w:tc>
          <w:tcPr>
            <w:tcW w:w="1383" w:type="dxa"/>
          </w:tcPr>
          <w:p w14:paraId="11DAE5C3">
            <w:pPr>
              <w:adjustRightInd w:val="0"/>
              <w:snapToGrid w:val="0"/>
              <w:spacing w:line="360" w:lineRule="auto"/>
              <w:rPr>
                <w:rFonts w:ascii="宋体" w:hAnsi="宋体" w:cs="宋体"/>
                <w:szCs w:val="21"/>
                <w:highlight w:val="none"/>
              </w:rPr>
            </w:pPr>
          </w:p>
        </w:tc>
        <w:tc>
          <w:tcPr>
            <w:tcW w:w="925" w:type="dxa"/>
          </w:tcPr>
          <w:p w14:paraId="26C00873">
            <w:pPr>
              <w:adjustRightInd w:val="0"/>
              <w:snapToGrid w:val="0"/>
              <w:spacing w:line="360" w:lineRule="auto"/>
              <w:rPr>
                <w:rFonts w:ascii="宋体" w:hAnsi="宋体" w:cs="宋体"/>
                <w:szCs w:val="21"/>
                <w:highlight w:val="none"/>
              </w:rPr>
            </w:pPr>
          </w:p>
        </w:tc>
        <w:tc>
          <w:tcPr>
            <w:tcW w:w="1134" w:type="dxa"/>
          </w:tcPr>
          <w:p w14:paraId="470E13D4">
            <w:pPr>
              <w:adjustRightInd w:val="0"/>
              <w:snapToGrid w:val="0"/>
              <w:spacing w:line="360" w:lineRule="auto"/>
              <w:rPr>
                <w:rFonts w:ascii="宋体" w:hAnsi="宋体" w:cs="宋体"/>
                <w:szCs w:val="21"/>
                <w:highlight w:val="none"/>
              </w:rPr>
            </w:pPr>
          </w:p>
        </w:tc>
        <w:tc>
          <w:tcPr>
            <w:tcW w:w="1134" w:type="dxa"/>
          </w:tcPr>
          <w:p w14:paraId="715D25EB">
            <w:pPr>
              <w:adjustRightInd w:val="0"/>
              <w:snapToGrid w:val="0"/>
              <w:spacing w:line="360" w:lineRule="auto"/>
              <w:rPr>
                <w:rFonts w:ascii="宋体" w:hAnsi="宋体" w:cs="宋体"/>
                <w:szCs w:val="21"/>
                <w:highlight w:val="none"/>
              </w:rPr>
            </w:pPr>
          </w:p>
        </w:tc>
      </w:tr>
      <w:tr w14:paraId="617E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00B7F64D">
            <w:pPr>
              <w:adjustRightInd w:val="0"/>
              <w:snapToGrid w:val="0"/>
              <w:spacing w:line="360" w:lineRule="auto"/>
              <w:rPr>
                <w:rFonts w:ascii="宋体" w:hAnsi="宋体" w:cs="宋体"/>
                <w:szCs w:val="21"/>
                <w:highlight w:val="none"/>
              </w:rPr>
            </w:pPr>
          </w:p>
        </w:tc>
        <w:tc>
          <w:tcPr>
            <w:tcW w:w="1867" w:type="dxa"/>
          </w:tcPr>
          <w:p w14:paraId="12E99CCB">
            <w:pPr>
              <w:adjustRightInd w:val="0"/>
              <w:snapToGrid w:val="0"/>
              <w:spacing w:line="360" w:lineRule="auto"/>
              <w:rPr>
                <w:rFonts w:ascii="宋体" w:hAnsi="宋体" w:cs="宋体"/>
                <w:szCs w:val="21"/>
                <w:highlight w:val="none"/>
              </w:rPr>
            </w:pPr>
          </w:p>
        </w:tc>
        <w:tc>
          <w:tcPr>
            <w:tcW w:w="1279" w:type="dxa"/>
          </w:tcPr>
          <w:p w14:paraId="07C8FA72">
            <w:pPr>
              <w:adjustRightInd w:val="0"/>
              <w:snapToGrid w:val="0"/>
              <w:spacing w:line="360" w:lineRule="auto"/>
              <w:rPr>
                <w:rFonts w:ascii="宋体" w:hAnsi="宋体" w:cs="宋体"/>
                <w:szCs w:val="21"/>
                <w:highlight w:val="none"/>
              </w:rPr>
            </w:pPr>
          </w:p>
        </w:tc>
        <w:tc>
          <w:tcPr>
            <w:tcW w:w="1383" w:type="dxa"/>
          </w:tcPr>
          <w:p w14:paraId="6B060C35">
            <w:pPr>
              <w:adjustRightInd w:val="0"/>
              <w:snapToGrid w:val="0"/>
              <w:spacing w:line="360" w:lineRule="auto"/>
              <w:rPr>
                <w:rFonts w:ascii="宋体" w:hAnsi="宋体" w:cs="宋体"/>
                <w:szCs w:val="21"/>
                <w:highlight w:val="none"/>
              </w:rPr>
            </w:pPr>
          </w:p>
        </w:tc>
        <w:tc>
          <w:tcPr>
            <w:tcW w:w="925" w:type="dxa"/>
          </w:tcPr>
          <w:p w14:paraId="482D124B">
            <w:pPr>
              <w:adjustRightInd w:val="0"/>
              <w:snapToGrid w:val="0"/>
              <w:spacing w:line="360" w:lineRule="auto"/>
              <w:rPr>
                <w:rFonts w:ascii="宋体" w:hAnsi="宋体" w:cs="宋体"/>
                <w:szCs w:val="21"/>
                <w:highlight w:val="none"/>
              </w:rPr>
            </w:pPr>
          </w:p>
        </w:tc>
        <w:tc>
          <w:tcPr>
            <w:tcW w:w="1134" w:type="dxa"/>
          </w:tcPr>
          <w:p w14:paraId="1D0652E2">
            <w:pPr>
              <w:adjustRightInd w:val="0"/>
              <w:snapToGrid w:val="0"/>
              <w:spacing w:line="360" w:lineRule="auto"/>
              <w:rPr>
                <w:rFonts w:ascii="宋体" w:hAnsi="宋体" w:cs="宋体"/>
                <w:szCs w:val="21"/>
                <w:highlight w:val="none"/>
              </w:rPr>
            </w:pPr>
          </w:p>
        </w:tc>
        <w:tc>
          <w:tcPr>
            <w:tcW w:w="1134" w:type="dxa"/>
          </w:tcPr>
          <w:p w14:paraId="76281908">
            <w:pPr>
              <w:adjustRightInd w:val="0"/>
              <w:snapToGrid w:val="0"/>
              <w:spacing w:line="360" w:lineRule="auto"/>
              <w:rPr>
                <w:rFonts w:ascii="宋体" w:hAnsi="宋体" w:cs="宋体"/>
                <w:szCs w:val="21"/>
                <w:highlight w:val="none"/>
              </w:rPr>
            </w:pPr>
          </w:p>
        </w:tc>
      </w:tr>
      <w:tr w14:paraId="74A0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79EE46A0">
            <w:pPr>
              <w:adjustRightInd w:val="0"/>
              <w:snapToGrid w:val="0"/>
              <w:spacing w:line="360" w:lineRule="auto"/>
              <w:rPr>
                <w:rFonts w:ascii="宋体" w:hAnsi="宋体" w:cs="宋体"/>
                <w:szCs w:val="21"/>
                <w:highlight w:val="none"/>
              </w:rPr>
            </w:pPr>
          </w:p>
        </w:tc>
        <w:tc>
          <w:tcPr>
            <w:tcW w:w="1867" w:type="dxa"/>
          </w:tcPr>
          <w:p w14:paraId="302F6EB3">
            <w:pPr>
              <w:adjustRightInd w:val="0"/>
              <w:snapToGrid w:val="0"/>
              <w:spacing w:line="360" w:lineRule="auto"/>
              <w:rPr>
                <w:rFonts w:ascii="宋体" w:hAnsi="宋体" w:cs="宋体"/>
                <w:szCs w:val="21"/>
                <w:highlight w:val="none"/>
              </w:rPr>
            </w:pPr>
          </w:p>
        </w:tc>
        <w:tc>
          <w:tcPr>
            <w:tcW w:w="1279" w:type="dxa"/>
          </w:tcPr>
          <w:p w14:paraId="6EF3CD63">
            <w:pPr>
              <w:adjustRightInd w:val="0"/>
              <w:snapToGrid w:val="0"/>
              <w:spacing w:line="360" w:lineRule="auto"/>
              <w:rPr>
                <w:rFonts w:ascii="宋体" w:hAnsi="宋体" w:cs="宋体"/>
                <w:szCs w:val="21"/>
                <w:highlight w:val="none"/>
              </w:rPr>
            </w:pPr>
          </w:p>
        </w:tc>
        <w:tc>
          <w:tcPr>
            <w:tcW w:w="1383" w:type="dxa"/>
          </w:tcPr>
          <w:p w14:paraId="3E5C5704">
            <w:pPr>
              <w:adjustRightInd w:val="0"/>
              <w:snapToGrid w:val="0"/>
              <w:spacing w:line="360" w:lineRule="auto"/>
              <w:rPr>
                <w:rFonts w:ascii="宋体" w:hAnsi="宋体" w:cs="宋体"/>
                <w:szCs w:val="21"/>
                <w:highlight w:val="none"/>
              </w:rPr>
            </w:pPr>
          </w:p>
        </w:tc>
        <w:tc>
          <w:tcPr>
            <w:tcW w:w="925" w:type="dxa"/>
          </w:tcPr>
          <w:p w14:paraId="282A90DE">
            <w:pPr>
              <w:adjustRightInd w:val="0"/>
              <w:snapToGrid w:val="0"/>
              <w:spacing w:line="360" w:lineRule="auto"/>
              <w:rPr>
                <w:rFonts w:ascii="宋体" w:hAnsi="宋体" w:cs="宋体"/>
                <w:szCs w:val="21"/>
                <w:highlight w:val="none"/>
              </w:rPr>
            </w:pPr>
          </w:p>
        </w:tc>
        <w:tc>
          <w:tcPr>
            <w:tcW w:w="1134" w:type="dxa"/>
          </w:tcPr>
          <w:p w14:paraId="702F07A2">
            <w:pPr>
              <w:adjustRightInd w:val="0"/>
              <w:snapToGrid w:val="0"/>
              <w:spacing w:line="360" w:lineRule="auto"/>
              <w:rPr>
                <w:rFonts w:ascii="宋体" w:hAnsi="宋体" w:cs="宋体"/>
                <w:szCs w:val="21"/>
                <w:highlight w:val="none"/>
              </w:rPr>
            </w:pPr>
          </w:p>
        </w:tc>
        <w:tc>
          <w:tcPr>
            <w:tcW w:w="1134" w:type="dxa"/>
          </w:tcPr>
          <w:p w14:paraId="1F515C3F">
            <w:pPr>
              <w:adjustRightInd w:val="0"/>
              <w:snapToGrid w:val="0"/>
              <w:spacing w:line="360" w:lineRule="auto"/>
              <w:rPr>
                <w:rFonts w:ascii="宋体" w:hAnsi="宋体" w:cs="宋体"/>
                <w:szCs w:val="21"/>
                <w:highlight w:val="none"/>
              </w:rPr>
            </w:pPr>
          </w:p>
        </w:tc>
      </w:tr>
    </w:tbl>
    <w:p w14:paraId="3E83BD67">
      <w:pPr>
        <w:adjustRightInd w:val="0"/>
        <w:snapToGrid w:val="0"/>
        <w:spacing w:line="360" w:lineRule="auto"/>
        <w:rPr>
          <w:rFonts w:ascii="宋体" w:hAnsi="宋体" w:cs="宋体"/>
          <w:szCs w:val="21"/>
          <w:highlight w:val="none"/>
        </w:rPr>
      </w:pPr>
      <w:r>
        <w:rPr>
          <w:rFonts w:hint="eastAsia" w:ascii="宋体" w:hAnsi="宋体" w:cs="宋体"/>
          <w:szCs w:val="21"/>
          <w:highlight w:val="none"/>
        </w:rPr>
        <w:t>注：</w:t>
      </w:r>
    </w:p>
    <w:p w14:paraId="05BDDE39">
      <w:pPr>
        <w:adjustRightInd w:val="0"/>
        <w:snapToGrid w:val="0"/>
        <w:spacing w:line="360" w:lineRule="auto"/>
        <w:rPr>
          <w:rFonts w:ascii="宋体" w:hAnsi="宋体" w:cs="宋体"/>
          <w:szCs w:val="21"/>
          <w:highlight w:val="none"/>
        </w:rPr>
      </w:pPr>
      <w:r>
        <w:rPr>
          <w:rFonts w:hint="eastAsia" w:ascii="宋体" w:hAnsi="宋体" w:cs="宋体"/>
          <w:szCs w:val="21"/>
          <w:highlight w:val="none"/>
        </w:rPr>
        <w:t>1.项目特别要求提供备品备件的，此部分价格应包含在谈判报价中，项目未特别要求提供备品备件的，供应商可填写该表，但此费用不包含在谈判报价中。</w:t>
      </w:r>
    </w:p>
    <w:p w14:paraId="0F4417DF">
      <w:pPr>
        <w:adjustRightInd w:val="0"/>
        <w:snapToGrid w:val="0"/>
        <w:spacing w:line="360" w:lineRule="auto"/>
        <w:rPr>
          <w:rFonts w:ascii="宋体" w:hAnsi="宋体" w:cs="宋体"/>
          <w:szCs w:val="21"/>
          <w:highlight w:val="none"/>
        </w:rPr>
      </w:pPr>
      <w:bookmarkStart w:id="164" w:name="_Toc7491"/>
      <w:r>
        <w:rPr>
          <w:rFonts w:hint="eastAsia" w:ascii="宋体" w:hAnsi="宋体" w:cs="宋体"/>
          <w:szCs w:val="21"/>
          <w:highlight w:val="none"/>
        </w:rPr>
        <w:t>2.供应商可根据实际情况拓展本表。</w:t>
      </w:r>
      <w:bookmarkEnd w:id="164"/>
    </w:p>
    <w:p w14:paraId="5378E4EC">
      <w:pPr>
        <w:adjustRightInd w:val="0"/>
        <w:snapToGrid w:val="0"/>
        <w:spacing w:line="360" w:lineRule="auto"/>
        <w:jc w:val="left"/>
        <w:rPr>
          <w:rFonts w:ascii="宋体" w:hAnsi="宋体" w:cs="宋体"/>
          <w:szCs w:val="21"/>
          <w:highlight w:val="none"/>
        </w:rPr>
      </w:pPr>
    </w:p>
    <w:p w14:paraId="095309BE">
      <w:pPr>
        <w:adjustRightInd w:val="0"/>
        <w:snapToGrid w:val="0"/>
        <w:spacing w:line="360" w:lineRule="auto"/>
        <w:jc w:val="left"/>
        <w:rPr>
          <w:rFonts w:ascii="宋体" w:hAnsi="宋体" w:cs="宋体"/>
          <w:szCs w:val="21"/>
          <w:highlight w:val="none"/>
        </w:rPr>
      </w:pPr>
    </w:p>
    <w:p w14:paraId="30E8AB20">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供应商：（加盖供应商电子公章）</w:t>
      </w:r>
    </w:p>
    <w:p w14:paraId="5E44336A">
      <w:pPr>
        <w:adjustRightInd w:val="0"/>
        <w:snapToGrid w:val="0"/>
        <w:spacing w:line="360" w:lineRule="auto"/>
        <w:ind w:firstLine="2" w:firstLineChars="1"/>
        <w:jc w:val="left"/>
        <w:rPr>
          <w:rFonts w:ascii="宋体" w:hAnsi="宋体" w:cs="宋体"/>
          <w:highlight w:val="none"/>
        </w:rPr>
      </w:pPr>
    </w:p>
    <w:p w14:paraId="41CD2109">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394AF865">
      <w:pPr>
        <w:adjustRightInd w:val="0"/>
        <w:snapToGrid w:val="0"/>
        <w:spacing w:line="360" w:lineRule="auto"/>
        <w:ind w:firstLine="2" w:firstLineChars="1"/>
        <w:jc w:val="left"/>
        <w:rPr>
          <w:rFonts w:ascii="宋体" w:hAnsi="宋体" w:cs="宋体"/>
          <w:szCs w:val="21"/>
          <w:highlight w:val="none"/>
        </w:rPr>
      </w:pPr>
    </w:p>
    <w:p w14:paraId="691D8647">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日期：</w:t>
      </w:r>
    </w:p>
    <w:p w14:paraId="312F6EA9">
      <w:pPr>
        <w:rPr>
          <w:highlight w:val="none"/>
        </w:rPr>
      </w:pPr>
      <w:r>
        <w:rPr>
          <w:rFonts w:hint="eastAsia"/>
          <w:highlight w:val="none"/>
        </w:rPr>
        <w:br w:type="page"/>
      </w:r>
    </w:p>
    <w:p w14:paraId="7B9C31D9">
      <w:pPr>
        <w:pageBreakBefore w:val="0"/>
        <w:widowControl w:val="0"/>
        <w:kinsoku/>
        <w:wordWrap/>
        <w:overflowPunct/>
        <w:topLinePunct w:val="0"/>
        <w:bidi w:val="0"/>
        <w:adjustRightInd w:val="0"/>
        <w:snapToGrid w:val="0"/>
        <w:spacing w:line="360" w:lineRule="auto"/>
        <w:ind w:firstLine="0"/>
        <w:textAlignment w:val="auto"/>
        <w:rPr>
          <w:rFonts w:ascii="宋体" w:hAnsi="宋体" w:cs="宋体"/>
          <w:b/>
          <w:bCs/>
          <w:sz w:val="28"/>
          <w:szCs w:val="32"/>
          <w:highlight w:val="none"/>
        </w:rPr>
      </w:pPr>
      <w:r>
        <w:rPr>
          <w:rFonts w:hint="eastAsia" w:ascii="宋体" w:hAnsi="宋体" w:cs="宋体"/>
          <w:b/>
          <w:sz w:val="28"/>
          <w:szCs w:val="28"/>
          <w:highlight w:val="none"/>
        </w:rPr>
        <w:t>格式13</w:t>
      </w:r>
    </w:p>
    <w:p w14:paraId="463F5D9F">
      <w:pPr>
        <w:keepNext/>
        <w:keepLines/>
        <w:pageBreakBefore w:val="0"/>
        <w:widowControl w:val="0"/>
        <w:kinsoku/>
        <w:wordWrap/>
        <w:overflowPunct/>
        <w:topLinePunct w:val="0"/>
        <w:bidi w:val="0"/>
        <w:adjustRightInd w:val="0"/>
        <w:snapToGrid w:val="0"/>
        <w:spacing w:line="360" w:lineRule="auto"/>
        <w:ind w:firstLine="0"/>
        <w:jc w:val="center"/>
        <w:textAlignment w:val="auto"/>
        <w:outlineLvl w:val="1"/>
        <w:rPr>
          <w:rFonts w:ascii="宋体" w:hAnsi="宋体" w:cs="宋体"/>
          <w:b/>
          <w:bCs/>
          <w:sz w:val="32"/>
          <w:szCs w:val="32"/>
          <w:highlight w:val="none"/>
        </w:rPr>
      </w:pPr>
      <w:bookmarkStart w:id="165" w:name="_Toc2188"/>
      <w:bookmarkStart w:id="166" w:name="_Toc30521"/>
      <w:r>
        <w:rPr>
          <w:rFonts w:hint="eastAsia" w:ascii="宋体" w:hAnsi="宋体" w:cs="宋体"/>
          <w:b/>
          <w:bCs/>
          <w:sz w:val="32"/>
          <w:szCs w:val="32"/>
          <w:highlight w:val="none"/>
        </w:rPr>
        <w:t>商务条款偏离表</w:t>
      </w:r>
      <w:bookmarkEnd w:id="165"/>
      <w:bookmarkEnd w:id="166"/>
    </w:p>
    <w:p w14:paraId="14063B8A">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项目名称：</w:t>
      </w:r>
    </w:p>
    <w:p w14:paraId="23EC6B39">
      <w:pPr>
        <w:pStyle w:val="17"/>
        <w:pageBreakBefore w:val="0"/>
        <w:widowControl w:val="0"/>
        <w:kinsoku/>
        <w:wordWrap/>
        <w:overflowPunct/>
        <w:topLinePunct w:val="0"/>
        <w:bidi w:val="0"/>
        <w:adjustRightInd w:val="0"/>
        <w:snapToGrid w:val="0"/>
        <w:spacing w:line="360" w:lineRule="auto"/>
        <w:ind w:firstLine="0"/>
        <w:textAlignment w:val="auto"/>
        <w:rPr>
          <w:rFonts w:hAnsi="宋体" w:cs="宋体"/>
          <w:b/>
          <w:szCs w:val="21"/>
          <w:highlight w:val="none"/>
        </w:rPr>
      </w:pPr>
      <w:r>
        <w:rPr>
          <w:rFonts w:hint="eastAsia" w:hAnsi="宋体" w:cs="宋体"/>
          <w:b/>
          <w:szCs w:val="21"/>
          <w:highlight w:val="none"/>
        </w:rPr>
        <w:t>项目编号：</w:t>
      </w:r>
    </w:p>
    <w:tbl>
      <w:tblPr>
        <w:tblStyle w:val="38"/>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268"/>
        <w:gridCol w:w="2127"/>
        <w:gridCol w:w="2328"/>
        <w:gridCol w:w="1035"/>
      </w:tblGrid>
      <w:tr w14:paraId="2F7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5BCC07AC">
            <w:pPr>
              <w:pStyle w:val="17"/>
              <w:pageBreakBefore w:val="0"/>
              <w:widowControl w:val="0"/>
              <w:kinsoku/>
              <w:wordWrap/>
              <w:overflowPunct/>
              <w:topLinePunct w:val="0"/>
              <w:bidi w:val="0"/>
              <w:adjustRightInd w:val="0"/>
              <w:snapToGrid w:val="0"/>
              <w:spacing w:line="360" w:lineRule="auto"/>
              <w:ind w:firstLine="0"/>
              <w:jc w:val="center"/>
              <w:textAlignment w:val="auto"/>
              <w:rPr>
                <w:rFonts w:hAnsi="宋体" w:cs="宋体"/>
                <w:b/>
                <w:szCs w:val="21"/>
                <w:highlight w:val="none"/>
              </w:rPr>
            </w:pPr>
            <w:r>
              <w:rPr>
                <w:rFonts w:hint="eastAsia" w:hAnsi="宋体" w:cs="宋体"/>
                <w:b/>
                <w:szCs w:val="21"/>
                <w:highlight w:val="none"/>
              </w:rPr>
              <w:t>序号</w:t>
            </w:r>
          </w:p>
        </w:tc>
        <w:tc>
          <w:tcPr>
            <w:tcW w:w="2268" w:type="dxa"/>
            <w:vAlign w:val="center"/>
          </w:tcPr>
          <w:p w14:paraId="5E8DA861">
            <w:pPr>
              <w:pStyle w:val="17"/>
              <w:pageBreakBefore w:val="0"/>
              <w:widowControl w:val="0"/>
              <w:kinsoku/>
              <w:wordWrap/>
              <w:overflowPunct/>
              <w:topLinePunct w:val="0"/>
              <w:bidi w:val="0"/>
              <w:adjustRightInd w:val="0"/>
              <w:snapToGrid w:val="0"/>
              <w:spacing w:line="360" w:lineRule="auto"/>
              <w:ind w:firstLine="0"/>
              <w:jc w:val="center"/>
              <w:textAlignment w:val="auto"/>
              <w:rPr>
                <w:rFonts w:hAnsi="宋体" w:cs="宋体"/>
                <w:b/>
                <w:szCs w:val="21"/>
                <w:highlight w:val="none"/>
              </w:rPr>
            </w:pPr>
            <w:r>
              <w:rPr>
                <w:rFonts w:hint="eastAsia" w:hAnsi="宋体" w:cs="宋体"/>
                <w:b/>
                <w:szCs w:val="21"/>
                <w:highlight w:val="none"/>
              </w:rPr>
              <w:t>谈判文件商务条款</w:t>
            </w:r>
          </w:p>
        </w:tc>
        <w:tc>
          <w:tcPr>
            <w:tcW w:w="2127" w:type="dxa"/>
            <w:vAlign w:val="center"/>
          </w:tcPr>
          <w:p w14:paraId="56CFC932">
            <w:pPr>
              <w:pStyle w:val="17"/>
              <w:pageBreakBefore w:val="0"/>
              <w:widowControl w:val="0"/>
              <w:kinsoku/>
              <w:wordWrap/>
              <w:overflowPunct/>
              <w:topLinePunct w:val="0"/>
              <w:bidi w:val="0"/>
              <w:adjustRightInd w:val="0"/>
              <w:snapToGrid w:val="0"/>
              <w:spacing w:line="360" w:lineRule="auto"/>
              <w:ind w:firstLine="0"/>
              <w:jc w:val="center"/>
              <w:textAlignment w:val="auto"/>
              <w:rPr>
                <w:rFonts w:hAnsi="宋体" w:cs="宋体"/>
                <w:b/>
                <w:szCs w:val="21"/>
                <w:highlight w:val="none"/>
              </w:rPr>
            </w:pPr>
            <w:r>
              <w:rPr>
                <w:rFonts w:hint="eastAsia" w:hAnsi="宋体" w:cs="宋体"/>
                <w:b/>
                <w:szCs w:val="21"/>
                <w:highlight w:val="none"/>
              </w:rPr>
              <w:t>响应文件响应情况</w:t>
            </w:r>
          </w:p>
        </w:tc>
        <w:tc>
          <w:tcPr>
            <w:tcW w:w="2328" w:type="dxa"/>
            <w:vAlign w:val="center"/>
          </w:tcPr>
          <w:p w14:paraId="7D102AAF">
            <w:pPr>
              <w:pStyle w:val="17"/>
              <w:pageBreakBefore w:val="0"/>
              <w:widowControl w:val="0"/>
              <w:kinsoku/>
              <w:wordWrap/>
              <w:overflowPunct/>
              <w:topLinePunct w:val="0"/>
              <w:bidi w:val="0"/>
              <w:adjustRightInd w:val="0"/>
              <w:snapToGrid w:val="0"/>
              <w:spacing w:line="360" w:lineRule="auto"/>
              <w:ind w:firstLine="0"/>
              <w:jc w:val="center"/>
              <w:textAlignment w:val="auto"/>
              <w:rPr>
                <w:rFonts w:hAnsi="宋体" w:cs="宋体"/>
                <w:b/>
                <w:szCs w:val="21"/>
                <w:highlight w:val="none"/>
              </w:rPr>
            </w:pPr>
            <w:r>
              <w:rPr>
                <w:rFonts w:hint="eastAsia" w:hAnsi="宋体" w:cs="宋体"/>
                <w:b/>
                <w:szCs w:val="21"/>
                <w:highlight w:val="none"/>
              </w:rPr>
              <w:t>偏离</w:t>
            </w:r>
          </w:p>
        </w:tc>
        <w:tc>
          <w:tcPr>
            <w:tcW w:w="1035" w:type="dxa"/>
            <w:vAlign w:val="center"/>
          </w:tcPr>
          <w:p w14:paraId="3529774C">
            <w:pPr>
              <w:pStyle w:val="17"/>
              <w:pageBreakBefore w:val="0"/>
              <w:widowControl w:val="0"/>
              <w:kinsoku/>
              <w:wordWrap/>
              <w:overflowPunct/>
              <w:topLinePunct w:val="0"/>
              <w:bidi w:val="0"/>
              <w:adjustRightInd w:val="0"/>
              <w:snapToGrid w:val="0"/>
              <w:spacing w:line="360" w:lineRule="auto"/>
              <w:ind w:firstLine="0"/>
              <w:jc w:val="center"/>
              <w:textAlignment w:val="auto"/>
              <w:rPr>
                <w:rFonts w:hAnsi="宋体" w:cs="宋体"/>
                <w:b/>
                <w:szCs w:val="21"/>
                <w:highlight w:val="none"/>
              </w:rPr>
            </w:pPr>
            <w:r>
              <w:rPr>
                <w:rFonts w:hint="eastAsia" w:hAnsi="宋体" w:cs="宋体"/>
                <w:b/>
                <w:szCs w:val="21"/>
                <w:highlight w:val="none"/>
              </w:rPr>
              <w:t>备注</w:t>
            </w:r>
          </w:p>
        </w:tc>
      </w:tr>
      <w:tr w14:paraId="5900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5D507E16">
            <w:pPr>
              <w:pStyle w:val="17"/>
              <w:snapToGrid w:val="0"/>
              <w:spacing w:line="360" w:lineRule="auto"/>
              <w:ind w:firstLine="400"/>
              <w:rPr>
                <w:rFonts w:hAnsi="宋体" w:cs="宋体"/>
                <w:szCs w:val="21"/>
                <w:highlight w:val="none"/>
              </w:rPr>
            </w:pPr>
          </w:p>
        </w:tc>
        <w:tc>
          <w:tcPr>
            <w:tcW w:w="2268" w:type="dxa"/>
          </w:tcPr>
          <w:p w14:paraId="7F3B9094">
            <w:pPr>
              <w:pStyle w:val="17"/>
              <w:snapToGrid w:val="0"/>
              <w:spacing w:line="360" w:lineRule="auto"/>
              <w:ind w:firstLine="400"/>
              <w:rPr>
                <w:rFonts w:hAnsi="宋体" w:cs="宋体"/>
                <w:szCs w:val="21"/>
                <w:highlight w:val="none"/>
              </w:rPr>
            </w:pPr>
          </w:p>
        </w:tc>
        <w:tc>
          <w:tcPr>
            <w:tcW w:w="2127" w:type="dxa"/>
          </w:tcPr>
          <w:p w14:paraId="0A0C8A8A">
            <w:pPr>
              <w:pStyle w:val="17"/>
              <w:snapToGrid w:val="0"/>
              <w:spacing w:line="360" w:lineRule="auto"/>
              <w:ind w:firstLine="400"/>
              <w:rPr>
                <w:rFonts w:hAnsi="宋体" w:cs="宋体"/>
                <w:szCs w:val="21"/>
                <w:highlight w:val="none"/>
              </w:rPr>
            </w:pPr>
          </w:p>
        </w:tc>
        <w:tc>
          <w:tcPr>
            <w:tcW w:w="2328" w:type="dxa"/>
          </w:tcPr>
          <w:p w14:paraId="64276E93">
            <w:pPr>
              <w:pStyle w:val="17"/>
              <w:snapToGrid w:val="0"/>
              <w:spacing w:line="360" w:lineRule="auto"/>
              <w:ind w:firstLine="400"/>
              <w:rPr>
                <w:rFonts w:hAnsi="宋体" w:cs="宋体"/>
                <w:szCs w:val="21"/>
                <w:highlight w:val="none"/>
              </w:rPr>
            </w:pPr>
          </w:p>
        </w:tc>
        <w:tc>
          <w:tcPr>
            <w:tcW w:w="1035" w:type="dxa"/>
          </w:tcPr>
          <w:p w14:paraId="65619A41">
            <w:pPr>
              <w:pStyle w:val="17"/>
              <w:snapToGrid w:val="0"/>
              <w:spacing w:line="360" w:lineRule="auto"/>
              <w:ind w:firstLine="400"/>
              <w:rPr>
                <w:rFonts w:hAnsi="宋体" w:cs="宋体"/>
                <w:szCs w:val="21"/>
                <w:highlight w:val="none"/>
              </w:rPr>
            </w:pPr>
          </w:p>
        </w:tc>
      </w:tr>
      <w:tr w14:paraId="0BC7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12891EFC">
            <w:pPr>
              <w:pStyle w:val="17"/>
              <w:snapToGrid w:val="0"/>
              <w:spacing w:line="360" w:lineRule="auto"/>
              <w:ind w:firstLine="400"/>
              <w:rPr>
                <w:rFonts w:hAnsi="宋体" w:cs="宋体"/>
                <w:szCs w:val="21"/>
                <w:highlight w:val="none"/>
              </w:rPr>
            </w:pPr>
          </w:p>
        </w:tc>
        <w:tc>
          <w:tcPr>
            <w:tcW w:w="2268" w:type="dxa"/>
          </w:tcPr>
          <w:p w14:paraId="17C8AABA">
            <w:pPr>
              <w:pStyle w:val="17"/>
              <w:snapToGrid w:val="0"/>
              <w:spacing w:line="360" w:lineRule="auto"/>
              <w:ind w:firstLine="400"/>
              <w:rPr>
                <w:rFonts w:hAnsi="宋体" w:cs="宋体"/>
                <w:szCs w:val="21"/>
                <w:highlight w:val="none"/>
              </w:rPr>
            </w:pPr>
          </w:p>
        </w:tc>
        <w:tc>
          <w:tcPr>
            <w:tcW w:w="2127" w:type="dxa"/>
          </w:tcPr>
          <w:p w14:paraId="0BC8726D">
            <w:pPr>
              <w:pStyle w:val="17"/>
              <w:snapToGrid w:val="0"/>
              <w:spacing w:line="360" w:lineRule="auto"/>
              <w:ind w:firstLine="400"/>
              <w:rPr>
                <w:rFonts w:hAnsi="宋体" w:cs="宋体"/>
                <w:szCs w:val="21"/>
                <w:highlight w:val="none"/>
              </w:rPr>
            </w:pPr>
          </w:p>
        </w:tc>
        <w:tc>
          <w:tcPr>
            <w:tcW w:w="2328" w:type="dxa"/>
          </w:tcPr>
          <w:p w14:paraId="2CB83FA5">
            <w:pPr>
              <w:pStyle w:val="17"/>
              <w:snapToGrid w:val="0"/>
              <w:spacing w:line="360" w:lineRule="auto"/>
              <w:ind w:firstLine="400"/>
              <w:rPr>
                <w:rFonts w:hAnsi="宋体" w:cs="宋体"/>
                <w:szCs w:val="21"/>
                <w:highlight w:val="none"/>
              </w:rPr>
            </w:pPr>
          </w:p>
        </w:tc>
        <w:tc>
          <w:tcPr>
            <w:tcW w:w="1035" w:type="dxa"/>
          </w:tcPr>
          <w:p w14:paraId="678D64B3">
            <w:pPr>
              <w:pStyle w:val="17"/>
              <w:snapToGrid w:val="0"/>
              <w:spacing w:line="360" w:lineRule="auto"/>
              <w:ind w:firstLine="400"/>
              <w:rPr>
                <w:rFonts w:hAnsi="宋体" w:cs="宋体"/>
                <w:szCs w:val="21"/>
                <w:highlight w:val="none"/>
              </w:rPr>
            </w:pPr>
          </w:p>
        </w:tc>
      </w:tr>
      <w:tr w14:paraId="6FDC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2" w:type="dxa"/>
          </w:tcPr>
          <w:p w14:paraId="37A123EA">
            <w:pPr>
              <w:pStyle w:val="17"/>
              <w:snapToGrid w:val="0"/>
              <w:spacing w:line="360" w:lineRule="auto"/>
              <w:ind w:firstLine="400"/>
              <w:rPr>
                <w:rFonts w:hAnsi="宋体" w:cs="宋体"/>
                <w:szCs w:val="21"/>
                <w:highlight w:val="none"/>
              </w:rPr>
            </w:pPr>
          </w:p>
        </w:tc>
        <w:tc>
          <w:tcPr>
            <w:tcW w:w="2268" w:type="dxa"/>
          </w:tcPr>
          <w:p w14:paraId="478EB90D">
            <w:pPr>
              <w:pStyle w:val="17"/>
              <w:snapToGrid w:val="0"/>
              <w:spacing w:line="360" w:lineRule="auto"/>
              <w:ind w:firstLine="400"/>
              <w:rPr>
                <w:rFonts w:hAnsi="宋体" w:cs="宋体"/>
                <w:szCs w:val="21"/>
                <w:highlight w:val="none"/>
              </w:rPr>
            </w:pPr>
          </w:p>
        </w:tc>
        <w:tc>
          <w:tcPr>
            <w:tcW w:w="2127" w:type="dxa"/>
          </w:tcPr>
          <w:p w14:paraId="15C857E9">
            <w:pPr>
              <w:pStyle w:val="17"/>
              <w:snapToGrid w:val="0"/>
              <w:spacing w:line="360" w:lineRule="auto"/>
              <w:ind w:firstLine="400"/>
              <w:rPr>
                <w:rFonts w:hAnsi="宋体" w:cs="宋体"/>
                <w:szCs w:val="21"/>
                <w:highlight w:val="none"/>
              </w:rPr>
            </w:pPr>
          </w:p>
        </w:tc>
        <w:tc>
          <w:tcPr>
            <w:tcW w:w="2328" w:type="dxa"/>
          </w:tcPr>
          <w:p w14:paraId="6EF3C0C4">
            <w:pPr>
              <w:pStyle w:val="17"/>
              <w:snapToGrid w:val="0"/>
              <w:spacing w:line="360" w:lineRule="auto"/>
              <w:ind w:firstLine="400"/>
              <w:rPr>
                <w:rFonts w:hAnsi="宋体" w:cs="宋体"/>
                <w:szCs w:val="21"/>
                <w:highlight w:val="none"/>
              </w:rPr>
            </w:pPr>
          </w:p>
        </w:tc>
        <w:tc>
          <w:tcPr>
            <w:tcW w:w="1035" w:type="dxa"/>
          </w:tcPr>
          <w:p w14:paraId="2316F636">
            <w:pPr>
              <w:pStyle w:val="17"/>
              <w:snapToGrid w:val="0"/>
              <w:spacing w:line="360" w:lineRule="auto"/>
              <w:ind w:firstLine="400"/>
              <w:rPr>
                <w:rFonts w:hAnsi="宋体" w:cs="宋体"/>
                <w:szCs w:val="21"/>
                <w:highlight w:val="none"/>
              </w:rPr>
            </w:pPr>
          </w:p>
        </w:tc>
      </w:tr>
      <w:tr w14:paraId="0074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08211900">
            <w:pPr>
              <w:pStyle w:val="17"/>
              <w:snapToGrid w:val="0"/>
              <w:spacing w:line="360" w:lineRule="auto"/>
              <w:ind w:firstLine="400"/>
              <w:rPr>
                <w:rFonts w:hAnsi="宋体" w:cs="宋体"/>
                <w:szCs w:val="21"/>
                <w:highlight w:val="none"/>
              </w:rPr>
            </w:pPr>
          </w:p>
        </w:tc>
        <w:tc>
          <w:tcPr>
            <w:tcW w:w="2268" w:type="dxa"/>
          </w:tcPr>
          <w:p w14:paraId="343C0C00">
            <w:pPr>
              <w:pStyle w:val="17"/>
              <w:snapToGrid w:val="0"/>
              <w:spacing w:line="360" w:lineRule="auto"/>
              <w:ind w:firstLine="400"/>
              <w:rPr>
                <w:rFonts w:hAnsi="宋体" w:cs="宋体"/>
                <w:szCs w:val="21"/>
                <w:highlight w:val="none"/>
              </w:rPr>
            </w:pPr>
          </w:p>
        </w:tc>
        <w:tc>
          <w:tcPr>
            <w:tcW w:w="2127" w:type="dxa"/>
          </w:tcPr>
          <w:p w14:paraId="6EE26D3C">
            <w:pPr>
              <w:pStyle w:val="17"/>
              <w:snapToGrid w:val="0"/>
              <w:spacing w:line="360" w:lineRule="auto"/>
              <w:ind w:firstLine="400"/>
              <w:rPr>
                <w:rFonts w:hAnsi="宋体" w:cs="宋体"/>
                <w:szCs w:val="21"/>
                <w:highlight w:val="none"/>
              </w:rPr>
            </w:pPr>
          </w:p>
        </w:tc>
        <w:tc>
          <w:tcPr>
            <w:tcW w:w="2328" w:type="dxa"/>
          </w:tcPr>
          <w:p w14:paraId="51D7E806">
            <w:pPr>
              <w:pStyle w:val="17"/>
              <w:snapToGrid w:val="0"/>
              <w:spacing w:line="360" w:lineRule="auto"/>
              <w:ind w:firstLine="400"/>
              <w:rPr>
                <w:rFonts w:hAnsi="宋体" w:cs="宋体"/>
                <w:szCs w:val="21"/>
                <w:highlight w:val="none"/>
              </w:rPr>
            </w:pPr>
          </w:p>
        </w:tc>
        <w:tc>
          <w:tcPr>
            <w:tcW w:w="1035" w:type="dxa"/>
          </w:tcPr>
          <w:p w14:paraId="237DBB02">
            <w:pPr>
              <w:pStyle w:val="17"/>
              <w:snapToGrid w:val="0"/>
              <w:spacing w:line="360" w:lineRule="auto"/>
              <w:ind w:firstLine="400"/>
              <w:rPr>
                <w:rFonts w:hAnsi="宋体" w:cs="宋体"/>
                <w:szCs w:val="21"/>
                <w:highlight w:val="none"/>
              </w:rPr>
            </w:pPr>
          </w:p>
        </w:tc>
      </w:tr>
      <w:tr w14:paraId="5665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750A161E">
            <w:pPr>
              <w:pStyle w:val="17"/>
              <w:snapToGrid w:val="0"/>
              <w:spacing w:line="360" w:lineRule="auto"/>
              <w:ind w:firstLine="400"/>
              <w:rPr>
                <w:rFonts w:hAnsi="宋体" w:cs="宋体"/>
                <w:szCs w:val="21"/>
                <w:highlight w:val="none"/>
              </w:rPr>
            </w:pPr>
          </w:p>
        </w:tc>
        <w:tc>
          <w:tcPr>
            <w:tcW w:w="2268" w:type="dxa"/>
          </w:tcPr>
          <w:p w14:paraId="6C78E353">
            <w:pPr>
              <w:pStyle w:val="17"/>
              <w:snapToGrid w:val="0"/>
              <w:spacing w:line="360" w:lineRule="auto"/>
              <w:ind w:firstLine="400"/>
              <w:rPr>
                <w:rFonts w:hAnsi="宋体" w:cs="宋体"/>
                <w:szCs w:val="21"/>
                <w:highlight w:val="none"/>
              </w:rPr>
            </w:pPr>
          </w:p>
        </w:tc>
        <w:tc>
          <w:tcPr>
            <w:tcW w:w="2127" w:type="dxa"/>
          </w:tcPr>
          <w:p w14:paraId="5944721E">
            <w:pPr>
              <w:pStyle w:val="17"/>
              <w:snapToGrid w:val="0"/>
              <w:spacing w:line="360" w:lineRule="auto"/>
              <w:ind w:firstLine="400"/>
              <w:rPr>
                <w:rFonts w:hAnsi="宋体" w:cs="宋体"/>
                <w:szCs w:val="21"/>
                <w:highlight w:val="none"/>
              </w:rPr>
            </w:pPr>
          </w:p>
        </w:tc>
        <w:tc>
          <w:tcPr>
            <w:tcW w:w="2328" w:type="dxa"/>
          </w:tcPr>
          <w:p w14:paraId="048723A6">
            <w:pPr>
              <w:pStyle w:val="17"/>
              <w:snapToGrid w:val="0"/>
              <w:spacing w:line="360" w:lineRule="auto"/>
              <w:ind w:firstLine="400"/>
              <w:rPr>
                <w:rFonts w:hAnsi="宋体" w:cs="宋体"/>
                <w:szCs w:val="21"/>
                <w:highlight w:val="none"/>
              </w:rPr>
            </w:pPr>
          </w:p>
        </w:tc>
        <w:tc>
          <w:tcPr>
            <w:tcW w:w="1035" w:type="dxa"/>
          </w:tcPr>
          <w:p w14:paraId="54BF0575">
            <w:pPr>
              <w:pStyle w:val="17"/>
              <w:snapToGrid w:val="0"/>
              <w:spacing w:line="360" w:lineRule="auto"/>
              <w:ind w:firstLine="400"/>
              <w:rPr>
                <w:rFonts w:hAnsi="宋体" w:cs="宋体"/>
                <w:szCs w:val="21"/>
                <w:highlight w:val="none"/>
              </w:rPr>
            </w:pPr>
          </w:p>
        </w:tc>
      </w:tr>
      <w:tr w14:paraId="2904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6196B42C">
            <w:pPr>
              <w:pStyle w:val="17"/>
              <w:snapToGrid w:val="0"/>
              <w:spacing w:line="360" w:lineRule="auto"/>
              <w:ind w:firstLine="400"/>
              <w:rPr>
                <w:rFonts w:hAnsi="宋体" w:cs="宋体"/>
                <w:szCs w:val="21"/>
                <w:highlight w:val="none"/>
              </w:rPr>
            </w:pPr>
          </w:p>
        </w:tc>
        <w:tc>
          <w:tcPr>
            <w:tcW w:w="2268" w:type="dxa"/>
          </w:tcPr>
          <w:p w14:paraId="7BBB22EF">
            <w:pPr>
              <w:pStyle w:val="17"/>
              <w:snapToGrid w:val="0"/>
              <w:spacing w:line="360" w:lineRule="auto"/>
              <w:ind w:firstLine="400"/>
              <w:rPr>
                <w:rFonts w:hAnsi="宋体" w:cs="宋体"/>
                <w:szCs w:val="21"/>
                <w:highlight w:val="none"/>
              </w:rPr>
            </w:pPr>
          </w:p>
        </w:tc>
        <w:tc>
          <w:tcPr>
            <w:tcW w:w="2127" w:type="dxa"/>
          </w:tcPr>
          <w:p w14:paraId="5CE2565E">
            <w:pPr>
              <w:pStyle w:val="17"/>
              <w:snapToGrid w:val="0"/>
              <w:spacing w:line="360" w:lineRule="auto"/>
              <w:ind w:firstLine="400"/>
              <w:rPr>
                <w:rFonts w:hAnsi="宋体" w:cs="宋体"/>
                <w:szCs w:val="21"/>
                <w:highlight w:val="none"/>
              </w:rPr>
            </w:pPr>
          </w:p>
        </w:tc>
        <w:tc>
          <w:tcPr>
            <w:tcW w:w="2328" w:type="dxa"/>
          </w:tcPr>
          <w:p w14:paraId="47CF20F1">
            <w:pPr>
              <w:pStyle w:val="17"/>
              <w:snapToGrid w:val="0"/>
              <w:spacing w:line="360" w:lineRule="auto"/>
              <w:ind w:firstLine="400"/>
              <w:rPr>
                <w:rFonts w:hAnsi="宋体" w:cs="宋体"/>
                <w:szCs w:val="21"/>
                <w:highlight w:val="none"/>
              </w:rPr>
            </w:pPr>
          </w:p>
        </w:tc>
        <w:tc>
          <w:tcPr>
            <w:tcW w:w="1035" w:type="dxa"/>
          </w:tcPr>
          <w:p w14:paraId="56BCE2B5">
            <w:pPr>
              <w:pStyle w:val="17"/>
              <w:snapToGrid w:val="0"/>
              <w:spacing w:line="360" w:lineRule="auto"/>
              <w:ind w:firstLine="400"/>
              <w:rPr>
                <w:rFonts w:hAnsi="宋体" w:cs="宋体"/>
                <w:szCs w:val="21"/>
                <w:highlight w:val="none"/>
              </w:rPr>
            </w:pPr>
          </w:p>
        </w:tc>
      </w:tr>
      <w:tr w14:paraId="5E22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2" w:type="dxa"/>
          </w:tcPr>
          <w:p w14:paraId="6C5FE51D">
            <w:pPr>
              <w:pStyle w:val="17"/>
              <w:snapToGrid w:val="0"/>
              <w:spacing w:line="360" w:lineRule="auto"/>
              <w:ind w:firstLine="400"/>
              <w:rPr>
                <w:rFonts w:hAnsi="宋体" w:cs="宋体"/>
                <w:szCs w:val="21"/>
                <w:highlight w:val="none"/>
              </w:rPr>
            </w:pPr>
          </w:p>
        </w:tc>
        <w:tc>
          <w:tcPr>
            <w:tcW w:w="2268" w:type="dxa"/>
          </w:tcPr>
          <w:p w14:paraId="791FA855">
            <w:pPr>
              <w:pStyle w:val="17"/>
              <w:snapToGrid w:val="0"/>
              <w:spacing w:line="360" w:lineRule="auto"/>
              <w:ind w:firstLine="400"/>
              <w:rPr>
                <w:rFonts w:hAnsi="宋体" w:cs="宋体"/>
                <w:szCs w:val="21"/>
                <w:highlight w:val="none"/>
              </w:rPr>
            </w:pPr>
          </w:p>
        </w:tc>
        <w:tc>
          <w:tcPr>
            <w:tcW w:w="2127" w:type="dxa"/>
          </w:tcPr>
          <w:p w14:paraId="184DE492">
            <w:pPr>
              <w:pStyle w:val="17"/>
              <w:snapToGrid w:val="0"/>
              <w:spacing w:line="360" w:lineRule="auto"/>
              <w:ind w:firstLine="400"/>
              <w:rPr>
                <w:rFonts w:hAnsi="宋体" w:cs="宋体"/>
                <w:szCs w:val="21"/>
                <w:highlight w:val="none"/>
              </w:rPr>
            </w:pPr>
          </w:p>
        </w:tc>
        <w:tc>
          <w:tcPr>
            <w:tcW w:w="2328" w:type="dxa"/>
          </w:tcPr>
          <w:p w14:paraId="12C4CBBA">
            <w:pPr>
              <w:pStyle w:val="17"/>
              <w:snapToGrid w:val="0"/>
              <w:spacing w:line="360" w:lineRule="auto"/>
              <w:ind w:firstLine="400"/>
              <w:rPr>
                <w:rFonts w:hAnsi="宋体" w:cs="宋体"/>
                <w:szCs w:val="21"/>
                <w:highlight w:val="none"/>
              </w:rPr>
            </w:pPr>
          </w:p>
        </w:tc>
        <w:tc>
          <w:tcPr>
            <w:tcW w:w="1035" w:type="dxa"/>
          </w:tcPr>
          <w:p w14:paraId="4246D582">
            <w:pPr>
              <w:pStyle w:val="17"/>
              <w:snapToGrid w:val="0"/>
              <w:spacing w:line="360" w:lineRule="auto"/>
              <w:ind w:firstLine="400"/>
              <w:rPr>
                <w:rFonts w:hAnsi="宋体" w:cs="宋体"/>
                <w:szCs w:val="21"/>
                <w:highlight w:val="none"/>
              </w:rPr>
            </w:pPr>
          </w:p>
        </w:tc>
      </w:tr>
    </w:tbl>
    <w:p w14:paraId="1E077BCB">
      <w:pPr>
        <w:pStyle w:val="165"/>
        <w:adjustRightInd w:val="0"/>
        <w:snapToGrid w:val="0"/>
        <w:spacing w:line="360" w:lineRule="auto"/>
        <w:ind w:firstLine="0" w:firstLineChars="0"/>
        <w:rPr>
          <w:rFonts w:ascii="宋体" w:hAnsi="宋体" w:cs="宋体"/>
          <w:szCs w:val="21"/>
          <w:highlight w:val="none"/>
        </w:rPr>
      </w:pPr>
      <w:r>
        <w:rPr>
          <w:rFonts w:hint="eastAsia" w:ascii="宋体" w:hAnsi="宋体" w:cs="宋体"/>
          <w:szCs w:val="21"/>
          <w:highlight w:val="none"/>
        </w:rPr>
        <w:t>注：</w:t>
      </w:r>
    </w:p>
    <w:p w14:paraId="70B70869">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1.表格中“序号”一列，供应商须逐条对应竞争性谈判文件第三章 合同书样式及主要条款《合同条款前附表》中商务条款的序号。</w:t>
      </w:r>
    </w:p>
    <w:p w14:paraId="3B77530B">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2.表格中“谈判文件商务条款”一列，供应商须逐条对应竞争性谈判文件第三章 合同书样式及主要条款《合同条款前附表》中的商务条款。</w:t>
      </w:r>
    </w:p>
    <w:p w14:paraId="61439EEA">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3.表格中“响应文件响应情况”一列，供应商须逐条对竞争性谈判文件第三章 合同书样式及主要条款《合同条款前附表》中的商务条款作出全面、真实的反映，若响应文件中响应情况与竞争性谈判文件商务条款不符，而供应商又未在响应文件中作出说明和解释的，谈判小组在评审时可以视为不响应该条商务条款的规定。</w:t>
      </w:r>
    </w:p>
    <w:p w14:paraId="4C3A0FBA">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4.表格中“偏离”一列，供应商只能如实填写“正偏离”、“负偏离”或“无偏离”。凡响应内容高于竞争性谈判文件要求的，按“正偏离”填写；低于竞争性谈判文件要求的，按“负偏离”填写；满足竞争性谈判文件要求的，按“无偏离”填写。</w:t>
      </w:r>
    </w:p>
    <w:p w14:paraId="686B5CE5">
      <w:pPr>
        <w:pStyle w:val="17"/>
        <w:snapToGrid w:val="0"/>
        <w:spacing w:line="360" w:lineRule="auto"/>
        <w:rPr>
          <w:rFonts w:hAnsi="宋体" w:cs="宋体"/>
          <w:kern w:val="2"/>
          <w:sz w:val="21"/>
          <w:szCs w:val="21"/>
          <w:highlight w:val="none"/>
        </w:rPr>
      </w:pPr>
      <w:r>
        <w:rPr>
          <w:rFonts w:hint="eastAsia" w:hAnsi="宋体" w:cs="宋体"/>
          <w:kern w:val="2"/>
          <w:sz w:val="21"/>
          <w:szCs w:val="21"/>
          <w:highlight w:val="none"/>
        </w:rPr>
        <w:t>5.供应商可根据竞争性谈判文件商务条款拓展本表，但不得改变格式。</w:t>
      </w:r>
    </w:p>
    <w:p w14:paraId="5EB0DB09">
      <w:pPr>
        <w:adjustRightInd w:val="0"/>
        <w:snapToGrid w:val="0"/>
        <w:spacing w:line="360" w:lineRule="auto"/>
        <w:jc w:val="left"/>
        <w:rPr>
          <w:rFonts w:ascii="宋体" w:hAnsi="宋体" w:cs="宋体"/>
          <w:szCs w:val="21"/>
          <w:highlight w:val="none"/>
        </w:rPr>
      </w:pPr>
    </w:p>
    <w:p w14:paraId="423734BF">
      <w:pPr>
        <w:adjustRightInd w:val="0"/>
        <w:snapToGrid w:val="0"/>
        <w:spacing w:line="360" w:lineRule="auto"/>
        <w:ind w:firstLine="562"/>
        <w:rPr>
          <w:rFonts w:ascii="宋体" w:hAnsi="宋体" w:cs="宋体"/>
          <w:b/>
          <w:sz w:val="28"/>
          <w:szCs w:val="28"/>
          <w:highlight w:val="none"/>
        </w:rPr>
      </w:pPr>
      <w:r>
        <w:rPr>
          <w:rFonts w:hint="eastAsia" w:ascii="宋体" w:hAnsi="宋体" w:cs="宋体"/>
          <w:b/>
          <w:sz w:val="28"/>
          <w:szCs w:val="28"/>
          <w:highlight w:val="none"/>
        </w:rPr>
        <w:br w:type="page"/>
      </w:r>
    </w:p>
    <w:p w14:paraId="46848F5E">
      <w:pPr>
        <w:keepNext/>
        <w:keepLines/>
        <w:pageBreakBefore w:val="0"/>
        <w:widowControl w:val="0"/>
        <w:kinsoku/>
        <w:wordWrap/>
        <w:overflowPunct/>
        <w:topLinePunct w:val="0"/>
        <w:bidi w:val="0"/>
        <w:adjustRightInd w:val="0"/>
        <w:snapToGrid w:val="0"/>
        <w:spacing w:line="360" w:lineRule="auto"/>
        <w:ind w:firstLine="0"/>
        <w:jc w:val="left"/>
        <w:textAlignment w:val="auto"/>
        <w:rPr>
          <w:rFonts w:ascii="宋体" w:hAnsi="宋体" w:cs="宋体"/>
          <w:b/>
          <w:bCs/>
          <w:sz w:val="28"/>
          <w:szCs w:val="32"/>
          <w:highlight w:val="none"/>
        </w:rPr>
      </w:pPr>
      <w:r>
        <w:rPr>
          <w:rFonts w:hint="eastAsia" w:ascii="宋体" w:hAnsi="宋体" w:cs="宋体"/>
          <w:b/>
          <w:bCs/>
          <w:sz w:val="28"/>
          <w:szCs w:val="32"/>
          <w:highlight w:val="none"/>
        </w:rPr>
        <w:t>格式14</w:t>
      </w:r>
    </w:p>
    <w:p w14:paraId="5AC2A3FF">
      <w:pPr>
        <w:pageBreakBefore w:val="0"/>
        <w:widowControl w:val="0"/>
        <w:kinsoku/>
        <w:wordWrap/>
        <w:overflowPunct/>
        <w:topLinePunct w:val="0"/>
        <w:bidi w:val="0"/>
        <w:adjustRightInd w:val="0"/>
        <w:snapToGrid w:val="0"/>
        <w:spacing w:line="360" w:lineRule="auto"/>
        <w:ind w:firstLine="0"/>
        <w:jc w:val="center"/>
        <w:textAlignment w:val="auto"/>
        <w:outlineLvl w:val="1"/>
        <w:rPr>
          <w:rFonts w:ascii="宋体" w:hAnsi="宋体" w:cs="宋体"/>
          <w:b/>
          <w:bCs/>
          <w:sz w:val="32"/>
          <w:szCs w:val="32"/>
          <w:highlight w:val="none"/>
        </w:rPr>
      </w:pPr>
      <w:bookmarkStart w:id="167" w:name="_Toc10885"/>
      <w:bookmarkStart w:id="168" w:name="_Toc21797"/>
      <w:r>
        <w:rPr>
          <w:rFonts w:hint="eastAsia" w:ascii="宋体" w:hAnsi="宋体" w:cs="宋体"/>
          <w:b/>
          <w:bCs/>
          <w:sz w:val="32"/>
          <w:szCs w:val="32"/>
          <w:highlight w:val="none"/>
        </w:rPr>
        <w:t>技术条款偏离表</w:t>
      </w:r>
      <w:bookmarkEnd w:id="167"/>
      <w:bookmarkEnd w:id="168"/>
    </w:p>
    <w:p w14:paraId="048B3023">
      <w:pPr>
        <w:pStyle w:val="17"/>
        <w:pageBreakBefore w:val="0"/>
        <w:widowControl w:val="0"/>
        <w:kinsoku/>
        <w:wordWrap/>
        <w:overflowPunct/>
        <w:topLinePunct w:val="0"/>
        <w:bidi w:val="0"/>
        <w:spacing w:line="360" w:lineRule="auto"/>
        <w:ind w:firstLine="0"/>
        <w:textAlignment w:val="auto"/>
        <w:rPr>
          <w:rFonts w:hAnsi="宋体" w:cs="宋体"/>
          <w:b/>
          <w:szCs w:val="21"/>
          <w:highlight w:val="none"/>
        </w:rPr>
      </w:pPr>
      <w:r>
        <w:rPr>
          <w:rFonts w:hint="eastAsia" w:hAnsi="宋体" w:cs="宋体"/>
          <w:b/>
          <w:szCs w:val="21"/>
          <w:highlight w:val="none"/>
        </w:rPr>
        <w:t>项目名称：</w:t>
      </w:r>
    </w:p>
    <w:p w14:paraId="3A468192">
      <w:pPr>
        <w:pStyle w:val="17"/>
        <w:pageBreakBefore w:val="0"/>
        <w:widowControl w:val="0"/>
        <w:kinsoku/>
        <w:wordWrap/>
        <w:overflowPunct/>
        <w:topLinePunct w:val="0"/>
        <w:bidi w:val="0"/>
        <w:spacing w:line="360" w:lineRule="auto"/>
        <w:ind w:firstLine="0"/>
        <w:textAlignment w:val="auto"/>
        <w:rPr>
          <w:rFonts w:hAnsi="宋体" w:cs="宋体"/>
          <w:b/>
          <w:szCs w:val="21"/>
          <w:highlight w:val="none"/>
        </w:rPr>
      </w:pPr>
      <w:r>
        <w:rPr>
          <w:rFonts w:hint="eastAsia" w:hAnsi="宋体" w:cs="宋体"/>
          <w:b/>
          <w:szCs w:val="21"/>
          <w:highlight w:val="none"/>
        </w:rPr>
        <w:t>项目编号：</w:t>
      </w:r>
    </w:p>
    <w:tbl>
      <w:tblPr>
        <w:tblStyle w:val="3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502"/>
        <w:gridCol w:w="2693"/>
        <w:gridCol w:w="920"/>
        <w:gridCol w:w="2105"/>
      </w:tblGrid>
      <w:tr w14:paraId="511D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664" w:type="dxa"/>
            <w:vAlign w:val="center"/>
          </w:tcPr>
          <w:p w14:paraId="47FF0466">
            <w:pPr>
              <w:pageBreakBefore w:val="0"/>
              <w:widowControl w:val="0"/>
              <w:kinsoku/>
              <w:wordWrap/>
              <w:overflowPunct/>
              <w:topLinePunct w:val="0"/>
              <w:bidi w:val="0"/>
              <w:spacing w:line="360" w:lineRule="auto"/>
              <w:ind w:firstLine="0"/>
              <w:jc w:val="center"/>
              <w:textAlignment w:val="auto"/>
              <w:rPr>
                <w:rFonts w:ascii="宋体" w:hAnsi="宋体" w:cs="宋体"/>
                <w:b/>
                <w:szCs w:val="21"/>
                <w:highlight w:val="none"/>
              </w:rPr>
            </w:pPr>
            <w:r>
              <w:rPr>
                <w:rFonts w:hint="eastAsia" w:ascii="宋体" w:hAnsi="宋体" w:cs="宋体"/>
                <w:b/>
                <w:szCs w:val="21"/>
                <w:highlight w:val="none"/>
              </w:rPr>
              <w:t>序号</w:t>
            </w:r>
          </w:p>
        </w:tc>
        <w:tc>
          <w:tcPr>
            <w:tcW w:w="2502" w:type="dxa"/>
            <w:vAlign w:val="center"/>
          </w:tcPr>
          <w:p w14:paraId="106B671A">
            <w:pPr>
              <w:pageBreakBefore w:val="0"/>
              <w:widowControl w:val="0"/>
              <w:kinsoku/>
              <w:wordWrap/>
              <w:overflowPunct/>
              <w:topLinePunct w:val="0"/>
              <w:bidi w:val="0"/>
              <w:spacing w:line="360" w:lineRule="auto"/>
              <w:ind w:firstLine="0"/>
              <w:jc w:val="center"/>
              <w:textAlignment w:val="auto"/>
              <w:rPr>
                <w:rFonts w:ascii="宋体" w:hAnsi="宋体" w:cs="宋体"/>
                <w:b/>
                <w:szCs w:val="21"/>
                <w:highlight w:val="none"/>
              </w:rPr>
            </w:pPr>
            <w:r>
              <w:rPr>
                <w:rFonts w:hint="eastAsia" w:ascii="宋体" w:hAnsi="宋体" w:cs="宋体"/>
                <w:b/>
                <w:szCs w:val="21"/>
                <w:highlight w:val="none"/>
              </w:rPr>
              <w:t>谈判文件技术条款</w:t>
            </w:r>
          </w:p>
        </w:tc>
        <w:tc>
          <w:tcPr>
            <w:tcW w:w="2693" w:type="dxa"/>
            <w:vAlign w:val="center"/>
          </w:tcPr>
          <w:p w14:paraId="2A754919">
            <w:pPr>
              <w:pageBreakBefore w:val="0"/>
              <w:widowControl w:val="0"/>
              <w:kinsoku/>
              <w:wordWrap/>
              <w:overflowPunct/>
              <w:topLinePunct w:val="0"/>
              <w:bidi w:val="0"/>
              <w:spacing w:line="360" w:lineRule="auto"/>
              <w:ind w:firstLine="0"/>
              <w:jc w:val="center"/>
              <w:textAlignment w:val="auto"/>
              <w:rPr>
                <w:rFonts w:ascii="宋体" w:hAnsi="宋体" w:cs="宋体"/>
                <w:b/>
                <w:szCs w:val="21"/>
                <w:highlight w:val="none"/>
              </w:rPr>
            </w:pPr>
            <w:r>
              <w:rPr>
                <w:rFonts w:hint="eastAsia" w:ascii="宋体" w:hAnsi="宋体" w:cs="宋体"/>
                <w:b/>
                <w:szCs w:val="21"/>
                <w:highlight w:val="none"/>
              </w:rPr>
              <w:t>响应文件响应情况</w:t>
            </w:r>
          </w:p>
        </w:tc>
        <w:tc>
          <w:tcPr>
            <w:tcW w:w="920" w:type="dxa"/>
            <w:vAlign w:val="center"/>
          </w:tcPr>
          <w:p w14:paraId="67C0BA75">
            <w:pPr>
              <w:pageBreakBefore w:val="0"/>
              <w:widowControl w:val="0"/>
              <w:kinsoku/>
              <w:wordWrap/>
              <w:overflowPunct/>
              <w:topLinePunct w:val="0"/>
              <w:bidi w:val="0"/>
              <w:spacing w:line="360" w:lineRule="auto"/>
              <w:ind w:firstLine="0"/>
              <w:jc w:val="center"/>
              <w:textAlignment w:val="auto"/>
              <w:rPr>
                <w:rFonts w:ascii="宋体" w:hAnsi="宋体" w:cs="宋体"/>
                <w:b/>
                <w:szCs w:val="21"/>
                <w:highlight w:val="none"/>
              </w:rPr>
            </w:pPr>
            <w:r>
              <w:rPr>
                <w:rFonts w:hint="eastAsia" w:ascii="宋体" w:hAnsi="宋体" w:cs="宋体"/>
                <w:b/>
                <w:szCs w:val="21"/>
                <w:highlight w:val="none"/>
              </w:rPr>
              <w:t>偏离</w:t>
            </w:r>
          </w:p>
        </w:tc>
        <w:tc>
          <w:tcPr>
            <w:tcW w:w="2105" w:type="dxa"/>
            <w:vAlign w:val="center"/>
          </w:tcPr>
          <w:p w14:paraId="51F40B95">
            <w:pPr>
              <w:pageBreakBefore w:val="0"/>
              <w:widowControl w:val="0"/>
              <w:kinsoku/>
              <w:wordWrap/>
              <w:overflowPunct/>
              <w:topLinePunct w:val="0"/>
              <w:bidi w:val="0"/>
              <w:spacing w:line="360" w:lineRule="auto"/>
              <w:ind w:firstLine="0"/>
              <w:jc w:val="center"/>
              <w:textAlignment w:val="auto"/>
              <w:rPr>
                <w:rFonts w:ascii="宋体" w:hAnsi="宋体" w:cs="宋体"/>
                <w:b/>
                <w:szCs w:val="21"/>
                <w:highlight w:val="none"/>
              </w:rPr>
            </w:pPr>
            <w:r>
              <w:rPr>
                <w:rFonts w:hint="eastAsia" w:ascii="宋体" w:hAnsi="宋体" w:cs="宋体"/>
                <w:b/>
                <w:szCs w:val="21"/>
                <w:highlight w:val="none"/>
              </w:rPr>
              <w:t>产品技术支持资料（页码及条目号等）</w:t>
            </w:r>
          </w:p>
        </w:tc>
      </w:tr>
      <w:tr w14:paraId="723C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664" w:type="dxa"/>
            <w:vAlign w:val="center"/>
          </w:tcPr>
          <w:p w14:paraId="704030C1">
            <w:pPr>
              <w:spacing w:line="360" w:lineRule="auto"/>
              <w:jc w:val="center"/>
              <w:rPr>
                <w:rFonts w:ascii="宋体" w:hAnsi="宋体" w:cs="宋体"/>
                <w:szCs w:val="21"/>
                <w:highlight w:val="none"/>
              </w:rPr>
            </w:pPr>
          </w:p>
        </w:tc>
        <w:tc>
          <w:tcPr>
            <w:tcW w:w="2502" w:type="dxa"/>
            <w:vAlign w:val="center"/>
          </w:tcPr>
          <w:p w14:paraId="22023D39">
            <w:pPr>
              <w:spacing w:line="360" w:lineRule="auto"/>
              <w:jc w:val="center"/>
              <w:rPr>
                <w:rFonts w:ascii="宋体" w:hAnsi="宋体" w:cs="宋体"/>
                <w:szCs w:val="21"/>
                <w:highlight w:val="none"/>
              </w:rPr>
            </w:pPr>
          </w:p>
        </w:tc>
        <w:tc>
          <w:tcPr>
            <w:tcW w:w="2693" w:type="dxa"/>
            <w:vAlign w:val="center"/>
          </w:tcPr>
          <w:p w14:paraId="6FB8D3D4">
            <w:pPr>
              <w:spacing w:line="360" w:lineRule="auto"/>
              <w:jc w:val="center"/>
              <w:rPr>
                <w:rFonts w:ascii="宋体" w:hAnsi="宋体" w:cs="宋体"/>
                <w:szCs w:val="21"/>
                <w:highlight w:val="none"/>
              </w:rPr>
            </w:pPr>
          </w:p>
        </w:tc>
        <w:tc>
          <w:tcPr>
            <w:tcW w:w="920" w:type="dxa"/>
            <w:vAlign w:val="center"/>
          </w:tcPr>
          <w:p w14:paraId="06D1323B">
            <w:pPr>
              <w:spacing w:line="360" w:lineRule="auto"/>
              <w:jc w:val="center"/>
              <w:rPr>
                <w:rFonts w:ascii="宋体" w:hAnsi="宋体" w:cs="宋体"/>
                <w:szCs w:val="21"/>
                <w:highlight w:val="none"/>
              </w:rPr>
            </w:pPr>
          </w:p>
        </w:tc>
        <w:tc>
          <w:tcPr>
            <w:tcW w:w="2105" w:type="dxa"/>
            <w:vAlign w:val="center"/>
          </w:tcPr>
          <w:p w14:paraId="0F207E8A">
            <w:pPr>
              <w:spacing w:line="360" w:lineRule="auto"/>
              <w:jc w:val="center"/>
              <w:rPr>
                <w:rFonts w:ascii="宋体" w:hAnsi="宋体" w:cs="宋体"/>
                <w:szCs w:val="21"/>
                <w:highlight w:val="none"/>
              </w:rPr>
            </w:pPr>
          </w:p>
        </w:tc>
      </w:tr>
      <w:tr w14:paraId="42FC8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664" w:type="dxa"/>
            <w:vAlign w:val="center"/>
          </w:tcPr>
          <w:p w14:paraId="28EB4237">
            <w:pPr>
              <w:spacing w:line="360" w:lineRule="auto"/>
              <w:jc w:val="center"/>
              <w:rPr>
                <w:rFonts w:ascii="宋体" w:hAnsi="宋体" w:cs="宋体"/>
                <w:szCs w:val="21"/>
                <w:highlight w:val="none"/>
              </w:rPr>
            </w:pPr>
          </w:p>
        </w:tc>
        <w:tc>
          <w:tcPr>
            <w:tcW w:w="2502" w:type="dxa"/>
            <w:vAlign w:val="center"/>
          </w:tcPr>
          <w:p w14:paraId="70F9B05A">
            <w:pPr>
              <w:spacing w:line="360" w:lineRule="auto"/>
              <w:jc w:val="center"/>
              <w:rPr>
                <w:rFonts w:ascii="宋体" w:hAnsi="宋体" w:cs="宋体"/>
                <w:szCs w:val="21"/>
                <w:highlight w:val="none"/>
              </w:rPr>
            </w:pPr>
          </w:p>
        </w:tc>
        <w:tc>
          <w:tcPr>
            <w:tcW w:w="2693" w:type="dxa"/>
            <w:vAlign w:val="center"/>
          </w:tcPr>
          <w:p w14:paraId="4E9ECBC8">
            <w:pPr>
              <w:spacing w:line="360" w:lineRule="auto"/>
              <w:jc w:val="center"/>
              <w:rPr>
                <w:rFonts w:ascii="宋体" w:hAnsi="宋体" w:cs="宋体"/>
                <w:szCs w:val="21"/>
                <w:highlight w:val="none"/>
              </w:rPr>
            </w:pPr>
          </w:p>
        </w:tc>
        <w:tc>
          <w:tcPr>
            <w:tcW w:w="920" w:type="dxa"/>
            <w:vAlign w:val="center"/>
          </w:tcPr>
          <w:p w14:paraId="7EAFE092">
            <w:pPr>
              <w:spacing w:line="360" w:lineRule="auto"/>
              <w:jc w:val="center"/>
              <w:rPr>
                <w:rFonts w:ascii="宋体" w:hAnsi="宋体" w:cs="宋体"/>
                <w:szCs w:val="21"/>
                <w:highlight w:val="none"/>
              </w:rPr>
            </w:pPr>
          </w:p>
        </w:tc>
        <w:tc>
          <w:tcPr>
            <w:tcW w:w="2105" w:type="dxa"/>
            <w:vAlign w:val="center"/>
          </w:tcPr>
          <w:p w14:paraId="5DF2FFB0">
            <w:pPr>
              <w:spacing w:line="360" w:lineRule="auto"/>
              <w:jc w:val="center"/>
              <w:rPr>
                <w:rFonts w:ascii="宋体" w:hAnsi="宋体" w:cs="宋体"/>
                <w:szCs w:val="21"/>
                <w:highlight w:val="none"/>
              </w:rPr>
            </w:pPr>
          </w:p>
        </w:tc>
      </w:tr>
      <w:tr w14:paraId="3355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664" w:type="dxa"/>
            <w:vAlign w:val="center"/>
          </w:tcPr>
          <w:p w14:paraId="117927F6">
            <w:pPr>
              <w:spacing w:line="360" w:lineRule="auto"/>
              <w:jc w:val="center"/>
              <w:rPr>
                <w:rFonts w:ascii="宋体" w:hAnsi="宋体" w:cs="宋体"/>
                <w:szCs w:val="21"/>
                <w:highlight w:val="none"/>
              </w:rPr>
            </w:pPr>
          </w:p>
        </w:tc>
        <w:tc>
          <w:tcPr>
            <w:tcW w:w="2502" w:type="dxa"/>
            <w:vAlign w:val="center"/>
          </w:tcPr>
          <w:p w14:paraId="053E7BD7">
            <w:pPr>
              <w:spacing w:line="360" w:lineRule="auto"/>
              <w:jc w:val="center"/>
              <w:rPr>
                <w:rFonts w:ascii="宋体" w:hAnsi="宋体" w:cs="宋体"/>
                <w:szCs w:val="21"/>
                <w:highlight w:val="none"/>
              </w:rPr>
            </w:pPr>
          </w:p>
        </w:tc>
        <w:tc>
          <w:tcPr>
            <w:tcW w:w="2693" w:type="dxa"/>
            <w:vAlign w:val="center"/>
          </w:tcPr>
          <w:p w14:paraId="649E1F45">
            <w:pPr>
              <w:spacing w:line="360" w:lineRule="auto"/>
              <w:jc w:val="center"/>
              <w:rPr>
                <w:rFonts w:ascii="宋体" w:hAnsi="宋体" w:cs="宋体"/>
                <w:szCs w:val="21"/>
                <w:highlight w:val="none"/>
              </w:rPr>
            </w:pPr>
          </w:p>
        </w:tc>
        <w:tc>
          <w:tcPr>
            <w:tcW w:w="920" w:type="dxa"/>
            <w:vAlign w:val="center"/>
          </w:tcPr>
          <w:p w14:paraId="3B097187">
            <w:pPr>
              <w:spacing w:line="360" w:lineRule="auto"/>
              <w:jc w:val="center"/>
              <w:rPr>
                <w:rFonts w:ascii="宋体" w:hAnsi="宋体" w:cs="宋体"/>
                <w:szCs w:val="21"/>
                <w:highlight w:val="none"/>
              </w:rPr>
            </w:pPr>
          </w:p>
        </w:tc>
        <w:tc>
          <w:tcPr>
            <w:tcW w:w="2105" w:type="dxa"/>
            <w:vAlign w:val="center"/>
          </w:tcPr>
          <w:p w14:paraId="447D335C">
            <w:pPr>
              <w:spacing w:line="360" w:lineRule="auto"/>
              <w:jc w:val="center"/>
              <w:rPr>
                <w:rFonts w:ascii="宋体" w:hAnsi="宋体" w:cs="宋体"/>
                <w:szCs w:val="21"/>
                <w:highlight w:val="none"/>
              </w:rPr>
            </w:pPr>
          </w:p>
        </w:tc>
      </w:tr>
      <w:tr w14:paraId="6EB4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664" w:type="dxa"/>
            <w:vAlign w:val="center"/>
          </w:tcPr>
          <w:p w14:paraId="1BB83F5C">
            <w:pPr>
              <w:spacing w:line="360" w:lineRule="auto"/>
              <w:jc w:val="center"/>
              <w:rPr>
                <w:rFonts w:ascii="宋体" w:hAnsi="宋体" w:cs="宋体"/>
                <w:szCs w:val="21"/>
                <w:highlight w:val="none"/>
              </w:rPr>
            </w:pPr>
          </w:p>
        </w:tc>
        <w:tc>
          <w:tcPr>
            <w:tcW w:w="2502" w:type="dxa"/>
            <w:vAlign w:val="center"/>
          </w:tcPr>
          <w:p w14:paraId="4FB548C5">
            <w:pPr>
              <w:spacing w:line="360" w:lineRule="auto"/>
              <w:jc w:val="center"/>
              <w:rPr>
                <w:rFonts w:ascii="宋体" w:hAnsi="宋体" w:cs="宋体"/>
                <w:szCs w:val="21"/>
                <w:highlight w:val="none"/>
              </w:rPr>
            </w:pPr>
          </w:p>
        </w:tc>
        <w:tc>
          <w:tcPr>
            <w:tcW w:w="2693" w:type="dxa"/>
            <w:vAlign w:val="center"/>
          </w:tcPr>
          <w:p w14:paraId="784145B9">
            <w:pPr>
              <w:spacing w:line="360" w:lineRule="auto"/>
              <w:jc w:val="center"/>
              <w:rPr>
                <w:rFonts w:ascii="宋体" w:hAnsi="宋体" w:cs="宋体"/>
                <w:szCs w:val="21"/>
                <w:highlight w:val="none"/>
              </w:rPr>
            </w:pPr>
          </w:p>
        </w:tc>
        <w:tc>
          <w:tcPr>
            <w:tcW w:w="920" w:type="dxa"/>
            <w:vAlign w:val="center"/>
          </w:tcPr>
          <w:p w14:paraId="5F77C775">
            <w:pPr>
              <w:spacing w:line="360" w:lineRule="auto"/>
              <w:jc w:val="center"/>
              <w:rPr>
                <w:rFonts w:ascii="宋体" w:hAnsi="宋体" w:cs="宋体"/>
                <w:szCs w:val="21"/>
                <w:highlight w:val="none"/>
              </w:rPr>
            </w:pPr>
          </w:p>
        </w:tc>
        <w:tc>
          <w:tcPr>
            <w:tcW w:w="2105" w:type="dxa"/>
            <w:vAlign w:val="center"/>
          </w:tcPr>
          <w:p w14:paraId="345B5BDA">
            <w:pPr>
              <w:spacing w:line="360" w:lineRule="auto"/>
              <w:jc w:val="center"/>
              <w:rPr>
                <w:rFonts w:ascii="宋体" w:hAnsi="宋体" w:cs="宋体"/>
                <w:szCs w:val="21"/>
                <w:highlight w:val="none"/>
              </w:rPr>
            </w:pPr>
          </w:p>
        </w:tc>
      </w:tr>
    </w:tbl>
    <w:p w14:paraId="419FDD52">
      <w:pPr>
        <w:spacing w:line="360" w:lineRule="auto"/>
        <w:jc w:val="left"/>
        <w:rPr>
          <w:rFonts w:ascii="宋体" w:hAnsi="宋体" w:cs="宋体"/>
          <w:szCs w:val="21"/>
          <w:highlight w:val="none"/>
        </w:rPr>
      </w:pPr>
      <w:r>
        <w:rPr>
          <w:rFonts w:hint="eastAsia" w:ascii="宋体" w:hAnsi="宋体" w:cs="宋体"/>
          <w:szCs w:val="21"/>
          <w:highlight w:val="none"/>
        </w:rPr>
        <w:t>注：</w:t>
      </w:r>
    </w:p>
    <w:p w14:paraId="03232869">
      <w:pPr>
        <w:pStyle w:val="17"/>
        <w:snapToGrid w:val="0"/>
        <w:spacing w:line="360" w:lineRule="auto"/>
        <w:rPr>
          <w:rFonts w:hAnsi="宋体" w:cs="宋体"/>
          <w:sz w:val="21"/>
          <w:szCs w:val="21"/>
          <w:highlight w:val="none"/>
        </w:rPr>
      </w:pPr>
      <w:r>
        <w:rPr>
          <w:rFonts w:hint="eastAsia" w:hAnsi="宋体" w:cs="宋体"/>
          <w:sz w:val="21"/>
          <w:szCs w:val="21"/>
          <w:highlight w:val="none"/>
        </w:rPr>
        <w:t>1.表格中“序号”一列，供应商须逐条对应第五章《采购需求》（三）采购标的需满足的质量、安全、技术规格、物理特性等要求中技术条款的序号</w:t>
      </w:r>
    </w:p>
    <w:p w14:paraId="40F94402">
      <w:pPr>
        <w:pStyle w:val="17"/>
        <w:snapToGrid w:val="0"/>
        <w:spacing w:line="360" w:lineRule="auto"/>
        <w:rPr>
          <w:rFonts w:hAnsi="宋体" w:cs="宋体"/>
          <w:sz w:val="21"/>
          <w:szCs w:val="21"/>
          <w:highlight w:val="none"/>
        </w:rPr>
      </w:pPr>
      <w:r>
        <w:rPr>
          <w:rFonts w:hint="eastAsia" w:hAnsi="宋体" w:cs="宋体"/>
          <w:sz w:val="21"/>
          <w:szCs w:val="21"/>
          <w:highlight w:val="none"/>
        </w:rPr>
        <w:t>2.表格中“谈判文件技术条款”一列，供应商须逐条对应第五章《采购需求》（三）采购标的需满足的质量、安全、技术规格、物理特性等要求中的技术条款</w:t>
      </w:r>
    </w:p>
    <w:p w14:paraId="42CF559F">
      <w:pPr>
        <w:pStyle w:val="17"/>
        <w:snapToGrid w:val="0"/>
        <w:spacing w:line="360" w:lineRule="auto"/>
        <w:rPr>
          <w:rFonts w:hAnsi="宋体" w:cs="宋体"/>
          <w:sz w:val="21"/>
          <w:szCs w:val="21"/>
          <w:highlight w:val="none"/>
        </w:rPr>
      </w:pPr>
      <w:r>
        <w:rPr>
          <w:rFonts w:hint="eastAsia" w:hAnsi="宋体" w:cs="宋体"/>
          <w:sz w:val="21"/>
          <w:szCs w:val="21"/>
          <w:highlight w:val="none"/>
        </w:rPr>
        <w:t>3.表格中“响应文件响应情况”一列，供应商须逐条对第五章《采购需求》（三）采购标的需满足的质量、安全、技术规格、物理特性等要求中的技术条款作出全面、真实的反映，响应文件应以中文应答（英文文本或缩略语需提供中文翻译或注释）。若响应文件中技术支持资料参数与技术条款偏离表应答不符，以技术支持资料为准；若无技术支持资料又未在响应文件中作出说明和解释的，谈判小组在评审时可以视为不响应该条技术条款的规定。</w:t>
      </w:r>
    </w:p>
    <w:p w14:paraId="0E5D6E30">
      <w:pPr>
        <w:pStyle w:val="17"/>
        <w:snapToGrid w:val="0"/>
        <w:spacing w:line="360" w:lineRule="auto"/>
        <w:rPr>
          <w:rFonts w:hAnsi="宋体" w:cs="宋体"/>
          <w:sz w:val="21"/>
          <w:szCs w:val="21"/>
          <w:highlight w:val="none"/>
        </w:rPr>
      </w:pPr>
      <w:r>
        <w:rPr>
          <w:rFonts w:hint="eastAsia" w:hAnsi="宋体" w:cs="宋体"/>
          <w:sz w:val="21"/>
          <w:szCs w:val="21"/>
          <w:highlight w:val="none"/>
        </w:rPr>
        <w:t>4.表格中“偏离”一列，供应商只能如实填写“正偏离”、“负偏离”或“无偏离”。凡响应内容高于第五章《采购需求》（三）采购标的需满足的质量、安全、技术规格、物理特性等要求中的技术条款要求的，按“正偏离”填写；低于第五章《采购需求》（三）采购标的需满足的质量、安全、技术规格、物理特性等要求中的技术条款要求的，按“负偏离”填写；满足第五章《采购需求》（三）采购标的需满足的质量、安全、技术规格、物理特性等要求中的技术条款要求的，按“无偏离”填写。</w:t>
      </w:r>
    </w:p>
    <w:p w14:paraId="0CEE8155">
      <w:pPr>
        <w:ind w:firstLine="480"/>
        <w:rPr>
          <w:rFonts w:ascii="宋体" w:hAnsi="宋体" w:cs="宋体"/>
          <w:sz w:val="24"/>
          <w:highlight w:val="none"/>
        </w:rPr>
      </w:pPr>
      <w:r>
        <w:rPr>
          <w:rFonts w:hint="eastAsia" w:ascii="宋体" w:hAnsi="宋体" w:cs="宋体"/>
          <w:sz w:val="24"/>
          <w:highlight w:val="none"/>
        </w:rPr>
        <w:br w:type="page"/>
      </w:r>
    </w:p>
    <w:p w14:paraId="7B626543">
      <w:pPr>
        <w:keepNext/>
        <w:keepLines/>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ascii="宋体" w:hAnsi="宋体" w:cs="宋体"/>
          <w:b/>
          <w:bCs/>
          <w:sz w:val="28"/>
          <w:szCs w:val="32"/>
          <w:highlight w:val="none"/>
        </w:rPr>
      </w:pPr>
      <w:r>
        <w:rPr>
          <w:rFonts w:hint="eastAsia" w:ascii="宋体" w:hAnsi="宋体" w:cs="宋体"/>
          <w:b/>
          <w:bCs/>
          <w:sz w:val="28"/>
          <w:szCs w:val="32"/>
          <w:highlight w:val="none"/>
        </w:rPr>
        <w:t>格式15</w:t>
      </w:r>
    </w:p>
    <w:p w14:paraId="7F2625DC">
      <w:pPr>
        <w:pageBreakBefore w:val="0"/>
        <w:widowControl w:val="0"/>
        <w:kinsoku/>
        <w:wordWrap/>
        <w:overflowPunct/>
        <w:topLinePunct w:val="0"/>
        <w:autoSpaceDE/>
        <w:autoSpaceDN/>
        <w:bidi w:val="0"/>
        <w:ind w:firstLine="0" w:firstLineChars="0"/>
        <w:jc w:val="center"/>
        <w:textAlignment w:val="auto"/>
        <w:rPr>
          <w:rFonts w:ascii="宋体" w:hAnsi="宋体" w:cs="宋体"/>
          <w:b/>
          <w:bCs/>
          <w:sz w:val="32"/>
          <w:szCs w:val="32"/>
          <w:highlight w:val="none"/>
        </w:rPr>
      </w:pPr>
      <w:r>
        <w:rPr>
          <w:rFonts w:hint="eastAsia" w:ascii="宋体" w:hAnsi="宋体" w:cs="宋体"/>
          <w:b/>
          <w:bCs/>
          <w:sz w:val="32"/>
          <w:szCs w:val="32"/>
          <w:highlight w:val="none"/>
        </w:rPr>
        <w:t>技术支持资料</w:t>
      </w:r>
    </w:p>
    <w:p w14:paraId="3A0DBC53">
      <w:pPr>
        <w:pageBreakBefore w:val="0"/>
        <w:widowControl w:val="0"/>
        <w:kinsoku/>
        <w:wordWrap/>
        <w:overflowPunct/>
        <w:topLinePunct w:val="0"/>
        <w:autoSpaceDE/>
        <w:autoSpaceDN/>
        <w:bidi w:val="0"/>
        <w:spacing w:line="360" w:lineRule="auto"/>
        <w:ind w:firstLine="0" w:firstLineChars="0"/>
        <w:textAlignment w:val="auto"/>
        <w:rPr>
          <w:rFonts w:ascii="宋体" w:hAnsi="宋体" w:cs="宋体"/>
          <w:b/>
          <w:bCs/>
          <w:szCs w:val="21"/>
          <w:highlight w:val="none"/>
        </w:rPr>
      </w:pPr>
      <w:r>
        <w:rPr>
          <w:rFonts w:hint="eastAsia" w:ascii="宋体" w:hAnsi="宋体" w:cs="宋体"/>
          <w:b/>
          <w:bCs/>
          <w:szCs w:val="21"/>
          <w:highlight w:val="none"/>
        </w:rPr>
        <w:t>第五章 采购需求 “技术参数及性能要求”标注“★”号参数为实质性技术参数，响应文件中必须提供最新技术支持资料支持技术要求偏离表应答（包括产品技术白皮书或检验报告或图纸或印刷宣传彩页，不接受供应商自行印刷、打印或者手写的技术支持资料），采购需求有证明材料要求的以采购需求要求为准。凡不符合上述要求的，视为无效技术支持资料。</w:t>
      </w:r>
    </w:p>
    <w:p w14:paraId="6692614A">
      <w:pPr>
        <w:spacing w:line="360" w:lineRule="auto"/>
        <w:ind w:firstLine="480"/>
        <w:rPr>
          <w:rFonts w:ascii="宋体" w:hAnsi="宋体" w:cs="宋体"/>
          <w:sz w:val="24"/>
          <w:highlight w:val="none"/>
        </w:rPr>
      </w:pPr>
      <w:r>
        <w:rPr>
          <w:rFonts w:hint="eastAsia" w:ascii="宋体" w:hAnsi="宋体" w:cs="宋体"/>
          <w:sz w:val="24"/>
          <w:highlight w:val="none"/>
        </w:rPr>
        <w:br w:type="page"/>
      </w:r>
    </w:p>
    <w:p w14:paraId="3E1D48C3">
      <w:pPr>
        <w:pageBreakBefore w:val="0"/>
        <w:widowControl w:val="0"/>
        <w:kinsoku/>
        <w:wordWrap/>
        <w:overflowPunct/>
        <w:topLinePunct w:val="0"/>
        <w:autoSpaceDE/>
        <w:autoSpaceDN/>
        <w:bidi w:val="0"/>
        <w:adjustRightInd/>
        <w:snapToGrid/>
        <w:spacing w:line="400" w:lineRule="exact"/>
        <w:ind w:firstLine="0"/>
        <w:textAlignment w:val="auto"/>
        <w:rPr>
          <w:rFonts w:ascii="宋体" w:hAnsi="宋体" w:cs="宋体"/>
          <w:b/>
          <w:sz w:val="28"/>
          <w:szCs w:val="28"/>
          <w:highlight w:val="none"/>
        </w:rPr>
      </w:pPr>
      <w:r>
        <w:rPr>
          <w:rFonts w:hint="eastAsia" w:ascii="宋体" w:hAnsi="宋体" w:cs="宋体"/>
          <w:b/>
          <w:sz w:val="28"/>
          <w:szCs w:val="28"/>
          <w:highlight w:val="none"/>
        </w:rPr>
        <w:t>格式16</w:t>
      </w:r>
    </w:p>
    <w:p w14:paraId="53B94545">
      <w:pPr>
        <w:keepNext/>
        <w:keepLines/>
        <w:pageBreakBefore w:val="0"/>
        <w:widowControl w:val="0"/>
        <w:kinsoku/>
        <w:wordWrap/>
        <w:overflowPunct/>
        <w:topLinePunct w:val="0"/>
        <w:autoSpaceDE/>
        <w:autoSpaceDN/>
        <w:bidi w:val="0"/>
        <w:adjustRightInd/>
        <w:snapToGrid/>
        <w:spacing w:before="120" w:after="120" w:line="360" w:lineRule="auto"/>
        <w:ind w:firstLine="0"/>
        <w:jc w:val="center"/>
        <w:textAlignment w:val="auto"/>
        <w:outlineLvl w:val="1"/>
        <w:rPr>
          <w:rFonts w:ascii="宋体" w:hAnsi="宋体" w:cs="宋体"/>
          <w:b/>
          <w:bCs/>
          <w:sz w:val="32"/>
          <w:szCs w:val="32"/>
          <w:highlight w:val="none"/>
        </w:rPr>
      </w:pPr>
      <w:bookmarkStart w:id="169" w:name="_Toc2670"/>
      <w:r>
        <w:rPr>
          <w:rFonts w:hint="eastAsia" w:ascii="宋体" w:hAnsi="宋体" w:cs="宋体"/>
          <w:b/>
          <w:bCs/>
          <w:sz w:val="32"/>
          <w:szCs w:val="32"/>
          <w:highlight w:val="none"/>
        </w:rPr>
        <w:t>售后服务承诺</w:t>
      </w:r>
      <w:bookmarkEnd w:id="169"/>
    </w:p>
    <w:p w14:paraId="3497A442">
      <w:pPr>
        <w:pageBreakBefore w:val="0"/>
        <w:widowControl w:val="0"/>
        <w:kinsoku/>
        <w:wordWrap/>
        <w:overflowPunct/>
        <w:topLinePunct w:val="0"/>
        <w:autoSpaceDE/>
        <w:autoSpaceDN/>
        <w:bidi w:val="0"/>
        <w:adjustRightInd/>
        <w:snapToGrid/>
        <w:spacing w:line="400" w:lineRule="exact"/>
        <w:ind w:firstLine="0"/>
        <w:jc w:val="center"/>
        <w:textAlignment w:val="auto"/>
        <w:rPr>
          <w:rFonts w:ascii="宋体" w:hAnsi="宋体" w:cs="宋体"/>
          <w:sz w:val="24"/>
          <w:szCs w:val="20"/>
          <w:highlight w:val="none"/>
        </w:rPr>
      </w:pPr>
      <w:r>
        <w:rPr>
          <w:rFonts w:hint="eastAsia" w:ascii="宋体" w:hAnsi="宋体" w:cs="宋体"/>
          <w:sz w:val="24"/>
          <w:szCs w:val="20"/>
          <w:highlight w:val="none"/>
        </w:rPr>
        <w:t>（内容自拟）</w:t>
      </w:r>
    </w:p>
    <w:p w14:paraId="4DC69F60">
      <w:pPr>
        <w:spacing w:line="640" w:lineRule="exact"/>
        <w:ind w:firstLine="2" w:firstLineChars="1"/>
        <w:jc w:val="left"/>
        <w:rPr>
          <w:rFonts w:ascii="宋体" w:hAnsi="宋体" w:cs="宋体"/>
          <w:szCs w:val="21"/>
          <w:highlight w:val="none"/>
        </w:rPr>
      </w:pPr>
    </w:p>
    <w:p w14:paraId="7A9991DA">
      <w:pPr>
        <w:keepNext/>
        <w:keepLines/>
        <w:spacing w:before="120" w:after="120" w:line="360" w:lineRule="auto"/>
        <w:ind w:left="425" w:firstLine="562"/>
        <w:jc w:val="center"/>
        <w:rPr>
          <w:rFonts w:ascii="宋体" w:hAnsi="宋体" w:cs="宋体"/>
          <w:b/>
          <w:bCs/>
          <w:sz w:val="28"/>
          <w:szCs w:val="32"/>
          <w:highlight w:val="none"/>
        </w:rPr>
      </w:pPr>
      <w:r>
        <w:rPr>
          <w:rFonts w:hint="eastAsia" w:ascii="宋体" w:hAnsi="宋体" w:cs="宋体"/>
          <w:b/>
          <w:bCs/>
          <w:sz w:val="28"/>
          <w:szCs w:val="32"/>
          <w:highlight w:val="none"/>
        </w:rPr>
        <w:br w:type="page"/>
      </w:r>
    </w:p>
    <w:p w14:paraId="3887EFC2">
      <w:pPr>
        <w:pStyle w:val="17"/>
        <w:keepNext w:val="0"/>
        <w:keepLines w:val="0"/>
        <w:pageBreakBefore w:val="0"/>
        <w:widowControl w:val="0"/>
        <w:kinsoku/>
        <w:wordWrap/>
        <w:overflowPunct/>
        <w:topLinePunct w:val="0"/>
        <w:bidi w:val="0"/>
        <w:snapToGrid w:val="0"/>
        <w:spacing w:line="360" w:lineRule="auto"/>
        <w:ind w:firstLine="0"/>
        <w:jc w:val="both"/>
        <w:textAlignment w:val="auto"/>
        <w:rPr>
          <w:rFonts w:hAnsi="宋体" w:cs="宋体"/>
          <w:b/>
          <w:bCs/>
          <w:sz w:val="28"/>
          <w:szCs w:val="32"/>
          <w:highlight w:val="none"/>
        </w:rPr>
      </w:pPr>
      <w:r>
        <w:rPr>
          <w:rFonts w:hint="eastAsia" w:hAnsi="宋体" w:cs="宋体"/>
          <w:b/>
          <w:bCs/>
          <w:sz w:val="28"/>
          <w:szCs w:val="32"/>
          <w:highlight w:val="none"/>
        </w:rPr>
        <w:t>格式17</w:t>
      </w:r>
    </w:p>
    <w:p w14:paraId="67D54AEB">
      <w:pPr>
        <w:pStyle w:val="17"/>
        <w:keepNext w:val="0"/>
        <w:keepLines w:val="0"/>
        <w:pageBreakBefore w:val="0"/>
        <w:widowControl w:val="0"/>
        <w:kinsoku/>
        <w:wordWrap/>
        <w:overflowPunct/>
        <w:topLinePunct w:val="0"/>
        <w:bidi w:val="0"/>
        <w:snapToGrid w:val="0"/>
        <w:spacing w:line="360" w:lineRule="auto"/>
        <w:ind w:firstLine="0"/>
        <w:jc w:val="center"/>
        <w:textAlignment w:val="auto"/>
        <w:outlineLvl w:val="1"/>
        <w:rPr>
          <w:rFonts w:hAnsi="宋体" w:cs="宋体"/>
          <w:b/>
          <w:bCs/>
          <w:sz w:val="32"/>
          <w:szCs w:val="32"/>
          <w:highlight w:val="none"/>
        </w:rPr>
      </w:pPr>
      <w:r>
        <w:rPr>
          <w:rFonts w:hint="eastAsia" w:hAnsi="宋体" w:cs="宋体"/>
          <w:b/>
          <w:bCs/>
          <w:sz w:val="32"/>
          <w:szCs w:val="32"/>
          <w:highlight w:val="none"/>
        </w:rPr>
        <w:t>交付时间进度计划安排</w:t>
      </w:r>
    </w:p>
    <w:p w14:paraId="0B5213FE">
      <w:pPr>
        <w:keepNext w:val="0"/>
        <w:keepLines w:val="0"/>
        <w:pageBreakBefore w:val="0"/>
        <w:widowControl w:val="0"/>
        <w:kinsoku/>
        <w:wordWrap/>
        <w:overflowPunct/>
        <w:topLinePunct w:val="0"/>
        <w:bidi w:val="0"/>
        <w:spacing w:line="360" w:lineRule="auto"/>
        <w:ind w:firstLine="0"/>
        <w:jc w:val="center"/>
        <w:textAlignment w:val="auto"/>
        <w:rPr>
          <w:rFonts w:ascii="宋体" w:hAnsi="宋体" w:cs="宋体"/>
          <w:sz w:val="24"/>
          <w:szCs w:val="20"/>
          <w:highlight w:val="none"/>
        </w:rPr>
      </w:pPr>
      <w:r>
        <w:rPr>
          <w:rFonts w:hint="eastAsia" w:ascii="宋体" w:hAnsi="宋体" w:cs="宋体"/>
          <w:sz w:val="24"/>
          <w:szCs w:val="20"/>
          <w:highlight w:val="none"/>
        </w:rPr>
        <w:t>（内容自拟）</w:t>
      </w:r>
    </w:p>
    <w:p w14:paraId="66E81F3F">
      <w:pPr>
        <w:adjustRightInd w:val="0"/>
        <w:snapToGrid w:val="0"/>
        <w:spacing w:line="360" w:lineRule="auto"/>
        <w:ind w:firstLine="2" w:firstLineChars="1"/>
        <w:rPr>
          <w:rFonts w:ascii="宋体" w:hAnsi="宋体" w:cs="宋体"/>
          <w:szCs w:val="21"/>
          <w:highlight w:val="none"/>
        </w:rPr>
      </w:pPr>
    </w:p>
    <w:p w14:paraId="17AA6DE7">
      <w:pPr>
        <w:ind w:firstLine="643"/>
        <w:rPr>
          <w:rFonts w:ascii="宋体" w:hAnsi="宋体" w:cs="宋体"/>
          <w:b/>
          <w:bCs/>
          <w:sz w:val="32"/>
          <w:szCs w:val="32"/>
          <w:highlight w:val="none"/>
        </w:rPr>
      </w:pPr>
      <w:r>
        <w:rPr>
          <w:rFonts w:hint="eastAsia" w:ascii="宋体" w:hAnsi="宋体" w:cs="宋体"/>
          <w:b/>
          <w:bCs/>
          <w:sz w:val="32"/>
          <w:szCs w:val="32"/>
          <w:highlight w:val="none"/>
        </w:rPr>
        <w:br w:type="page"/>
      </w:r>
    </w:p>
    <w:p w14:paraId="4B7DB945">
      <w:pPr>
        <w:keepNext/>
        <w:keepLines/>
        <w:adjustRightInd w:val="0"/>
        <w:snapToGrid w:val="0"/>
        <w:spacing w:line="360" w:lineRule="auto"/>
        <w:jc w:val="left"/>
        <w:rPr>
          <w:rFonts w:ascii="宋体" w:hAnsi="宋体" w:cs="宋体"/>
          <w:b/>
          <w:sz w:val="28"/>
          <w:szCs w:val="28"/>
          <w:highlight w:val="none"/>
        </w:rPr>
      </w:pPr>
      <w:r>
        <w:rPr>
          <w:rFonts w:hint="eastAsia" w:ascii="宋体" w:hAnsi="宋体" w:cs="宋体"/>
          <w:b/>
          <w:sz w:val="28"/>
          <w:szCs w:val="28"/>
          <w:highlight w:val="none"/>
        </w:rPr>
        <w:t>格式18</w:t>
      </w:r>
    </w:p>
    <w:p w14:paraId="5EE69C1C">
      <w:pPr>
        <w:keepNext/>
        <w:keepLines/>
        <w:adjustRightInd w:val="0"/>
        <w:snapToGrid w:val="0"/>
        <w:spacing w:line="360" w:lineRule="auto"/>
        <w:jc w:val="center"/>
        <w:outlineLvl w:val="1"/>
        <w:rPr>
          <w:rFonts w:ascii="宋体" w:hAnsi="宋体" w:cs="宋体"/>
          <w:b/>
          <w:bCs/>
          <w:sz w:val="28"/>
          <w:szCs w:val="32"/>
          <w:highlight w:val="none"/>
        </w:rPr>
      </w:pPr>
      <w:bookmarkStart w:id="170" w:name="_Toc32714"/>
      <w:bookmarkStart w:id="171" w:name="_Toc524791636"/>
      <w:bookmarkStart w:id="172" w:name="_Toc494043354"/>
      <w:bookmarkStart w:id="173" w:name="_Toc491307380"/>
      <w:bookmarkStart w:id="174" w:name="_Toc4027"/>
      <w:bookmarkStart w:id="175" w:name="_Toc524791742"/>
      <w:bookmarkStart w:id="176" w:name="_Toc488633629"/>
      <w:bookmarkStart w:id="177" w:name="_Toc491307318"/>
      <w:bookmarkStart w:id="178" w:name="_Toc481694857"/>
      <w:bookmarkStart w:id="179" w:name="_Toc4444"/>
      <w:bookmarkStart w:id="180" w:name="_Toc491307500"/>
      <w:bookmarkStart w:id="181" w:name="_Toc27046"/>
      <w:r>
        <w:rPr>
          <w:rFonts w:hint="eastAsia" w:ascii="宋体" w:hAnsi="宋体" w:cs="宋体"/>
          <w:b/>
          <w:bCs/>
          <w:sz w:val="28"/>
          <w:szCs w:val="32"/>
          <w:highlight w:val="none"/>
        </w:rPr>
        <w:t>法定代表人身份证明书</w:t>
      </w:r>
      <w:bookmarkEnd w:id="170"/>
      <w:bookmarkEnd w:id="171"/>
      <w:bookmarkEnd w:id="172"/>
      <w:bookmarkEnd w:id="173"/>
      <w:bookmarkEnd w:id="174"/>
      <w:bookmarkEnd w:id="175"/>
      <w:bookmarkEnd w:id="176"/>
      <w:bookmarkEnd w:id="177"/>
      <w:bookmarkEnd w:id="178"/>
      <w:bookmarkEnd w:id="179"/>
      <w:bookmarkEnd w:id="180"/>
      <w:bookmarkEnd w:id="181"/>
    </w:p>
    <w:p w14:paraId="250C4608">
      <w:pPr>
        <w:adjustRightInd w:val="0"/>
        <w:snapToGrid w:val="0"/>
        <w:spacing w:line="360" w:lineRule="auto"/>
        <w:ind w:firstLine="602"/>
        <w:jc w:val="center"/>
        <w:rPr>
          <w:rFonts w:ascii="宋体" w:hAnsi="宋体" w:cs="宋体"/>
          <w:b/>
          <w:sz w:val="30"/>
          <w:szCs w:val="30"/>
          <w:highlight w:val="none"/>
        </w:rPr>
      </w:pPr>
    </w:p>
    <w:p w14:paraId="44B8ACEF">
      <w:pPr>
        <w:adjustRightInd w:val="0"/>
        <w:snapToGrid w:val="0"/>
        <w:spacing w:line="360" w:lineRule="auto"/>
        <w:rPr>
          <w:rFonts w:ascii="宋体" w:hAnsi="宋体" w:cs="宋体"/>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p>
    <w:p w14:paraId="1BACBDB3">
      <w:pPr>
        <w:adjustRightInd w:val="0"/>
        <w:snapToGrid w:val="0"/>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724CB4AC">
      <w:pPr>
        <w:adjustRightInd w:val="0"/>
        <w:snapToGrid w:val="0"/>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5FE2D1A6">
      <w:pPr>
        <w:adjustRightInd w:val="0"/>
        <w:snapToGrid w:val="0"/>
        <w:spacing w:line="360" w:lineRule="auto"/>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7B3E990D">
      <w:pPr>
        <w:adjustRightInd w:val="0"/>
        <w:snapToGrid w:val="0"/>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   </w:t>
      </w:r>
    </w:p>
    <w:p w14:paraId="00C9AC97">
      <w:pPr>
        <w:adjustRightInd w:val="0"/>
        <w:snapToGrid w:val="0"/>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 xml:space="preserve">                        </w:t>
      </w:r>
      <w:r>
        <w:rPr>
          <w:rFonts w:hint="eastAsia" w:ascii="宋体" w:hAnsi="宋体" w:cs="宋体"/>
          <w:szCs w:val="21"/>
          <w:highlight w:val="none"/>
        </w:rPr>
        <w:t>（供应商名称）的法定代表人。</w:t>
      </w:r>
    </w:p>
    <w:p w14:paraId="2CB7B110">
      <w:pPr>
        <w:adjustRightInd w:val="0"/>
        <w:snapToGrid w:val="0"/>
        <w:spacing w:line="360" w:lineRule="auto"/>
        <w:rPr>
          <w:rFonts w:ascii="宋体" w:hAnsi="宋体" w:cs="宋体"/>
          <w:szCs w:val="21"/>
          <w:highlight w:val="none"/>
        </w:rPr>
      </w:pPr>
    </w:p>
    <w:p w14:paraId="6349D58F">
      <w:pPr>
        <w:adjustRightInd w:val="0"/>
        <w:snapToGrid w:val="0"/>
        <w:spacing w:line="360" w:lineRule="auto"/>
        <w:ind w:firstLine="420" w:firstLineChars="200"/>
        <w:rPr>
          <w:rFonts w:ascii="宋体" w:hAnsi="宋体" w:cs="宋体"/>
          <w:szCs w:val="21"/>
          <w:highlight w:val="none"/>
        </w:rPr>
      </w:pPr>
    </w:p>
    <w:p w14:paraId="4E2BE0A8">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14F0DE1A">
      <w:pPr>
        <w:adjustRightInd w:val="0"/>
        <w:snapToGrid w:val="0"/>
        <w:spacing w:line="360" w:lineRule="auto"/>
        <w:rPr>
          <w:rFonts w:ascii="宋体" w:hAnsi="宋体" w:cs="宋体"/>
          <w:szCs w:val="21"/>
          <w:highlight w:val="none"/>
        </w:rPr>
      </w:pPr>
    </w:p>
    <w:p w14:paraId="1121C14E">
      <w:pPr>
        <w:adjustRightInd w:val="0"/>
        <w:snapToGrid w:val="0"/>
        <w:spacing w:line="360" w:lineRule="auto"/>
        <w:rPr>
          <w:rFonts w:ascii="宋体" w:hAnsi="宋体" w:cs="宋体"/>
          <w:szCs w:val="21"/>
          <w:highlight w:val="none"/>
        </w:rPr>
      </w:pPr>
    </w:p>
    <w:p w14:paraId="7854AA2C">
      <w:pPr>
        <w:adjustRightInd w:val="0"/>
        <w:snapToGrid w:val="0"/>
        <w:spacing w:line="360" w:lineRule="auto"/>
        <w:rPr>
          <w:rFonts w:ascii="宋体" w:hAnsi="宋体" w:cs="宋体"/>
          <w:szCs w:val="21"/>
          <w:highlight w:val="none"/>
        </w:rPr>
      </w:pPr>
    </w:p>
    <w:p w14:paraId="23DE049B">
      <w:pPr>
        <w:adjustRightInd w:val="0"/>
        <w:snapToGrid w:val="0"/>
        <w:spacing w:line="360" w:lineRule="auto"/>
        <w:rPr>
          <w:rFonts w:ascii="宋体" w:hAnsi="宋体" w:cs="宋体"/>
          <w:szCs w:val="21"/>
          <w:highlight w:val="none"/>
        </w:rPr>
      </w:pPr>
    </w:p>
    <w:p w14:paraId="56F14E5C">
      <w:pPr>
        <w:adjustRightInd w:val="0"/>
        <w:snapToGrid w:val="0"/>
        <w:spacing w:line="360" w:lineRule="auto"/>
        <w:rPr>
          <w:rFonts w:ascii="宋体" w:hAnsi="宋体" w:cs="宋体"/>
          <w:szCs w:val="21"/>
          <w:highlight w:val="none"/>
        </w:rPr>
      </w:pPr>
      <w:r>
        <w:rPr>
          <w:rFonts w:hint="eastAsia" w:ascii="宋体" w:hAnsi="宋体" w:cs="宋体"/>
          <w:szCs w:val="21"/>
          <w:highlight w:val="none"/>
        </w:rPr>
        <w:t>供应商：（加盖供应商电子公章）</w:t>
      </w:r>
    </w:p>
    <w:p w14:paraId="7F94FE3E">
      <w:pPr>
        <w:adjustRightInd w:val="0"/>
        <w:snapToGrid w:val="0"/>
        <w:spacing w:line="360" w:lineRule="auto"/>
        <w:rPr>
          <w:rFonts w:ascii="宋体" w:hAnsi="宋体" w:cs="宋体"/>
          <w:szCs w:val="21"/>
          <w:highlight w:val="none"/>
        </w:rPr>
      </w:pPr>
    </w:p>
    <w:p w14:paraId="3E2A42DC">
      <w:pPr>
        <w:adjustRightInd w:val="0"/>
        <w:snapToGrid w:val="0"/>
        <w:spacing w:line="360" w:lineRule="auto"/>
        <w:rPr>
          <w:rFonts w:ascii="宋体" w:hAnsi="宋体" w:cs="宋体"/>
          <w:szCs w:val="21"/>
          <w:highlight w:val="none"/>
        </w:rPr>
      </w:pPr>
      <w:r>
        <w:rPr>
          <w:rFonts w:hint="eastAsia" w:ascii="宋体" w:hAnsi="宋体" w:cs="宋体"/>
          <w:szCs w:val="21"/>
          <w:highlight w:val="none"/>
        </w:rPr>
        <w:t>日期：</w:t>
      </w:r>
    </w:p>
    <w:p w14:paraId="04A74C2F">
      <w:pPr>
        <w:adjustRightInd w:val="0"/>
        <w:snapToGrid w:val="0"/>
        <w:spacing w:line="360" w:lineRule="auto"/>
        <w:rPr>
          <w:rFonts w:ascii="宋体" w:hAnsi="宋体" w:cs="宋体"/>
          <w:szCs w:val="21"/>
          <w:highlight w:val="none"/>
        </w:rPr>
      </w:pPr>
    </w:p>
    <w:p w14:paraId="72D85FCF">
      <w:pPr>
        <w:adjustRightInd w:val="0"/>
        <w:snapToGrid w:val="0"/>
        <w:spacing w:line="360" w:lineRule="auto"/>
        <w:ind w:firstLine="422"/>
        <w:jc w:val="left"/>
        <w:rPr>
          <w:rFonts w:ascii="宋体" w:hAnsi="宋体" w:cs="宋体"/>
          <w:b/>
          <w:bCs/>
          <w:szCs w:val="21"/>
          <w:highlight w:val="none"/>
        </w:rPr>
      </w:pPr>
    </w:p>
    <w:p w14:paraId="6627EE36">
      <w:pPr>
        <w:pStyle w:val="17"/>
        <w:snapToGrid w:val="0"/>
        <w:spacing w:line="360" w:lineRule="auto"/>
        <w:ind w:firstLine="422"/>
        <w:rPr>
          <w:rFonts w:hAnsi="宋体" w:cs="宋体"/>
          <w:b/>
          <w:bCs/>
          <w:sz w:val="21"/>
          <w:szCs w:val="21"/>
          <w:highlight w:val="none"/>
        </w:rPr>
      </w:pPr>
      <w:r>
        <w:rPr>
          <w:rFonts w:hint="eastAsia" w:hAnsi="宋体" w:cs="宋体"/>
          <w:b/>
          <w:bCs/>
          <w:sz w:val="21"/>
          <w:szCs w:val="21"/>
          <w:highlight w:val="none"/>
        </w:rPr>
        <w:t>注：在响应文件中附法定代表人居民身份证扫描件。</w:t>
      </w:r>
    </w:p>
    <w:p w14:paraId="3597B7CD">
      <w:pPr>
        <w:pStyle w:val="17"/>
        <w:snapToGrid w:val="0"/>
        <w:spacing w:line="360" w:lineRule="auto"/>
        <w:rPr>
          <w:rFonts w:hAnsi="宋体" w:cs="宋体"/>
          <w:b/>
          <w:sz w:val="28"/>
          <w:szCs w:val="28"/>
          <w:highlight w:val="none"/>
        </w:rPr>
      </w:pPr>
      <w:r>
        <w:rPr>
          <w:rFonts w:hint="eastAsia" w:hAnsi="宋体" w:cs="宋体"/>
          <w:sz w:val="24"/>
          <w:highlight w:val="none"/>
        </w:rPr>
        <w:br w:type="page"/>
      </w:r>
      <w:bookmarkStart w:id="182" w:name="_Toc491307381"/>
      <w:bookmarkStart w:id="183" w:name="_Toc491307319"/>
      <w:bookmarkStart w:id="184" w:name="_Toc491307501"/>
      <w:r>
        <w:rPr>
          <w:rFonts w:hint="eastAsia" w:hAnsi="宋体" w:cs="宋体"/>
          <w:b/>
          <w:sz w:val="28"/>
          <w:szCs w:val="28"/>
          <w:highlight w:val="none"/>
        </w:rPr>
        <w:t>格式</w:t>
      </w:r>
      <w:bookmarkEnd w:id="182"/>
      <w:bookmarkEnd w:id="183"/>
      <w:bookmarkEnd w:id="184"/>
      <w:r>
        <w:rPr>
          <w:rFonts w:hint="eastAsia" w:hAnsi="宋体" w:cs="宋体"/>
          <w:b/>
          <w:sz w:val="28"/>
          <w:szCs w:val="28"/>
          <w:highlight w:val="none"/>
        </w:rPr>
        <w:t>19</w:t>
      </w:r>
    </w:p>
    <w:p w14:paraId="4560A65B">
      <w:pPr>
        <w:keepNext/>
        <w:keepLines/>
        <w:adjustRightInd w:val="0"/>
        <w:snapToGrid w:val="0"/>
        <w:spacing w:line="360" w:lineRule="auto"/>
        <w:jc w:val="center"/>
        <w:outlineLvl w:val="1"/>
        <w:rPr>
          <w:rFonts w:ascii="宋体" w:hAnsi="宋体" w:cs="宋体"/>
          <w:b/>
          <w:bCs/>
          <w:sz w:val="28"/>
          <w:szCs w:val="32"/>
          <w:highlight w:val="none"/>
        </w:rPr>
      </w:pPr>
      <w:bookmarkStart w:id="185" w:name="_Toc491307320"/>
      <w:bookmarkStart w:id="186" w:name="_Toc491307382"/>
      <w:bookmarkStart w:id="187" w:name="_Toc488633630"/>
      <w:bookmarkStart w:id="188" w:name="_Toc481694858"/>
      <w:bookmarkStart w:id="189" w:name="_Toc213141107"/>
      <w:bookmarkStart w:id="190" w:name="_Toc491307502"/>
      <w:r>
        <w:rPr>
          <w:rFonts w:hint="eastAsia" w:ascii="宋体" w:hAnsi="宋体" w:cs="宋体"/>
          <w:b/>
          <w:bCs/>
          <w:sz w:val="28"/>
          <w:szCs w:val="32"/>
          <w:highlight w:val="none"/>
        </w:rPr>
        <w:t>法定代表人授权委托书</w:t>
      </w:r>
      <w:bookmarkEnd w:id="185"/>
      <w:bookmarkEnd w:id="186"/>
      <w:bookmarkEnd w:id="187"/>
      <w:bookmarkEnd w:id="188"/>
      <w:bookmarkEnd w:id="189"/>
      <w:bookmarkEnd w:id="190"/>
    </w:p>
    <w:p w14:paraId="7EC04CE5">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 xml:space="preserve">  （供应商全称） </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（项目名称）</w:t>
      </w:r>
      <w:r>
        <w:rPr>
          <w:rFonts w:hint="eastAsia" w:ascii="宋体" w:hAnsi="宋体" w:cs="宋体"/>
          <w:szCs w:val="21"/>
          <w:highlight w:val="none"/>
        </w:rPr>
        <w:t>（项目编号：）的竞争性谈判，以本单位名义参加。代理人在本项目谈判过程中所签署的一切文件和处理与之有关的一切事务，我方均予承认。</w:t>
      </w:r>
    </w:p>
    <w:p w14:paraId="7997EA02">
      <w:pPr>
        <w:pStyle w:val="17"/>
        <w:snapToGrid w:val="0"/>
        <w:spacing w:line="360" w:lineRule="auto"/>
        <w:ind w:firstLine="420"/>
        <w:rPr>
          <w:rFonts w:hAnsi="宋体" w:cs="宋体"/>
          <w:szCs w:val="21"/>
          <w:highlight w:val="none"/>
        </w:rPr>
      </w:pPr>
      <w:r>
        <w:rPr>
          <w:rFonts w:hint="eastAsia" w:hAnsi="宋体" w:cs="宋体"/>
          <w:kern w:val="2"/>
          <w:sz w:val="21"/>
          <w:szCs w:val="21"/>
          <w:highlight w:val="none"/>
        </w:rPr>
        <w:t>代理人无转委托权。</w:t>
      </w:r>
    </w:p>
    <w:p w14:paraId="08AB4551">
      <w:pPr>
        <w:pStyle w:val="17"/>
        <w:snapToGrid w:val="0"/>
        <w:spacing w:line="360" w:lineRule="auto"/>
        <w:ind w:firstLine="400"/>
        <w:rPr>
          <w:rFonts w:hAnsi="宋体" w:cs="宋体"/>
          <w:szCs w:val="21"/>
          <w:highlight w:val="none"/>
        </w:rPr>
      </w:pPr>
    </w:p>
    <w:p w14:paraId="306A339F">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供应商（加盖供应商电子公章）：</w:t>
      </w:r>
    </w:p>
    <w:p w14:paraId="2B3B52FC">
      <w:pPr>
        <w:adjustRightInd w:val="0"/>
        <w:snapToGrid w:val="0"/>
        <w:spacing w:line="360" w:lineRule="auto"/>
        <w:ind w:firstLine="2" w:firstLineChars="1"/>
        <w:jc w:val="left"/>
        <w:rPr>
          <w:rFonts w:ascii="宋体" w:hAnsi="宋体" w:cs="宋体"/>
          <w:szCs w:val="21"/>
          <w:highlight w:val="none"/>
        </w:rPr>
      </w:pPr>
    </w:p>
    <w:p w14:paraId="2481ED32">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法定代表人（电子签名或盖章）：</w:t>
      </w:r>
    </w:p>
    <w:p w14:paraId="57433481">
      <w:pPr>
        <w:adjustRightInd w:val="0"/>
        <w:snapToGrid w:val="0"/>
        <w:spacing w:line="360" w:lineRule="auto"/>
        <w:jc w:val="left"/>
        <w:rPr>
          <w:rFonts w:ascii="宋体" w:hAnsi="宋体" w:cs="宋体"/>
          <w:szCs w:val="21"/>
          <w:highlight w:val="none"/>
        </w:rPr>
      </w:pPr>
    </w:p>
    <w:p w14:paraId="600B3AE6">
      <w:pPr>
        <w:pStyle w:val="17"/>
        <w:snapToGrid w:val="0"/>
        <w:spacing w:line="360" w:lineRule="auto"/>
        <w:rPr>
          <w:rFonts w:hAnsi="宋体" w:cs="宋体"/>
          <w:sz w:val="21"/>
          <w:szCs w:val="21"/>
          <w:highlight w:val="none"/>
        </w:rPr>
      </w:pPr>
      <w:r>
        <w:rPr>
          <w:rFonts w:hint="eastAsia" w:hAnsi="宋体" w:cs="宋体"/>
          <w:sz w:val="21"/>
          <w:szCs w:val="21"/>
          <w:highlight w:val="none"/>
        </w:rPr>
        <w:t>日期：</w:t>
      </w:r>
    </w:p>
    <w:p w14:paraId="6C86C3EE">
      <w:pPr>
        <w:adjustRightInd w:val="0"/>
        <w:snapToGrid w:val="0"/>
        <w:spacing w:line="360" w:lineRule="auto"/>
        <w:rPr>
          <w:rFonts w:ascii="宋体" w:hAnsi="宋体" w:cs="宋体"/>
          <w:highlight w:val="none"/>
        </w:rPr>
      </w:pPr>
    </w:p>
    <w:tbl>
      <w:tblPr>
        <w:tblStyle w:val="38"/>
        <w:tblW w:w="5868" w:type="dxa"/>
        <w:tblInd w:w="720" w:type="dxa"/>
        <w:tblLayout w:type="fixed"/>
        <w:tblCellMar>
          <w:top w:w="0" w:type="dxa"/>
          <w:left w:w="108" w:type="dxa"/>
          <w:bottom w:w="0" w:type="dxa"/>
          <w:right w:w="108" w:type="dxa"/>
        </w:tblCellMar>
      </w:tblPr>
      <w:tblGrid>
        <w:gridCol w:w="1908"/>
        <w:gridCol w:w="3960"/>
      </w:tblGrid>
      <w:tr w14:paraId="10B5AAF9">
        <w:tc>
          <w:tcPr>
            <w:tcW w:w="1908" w:type="dxa"/>
            <w:tcBorders>
              <w:top w:val="nil"/>
              <w:left w:val="nil"/>
              <w:bottom w:val="nil"/>
              <w:right w:val="nil"/>
            </w:tcBorders>
          </w:tcPr>
          <w:p w14:paraId="4DEB4F0A">
            <w:pPr>
              <w:pStyle w:val="17"/>
              <w:snapToGrid w:val="0"/>
              <w:spacing w:line="360" w:lineRule="auto"/>
              <w:rPr>
                <w:rFonts w:hAnsi="宋体" w:cs="宋体"/>
                <w:sz w:val="21"/>
                <w:szCs w:val="21"/>
                <w:highlight w:val="none"/>
              </w:rPr>
            </w:pPr>
            <w:r>
              <w:rPr>
                <w:rFonts w:hint="eastAsia" w:hAnsi="宋体" w:cs="宋体"/>
                <w:sz w:val="21"/>
                <w:szCs w:val="21"/>
                <w:highlight w:val="none"/>
              </w:rPr>
              <w:t>附：</w:t>
            </w:r>
          </w:p>
        </w:tc>
        <w:tc>
          <w:tcPr>
            <w:tcW w:w="3960" w:type="dxa"/>
            <w:tcBorders>
              <w:top w:val="nil"/>
              <w:left w:val="nil"/>
              <w:bottom w:val="nil"/>
              <w:right w:val="nil"/>
            </w:tcBorders>
          </w:tcPr>
          <w:p w14:paraId="1E82386C">
            <w:pPr>
              <w:pStyle w:val="17"/>
              <w:snapToGrid w:val="0"/>
              <w:spacing w:line="360" w:lineRule="auto"/>
              <w:rPr>
                <w:rFonts w:hAnsi="宋体" w:cs="宋体"/>
                <w:sz w:val="21"/>
                <w:szCs w:val="21"/>
                <w:highlight w:val="none"/>
              </w:rPr>
            </w:pPr>
          </w:p>
        </w:tc>
      </w:tr>
      <w:tr w14:paraId="73623069">
        <w:tblPrEx>
          <w:tblCellMar>
            <w:top w:w="0" w:type="dxa"/>
            <w:left w:w="108" w:type="dxa"/>
            <w:bottom w:w="0" w:type="dxa"/>
            <w:right w:w="108" w:type="dxa"/>
          </w:tblCellMar>
        </w:tblPrEx>
        <w:tc>
          <w:tcPr>
            <w:tcW w:w="1908" w:type="dxa"/>
            <w:tcBorders>
              <w:top w:val="nil"/>
              <w:left w:val="nil"/>
              <w:bottom w:val="nil"/>
              <w:right w:val="nil"/>
            </w:tcBorders>
          </w:tcPr>
          <w:p w14:paraId="3C816CC6">
            <w:pPr>
              <w:pStyle w:val="17"/>
              <w:snapToGrid w:val="0"/>
              <w:spacing w:line="360" w:lineRule="auto"/>
              <w:jc w:val="distribute"/>
              <w:rPr>
                <w:rFonts w:hAnsi="宋体" w:cs="宋体"/>
                <w:sz w:val="21"/>
                <w:szCs w:val="21"/>
                <w:highlight w:val="none"/>
              </w:rPr>
            </w:pPr>
            <w:r>
              <w:rPr>
                <w:rFonts w:hint="eastAsia" w:hAnsi="宋体" w:cs="宋体"/>
                <w:sz w:val="21"/>
                <w:szCs w:val="21"/>
                <w:highlight w:val="none"/>
              </w:rPr>
              <w:t>委托代理人姓名：</w:t>
            </w:r>
          </w:p>
        </w:tc>
        <w:tc>
          <w:tcPr>
            <w:tcW w:w="3960" w:type="dxa"/>
            <w:tcBorders>
              <w:top w:val="nil"/>
              <w:left w:val="nil"/>
              <w:bottom w:val="nil"/>
              <w:right w:val="nil"/>
            </w:tcBorders>
          </w:tcPr>
          <w:p w14:paraId="001FF490">
            <w:pPr>
              <w:pStyle w:val="17"/>
              <w:snapToGrid w:val="0"/>
              <w:spacing w:line="360" w:lineRule="auto"/>
              <w:rPr>
                <w:rFonts w:hAnsi="宋体" w:cs="宋体"/>
                <w:sz w:val="21"/>
                <w:szCs w:val="21"/>
                <w:highlight w:val="none"/>
              </w:rPr>
            </w:pPr>
          </w:p>
        </w:tc>
      </w:tr>
      <w:tr w14:paraId="22D99E80">
        <w:tblPrEx>
          <w:tblCellMar>
            <w:top w:w="0" w:type="dxa"/>
            <w:left w:w="108" w:type="dxa"/>
            <w:bottom w:w="0" w:type="dxa"/>
            <w:right w:w="108" w:type="dxa"/>
          </w:tblCellMar>
        </w:tblPrEx>
        <w:tc>
          <w:tcPr>
            <w:tcW w:w="1908" w:type="dxa"/>
            <w:tcBorders>
              <w:top w:val="nil"/>
              <w:left w:val="nil"/>
              <w:bottom w:val="nil"/>
              <w:right w:val="nil"/>
            </w:tcBorders>
          </w:tcPr>
          <w:p w14:paraId="056D6143">
            <w:pPr>
              <w:pStyle w:val="17"/>
              <w:snapToGrid w:val="0"/>
              <w:spacing w:line="360" w:lineRule="auto"/>
              <w:jc w:val="distribute"/>
              <w:rPr>
                <w:rFonts w:hAnsi="宋体" w:cs="宋体"/>
                <w:sz w:val="21"/>
                <w:szCs w:val="21"/>
                <w:highlight w:val="none"/>
              </w:rPr>
            </w:pPr>
            <w:r>
              <w:rPr>
                <w:rFonts w:hint="eastAsia" w:hAnsi="宋体" w:cs="宋体"/>
                <w:sz w:val="21"/>
                <w:szCs w:val="21"/>
                <w:highlight w:val="none"/>
              </w:rPr>
              <w:t>职       务：</w:t>
            </w:r>
          </w:p>
        </w:tc>
        <w:tc>
          <w:tcPr>
            <w:tcW w:w="3960" w:type="dxa"/>
            <w:tcBorders>
              <w:top w:val="nil"/>
              <w:left w:val="nil"/>
              <w:bottom w:val="nil"/>
              <w:right w:val="nil"/>
            </w:tcBorders>
          </w:tcPr>
          <w:p w14:paraId="796AE7D0">
            <w:pPr>
              <w:pStyle w:val="17"/>
              <w:snapToGrid w:val="0"/>
              <w:spacing w:line="360" w:lineRule="auto"/>
              <w:rPr>
                <w:rFonts w:hAnsi="宋体" w:cs="宋体"/>
                <w:sz w:val="21"/>
                <w:szCs w:val="21"/>
                <w:highlight w:val="none"/>
              </w:rPr>
            </w:pPr>
          </w:p>
        </w:tc>
      </w:tr>
      <w:tr w14:paraId="482E9EAF">
        <w:tblPrEx>
          <w:tblCellMar>
            <w:top w:w="0" w:type="dxa"/>
            <w:left w:w="108" w:type="dxa"/>
            <w:bottom w:w="0" w:type="dxa"/>
            <w:right w:w="108" w:type="dxa"/>
          </w:tblCellMar>
        </w:tblPrEx>
        <w:tc>
          <w:tcPr>
            <w:tcW w:w="1908" w:type="dxa"/>
            <w:tcBorders>
              <w:top w:val="nil"/>
              <w:left w:val="nil"/>
              <w:bottom w:val="nil"/>
              <w:right w:val="nil"/>
            </w:tcBorders>
          </w:tcPr>
          <w:p w14:paraId="56F6918E">
            <w:pPr>
              <w:pStyle w:val="17"/>
              <w:snapToGrid w:val="0"/>
              <w:spacing w:line="360" w:lineRule="auto"/>
              <w:jc w:val="distribute"/>
              <w:rPr>
                <w:rFonts w:hAnsi="宋体" w:cs="宋体"/>
                <w:sz w:val="21"/>
                <w:szCs w:val="21"/>
                <w:highlight w:val="none"/>
              </w:rPr>
            </w:pPr>
            <w:r>
              <w:rPr>
                <w:rFonts w:hint="eastAsia" w:hAnsi="宋体" w:cs="宋体"/>
                <w:sz w:val="21"/>
                <w:szCs w:val="21"/>
                <w:highlight w:val="none"/>
              </w:rPr>
              <w:t>身份证号码：</w:t>
            </w:r>
          </w:p>
        </w:tc>
        <w:tc>
          <w:tcPr>
            <w:tcW w:w="3960" w:type="dxa"/>
            <w:tcBorders>
              <w:top w:val="nil"/>
              <w:left w:val="nil"/>
              <w:bottom w:val="nil"/>
              <w:right w:val="nil"/>
            </w:tcBorders>
          </w:tcPr>
          <w:p w14:paraId="61E74DFD">
            <w:pPr>
              <w:pStyle w:val="17"/>
              <w:snapToGrid w:val="0"/>
              <w:spacing w:line="360" w:lineRule="auto"/>
              <w:rPr>
                <w:rFonts w:hAnsi="宋体" w:cs="宋体"/>
                <w:sz w:val="21"/>
                <w:szCs w:val="21"/>
                <w:highlight w:val="none"/>
              </w:rPr>
            </w:pPr>
          </w:p>
        </w:tc>
      </w:tr>
      <w:tr w14:paraId="736BB21D">
        <w:tblPrEx>
          <w:tblCellMar>
            <w:top w:w="0" w:type="dxa"/>
            <w:left w:w="108" w:type="dxa"/>
            <w:bottom w:w="0" w:type="dxa"/>
            <w:right w:w="108" w:type="dxa"/>
          </w:tblCellMar>
        </w:tblPrEx>
        <w:tc>
          <w:tcPr>
            <w:tcW w:w="1908" w:type="dxa"/>
            <w:tcBorders>
              <w:top w:val="nil"/>
              <w:left w:val="nil"/>
              <w:bottom w:val="nil"/>
              <w:right w:val="nil"/>
            </w:tcBorders>
          </w:tcPr>
          <w:p w14:paraId="60F9E7F7">
            <w:pPr>
              <w:pStyle w:val="17"/>
              <w:snapToGrid w:val="0"/>
              <w:spacing w:line="360" w:lineRule="auto"/>
              <w:jc w:val="distribute"/>
              <w:rPr>
                <w:rFonts w:hAnsi="宋体" w:cs="宋体"/>
                <w:sz w:val="21"/>
                <w:szCs w:val="21"/>
                <w:highlight w:val="none"/>
              </w:rPr>
            </w:pPr>
            <w:r>
              <w:rPr>
                <w:rFonts w:hint="eastAsia" w:hAnsi="宋体" w:cs="宋体"/>
                <w:sz w:val="21"/>
                <w:szCs w:val="21"/>
                <w:highlight w:val="none"/>
              </w:rPr>
              <w:t>详 细  地 址：</w:t>
            </w:r>
          </w:p>
        </w:tc>
        <w:tc>
          <w:tcPr>
            <w:tcW w:w="3960" w:type="dxa"/>
            <w:tcBorders>
              <w:top w:val="nil"/>
              <w:left w:val="nil"/>
              <w:bottom w:val="nil"/>
              <w:right w:val="nil"/>
            </w:tcBorders>
          </w:tcPr>
          <w:p w14:paraId="1E26256D">
            <w:pPr>
              <w:pStyle w:val="17"/>
              <w:snapToGrid w:val="0"/>
              <w:spacing w:line="360" w:lineRule="auto"/>
              <w:rPr>
                <w:rFonts w:hAnsi="宋体" w:cs="宋体"/>
                <w:sz w:val="21"/>
                <w:szCs w:val="21"/>
                <w:highlight w:val="none"/>
              </w:rPr>
            </w:pPr>
          </w:p>
        </w:tc>
      </w:tr>
      <w:tr w14:paraId="38A248EB">
        <w:tblPrEx>
          <w:tblCellMar>
            <w:top w:w="0" w:type="dxa"/>
            <w:left w:w="108" w:type="dxa"/>
            <w:bottom w:w="0" w:type="dxa"/>
            <w:right w:w="108" w:type="dxa"/>
          </w:tblCellMar>
        </w:tblPrEx>
        <w:tc>
          <w:tcPr>
            <w:tcW w:w="1908" w:type="dxa"/>
            <w:tcBorders>
              <w:top w:val="nil"/>
              <w:left w:val="nil"/>
              <w:bottom w:val="nil"/>
              <w:right w:val="nil"/>
            </w:tcBorders>
          </w:tcPr>
          <w:p w14:paraId="0DC5C530">
            <w:pPr>
              <w:pStyle w:val="17"/>
              <w:snapToGrid w:val="0"/>
              <w:spacing w:line="360" w:lineRule="auto"/>
              <w:jc w:val="distribute"/>
              <w:rPr>
                <w:rFonts w:hAnsi="宋体" w:cs="宋体"/>
                <w:sz w:val="21"/>
                <w:szCs w:val="21"/>
                <w:highlight w:val="none"/>
              </w:rPr>
            </w:pPr>
            <w:r>
              <w:rPr>
                <w:rFonts w:hint="eastAsia" w:hAnsi="宋体" w:cs="宋体"/>
                <w:sz w:val="21"/>
                <w:szCs w:val="21"/>
                <w:highlight w:val="none"/>
              </w:rPr>
              <w:t>电       话：</w:t>
            </w:r>
          </w:p>
        </w:tc>
        <w:tc>
          <w:tcPr>
            <w:tcW w:w="3960" w:type="dxa"/>
            <w:tcBorders>
              <w:top w:val="nil"/>
              <w:left w:val="nil"/>
              <w:bottom w:val="nil"/>
              <w:right w:val="nil"/>
            </w:tcBorders>
          </w:tcPr>
          <w:p w14:paraId="0757E697">
            <w:pPr>
              <w:pStyle w:val="17"/>
              <w:snapToGrid w:val="0"/>
              <w:spacing w:line="360" w:lineRule="auto"/>
              <w:rPr>
                <w:rFonts w:hAnsi="宋体" w:cs="宋体"/>
                <w:sz w:val="21"/>
                <w:szCs w:val="21"/>
                <w:highlight w:val="none"/>
              </w:rPr>
            </w:pPr>
          </w:p>
        </w:tc>
      </w:tr>
    </w:tbl>
    <w:p w14:paraId="2C1F3CFC">
      <w:pPr>
        <w:pStyle w:val="17"/>
        <w:snapToGrid w:val="0"/>
        <w:spacing w:line="360" w:lineRule="auto"/>
        <w:ind w:firstLine="422"/>
        <w:rPr>
          <w:rFonts w:hAnsi="宋体" w:cs="宋体"/>
          <w:b/>
          <w:bCs/>
          <w:sz w:val="21"/>
          <w:szCs w:val="21"/>
          <w:highlight w:val="none"/>
        </w:rPr>
      </w:pPr>
    </w:p>
    <w:p w14:paraId="55B9E3FB">
      <w:pPr>
        <w:pStyle w:val="17"/>
        <w:snapToGrid w:val="0"/>
        <w:spacing w:line="360" w:lineRule="auto"/>
        <w:ind w:firstLine="422"/>
        <w:rPr>
          <w:rFonts w:hAnsi="宋体" w:cs="宋体"/>
          <w:b/>
          <w:bCs/>
          <w:sz w:val="21"/>
          <w:szCs w:val="21"/>
          <w:highlight w:val="none"/>
        </w:rPr>
      </w:pPr>
      <w:r>
        <w:rPr>
          <w:rFonts w:hint="eastAsia" w:hAnsi="宋体" w:cs="宋体"/>
          <w:b/>
          <w:bCs/>
          <w:sz w:val="21"/>
          <w:szCs w:val="21"/>
          <w:highlight w:val="none"/>
        </w:rPr>
        <w:t>注：在响应文件中附委托代理人居民身份证扫描件。</w:t>
      </w:r>
    </w:p>
    <w:p w14:paraId="772A6B3B">
      <w:pPr>
        <w:keepNext/>
        <w:keepLines/>
        <w:adjustRightInd w:val="0"/>
        <w:snapToGrid w:val="0"/>
        <w:spacing w:line="360" w:lineRule="auto"/>
        <w:jc w:val="left"/>
        <w:rPr>
          <w:rFonts w:ascii="宋体" w:hAnsi="宋体" w:cs="宋体"/>
          <w:b/>
          <w:sz w:val="28"/>
          <w:szCs w:val="28"/>
          <w:highlight w:val="none"/>
        </w:rPr>
      </w:pPr>
      <w:r>
        <w:rPr>
          <w:rFonts w:hint="eastAsia" w:ascii="宋体" w:hAnsi="宋体" w:cs="宋体"/>
          <w:b/>
          <w:bCs/>
          <w:szCs w:val="21"/>
          <w:highlight w:val="none"/>
        </w:rPr>
        <w:br w:type="page"/>
      </w:r>
      <w:bookmarkStart w:id="191" w:name="_Toc491307321"/>
      <w:bookmarkStart w:id="192" w:name="_Toc491307383"/>
      <w:bookmarkStart w:id="193" w:name="_Toc491307503"/>
      <w:r>
        <w:rPr>
          <w:rFonts w:hint="eastAsia" w:ascii="宋体" w:hAnsi="宋体" w:cs="宋体"/>
          <w:b/>
          <w:sz w:val="28"/>
          <w:szCs w:val="28"/>
          <w:highlight w:val="none"/>
        </w:rPr>
        <w:t>格式</w:t>
      </w:r>
      <w:bookmarkEnd w:id="191"/>
      <w:bookmarkEnd w:id="192"/>
      <w:bookmarkEnd w:id="193"/>
      <w:r>
        <w:rPr>
          <w:rFonts w:hint="eastAsia" w:ascii="宋体" w:hAnsi="宋体" w:cs="宋体"/>
          <w:b/>
          <w:sz w:val="28"/>
          <w:szCs w:val="28"/>
          <w:highlight w:val="none"/>
        </w:rPr>
        <w:t>20</w:t>
      </w:r>
    </w:p>
    <w:p w14:paraId="00FCFAC4">
      <w:pPr>
        <w:keepNext/>
        <w:keepLines/>
        <w:adjustRightInd w:val="0"/>
        <w:snapToGrid w:val="0"/>
        <w:spacing w:line="360" w:lineRule="auto"/>
        <w:jc w:val="center"/>
        <w:outlineLvl w:val="1"/>
        <w:rPr>
          <w:rFonts w:ascii="宋体" w:hAnsi="宋体" w:cs="宋体"/>
          <w:b/>
          <w:bCs/>
          <w:sz w:val="28"/>
          <w:szCs w:val="32"/>
          <w:highlight w:val="none"/>
        </w:rPr>
      </w:pPr>
      <w:bookmarkStart w:id="194" w:name="_Toc488633631"/>
      <w:bookmarkStart w:id="195" w:name="_Toc491307504"/>
      <w:bookmarkStart w:id="196" w:name="_Toc491307384"/>
      <w:bookmarkStart w:id="197" w:name="_Toc481694859"/>
      <w:bookmarkStart w:id="198" w:name="_Toc491307322"/>
      <w:r>
        <w:rPr>
          <w:rFonts w:hint="eastAsia" w:ascii="宋体" w:hAnsi="宋体" w:cs="宋体"/>
          <w:b/>
          <w:bCs/>
          <w:sz w:val="28"/>
          <w:szCs w:val="32"/>
          <w:highlight w:val="none"/>
        </w:rPr>
        <w:t>供应商具备参加政府采购活动条件承诺书</w:t>
      </w:r>
      <w:bookmarkEnd w:id="194"/>
      <w:bookmarkEnd w:id="195"/>
      <w:bookmarkEnd w:id="196"/>
      <w:bookmarkEnd w:id="197"/>
      <w:bookmarkEnd w:id="198"/>
    </w:p>
    <w:p w14:paraId="58FDA728">
      <w:pPr>
        <w:adjustRightInd w:val="0"/>
        <w:snapToGrid w:val="0"/>
        <w:spacing w:line="360" w:lineRule="auto"/>
        <w:rPr>
          <w:rFonts w:ascii="宋体" w:hAnsi="宋体" w:cs="宋体"/>
          <w:szCs w:val="21"/>
          <w:highlight w:val="none"/>
        </w:rPr>
      </w:pPr>
      <w:r>
        <w:rPr>
          <w:rFonts w:hint="eastAsia" w:ascii="宋体" w:hAnsi="宋体" w:cs="宋体"/>
          <w:szCs w:val="21"/>
          <w:highlight w:val="none"/>
        </w:rPr>
        <w:t>致：（采购人名称）：</w:t>
      </w:r>
    </w:p>
    <w:p w14:paraId="732396A1">
      <w:pPr>
        <w:adjustRightInd w:val="0"/>
        <w:snapToGrid w:val="0"/>
        <w:spacing w:line="360" w:lineRule="auto"/>
        <w:ind w:firstLine="4410" w:firstLineChars="2100"/>
        <w:rPr>
          <w:rFonts w:ascii="宋体" w:hAnsi="宋体" w:cs="宋体"/>
          <w:highlight w:val="none"/>
        </w:rPr>
      </w:pPr>
    </w:p>
    <w:p w14:paraId="04800A73">
      <w:pPr>
        <w:adjustRightInd w:val="0"/>
        <w:snapToGrid w:val="0"/>
        <w:spacing w:line="360" w:lineRule="auto"/>
        <w:ind w:firstLine="4410" w:firstLineChars="2100"/>
        <w:rPr>
          <w:rFonts w:ascii="宋体" w:hAnsi="宋体" w:cs="宋体"/>
          <w:highlight w:val="none"/>
        </w:rPr>
      </w:pPr>
    </w:p>
    <w:p w14:paraId="3BD9E75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（供应商自行承诺及说明，内容自拟）</w:t>
      </w:r>
    </w:p>
    <w:p w14:paraId="43DAAB91">
      <w:pPr>
        <w:adjustRightInd w:val="0"/>
        <w:snapToGrid w:val="0"/>
        <w:spacing w:line="360" w:lineRule="auto"/>
        <w:ind w:firstLine="480"/>
        <w:jc w:val="left"/>
        <w:rPr>
          <w:rFonts w:ascii="宋体" w:hAnsi="宋体" w:cs="宋体"/>
          <w:sz w:val="24"/>
          <w:highlight w:val="none"/>
        </w:rPr>
      </w:pPr>
    </w:p>
    <w:p w14:paraId="502FEF1B">
      <w:pPr>
        <w:adjustRightInd w:val="0"/>
        <w:snapToGrid w:val="0"/>
        <w:spacing w:line="360" w:lineRule="auto"/>
        <w:ind w:firstLine="480"/>
        <w:jc w:val="left"/>
        <w:rPr>
          <w:rFonts w:ascii="宋体" w:hAnsi="宋体" w:cs="宋体"/>
          <w:sz w:val="24"/>
          <w:highlight w:val="none"/>
        </w:rPr>
      </w:pPr>
    </w:p>
    <w:p w14:paraId="17BDC0F0">
      <w:pPr>
        <w:adjustRightInd w:val="0"/>
        <w:snapToGrid w:val="0"/>
        <w:spacing w:line="360" w:lineRule="auto"/>
        <w:ind w:firstLine="480"/>
        <w:jc w:val="left"/>
        <w:rPr>
          <w:rFonts w:ascii="宋体" w:hAnsi="宋体" w:cs="宋体"/>
          <w:sz w:val="24"/>
          <w:highlight w:val="none"/>
        </w:rPr>
      </w:pPr>
    </w:p>
    <w:p w14:paraId="6E50280C">
      <w:pPr>
        <w:adjustRightInd w:val="0"/>
        <w:snapToGrid w:val="0"/>
        <w:spacing w:line="360" w:lineRule="auto"/>
        <w:ind w:firstLine="480"/>
        <w:jc w:val="left"/>
        <w:rPr>
          <w:rFonts w:ascii="宋体" w:hAnsi="宋体" w:cs="宋体"/>
          <w:sz w:val="24"/>
          <w:highlight w:val="none"/>
        </w:rPr>
      </w:pPr>
    </w:p>
    <w:p w14:paraId="63470615">
      <w:pPr>
        <w:adjustRightInd w:val="0"/>
        <w:snapToGrid w:val="0"/>
        <w:spacing w:line="360" w:lineRule="auto"/>
        <w:ind w:firstLine="480"/>
        <w:jc w:val="left"/>
        <w:rPr>
          <w:rFonts w:ascii="宋体" w:hAnsi="宋体" w:cs="宋体"/>
          <w:sz w:val="24"/>
          <w:highlight w:val="none"/>
        </w:rPr>
      </w:pPr>
    </w:p>
    <w:p w14:paraId="7B3439A5">
      <w:pPr>
        <w:adjustRightInd w:val="0"/>
        <w:snapToGrid w:val="0"/>
        <w:spacing w:line="360" w:lineRule="auto"/>
        <w:ind w:firstLine="480"/>
        <w:jc w:val="left"/>
        <w:rPr>
          <w:rFonts w:ascii="宋体" w:hAnsi="宋体" w:cs="宋体"/>
          <w:sz w:val="24"/>
          <w:highlight w:val="none"/>
        </w:rPr>
      </w:pPr>
    </w:p>
    <w:p w14:paraId="2E2873CB">
      <w:pPr>
        <w:adjustRightInd w:val="0"/>
        <w:snapToGrid w:val="0"/>
        <w:spacing w:line="360" w:lineRule="auto"/>
        <w:ind w:firstLine="480"/>
        <w:jc w:val="left"/>
        <w:rPr>
          <w:rFonts w:ascii="宋体" w:hAnsi="宋体" w:cs="宋体"/>
          <w:sz w:val="24"/>
          <w:highlight w:val="none"/>
        </w:rPr>
      </w:pPr>
    </w:p>
    <w:p w14:paraId="5E84C9E2">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供应商（加盖供应商电子公章）：</w:t>
      </w:r>
    </w:p>
    <w:p w14:paraId="2D6373BB">
      <w:pPr>
        <w:adjustRightInd w:val="0"/>
        <w:snapToGrid w:val="0"/>
        <w:spacing w:line="360" w:lineRule="auto"/>
        <w:ind w:firstLine="2" w:firstLineChars="1"/>
        <w:jc w:val="left"/>
        <w:rPr>
          <w:rFonts w:ascii="宋体" w:hAnsi="宋体" w:cs="宋体"/>
          <w:szCs w:val="21"/>
          <w:highlight w:val="none"/>
        </w:rPr>
      </w:pPr>
    </w:p>
    <w:p w14:paraId="4F2E2FB3">
      <w:pPr>
        <w:adjustRightInd w:val="0"/>
        <w:snapToGrid w:val="0"/>
        <w:spacing w:line="360" w:lineRule="auto"/>
        <w:ind w:firstLine="2" w:firstLineChars="1"/>
        <w:jc w:val="left"/>
        <w:rPr>
          <w:rFonts w:ascii="宋体" w:hAnsi="宋体" w:cs="宋体"/>
          <w:szCs w:val="21"/>
          <w:highlight w:val="none"/>
        </w:rPr>
      </w:pPr>
      <w:r>
        <w:rPr>
          <w:rFonts w:hint="eastAsia" w:ascii="宋体" w:hAnsi="宋体" w:cs="宋体"/>
          <w:szCs w:val="21"/>
          <w:highlight w:val="none"/>
        </w:rPr>
        <w:t>法定代表人或委托代理人（电子签名或盖章）：</w:t>
      </w:r>
    </w:p>
    <w:p w14:paraId="5B110F29">
      <w:pPr>
        <w:pStyle w:val="17"/>
        <w:snapToGrid w:val="0"/>
        <w:spacing w:line="360" w:lineRule="auto"/>
        <w:ind w:firstLine="400"/>
        <w:rPr>
          <w:rFonts w:hAnsi="宋体" w:cs="宋体"/>
          <w:szCs w:val="21"/>
          <w:highlight w:val="none"/>
          <w:u w:val="single"/>
        </w:rPr>
      </w:pPr>
    </w:p>
    <w:p w14:paraId="7983881F">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日期：</w:t>
      </w:r>
    </w:p>
    <w:p w14:paraId="331EC71C">
      <w:pPr>
        <w:adjustRightInd w:val="0"/>
        <w:snapToGrid w:val="0"/>
        <w:spacing w:line="360" w:lineRule="auto"/>
        <w:jc w:val="left"/>
        <w:rPr>
          <w:rFonts w:ascii="宋体" w:hAnsi="宋体" w:cs="宋体"/>
          <w:szCs w:val="21"/>
          <w:highlight w:val="none"/>
        </w:rPr>
      </w:pPr>
    </w:p>
    <w:p w14:paraId="13C7C25E">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注：</w:t>
      </w:r>
    </w:p>
    <w:p w14:paraId="166C8D8A">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1D135075">
      <w:pPr>
        <w:pStyle w:val="17"/>
        <w:snapToGrid w:val="0"/>
        <w:spacing w:line="360" w:lineRule="auto"/>
        <w:rPr>
          <w:rFonts w:hAnsi="宋体" w:cs="宋体"/>
          <w:sz w:val="21"/>
          <w:szCs w:val="21"/>
          <w:highlight w:val="none"/>
        </w:rPr>
      </w:pPr>
      <w:r>
        <w:rPr>
          <w:rFonts w:hint="eastAsia" w:hAnsi="宋体" w:cs="宋体"/>
          <w:sz w:val="21"/>
          <w:szCs w:val="21"/>
          <w:highlight w:val="none"/>
        </w:rPr>
        <w:t>2.若谈判文件中明确要求提供证明资料的，以证明资料为准。</w:t>
      </w:r>
    </w:p>
    <w:p w14:paraId="27EA38B8">
      <w:pPr>
        <w:keepNext/>
        <w:keepLines/>
        <w:adjustRightInd w:val="0"/>
        <w:snapToGrid w:val="0"/>
        <w:spacing w:line="360" w:lineRule="auto"/>
        <w:jc w:val="left"/>
        <w:rPr>
          <w:rFonts w:ascii="宋体" w:hAnsi="宋体" w:cs="宋体"/>
          <w:b/>
          <w:sz w:val="28"/>
          <w:szCs w:val="28"/>
          <w:highlight w:val="none"/>
        </w:rPr>
      </w:pPr>
      <w:r>
        <w:rPr>
          <w:rFonts w:hint="eastAsia" w:ascii="宋体" w:hAnsi="宋体" w:cs="宋体"/>
          <w:szCs w:val="21"/>
          <w:highlight w:val="none"/>
        </w:rPr>
        <w:br w:type="page"/>
      </w:r>
      <w:bookmarkStart w:id="199" w:name="_Toc491307507"/>
      <w:bookmarkStart w:id="200" w:name="_Toc491307325"/>
      <w:bookmarkStart w:id="201" w:name="_Toc491307387"/>
      <w:bookmarkStart w:id="202" w:name="_Toc491307512"/>
      <w:bookmarkStart w:id="203" w:name="_Toc491307330"/>
      <w:bookmarkStart w:id="204" w:name="_Toc491307392"/>
      <w:bookmarkStart w:id="205" w:name="_Toc491307323"/>
      <w:bookmarkStart w:id="206" w:name="_Toc428404332"/>
      <w:bookmarkStart w:id="207" w:name="_Toc491307505"/>
      <w:bookmarkStart w:id="208" w:name="_Toc491307385"/>
      <w:r>
        <w:rPr>
          <w:rFonts w:hint="eastAsia" w:ascii="宋体" w:hAnsi="宋体" w:cs="宋体"/>
          <w:b/>
          <w:sz w:val="28"/>
          <w:szCs w:val="28"/>
          <w:highlight w:val="none"/>
        </w:rPr>
        <w:t>格式</w:t>
      </w:r>
      <w:bookmarkEnd w:id="199"/>
      <w:bookmarkEnd w:id="200"/>
      <w:bookmarkEnd w:id="201"/>
      <w:r>
        <w:rPr>
          <w:rFonts w:hint="eastAsia" w:ascii="宋体" w:hAnsi="宋体" w:cs="宋体"/>
          <w:b/>
          <w:sz w:val="28"/>
          <w:szCs w:val="28"/>
          <w:highlight w:val="none"/>
        </w:rPr>
        <w:t>21</w:t>
      </w:r>
    </w:p>
    <w:p w14:paraId="52F77A5C">
      <w:pPr>
        <w:tabs>
          <w:tab w:val="left" w:pos="5580"/>
        </w:tabs>
        <w:adjustRightInd w:val="0"/>
        <w:snapToGrid w:val="0"/>
        <w:spacing w:line="360" w:lineRule="auto"/>
        <w:jc w:val="center"/>
        <w:rPr>
          <w:rFonts w:ascii="宋体" w:hAnsi="宋体" w:cs="宋体"/>
          <w:b/>
          <w:sz w:val="28"/>
          <w:highlight w:val="none"/>
        </w:rPr>
      </w:pPr>
      <w:r>
        <w:rPr>
          <w:rFonts w:hint="eastAsia" w:ascii="宋体" w:hAnsi="宋体" w:cs="宋体"/>
          <w:b/>
          <w:sz w:val="28"/>
          <w:highlight w:val="none"/>
        </w:rPr>
        <w:t>《中小企业声明函》（符合《政府采购促进中小企业发展管理办法》（财库[2020]46号）价格扣减条件的供应商需提交）</w:t>
      </w:r>
    </w:p>
    <w:p w14:paraId="5CB8DC76">
      <w:pPr>
        <w:adjustRightInd w:val="0"/>
        <w:snapToGrid w:val="0"/>
        <w:rPr>
          <w:rFonts w:hAnsi="宋体" w:cs="宋体"/>
          <w:highlight w:val="none"/>
        </w:rPr>
      </w:pPr>
    </w:p>
    <w:p w14:paraId="6F15C3AC">
      <w:pPr>
        <w:pStyle w:val="3"/>
        <w:adjustRightInd w:val="0"/>
        <w:snapToGrid w:val="0"/>
        <w:spacing w:before="0"/>
        <w:ind w:firstLine="562"/>
        <w:rPr>
          <w:rFonts w:hAnsi="宋体" w:cs="宋体"/>
          <w:highlight w:val="none"/>
        </w:rPr>
      </w:pPr>
      <w:r>
        <w:rPr>
          <w:rFonts w:hint="eastAsia" w:hAnsi="宋体" w:cs="宋体"/>
          <w:highlight w:val="none"/>
        </w:rPr>
        <w:t>中小企业声明函（货物）</w:t>
      </w:r>
    </w:p>
    <w:p w14:paraId="139A8CCC">
      <w:pPr>
        <w:adjustRightInd w:val="0"/>
        <w:snapToGrid w:val="0"/>
        <w:spacing w:line="360" w:lineRule="auto"/>
        <w:ind w:firstLine="444" w:firstLineChars="200"/>
        <w:rPr>
          <w:rFonts w:ascii="宋体" w:hAnsi="宋体" w:cs="宋体"/>
          <w:spacing w:val="6"/>
          <w:szCs w:val="21"/>
          <w:highlight w:val="none"/>
        </w:rPr>
      </w:pPr>
    </w:p>
    <w:p w14:paraId="4BF3EEF5">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本公司郑重声明，根据《政府采购促进中小企业发展管理办法》（财库﹝2020﹞46 号）的规定，本公司参加</w:t>
      </w:r>
      <w:r>
        <w:rPr>
          <w:rFonts w:hint="eastAsia" w:ascii="宋体" w:hAnsi="宋体" w:cs="宋体"/>
          <w:spacing w:val="6"/>
          <w:szCs w:val="21"/>
          <w:highlight w:val="none"/>
          <w:u w:val="single"/>
        </w:rPr>
        <w:t xml:space="preserve">     （单位名称）    </w:t>
      </w:r>
      <w:r>
        <w:rPr>
          <w:rFonts w:hint="eastAsia" w:ascii="宋体" w:hAnsi="宋体" w:cs="宋体"/>
          <w:spacing w:val="6"/>
          <w:szCs w:val="21"/>
          <w:highlight w:val="none"/>
        </w:rPr>
        <w:t>的</w:t>
      </w:r>
      <w:r>
        <w:rPr>
          <w:rFonts w:hint="eastAsia" w:ascii="宋体" w:hAnsi="宋体" w:cs="宋体"/>
          <w:spacing w:val="6"/>
          <w:szCs w:val="21"/>
          <w:highlight w:val="none"/>
          <w:u w:val="single"/>
        </w:rPr>
        <w:t xml:space="preserve">    （项目名称）    </w:t>
      </w:r>
      <w:r>
        <w:rPr>
          <w:rFonts w:hint="eastAsia" w:ascii="宋体" w:hAnsi="宋体" w:cs="宋体"/>
          <w:spacing w:val="6"/>
          <w:szCs w:val="21"/>
          <w:highlight w:val="none"/>
        </w:rPr>
        <w:t>采购活动，提供的货物全部由符合政策要求的中小企业制造。相关企业的具体情况如下：</w:t>
      </w:r>
    </w:p>
    <w:p w14:paraId="6B3AA43F">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1.</w:t>
      </w:r>
      <w:r>
        <w:rPr>
          <w:rFonts w:hint="eastAsia" w:ascii="宋体" w:hAnsi="宋体" w:cs="宋体"/>
          <w:spacing w:val="6"/>
          <w:szCs w:val="21"/>
          <w:highlight w:val="none"/>
          <w:u w:val="single"/>
        </w:rPr>
        <w:t>（标的名称）</w:t>
      </w:r>
      <w:r>
        <w:rPr>
          <w:rFonts w:hint="eastAsia" w:ascii="宋体" w:hAnsi="宋体" w:cs="宋体"/>
          <w:spacing w:val="6"/>
          <w:szCs w:val="21"/>
          <w:highlight w:val="none"/>
        </w:rPr>
        <w:t>，属于</w:t>
      </w:r>
      <w:r>
        <w:rPr>
          <w:rFonts w:hint="eastAsia" w:ascii="宋体" w:hAnsi="宋体" w:cs="宋体"/>
          <w:spacing w:val="6"/>
          <w:szCs w:val="21"/>
          <w:highlight w:val="none"/>
          <w:u w:val="single"/>
        </w:rPr>
        <w:t>（采购文件中明确的所属行业）</w:t>
      </w:r>
      <w:r>
        <w:rPr>
          <w:rFonts w:hint="eastAsia" w:ascii="宋体" w:hAnsi="宋体" w:cs="宋体"/>
          <w:spacing w:val="6"/>
          <w:szCs w:val="21"/>
          <w:highlight w:val="none"/>
        </w:rPr>
        <w:t>行业；制造商为</w:t>
      </w:r>
      <w:r>
        <w:rPr>
          <w:rFonts w:hint="eastAsia" w:ascii="宋体" w:hAnsi="宋体" w:cs="宋体"/>
          <w:spacing w:val="6"/>
          <w:szCs w:val="21"/>
          <w:highlight w:val="none"/>
          <w:u w:val="single"/>
        </w:rPr>
        <w:t>（企业名称）</w:t>
      </w:r>
      <w:r>
        <w:rPr>
          <w:rFonts w:hint="eastAsia" w:ascii="宋体" w:hAnsi="宋体" w:cs="宋体"/>
          <w:spacing w:val="6"/>
          <w:szCs w:val="21"/>
          <w:highlight w:val="none"/>
        </w:rPr>
        <w:t>，从业人员</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人，营业收入为</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万元，资产总额为</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万元，属于</w:t>
      </w:r>
      <w:r>
        <w:rPr>
          <w:rFonts w:hint="eastAsia" w:ascii="宋体" w:hAnsi="宋体" w:cs="宋体"/>
          <w:spacing w:val="6"/>
          <w:szCs w:val="21"/>
          <w:highlight w:val="none"/>
          <w:u w:val="single"/>
        </w:rPr>
        <w:t>（中型企业、小型企业、微型企业）</w:t>
      </w:r>
      <w:r>
        <w:rPr>
          <w:rFonts w:hint="eastAsia" w:ascii="宋体" w:hAnsi="宋体" w:cs="宋体"/>
          <w:spacing w:val="6"/>
          <w:szCs w:val="21"/>
          <w:highlight w:val="none"/>
        </w:rPr>
        <w:t xml:space="preserve">； </w:t>
      </w:r>
    </w:p>
    <w:p w14:paraId="443C6D08">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2.</w:t>
      </w:r>
      <w:r>
        <w:rPr>
          <w:rFonts w:hint="eastAsia" w:ascii="宋体" w:hAnsi="宋体" w:cs="宋体"/>
          <w:spacing w:val="6"/>
          <w:szCs w:val="21"/>
          <w:highlight w:val="none"/>
          <w:u w:val="single"/>
        </w:rPr>
        <w:t>（标的名称）</w:t>
      </w:r>
      <w:r>
        <w:rPr>
          <w:rFonts w:hint="eastAsia" w:ascii="宋体" w:hAnsi="宋体" w:cs="宋体"/>
          <w:spacing w:val="6"/>
          <w:szCs w:val="21"/>
          <w:highlight w:val="none"/>
        </w:rPr>
        <w:t>，属于</w:t>
      </w:r>
      <w:r>
        <w:rPr>
          <w:rFonts w:hint="eastAsia" w:ascii="宋体" w:hAnsi="宋体" w:cs="宋体"/>
          <w:spacing w:val="6"/>
          <w:szCs w:val="21"/>
          <w:highlight w:val="none"/>
          <w:u w:val="single"/>
        </w:rPr>
        <w:t>（采购文件中明确的所属行业）</w:t>
      </w:r>
      <w:r>
        <w:rPr>
          <w:rFonts w:hint="eastAsia" w:ascii="宋体" w:hAnsi="宋体" w:cs="宋体"/>
          <w:spacing w:val="6"/>
          <w:szCs w:val="21"/>
          <w:highlight w:val="none"/>
        </w:rPr>
        <w:t>行业；制造商为</w:t>
      </w:r>
      <w:r>
        <w:rPr>
          <w:rFonts w:hint="eastAsia" w:ascii="宋体" w:hAnsi="宋体" w:cs="宋体"/>
          <w:spacing w:val="6"/>
          <w:szCs w:val="21"/>
          <w:highlight w:val="none"/>
          <w:u w:val="single"/>
        </w:rPr>
        <w:t>（企业名称）</w:t>
      </w:r>
      <w:r>
        <w:rPr>
          <w:rFonts w:hint="eastAsia" w:ascii="宋体" w:hAnsi="宋体" w:cs="宋体"/>
          <w:spacing w:val="6"/>
          <w:szCs w:val="21"/>
          <w:highlight w:val="none"/>
        </w:rPr>
        <w:t>，从业人员</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人，营业收入为</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万元，资产总额为</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万元，属于</w:t>
      </w:r>
      <w:r>
        <w:rPr>
          <w:rFonts w:hint="eastAsia" w:ascii="宋体" w:hAnsi="宋体" w:cs="宋体"/>
          <w:spacing w:val="6"/>
          <w:szCs w:val="21"/>
          <w:highlight w:val="none"/>
          <w:u w:val="single"/>
        </w:rPr>
        <w:t>（中型企业、小型企业、微型企业）</w:t>
      </w:r>
      <w:r>
        <w:rPr>
          <w:rFonts w:hint="eastAsia" w:ascii="宋体" w:hAnsi="宋体" w:cs="宋体"/>
          <w:spacing w:val="6"/>
          <w:szCs w:val="21"/>
          <w:highlight w:val="none"/>
        </w:rPr>
        <w:t>；</w:t>
      </w:r>
    </w:p>
    <w:p w14:paraId="2FEA0937">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 xml:space="preserve"> ……</w:t>
      </w:r>
    </w:p>
    <w:p w14:paraId="31EDF695">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 xml:space="preserve">以上企业，不属于大企业的分支机构，不存在控股股东为大企业的情形，也不存在与大企业的负责人为同一人的情形。 </w:t>
      </w:r>
    </w:p>
    <w:p w14:paraId="1018CD91">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 xml:space="preserve">本企业对上述声明内容的真实性负责。如有虚假，将依法承担相应责任。 </w:t>
      </w:r>
    </w:p>
    <w:p w14:paraId="774084A2">
      <w:pPr>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p>
    <w:p w14:paraId="749F10D8">
      <w:pPr>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企业名称</w:t>
      </w:r>
      <w:r>
        <w:rPr>
          <w:rFonts w:hint="eastAsia" w:ascii="宋体" w:hAnsi="宋体" w:cs="宋体"/>
          <w:szCs w:val="21"/>
          <w:highlight w:val="none"/>
        </w:rPr>
        <w:t>（加盖供应商电子公章）</w:t>
      </w:r>
      <w:r>
        <w:rPr>
          <w:rFonts w:hint="eastAsia" w:ascii="宋体" w:hAnsi="宋体" w:cs="宋体"/>
          <w:spacing w:val="6"/>
          <w:szCs w:val="21"/>
          <w:highlight w:val="none"/>
        </w:rPr>
        <w:t>：</w:t>
      </w:r>
    </w:p>
    <w:p w14:paraId="511A8A49">
      <w:pPr>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5A169355">
      <w:pPr>
        <w:pStyle w:val="34"/>
        <w:adjustRightInd w:val="0"/>
        <w:snapToGrid w:val="0"/>
        <w:spacing w:before="0" w:beforeAutospacing="0" w:after="0" w:afterAutospacing="0" w:line="360" w:lineRule="auto"/>
        <w:ind w:firstLine="422"/>
        <w:rPr>
          <w:rFonts w:cs="宋体"/>
          <w:b/>
          <w:sz w:val="21"/>
          <w:szCs w:val="21"/>
          <w:highlight w:val="none"/>
        </w:rPr>
      </w:pPr>
      <w:r>
        <w:rPr>
          <w:rFonts w:hint="eastAsia" w:cs="宋体"/>
          <w:b/>
          <w:sz w:val="21"/>
          <w:szCs w:val="21"/>
          <w:highlight w:val="none"/>
        </w:rPr>
        <w:t>注：</w:t>
      </w:r>
    </w:p>
    <w:p w14:paraId="6D5EA2C8">
      <w:pPr>
        <w:pStyle w:val="34"/>
        <w:spacing w:before="0" w:beforeAutospacing="0" w:after="0" w:afterAutospacing="0" w:line="360" w:lineRule="auto"/>
        <w:ind w:firstLine="422"/>
        <w:rPr>
          <w:rFonts w:cs="宋体"/>
          <w:b/>
          <w:sz w:val="21"/>
          <w:szCs w:val="21"/>
          <w:highlight w:val="none"/>
        </w:rPr>
      </w:pPr>
      <w:r>
        <w:rPr>
          <w:rFonts w:hint="eastAsia" w:cs="宋体"/>
          <w:b/>
          <w:sz w:val="21"/>
          <w:szCs w:val="21"/>
          <w:highlight w:val="none"/>
        </w:rPr>
        <w:t>1.从业人员、营业收入、资产总额填报上一年度数据，无上一年度数据的新成立企业可不填报。</w:t>
      </w:r>
    </w:p>
    <w:p w14:paraId="6BE6E025">
      <w:pPr>
        <w:pStyle w:val="34"/>
        <w:adjustRightInd w:val="0"/>
        <w:snapToGrid w:val="0"/>
        <w:spacing w:before="0" w:beforeAutospacing="0" w:after="0" w:afterAutospacing="0" w:line="360" w:lineRule="auto"/>
        <w:ind w:firstLine="422"/>
        <w:rPr>
          <w:rFonts w:cs="宋体"/>
          <w:b/>
          <w:sz w:val="21"/>
          <w:szCs w:val="21"/>
          <w:highlight w:val="none"/>
        </w:rPr>
      </w:pPr>
      <w:r>
        <w:rPr>
          <w:rFonts w:hint="eastAsia" w:cs="宋体"/>
          <w:b/>
          <w:sz w:val="21"/>
          <w:szCs w:val="21"/>
          <w:highlight w:val="none"/>
        </w:rPr>
        <w:t>2.符合《政府采购促进中小企业发展管理办法》（财库[2020]46号）价格扣减条件的供应商需提供并填写《中小企业声明函》。</w:t>
      </w:r>
    </w:p>
    <w:p w14:paraId="02445584">
      <w:pPr>
        <w:pStyle w:val="34"/>
        <w:adjustRightInd w:val="0"/>
        <w:snapToGrid w:val="0"/>
        <w:spacing w:before="0" w:beforeAutospacing="0" w:after="0" w:afterAutospacing="0" w:line="360" w:lineRule="auto"/>
        <w:ind w:firstLine="422"/>
        <w:rPr>
          <w:rFonts w:cs="宋体"/>
          <w:b/>
          <w:sz w:val="21"/>
          <w:szCs w:val="21"/>
          <w:highlight w:val="none"/>
        </w:rPr>
      </w:pPr>
      <w:bookmarkStart w:id="209" w:name="_Toc30420"/>
      <w:bookmarkStart w:id="210" w:name="_Toc24745"/>
      <w:bookmarkStart w:id="211" w:name="_Toc10683"/>
      <w:r>
        <w:rPr>
          <w:rFonts w:hint="eastAsia" w:cs="宋体"/>
          <w:b/>
          <w:sz w:val="21"/>
          <w:szCs w:val="21"/>
          <w:highlight w:val="none"/>
        </w:rPr>
        <w:t>3.不享受中小企业优先采购政策的供应商不需填写《中小企业声明函》。</w:t>
      </w:r>
      <w:bookmarkEnd w:id="209"/>
      <w:bookmarkEnd w:id="210"/>
      <w:bookmarkEnd w:id="211"/>
    </w:p>
    <w:p w14:paraId="4D93D26B">
      <w:pPr>
        <w:pStyle w:val="34"/>
        <w:adjustRightInd w:val="0"/>
        <w:snapToGrid w:val="0"/>
        <w:spacing w:before="0" w:beforeAutospacing="0" w:after="0" w:afterAutospacing="0" w:line="360" w:lineRule="auto"/>
        <w:ind w:firstLine="422"/>
        <w:rPr>
          <w:rFonts w:cs="宋体"/>
          <w:b/>
          <w:sz w:val="21"/>
          <w:szCs w:val="21"/>
          <w:highlight w:val="none"/>
        </w:rPr>
      </w:pPr>
      <w:r>
        <w:rPr>
          <w:rFonts w:hint="eastAsia" w:cs="宋体"/>
          <w:b/>
          <w:sz w:val="21"/>
          <w:szCs w:val="21"/>
          <w:highlight w:val="none"/>
        </w:rPr>
        <w:t>4.“标的名称”、“所属行业”详见附件，若填写内容不符，中小企业声明函不予认可。</w:t>
      </w:r>
    </w:p>
    <w:p w14:paraId="5FBD5656">
      <w:pPr>
        <w:ind w:firstLine="422"/>
        <w:rPr>
          <w:rFonts w:cs="宋体"/>
          <w:b/>
          <w:szCs w:val="21"/>
          <w:highlight w:val="none"/>
        </w:rPr>
      </w:pPr>
      <w:r>
        <w:rPr>
          <w:rFonts w:hint="eastAsia" w:cs="宋体"/>
          <w:b/>
          <w:szCs w:val="21"/>
          <w:highlight w:val="none"/>
        </w:rPr>
        <w:br w:type="page"/>
      </w:r>
    </w:p>
    <w:p w14:paraId="5AD1026D">
      <w:pPr>
        <w:pStyle w:val="34"/>
        <w:keepNext w:val="0"/>
        <w:keepLines w:val="0"/>
        <w:pageBreakBefore w:val="0"/>
        <w:kinsoku/>
        <w:overflowPunct/>
        <w:topLinePunct w:val="0"/>
        <w:autoSpaceDE/>
        <w:autoSpaceDN/>
        <w:bidi w:val="0"/>
        <w:adjustRightInd w:val="0"/>
        <w:snapToGrid w:val="0"/>
        <w:spacing w:before="0" w:beforeAutospacing="0" w:after="0" w:afterAutospacing="0" w:line="360" w:lineRule="auto"/>
        <w:ind w:firstLine="0" w:firstLineChars="0"/>
        <w:rPr>
          <w:rFonts w:cs="宋体"/>
          <w:b/>
          <w:sz w:val="21"/>
          <w:szCs w:val="21"/>
          <w:highlight w:val="none"/>
        </w:rPr>
      </w:pPr>
      <w:r>
        <w:rPr>
          <w:rFonts w:hint="eastAsia" w:cs="宋体"/>
          <w:b/>
          <w:sz w:val="21"/>
          <w:szCs w:val="21"/>
          <w:highlight w:val="none"/>
        </w:rPr>
        <w:t>附件：</w:t>
      </w:r>
    </w:p>
    <w:p w14:paraId="695B97B6">
      <w:pPr>
        <w:keepNext w:val="0"/>
        <w:keepLines w:val="0"/>
        <w:pageBreakBefore w:val="0"/>
        <w:kinsoku/>
        <w:wordWrap w:val="0"/>
        <w:overflowPunct/>
        <w:topLinePunct w:val="0"/>
        <w:autoSpaceDE/>
        <w:autoSpaceDN/>
        <w:bidi w:val="0"/>
        <w:adjustRightInd w:val="0"/>
        <w:snapToGrid w:val="0"/>
        <w:spacing w:line="360" w:lineRule="auto"/>
        <w:ind w:firstLine="0" w:firstLineChars="0"/>
        <w:rPr>
          <w:rFonts w:ascii="宋体" w:hAnsi="宋体" w:cs="宋体"/>
          <w:bCs/>
          <w:szCs w:val="21"/>
          <w:highlight w:val="none"/>
        </w:rPr>
      </w:pPr>
      <w:r>
        <w:rPr>
          <w:rFonts w:hint="eastAsia" w:ascii="宋体" w:hAnsi="宋体" w:cs="宋体"/>
          <w:bCs/>
          <w:szCs w:val="21"/>
          <w:highlight w:val="none"/>
        </w:rPr>
        <w:t>根据《关于印发《政府采购促进中小企业发展管理办法》的通知》（财库〔2020〕46号）的规定，</w:t>
      </w:r>
      <w:r>
        <w:rPr>
          <w:rFonts w:hint="eastAsia" w:ascii="宋体" w:hAnsi="宋体" w:cs="宋体"/>
          <w:szCs w:val="21"/>
          <w:highlight w:val="none"/>
        </w:rPr>
        <w:t>本项目针对小微企业报价给予10%的扣除，用扣除后的价格参与评审。符合条件的供应商应根据下表中所明确的“标的名称”、“所属行业”进行填写，若填写内容不符，中小企业声明函不予认可。</w:t>
      </w:r>
    </w:p>
    <w:tbl>
      <w:tblPr>
        <w:tblStyle w:val="39"/>
        <w:tblW w:w="7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771"/>
        <w:gridCol w:w="1543"/>
      </w:tblGrid>
      <w:tr w14:paraId="38B4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D7D7D7" w:themeFill="background1" w:themeFillShade="D8"/>
            <w:vAlign w:val="center"/>
          </w:tcPr>
          <w:p w14:paraId="36683691">
            <w:pPr>
              <w:keepNext w:val="0"/>
              <w:keepLines w:val="0"/>
              <w:pageBreakBefore w:val="0"/>
              <w:kinsoku/>
              <w:overflowPunct/>
              <w:topLinePunct w:val="0"/>
              <w:autoSpaceDE/>
              <w:autoSpaceDN/>
              <w:bidi w:val="0"/>
              <w:spacing w:line="360" w:lineRule="auto"/>
              <w:ind w:firstLine="0" w:firstLineChars="0"/>
              <w:jc w:val="center"/>
              <w:textAlignment w:val="center"/>
              <w:rPr>
                <w:rFonts w:ascii="宋体" w:hAnsi="宋体" w:cs="宋体"/>
                <w:b/>
                <w:szCs w:val="21"/>
                <w:highlight w:val="none"/>
              </w:rPr>
            </w:pPr>
            <w:r>
              <w:rPr>
                <w:rFonts w:hint="eastAsia" w:ascii="宋体" w:hAnsi="宋体" w:cs="宋体"/>
                <w:b/>
                <w:szCs w:val="21"/>
                <w:highlight w:val="none"/>
              </w:rPr>
              <w:t>序号</w:t>
            </w:r>
          </w:p>
        </w:tc>
        <w:tc>
          <w:tcPr>
            <w:tcW w:w="4771" w:type="dxa"/>
            <w:shd w:val="clear" w:color="auto" w:fill="D7D7D7" w:themeFill="background1" w:themeFillShade="D8"/>
            <w:vAlign w:val="center"/>
          </w:tcPr>
          <w:p w14:paraId="1EC91317">
            <w:pPr>
              <w:keepNext w:val="0"/>
              <w:keepLines w:val="0"/>
              <w:pageBreakBefore w:val="0"/>
              <w:kinsoku/>
              <w:overflowPunct/>
              <w:topLinePunct w:val="0"/>
              <w:autoSpaceDE/>
              <w:autoSpaceDN/>
              <w:bidi w:val="0"/>
              <w:spacing w:line="360" w:lineRule="auto"/>
              <w:ind w:firstLine="0" w:firstLineChars="0"/>
              <w:jc w:val="center"/>
              <w:textAlignment w:val="center"/>
              <w:rPr>
                <w:rFonts w:ascii="宋体" w:hAnsi="宋体" w:cs="宋体"/>
                <w:b/>
                <w:szCs w:val="21"/>
                <w:highlight w:val="none"/>
              </w:rPr>
            </w:pPr>
            <w:r>
              <w:rPr>
                <w:rFonts w:hint="eastAsia" w:ascii="宋体" w:hAnsi="宋体" w:cs="宋体"/>
                <w:b/>
                <w:szCs w:val="21"/>
                <w:highlight w:val="none"/>
              </w:rPr>
              <w:t>标的名称</w:t>
            </w:r>
          </w:p>
        </w:tc>
        <w:tc>
          <w:tcPr>
            <w:tcW w:w="1543" w:type="dxa"/>
            <w:shd w:val="clear" w:color="auto" w:fill="D7D7D7" w:themeFill="background1" w:themeFillShade="D8"/>
            <w:vAlign w:val="center"/>
          </w:tcPr>
          <w:p w14:paraId="4428C89C">
            <w:pPr>
              <w:keepNext w:val="0"/>
              <w:keepLines w:val="0"/>
              <w:pageBreakBefore w:val="0"/>
              <w:kinsoku/>
              <w:overflowPunct/>
              <w:topLinePunct w:val="0"/>
              <w:autoSpaceDE/>
              <w:autoSpaceDN/>
              <w:bidi w:val="0"/>
              <w:spacing w:line="360" w:lineRule="auto"/>
              <w:ind w:firstLine="0" w:firstLineChars="0"/>
              <w:jc w:val="center"/>
              <w:textAlignment w:val="center"/>
              <w:rPr>
                <w:rFonts w:ascii="宋体" w:hAnsi="宋体" w:cs="宋体"/>
                <w:b/>
                <w:szCs w:val="21"/>
                <w:highlight w:val="none"/>
              </w:rPr>
            </w:pPr>
            <w:r>
              <w:rPr>
                <w:rFonts w:hint="eastAsia" w:ascii="宋体" w:hAnsi="宋体" w:cs="宋体"/>
                <w:b/>
                <w:szCs w:val="21"/>
                <w:highlight w:val="none"/>
              </w:rPr>
              <w:t>所属行业</w:t>
            </w:r>
          </w:p>
        </w:tc>
      </w:tr>
      <w:tr w14:paraId="3C41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2D7A6D8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1</w:t>
            </w:r>
          </w:p>
        </w:tc>
        <w:tc>
          <w:tcPr>
            <w:tcW w:w="4771" w:type="dxa"/>
            <w:shd w:val="clear" w:color="auto" w:fill="auto"/>
            <w:vAlign w:val="center"/>
          </w:tcPr>
          <w:p w14:paraId="2D6C60F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冠层分析仪</w:t>
            </w:r>
          </w:p>
        </w:tc>
        <w:tc>
          <w:tcPr>
            <w:tcW w:w="1543" w:type="dxa"/>
            <w:vAlign w:val="center"/>
          </w:tcPr>
          <w:p w14:paraId="02681BBC">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45E6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1F1441D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2</w:t>
            </w:r>
          </w:p>
        </w:tc>
        <w:tc>
          <w:tcPr>
            <w:tcW w:w="4771" w:type="dxa"/>
            <w:shd w:val="clear" w:color="auto" w:fill="auto"/>
            <w:vAlign w:val="center"/>
          </w:tcPr>
          <w:p w14:paraId="31C77A1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户外用温湿度记录器</w:t>
            </w:r>
          </w:p>
        </w:tc>
        <w:tc>
          <w:tcPr>
            <w:tcW w:w="1543" w:type="dxa"/>
            <w:vAlign w:val="center"/>
          </w:tcPr>
          <w:p w14:paraId="117258EC">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3731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5492EFF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3</w:t>
            </w:r>
          </w:p>
        </w:tc>
        <w:tc>
          <w:tcPr>
            <w:tcW w:w="4771" w:type="dxa"/>
            <w:shd w:val="clear" w:color="auto" w:fill="auto"/>
            <w:vAlign w:val="center"/>
          </w:tcPr>
          <w:p w14:paraId="342A7C4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高精度室内温湿度记录器</w:t>
            </w:r>
          </w:p>
        </w:tc>
        <w:tc>
          <w:tcPr>
            <w:tcW w:w="1543" w:type="dxa"/>
            <w:vAlign w:val="center"/>
          </w:tcPr>
          <w:p w14:paraId="570A9427">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6B311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6EFDB67C">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w:t>
            </w:r>
          </w:p>
        </w:tc>
        <w:tc>
          <w:tcPr>
            <w:tcW w:w="4771" w:type="dxa"/>
            <w:shd w:val="clear" w:color="auto" w:fill="auto"/>
            <w:vAlign w:val="center"/>
          </w:tcPr>
          <w:p w14:paraId="2A7627F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四分量净辐射记录器</w:t>
            </w:r>
          </w:p>
        </w:tc>
        <w:tc>
          <w:tcPr>
            <w:tcW w:w="1543" w:type="dxa"/>
          </w:tcPr>
          <w:p w14:paraId="5667D820">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6548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76FAF32C">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5</w:t>
            </w:r>
          </w:p>
        </w:tc>
        <w:tc>
          <w:tcPr>
            <w:tcW w:w="4771" w:type="dxa"/>
            <w:shd w:val="clear" w:color="auto" w:fill="auto"/>
            <w:vAlign w:val="center"/>
          </w:tcPr>
          <w:p w14:paraId="30D11CC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便携式小型气象站</w:t>
            </w:r>
          </w:p>
        </w:tc>
        <w:tc>
          <w:tcPr>
            <w:tcW w:w="1543" w:type="dxa"/>
          </w:tcPr>
          <w:p w14:paraId="06B270E3">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76E7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09BAC84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6</w:t>
            </w:r>
          </w:p>
        </w:tc>
        <w:tc>
          <w:tcPr>
            <w:tcW w:w="4771" w:type="dxa"/>
            <w:shd w:val="clear" w:color="auto" w:fill="auto"/>
            <w:vAlign w:val="center"/>
          </w:tcPr>
          <w:p w14:paraId="7C3B6B9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固定式小型气象站</w:t>
            </w:r>
          </w:p>
        </w:tc>
        <w:tc>
          <w:tcPr>
            <w:tcW w:w="1543" w:type="dxa"/>
          </w:tcPr>
          <w:p w14:paraId="7763FD74">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3E5BB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2A6DE76D">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w:t>
            </w:r>
          </w:p>
        </w:tc>
        <w:tc>
          <w:tcPr>
            <w:tcW w:w="4771" w:type="dxa"/>
            <w:shd w:val="clear" w:color="auto" w:fill="auto"/>
            <w:vAlign w:val="center"/>
          </w:tcPr>
          <w:p w14:paraId="6937C45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舱体及光环境模拟系统（人工气候模拟实验模块）</w:t>
            </w:r>
          </w:p>
        </w:tc>
        <w:tc>
          <w:tcPr>
            <w:tcW w:w="1543" w:type="dxa"/>
          </w:tcPr>
          <w:p w14:paraId="2F36C88B">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720A6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128C4BB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8</w:t>
            </w:r>
          </w:p>
        </w:tc>
        <w:tc>
          <w:tcPr>
            <w:tcW w:w="4771" w:type="dxa"/>
            <w:shd w:val="clear" w:color="auto" w:fill="auto"/>
            <w:vAlign w:val="center"/>
          </w:tcPr>
          <w:p w14:paraId="56C1BC1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热指数仪</w:t>
            </w:r>
          </w:p>
        </w:tc>
        <w:tc>
          <w:tcPr>
            <w:tcW w:w="1543" w:type="dxa"/>
          </w:tcPr>
          <w:p w14:paraId="53AAAA0A">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52FB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1B04CCE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9</w:t>
            </w:r>
          </w:p>
        </w:tc>
        <w:tc>
          <w:tcPr>
            <w:tcW w:w="4771" w:type="dxa"/>
            <w:shd w:val="clear" w:color="auto" w:fill="auto"/>
            <w:vAlign w:val="center"/>
          </w:tcPr>
          <w:p w14:paraId="3449F32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热电偶+多通道记录仪</w:t>
            </w:r>
          </w:p>
        </w:tc>
        <w:tc>
          <w:tcPr>
            <w:tcW w:w="1543" w:type="dxa"/>
          </w:tcPr>
          <w:p w14:paraId="45CE417B">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4D73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29BC179E">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w:t>
            </w:r>
          </w:p>
        </w:tc>
        <w:tc>
          <w:tcPr>
            <w:tcW w:w="4771" w:type="dxa"/>
            <w:shd w:val="clear" w:color="auto" w:fill="auto"/>
            <w:vAlign w:val="center"/>
          </w:tcPr>
          <w:p w14:paraId="73AF061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温湿度处理及气流组织系统（人工气候模拟实验模块）</w:t>
            </w:r>
          </w:p>
        </w:tc>
        <w:tc>
          <w:tcPr>
            <w:tcW w:w="1543" w:type="dxa"/>
          </w:tcPr>
          <w:p w14:paraId="00E2B1AB">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64F2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4CA878B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11</w:t>
            </w:r>
          </w:p>
        </w:tc>
        <w:tc>
          <w:tcPr>
            <w:tcW w:w="4771" w:type="dxa"/>
            <w:shd w:val="clear" w:color="auto" w:fill="auto"/>
            <w:vAlign w:val="center"/>
          </w:tcPr>
          <w:p w14:paraId="7C3D14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冷热源及新风系统（人工气候模拟实验模块）</w:t>
            </w:r>
          </w:p>
        </w:tc>
        <w:tc>
          <w:tcPr>
            <w:tcW w:w="1543" w:type="dxa"/>
          </w:tcPr>
          <w:p w14:paraId="0C4A8032">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65F4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00C0539B">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12</w:t>
            </w:r>
          </w:p>
        </w:tc>
        <w:tc>
          <w:tcPr>
            <w:tcW w:w="4771" w:type="dxa"/>
            <w:shd w:val="clear" w:color="auto" w:fill="auto"/>
            <w:vAlign w:val="center"/>
          </w:tcPr>
          <w:p w14:paraId="726858B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壁面辐射及供电供水系统（人工气候模拟实验模块）</w:t>
            </w:r>
          </w:p>
        </w:tc>
        <w:tc>
          <w:tcPr>
            <w:tcW w:w="1543" w:type="dxa"/>
          </w:tcPr>
          <w:p w14:paraId="4FF8B769">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1BFB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7BD752F8">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13</w:t>
            </w:r>
          </w:p>
        </w:tc>
        <w:tc>
          <w:tcPr>
            <w:tcW w:w="4771" w:type="dxa"/>
            <w:shd w:val="clear" w:color="auto" w:fill="auto"/>
            <w:vAlign w:val="center"/>
          </w:tcPr>
          <w:p w14:paraId="5A27E94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自控\数据采集系统及整体设计（人工气候模拟实验模块）</w:t>
            </w:r>
          </w:p>
        </w:tc>
        <w:tc>
          <w:tcPr>
            <w:tcW w:w="1543" w:type="dxa"/>
          </w:tcPr>
          <w:p w14:paraId="39D77A0E">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02E8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5055119A">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14</w:t>
            </w:r>
          </w:p>
        </w:tc>
        <w:tc>
          <w:tcPr>
            <w:tcW w:w="4771" w:type="dxa"/>
            <w:shd w:val="clear" w:color="auto" w:fill="auto"/>
            <w:vAlign w:val="center"/>
          </w:tcPr>
          <w:p w14:paraId="59CDDFE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高性能计算机工作站</w:t>
            </w:r>
          </w:p>
        </w:tc>
        <w:tc>
          <w:tcPr>
            <w:tcW w:w="1543" w:type="dxa"/>
          </w:tcPr>
          <w:p w14:paraId="6F404A1B">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1E1D5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384D9E9A">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15</w:t>
            </w:r>
          </w:p>
        </w:tc>
        <w:tc>
          <w:tcPr>
            <w:tcW w:w="4771" w:type="dxa"/>
            <w:shd w:val="clear" w:color="auto" w:fill="auto"/>
            <w:vAlign w:val="center"/>
          </w:tcPr>
          <w:p w14:paraId="5C1A8FC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大型激光雕刻机A</w:t>
            </w:r>
          </w:p>
        </w:tc>
        <w:tc>
          <w:tcPr>
            <w:tcW w:w="1543" w:type="dxa"/>
          </w:tcPr>
          <w:p w14:paraId="164B25AA">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5BF8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7DE16909">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16</w:t>
            </w:r>
          </w:p>
        </w:tc>
        <w:tc>
          <w:tcPr>
            <w:tcW w:w="4771" w:type="dxa"/>
            <w:shd w:val="clear" w:color="auto" w:fill="auto"/>
            <w:vAlign w:val="center"/>
          </w:tcPr>
          <w:p w14:paraId="670169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大型激光雕刻机B</w:t>
            </w:r>
          </w:p>
        </w:tc>
        <w:tc>
          <w:tcPr>
            <w:tcW w:w="1543" w:type="dxa"/>
          </w:tcPr>
          <w:p w14:paraId="1D570F07">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30BF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1569B2FF">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17</w:t>
            </w:r>
          </w:p>
        </w:tc>
        <w:tc>
          <w:tcPr>
            <w:tcW w:w="4771" w:type="dxa"/>
            <w:shd w:val="clear" w:color="auto" w:fill="auto"/>
            <w:vAlign w:val="center"/>
          </w:tcPr>
          <w:p w14:paraId="427B41D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木工模型制作工具套装</w:t>
            </w:r>
          </w:p>
        </w:tc>
        <w:tc>
          <w:tcPr>
            <w:tcW w:w="1543" w:type="dxa"/>
          </w:tcPr>
          <w:p w14:paraId="0FB59C67">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6DE5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5B0BABFF">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18</w:t>
            </w:r>
          </w:p>
        </w:tc>
        <w:tc>
          <w:tcPr>
            <w:tcW w:w="4771" w:type="dxa"/>
            <w:shd w:val="clear" w:color="auto" w:fill="auto"/>
            <w:vAlign w:val="center"/>
          </w:tcPr>
          <w:p w14:paraId="1C49E4D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高精度全自动交流稳压器</w:t>
            </w:r>
          </w:p>
        </w:tc>
        <w:tc>
          <w:tcPr>
            <w:tcW w:w="1543" w:type="dxa"/>
          </w:tcPr>
          <w:p w14:paraId="19FB9258">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17B7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78F75431">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19</w:t>
            </w:r>
          </w:p>
        </w:tc>
        <w:tc>
          <w:tcPr>
            <w:tcW w:w="4771" w:type="dxa"/>
            <w:shd w:val="clear" w:color="auto" w:fill="auto"/>
            <w:vAlign w:val="center"/>
          </w:tcPr>
          <w:p w14:paraId="18BDAD7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中央集尘管道系统</w:t>
            </w:r>
          </w:p>
        </w:tc>
        <w:tc>
          <w:tcPr>
            <w:tcW w:w="1543" w:type="dxa"/>
          </w:tcPr>
          <w:p w14:paraId="7CAEC2A1">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r w14:paraId="5472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9" w:type="dxa"/>
            <w:shd w:val="clear" w:color="auto" w:fill="auto"/>
            <w:vAlign w:val="center"/>
          </w:tcPr>
          <w:p w14:paraId="6924F148">
            <w:pPr>
              <w:widowControl/>
              <w:adjustRightInd w:val="0"/>
              <w:snapToGrid w:val="0"/>
              <w:spacing w:line="360" w:lineRule="auto"/>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20</w:t>
            </w:r>
          </w:p>
        </w:tc>
        <w:tc>
          <w:tcPr>
            <w:tcW w:w="4771" w:type="dxa"/>
            <w:shd w:val="clear" w:color="auto" w:fill="auto"/>
            <w:vAlign w:val="center"/>
          </w:tcPr>
          <w:p w14:paraId="2AC9C60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安全防护用品套装</w:t>
            </w:r>
          </w:p>
        </w:tc>
        <w:tc>
          <w:tcPr>
            <w:tcW w:w="1543" w:type="dxa"/>
          </w:tcPr>
          <w:p w14:paraId="32F090FD">
            <w:pPr>
              <w:widowControl/>
              <w:spacing w:line="360" w:lineRule="auto"/>
              <w:jc w:val="center"/>
              <w:textAlignment w:val="center"/>
              <w:rPr>
                <w:rFonts w:ascii="宋体" w:hAnsi="宋体" w:cs="宋体"/>
                <w:bCs/>
                <w:kern w:val="0"/>
                <w:szCs w:val="21"/>
                <w:highlight w:val="none"/>
              </w:rPr>
            </w:pPr>
            <w:r>
              <w:rPr>
                <w:rFonts w:hint="eastAsia" w:ascii="宋体" w:hAnsi="宋体" w:cs="宋体"/>
                <w:bCs/>
                <w:kern w:val="0"/>
                <w:szCs w:val="21"/>
                <w:highlight w:val="none"/>
              </w:rPr>
              <w:t>工业</w:t>
            </w:r>
          </w:p>
        </w:tc>
      </w:tr>
    </w:tbl>
    <w:p w14:paraId="21DBAF42">
      <w:pPr>
        <w:pStyle w:val="34"/>
        <w:adjustRightInd w:val="0"/>
        <w:snapToGrid w:val="0"/>
        <w:spacing w:before="0" w:beforeAutospacing="0" w:after="0" w:afterAutospacing="0" w:line="360" w:lineRule="auto"/>
        <w:ind w:firstLine="422"/>
        <w:rPr>
          <w:rFonts w:cs="宋体"/>
          <w:b/>
          <w:sz w:val="21"/>
          <w:szCs w:val="21"/>
          <w:highlight w:val="none"/>
        </w:rPr>
      </w:pPr>
    </w:p>
    <w:p w14:paraId="17B15375">
      <w:pPr>
        <w:widowControl/>
        <w:adjustRightInd w:val="0"/>
        <w:snapToGrid w:val="0"/>
        <w:spacing w:line="360" w:lineRule="auto"/>
        <w:ind w:firstLine="422"/>
        <w:jc w:val="left"/>
        <w:rPr>
          <w:rFonts w:ascii="宋体" w:hAnsi="宋体" w:cs="宋体"/>
          <w:b/>
          <w:szCs w:val="21"/>
          <w:highlight w:val="none"/>
        </w:rPr>
      </w:pPr>
      <w:r>
        <w:rPr>
          <w:rFonts w:hint="eastAsia" w:ascii="宋体" w:hAnsi="宋体" w:cs="宋体"/>
          <w:b/>
          <w:szCs w:val="21"/>
          <w:highlight w:val="none"/>
        </w:rPr>
        <w:br w:type="page"/>
      </w:r>
    </w:p>
    <w:p w14:paraId="5465BCEC">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0"/>
        <w:jc w:val="left"/>
        <w:textAlignment w:val="auto"/>
        <w:rPr>
          <w:rFonts w:ascii="宋体" w:hAnsi="宋体" w:cs="宋体"/>
          <w:b/>
          <w:sz w:val="28"/>
          <w:szCs w:val="28"/>
          <w:highlight w:val="none"/>
        </w:rPr>
      </w:pPr>
      <w:r>
        <w:rPr>
          <w:rFonts w:hint="eastAsia" w:ascii="宋体" w:hAnsi="宋体" w:cs="宋体"/>
          <w:b/>
          <w:sz w:val="28"/>
          <w:szCs w:val="28"/>
          <w:highlight w:val="none"/>
        </w:rPr>
        <w:t>格式22</w:t>
      </w:r>
    </w:p>
    <w:p w14:paraId="7FD4495A">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28"/>
          <w:highlight w:val="none"/>
        </w:rPr>
      </w:pPr>
      <w:r>
        <w:rPr>
          <w:rFonts w:hint="eastAsia" w:ascii="宋体" w:hAnsi="宋体" w:cs="宋体"/>
          <w:b/>
          <w:sz w:val="28"/>
          <w:highlight w:val="none"/>
        </w:rPr>
        <w:t>《监狱企业证明文件》（符合《财政部 司法部关于政府采购支持监狱企业发展有关问题的通知》（财库[2014]68号）价格扣减条件的供应商需提交）</w:t>
      </w:r>
    </w:p>
    <w:p w14:paraId="78A398CD">
      <w:pPr>
        <w:pageBreakBefore w:val="0"/>
        <w:widowControl w:val="0"/>
        <w:kinsoku/>
        <w:wordWrap/>
        <w:overflowPunct/>
        <w:topLinePunct w:val="0"/>
        <w:autoSpaceDE/>
        <w:autoSpaceDN/>
        <w:bidi w:val="0"/>
        <w:adjustRightInd w:val="0"/>
        <w:snapToGrid w:val="0"/>
        <w:ind w:firstLine="0"/>
        <w:textAlignment w:val="auto"/>
        <w:rPr>
          <w:rFonts w:ascii="宋体" w:hAnsi="宋体" w:cs="宋体"/>
          <w:highlight w:val="none"/>
        </w:rPr>
      </w:pPr>
      <w:bookmarkStart w:id="212" w:name="_Toc8908"/>
      <w:bookmarkStart w:id="213" w:name="_Toc31582"/>
      <w:bookmarkStart w:id="214" w:name="_Toc27653"/>
      <w:bookmarkStart w:id="215" w:name="_Toc32253"/>
    </w:p>
    <w:p w14:paraId="411CB5FC">
      <w:pPr>
        <w:pStyle w:val="3"/>
        <w:pageBreakBefore w:val="0"/>
        <w:widowControl w:val="0"/>
        <w:kinsoku/>
        <w:wordWrap/>
        <w:overflowPunct/>
        <w:topLinePunct w:val="0"/>
        <w:autoSpaceDE/>
        <w:autoSpaceDN/>
        <w:bidi w:val="0"/>
        <w:adjustRightInd w:val="0"/>
        <w:snapToGrid w:val="0"/>
        <w:spacing w:before="0" w:after="0"/>
        <w:ind w:firstLine="0"/>
        <w:textAlignment w:val="auto"/>
        <w:rPr>
          <w:rFonts w:ascii="宋体" w:hAnsi="宋体" w:cs="宋体"/>
          <w:highlight w:val="none"/>
        </w:rPr>
      </w:pPr>
      <w:r>
        <w:rPr>
          <w:rFonts w:hint="eastAsia" w:ascii="宋体" w:hAnsi="宋体" w:cs="宋体"/>
          <w:highlight w:val="none"/>
        </w:rPr>
        <w:t>监狱企业证明文件</w:t>
      </w:r>
      <w:bookmarkEnd w:id="212"/>
      <w:bookmarkEnd w:id="213"/>
      <w:bookmarkEnd w:id="214"/>
      <w:bookmarkEnd w:id="215"/>
    </w:p>
    <w:p w14:paraId="19177203">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D908D7">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监狱企业参加政府采购活动时，应当提供由省级以上监狱管理局、戒毒管理局（含新疆生产建设兵团）出具的属于监狱企业的证明文件。</w:t>
      </w:r>
    </w:p>
    <w:p w14:paraId="55D893B0">
      <w:pPr>
        <w:widowControl/>
        <w:adjustRightInd w:val="0"/>
        <w:snapToGrid w:val="0"/>
        <w:spacing w:line="360" w:lineRule="auto"/>
        <w:ind w:firstLine="562"/>
        <w:jc w:val="left"/>
        <w:rPr>
          <w:rFonts w:ascii="宋体" w:hAnsi="宋体" w:cs="宋体"/>
          <w:b/>
          <w:sz w:val="28"/>
          <w:szCs w:val="28"/>
          <w:highlight w:val="none"/>
        </w:rPr>
      </w:pPr>
    </w:p>
    <w:p w14:paraId="65A0FAB6">
      <w:pPr>
        <w:widowControl/>
        <w:adjustRightInd w:val="0"/>
        <w:snapToGrid w:val="0"/>
        <w:spacing w:line="360" w:lineRule="auto"/>
        <w:ind w:firstLine="422"/>
        <w:jc w:val="left"/>
        <w:rPr>
          <w:rFonts w:ascii="宋体" w:hAnsi="宋体" w:cs="宋体"/>
          <w:b/>
          <w:szCs w:val="21"/>
          <w:highlight w:val="none"/>
        </w:rPr>
      </w:pPr>
      <w:r>
        <w:rPr>
          <w:rFonts w:hint="eastAsia" w:ascii="宋体" w:hAnsi="宋体" w:cs="宋体"/>
          <w:b/>
          <w:szCs w:val="21"/>
          <w:highlight w:val="none"/>
        </w:rPr>
        <w:t>注：符合条件的监狱企业在参加政府采购活动时，应当按《财政部 司法部关于政府采购支持监狱企业发展有关问题的通知》（财库[2014]68号）提供规定的《监狱企业证明文件》，并对声明的真实性负责。</w:t>
      </w:r>
    </w:p>
    <w:p w14:paraId="6051CAF5">
      <w:pPr>
        <w:keepNext/>
        <w:keepLines/>
        <w:adjustRightInd w:val="0"/>
        <w:snapToGrid w:val="0"/>
        <w:spacing w:line="360" w:lineRule="auto"/>
        <w:ind w:firstLine="422"/>
        <w:jc w:val="left"/>
        <w:rPr>
          <w:rFonts w:ascii="宋体" w:hAnsi="宋体" w:cs="宋体"/>
          <w:b/>
          <w:sz w:val="28"/>
          <w:szCs w:val="28"/>
          <w:highlight w:val="none"/>
        </w:rPr>
      </w:pPr>
      <w:r>
        <w:rPr>
          <w:rFonts w:hint="eastAsia" w:ascii="宋体" w:hAnsi="宋体" w:cs="宋体"/>
          <w:b/>
          <w:szCs w:val="21"/>
          <w:highlight w:val="none"/>
        </w:rPr>
        <w:br w:type="page"/>
      </w:r>
    </w:p>
    <w:p w14:paraId="0D0F12DD">
      <w:pPr>
        <w:pageBreakBefore w:val="0"/>
        <w:widowControl w:val="0"/>
        <w:tabs>
          <w:tab w:val="left" w:pos="5580"/>
        </w:tabs>
        <w:kinsoku/>
        <w:wordWrap/>
        <w:overflowPunct/>
        <w:topLinePunct w:val="0"/>
        <w:autoSpaceDE/>
        <w:autoSpaceDN/>
        <w:bidi w:val="0"/>
        <w:adjustRightInd w:val="0"/>
        <w:snapToGrid w:val="0"/>
        <w:spacing w:line="360" w:lineRule="auto"/>
        <w:ind w:firstLine="0"/>
        <w:jc w:val="left"/>
        <w:textAlignment w:val="auto"/>
        <w:rPr>
          <w:rFonts w:ascii="宋体" w:hAnsi="宋体" w:cs="宋体"/>
          <w:b/>
          <w:bCs/>
          <w:sz w:val="28"/>
          <w:szCs w:val="32"/>
          <w:highlight w:val="none"/>
        </w:rPr>
      </w:pPr>
      <w:r>
        <w:rPr>
          <w:rFonts w:hint="eastAsia" w:ascii="宋体" w:hAnsi="宋体" w:cs="宋体"/>
          <w:b/>
          <w:sz w:val="28"/>
          <w:szCs w:val="28"/>
          <w:highlight w:val="none"/>
        </w:rPr>
        <w:t>格式</w:t>
      </w:r>
      <w:r>
        <w:rPr>
          <w:rFonts w:hint="eastAsia" w:ascii="宋体" w:hAnsi="宋体" w:cs="宋体"/>
          <w:b/>
          <w:bCs/>
          <w:sz w:val="28"/>
          <w:szCs w:val="32"/>
          <w:highlight w:val="none"/>
        </w:rPr>
        <w:t>23</w:t>
      </w:r>
    </w:p>
    <w:p w14:paraId="43C56A9A">
      <w:pPr>
        <w:pageBreakBefore w:val="0"/>
        <w:widowControl w:val="0"/>
        <w:tabs>
          <w:tab w:val="left" w:pos="5580"/>
        </w:tabs>
        <w:kinsoku/>
        <w:wordWrap/>
        <w:overflowPunct/>
        <w:topLinePunct w:val="0"/>
        <w:autoSpaceDE/>
        <w:autoSpaceDN/>
        <w:bidi w:val="0"/>
        <w:adjustRightInd w:val="0"/>
        <w:snapToGrid w:val="0"/>
        <w:spacing w:line="360" w:lineRule="auto"/>
        <w:ind w:firstLine="0"/>
        <w:jc w:val="center"/>
        <w:textAlignment w:val="auto"/>
        <w:rPr>
          <w:rFonts w:ascii="宋体" w:hAnsi="宋体" w:cs="宋体"/>
          <w:b/>
          <w:sz w:val="28"/>
          <w:highlight w:val="none"/>
        </w:rPr>
      </w:pPr>
      <w:r>
        <w:rPr>
          <w:rFonts w:hint="eastAsia" w:ascii="宋体" w:hAnsi="宋体" w:cs="宋体"/>
          <w:b/>
          <w:sz w:val="28"/>
          <w:highlight w:val="none"/>
        </w:rPr>
        <w:t>《残疾人福利性单位声明函》（符合《三部门联合发布关于促进残疾人就业政府采购政策的通知》（财库〔2017〕141号）价格扣减条件的供应商需提交）</w:t>
      </w:r>
    </w:p>
    <w:p w14:paraId="0F3A28A8">
      <w:pPr>
        <w:pageBreakBefore w:val="0"/>
        <w:widowControl w:val="0"/>
        <w:kinsoku/>
        <w:wordWrap/>
        <w:overflowPunct/>
        <w:topLinePunct w:val="0"/>
        <w:autoSpaceDE/>
        <w:autoSpaceDN/>
        <w:bidi w:val="0"/>
        <w:adjustRightInd w:val="0"/>
        <w:snapToGrid w:val="0"/>
        <w:ind w:firstLine="0"/>
        <w:textAlignment w:val="auto"/>
        <w:rPr>
          <w:rFonts w:ascii="宋体" w:hAnsi="宋体" w:cs="宋体"/>
          <w:highlight w:val="none"/>
        </w:rPr>
      </w:pPr>
      <w:bookmarkStart w:id="216" w:name="_Toc20217"/>
      <w:bookmarkStart w:id="217" w:name="_Toc23059"/>
      <w:bookmarkStart w:id="218" w:name="_Toc5929"/>
      <w:bookmarkStart w:id="219" w:name="_Toc18702"/>
    </w:p>
    <w:p w14:paraId="698705F1">
      <w:pPr>
        <w:pStyle w:val="3"/>
        <w:pageBreakBefore w:val="0"/>
        <w:widowControl w:val="0"/>
        <w:kinsoku/>
        <w:wordWrap/>
        <w:overflowPunct/>
        <w:topLinePunct w:val="0"/>
        <w:autoSpaceDE/>
        <w:autoSpaceDN/>
        <w:bidi w:val="0"/>
        <w:adjustRightInd w:val="0"/>
        <w:snapToGrid w:val="0"/>
        <w:spacing w:before="0" w:after="0"/>
        <w:ind w:firstLine="0"/>
        <w:textAlignment w:val="auto"/>
        <w:rPr>
          <w:rFonts w:ascii="宋体" w:hAnsi="宋体" w:cs="宋体"/>
          <w:b w:val="0"/>
          <w:spacing w:val="6"/>
          <w:highlight w:val="none"/>
        </w:rPr>
      </w:pPr>
      <w:r>
        <w:rPr>
          <w:rFonts w:hint="eastAsia" w:ascii="宋体" w:hAnsi="宋体" w:cs="宋体"/>
          <w:highlight w:val="none"/>
        </w:rPr>
        <w:t>残疾人福利性单位声明函</w:t>
      </w:r>
      <w:bookmarkEnd w:id="216"/>
      <w:bookmarkEnd w:id="217"/>
      <w:bookmarkEnd w:id="218"/>
      <w:bookmarkEnd w:id="219"/>
    </w:p>
    <w:p w14:paraId="30CBF93E">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A058FC">
      <w:pPr>
        <w:adjustRightInd w:val="0"/>
        <w:snapToGrid w:val="0"/>
        <w:spacing w:line="360" w:lineRule="auto"/>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681BC76E">
      <w:pPr>
        <w:adjustRightInd w:val="0"/>
        <w:snapToGrid w:val="0"/>
        <w:spacing w:line="360" w:lineRule="auto"/>
        <w:ind w:firstLine="444" w:firstLineChars="200"/>
        <w:rPr>
          <w:rFonts w:ascii="宋体" w:hAnsi="宋体" w:cs="宋体"/>
          <w:spacing w:val="6"/>
          <w:szCs w:val="21"/>
          <w:highlight w:val="none"/>
        </w:rPr>
      </w:pPr>
    </w:p>
    <w:p w14:paraId="5443E35C">
      <w:pPr>
        <w:adjustRightInd w:val="0"/>
        <w:snapToGrid w:val="0"/>
        <w:spacing w:line="360" w:lineRule="auto"/>
        <w:ind w:firstLine="444" w:firstLineChars="200"/>
        <w:rPr>
          <w:rFonts w:ascii="宋体" w:hAnsi="宋体" w:cs="宋体"/>
          <w:spacing w:val="6"/>
          <w:szCs w:val="21"/>
          <w:highlight w:val="none"/>
        </w:rPr>
      </w:pPr>
    </w:p>
    <w:p w14:paraId="3A6D1DAB">
      <w:pPr>
        <w:tabs>
          <w:tab w:val="left" w:pos="4860"/>
        </w:tabs>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供应商：</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（加盖供应商电子公章）</w:t>
      </w:r>
    </w:p>
    <w:p w14:paraId="4DCB2FA0">
      <w:pPr>
        <w:tabs>
          <w:tab w:val="left" w:pos="4860"/>
        </w:tabs>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p>
    <w:p w14:paraId="6A4EA5BE">
      <w:pPr>
        <w:tabs>
          <w:tab w:val="left" w:pos="4860"/>
        </w:tabs>
        <w:adjustRightInd w:val="0"/>
        <w:snapToGrid w:val="0"/>
        <w:spacing w:line="360" w:lineRule="auto"/>
        <w:ind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年</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月</w:t>
      </w:r>
      <w:r>
        <w:rPr>
          <w:rFonts w:hint="eastAsia" w:ascii="宋体" w:hAnsi="宋体" w:cs="宋体"/>
          <w:spacing w:val="6"/>
          <w:szCs w:val="21"/>
          <w:highlight w:val="none"/>
          <w:u w:val="single"/>
        </w:rPr>
        <w:t xml:space="preserve">      </w:t>
      </w:r>
      <w:r>
        <w:rPr>
          <w:rFonts w:hint="eastAsia" w:ascii="宋体" w:hAnsi="宋体" w:cs="宋体"/>
          <w:spacing w:val="6"/>
          <w:szCs w:val="21"/>
          <w:highlight w:val="none"/>
        </w:rPr>
        <w:t>日</w:t>
      </w:r>
    </w:p>
    <w:p w14:paraId="026FE163">
      <w:pPr>
        <w:adjustRightInd w:val="0"/>
        <w:snapToGrid w:val="0"/>
        <w:spacing w:line="360" w:lineRule="auto"/>
        <w:ind w:firstLine="422"/>
        <w:rPr>
          <w:rFonts w:ascii="宋体" w:hAnsi="宋体" w:cs="宋体"/>
          <w:b/>
          <w:szCs w:val="21"/>
          <w:highlight w:val="none"/>
        </w:rPr>
      </w:pPr>
    </w:p>
    <w:p w14:paraId="29506C0C">
      <w:pPr>
        <w:adjustRightInd w:val="0"/>
        <w:snapToGrid w:val="0"/>
        <w:spacing w:line="360" w:lineRule="auto"/>
        <w:ind w:firstLine="422"/>
        <w:rPr>
          <w:rFonts w:ascii="宋体" w:hAnsi="宋体" w:cs="宋体"/>
          <w:b/>
          <w:szCs w:val="21"/>
          <w:highlight w:val="none"/>
        </w:rPr>
      </w:pPr>
    </w:p>
    <w:p w14:paraId="2346C781">
      <w:pPr>
        <w:adjustRightInd w:val="0"/>
        <w:snapToGrid w:val="0"/>
        <w:spacing w:line="360" w:lineRule="auto"/>
        <w:ind w:firstLine="422"/>
        <w:rPr>
          <w:rFonts w:ascii="宋体" w:hAnsi="宋体" w:cs="宋体"/>
          <w:b/>
          <w:szCs w:val="21"/>
          <w:highlight w:val="none"/>
        </w:rPr>
      </w:pPr>
    </w:p>
    <w:p w14:paraId="228D9389">
      <w:pPr>
        <w:keepNext/>
        <w:keepLines/>
        <w:adjustRightInd w:val="0"/>
        <w:snapToGrid w:val="0"/>
        <w:spacing w:line="360" w:lineRule="auto"/>
        <w:ind w:firstLine="422"/>
        <w:jc w:val="left"/>
        <w:rPr>
          <w:rFonts w:ascii="宋体" w:hAnsi="宋体" w:cs="宋体"/>
          <w:b/>
          <w:szCs w:val="21"/>
          <w:highlight w:val="none"/>
        </w:rPr>
      </w:pPr>
      <w:r>
        <w:rPr>
          <w:rFonts w:hint="eastAsia" w:ascii="宋体" w:hAnsi="宋体" w:cs="宋体"/>
          <w:b/>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6DA9DEC">
      <w:pPr>
        <w:keepNext/>
        <w:keepLines/>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br w:type="page"/>
      </w:r>
      <w:bookmarkEnd w:id="202"/>
      <w:bookmarkEnd w:id="203"/>
      <w:bookmarkEnd w:id="204"/>
    </w:p>
    <w:bookmarkEnd w:id="151"/>
    <w:bookmarkEnd w:id="152"/>
    <w:bookmarkEnd w:id="153"/>
    <w:bookmarkEnd w:id="154"/>
    <w:bookmarkEnd w:id="155"/>
    <w:bookmarkEnd w:id="156"/>
    <w:bookmarkEnd w:id="157"/>
    <w:bookmarkEnd w:id="205"/>
    <w:bookmarkEnd w:id="206"/>
    <w:bookmarkEnd w:id="207"/>
    <w:bookmarkEnd w:id="208"/>
    <w:p w14:paraId="54C548C5">
      <w:pPr>
        <w:pageBreakBefore w:val="0"/>
        <w:widowControl w:val="0"/>
        <w:kinsoku/>
        <w:wordWrap/>
        <w:overflowPunct/>
        <w:topLinePunct w:val="0"/>
        <w:autoSpaceDE/>
        <w:autoSpaceDN/>
        <w:bidi w:val="0"/>
        <w:adjustRightInd w:val="0"/>
        <w:snapToGrid w:val="0"/>
        <w:spacing w:line="360" w:lineRule="auto"/>
        <w:ind w:firstLine="0"/>
        <w:textAlignment w:val="auto"/>
        <w:rPr>
          <w:rFonts w:ascii="宋体" w:hAnsi="宋体" w:cs="宋体"/>
          <w:b/>
          <w:sz w:val="28"/>
          <w:szCs w:val="28"/>
          <w:highlight w:val="none"/>
        </w:rPr>
      </w:pPr>
      <w:bookmarkStart w:id="220" w:name="_Toc491307363"/>
      <w:bookmarkStart w:id="221" w:name="_Toc491307301"/>
      <w:bookmarkStart w:id="222" w:name="_Toc491307483"/>
      <w:r>
        <w:rPr>
          <w:rFonts w:hint="eastAsia" w:ascii="宋体" w:hAnsi="宋体" w:cs="宋体"/>
          <w:b/>
          <w:sz w:val="28"/>
          <w:szCs w:val="28"/>
          <w:highlight w:val="none"/>
        </w:rPr>
        <w:t>格式</w:t>
      </w:r>
      <w:bookmarkEnd w:id="220"/>
      <w:bookmarkEnd w:id="221"/>
      <w:bookmarkEnd w:id="222"/>
      <w:r>
        <w:rPr>
          <w:rFonts w:hint="eastAsia" w:ascii="宋体" w:hAnsi="宋体" w:cs="宋体"/>
          <w:b/>
          <w:sz w:val="28"/>
          <w:szCs w:val="28"/>
          <w:highlight w:val="none"/>
        </w:rPr>
        <w:t>24</w:t>
      </w:r>
    </w:p>
    <w:p w14:paraId="65215936">
      <w:pPr>
        <w:keepNext/>
        <w:keepLines/>
        <w:pageBreakBefore w:val="0"/>
        <w:widowControl w:val="0"/>
        <w:kinsoku/>
        <w:wordWrap/>
        <w:overflowPunct/>
        <w:topLinePunct w:val="0"/>
        <w:autoSpaceDE/>
        <w:autoSpaceDN/>
        <w:bidi w:val="0"/>
        <w:adjustRightInd w:val="0"/>
        <w:snapToGrid w:val="0"/>
        <w:spacing w:line="360" w:lineRule="auto"/>
        <w:ind w:firstLine="0"/>
        <w:jc w:val="center"/>
        <w:textAlignment w:val="auto"/>
        <w:outlineLvl w:val="1"/>
        <w:rPr>
          <w:rFonts w:ascii="宋体" w:hAnsi="宋体" w:cs="宋体"/>
          <w:b/>
          <w:bCs/>
          <w:sz w:val="28"/>
          <w:szCs w:val="32"/>
          <w:highlight w:val="none"/>
        </w:rPr>
      </w:pPr>
      <w:bookmarkStart w:id="223" w:name="_Toc491307510"/>
      <w:bookmarkStart w:id="224" w:name="_Toc491307390"/>
      <w:bookmarkStart w:id="225" w:name="_Toc491307328"/>
      <w:r>
        <w:rPr>
          <w:rFonts w:hint="eastAsia" w:ascii="宋体" w:hAnsi="宋体" w:cs="宋体"/>
          <w:b/>
          <w:bCs/>
          <w:sz w:val="28"/>
          <w:szCs w:val="32"/>
          <w:highlight w:val="none"/>
        </w:rPr>
        <w:t>构成响应文件的其他资料</w:t>
      </w:r>
      <w:bookmarkEnd w:id="223"/>
      <w:bookmarkEnd w:id="224"/>
      <w:bookmarkEnd w:id="225"/>
    </w:p>
    <w:p w14:paraId="66100D71">
      <w:pPr>
        <w:autoSpaceDE w:val="0"/>
        <w:autoSpaceDN w:val="0"/>
        <w:adjustRightInd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详见第二章《供应商须知前附表》第15.2条，请自拟格式。</w:t>
      </w:r>
    </w:p>
    <w:p w14:paraId="3B0981D0">
      <w:pPr>
        <w:autoSpaceDE w:val="0"/>
        <w:autoSpaceDN w:val="0"/>
        <w:adjustRightInd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1.谈判保证金交纳凭证或保函；</w:t>
      </w:r>
    </w:p>
    <w:p w14:paraId="70C5AEFF">
      <w:pPr>
        <w:autoSpaceDE w:val="0"/>
        <w:autoSpaceDN w:val="0"/>
        <w:adjustRightInd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2.第五章《采购需求》中要求提供的其他资料；</w:t>
      </w:r>
    </w:p>
    <w:p w14:paraId="2E0B63CC">
      <w:pPr>
        <w:autoSpaceDE w:val="0"/>
        <w:autoSpaceDN w:val="0"/>
        <w:adjustRightInd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3.谈判文件中所涉及到的相关资料及证明文件或供应商认为必须提供的其他相关资料。</w:t>
      </w:r>
    </w:p>
    <w:p w14:paraId="10B10BA7">
      <w:pPr>
        <w:autoSpaceDE w:val="0"/>
        <w:autoSpaceDN w:val="0"/>
        <w:adjustRightInd w:val="0"/>
        <w:snapToGrid w:val="0"/>
        <w:spacing w:line="360" w:lineRule="auto"/>
        <w:ind w:firstLine="480"/>
        <w:textAlignment w:val="bottom"/>
        <w:rPr>
          <w:rFonts w:ascii="宋体" w:hAnsi="宋体" w:cs="宋体"/>
          <w:bCs/>
          <w:szCs w:val="21"/>
          <w:highlight w:val="none"/>
        </w:rPr>
      </w:pPr>
      <w:r>
        <w:rPr>
          <w:rFonts w:hint="eastAsia" w:ascii="宋体" w:hAnsi="宋体" w:cs="宋体"/>
          <w:sz w:val="24"/>
          <w:highlight w:val="none"/>
        </w:rPr>
        <w:br w:type="page"/>
      </w:r>
    </w:p>
    <w:p w14:paraId="40BA89B8">
      <w:pPr>
        <w:pStyle w:val="2"/>
        <w:keepNext/>
        <w:keepLines w:val="0"/>
        <w:pageBreakBefore w:val="0"/>
        <w:widowControl w:val="0"/>
        <w:kinsoku/>
        <w:wordWrap/>
        <w:overflowPunct/>
        <w:topLinePunct w:val="0"/>
        <w:autoSpaceDE w:val="0"/>
        <w:autoSpaceDN w:val="0"/>
        <w:bidi w:val="0"/>
        <w:adjustRightInd w:val="0"/>
        <w:snapToGrid w:val="0"/>
        <w:spacing w:line="360" w:lineRule="auto"/>
        <w:ind w:firstLine="0"/>
        <w:jc w:val="center"/>
        <w:textAlignment w:val="auto"/>
        <w:rPr>
          <w:rFonts w:ascii="宋体" w:hAnsi="宋体" w:eastAsia="宋体" w:cs="宋体"/>
          <w:color w:val="auto"/>
          <w:sz w:val="36"/>
          <w:highlight w:val="none"/>
        </w:rPr>
      </w:pPr>
      <w:bookmarkStart w:id="226" w:name="_Toc17173"/>
      <w:bookmarkStart w:id="227" w:name="_Toc86124091"/>
      <w:r>
        <w:rPr>
          <w:rFonts w:hint="eastAsia" w:ascii="宋体" w:hAnsi="宋体" w:eastAsia="宋体" w:cs="宋体"/>
          <w:color w:val="auto"/>
          <w:sz w:val="32"/>
          <w:szCs w:val="32"/>
          <w:highlight w:val="none"/>
        </w:rPr>
        <w:t>第五章  采购需求</w:t>
      </w:r>
      <w:bookmarkEnd w:id="226"/>
      <w:bookmarkEnd w:id="227"/>
    </w:p>
    <w:p w14:paraId="55382D69">
      <w:pPr>
        <w:adjustRightInd w:val="0"/>
        <w:snapToGrid w:val="0"/>
        <w:spacing w:line="360" w:lineRule="auto"/>
        <w:ind w:firstLine="422"/>
        <w:rPr>
          <w:rFonts w:ascii="宋体" w:hAnsi="宋体" w:cs="宋体"/>
          <w:b/>
          <w:bCs/>
          <w:szCs w:val="21"/>
          <w:highlight w:val="none"/>
        </w:rPr>
      </w:pPr>
      <w:r>
        <w:rPr>
          <w:rFonts w:hint="eastAsia" w:ascii="宋体" w:hAnsi="宋体" w:cs="宋体"/>
          <w:b/>
          <w:bCs/>
          <w:szCs w:val="21"/>
          <w:highlight w:val="none"/>
        </w:rPr>
        <w:t>说明：</w:t>
      </w:r>
    </w:p>
    <w:p w14:paraId="4C579343">
      <w:pPr>
        <w:adjustRightInd w:val="0"/>
        <w:snapToGrid w:val="0"/>
        <w:spacing w:line="360" w:lineRule="auto"/>
        <w:ind w:firstLine="420"/>
        <w:rPr>
          <w:rFonts w:ascii="宋体" w:hAnsi="宋体" w:cs="宋体"/>
          <w:bCs/>
          <w:szCs w:val="21"/>
          <w:highlight w:val="none"/>
        </w:rPr>
      </w:pPr>
      <w:r>
        <w:rPr>
          <w:rFonts w:hint="eastAsia" w:ascii="宋体" w:hAnsi="宋体" w:cs="宋体"/>
          <w:bCs/>
          <w:szCs w:val="21"/>
          <w:highlight w:val="none"/>
        </w:rPr>
        <w:t>1</w:t>
      </w:r>
      <w:bookmarkStart w:id="228" w:name="_Toc491307332"/>
      <w:bookmarkStart w:id="229" w:name="_Toc491307394"/>
      <w:r>
        <w:rPr>
          <w:rFonts w:hint="eastAsia" w:ascii="宋体" w:hAnsi="宋体" w:cs="宋体"/>
          <w:bCs/>
          <w:szCs w:val="21"/>
          <w:highlight w:val="none"/>
        </w:rPr>
        <w:t>.本章各项规格、技术条款和性能要求如出现引用某一特定的专利技术、商标、名称、设计、原产地或供应者等情况，则仅起参考作用。供应商可选用实质上“相当于”或“优于”该参考技术规格要求的产品投报，同时填写技术条款偏离表。关键技术响应应与竞争性谈判文件采购需求一致（或高于竞争性谈判文件所列采购需求）。</w:t>
      </w:r>
    </w:p>
    <w:p w14:paraId="3FA33AD5">
      <w:pPr>
        <w:adjustRightInd w:val="0"/>
        <w:snapToGrid w:val="0"/>
        <w:spacing w:line="360" w:lineRule="auto"/>
        <w:ind w:firstLine="420"/>
        <w:rPr>
          <w:rFonts w:ascii="宋体" w:hAnsi="宋体" w:cs="宋体"/>
          <w:bCs/>
          <w:szCs w:val="21"/>
          <w:highlight w:val="none"/>
        </w:rPr>
      </w:pPr>
      <w:r>
        <w:rPr>
          <w:rFonts w:hint="eastAsia" w:ascii="宋体" w:hAnsi="宋体" w:cs="宋体"/>
          <w:bCs/>
          <w:szCs w:val="21"/>
          <w:highlight w:val="none"/>
        </w:rPr>
        <w:t>2.凡在“规格、技术条款、性能要求”中表述为“标配”或“标准配置”的设备，供应商应在分项报价一览表中将其标配参数详细列明。</w:t>
      </w:r>
    </w:p>
    <w:p w14:paraId="37DBF64F">
      <w:pPr>
        <w:adjustRightInd w:val="0"/>
        <w:snapToGrid w:val="0"/>
        <w:spacing w:line="360" w:lineRule="auto"/>
        <w:ind w:firstLine="420"/>
        <w:rPr>
          <w:rFonts w:ascii="宋体" w:hAnsi="宋体" w:cs="宋体"/>
          <w:bCs/>
          <w:szCs w:val="21"/>
          <w:highlight w:val="none"/>
        </w:rPr>
      </w:pPr>
      <w:r>
        <w:rPr>
          <w:rFonts w:hint="eastAsia" w:ascii="宋体" w:hAnsi="宋体" w:cs="宋体"/>
          <w:bCs/>
          <w:szCs w:val="21"/>
          <w:highlight w:val="none"/>
        </w:rPr>
        <w:t>3.供应商应保证其提供的货物、工程或者服务在采购人使用期间不受第三方可能提出的侵犯其所有权、知识产权、商标权、专利权、著作权等相关权利的起诉。</w:t>
      </w:r>
    </w:p>
    <w:p w14:paraId="30862A47">
      <w:pPr>
        <w:adjustRightInd w:val="0"/>
        <w:snapToGrid w:val="0"/>
        <w:spacing w:line="360" w:lineRule="auto"/>
        <w:ind w:firstLine="420"/>
        <w:rPr>
          <w:rFonts w:ascii="宋体" w:hAnsi="宋体" w:cs="宋体"/>
          <w:bCs/>
          <w:szCs w:val="21"/>
          <w:highlight w:val="none"/>
        </w:rPr>
      </w:pPr>
      <w:r>
        <w:rPr>
          <w:rFonts w:hint="eastAsia" w:ascii="宋体" w:hAnsi="宋体" w:cs="宋体"/>
          <w:bCs/>
          <w:szCs w:val="21"/>
          <w:highlight w:val="none"/>
        </w:rPr>
        <w:t>4.供应商应对在项目服务的过程中，涉及到甲方的工作信息等秘密内容进行保密。双方应共同对系统中涉及的技术情报和资料进行保密。</w:t>
      </w:r>
    </w:p>
    <w:p w14:paraId="331CAA45">
      <w:pPr>
        <w:adjustRightInd w:val="0"/>
        <w:snapToGrid w:val="0"/>
        <w:spacing w:line="360" w:lineRule="auto"/>
        <w:ind w:firstLine="420"/>
        <w:rPr>
          <w:rFonts w:ascii="宋体" w:hAnsi="宋体" w:cs="宋体"/>
          <w:szCs w:val="21"/>
          <w:highlight w:val="none"/>
        </w:rPr>
      </w:pPr>
      <w:r>
        <w:rPr>
          <w:rFonts w:hint="eastAsia" w:ascii="宋体" w:hAnsi="宋体" w:cs="宋体"/>
          <w:bCs/>
          <w:szCs w:val="21"/>
          <w:highlight w:val="none"/>
        </w:rPr>
        <w:t>5.本文件解释权归采购人、采购代理机构。</w:t>
      </w:r>
      <w:bookmarkEnd w:id="228"/>
      <w:bookmarkEnd w:id="229"/>
    </w:p>
    <w:p w14:paraId="0B218345">
      <w:pPr>
        <w:adjustRightInd w:val="0"/>
        <w:snapToGrid w:val="0"/>
        <w:spacing w:line="360" w:lineRule="auto"/>
        <w:ind w:firstLine="422"/>
        <w:rPr>
          <w:rFonts w:ascii="宋体" w:hAnsi="宋体" w:cs="宋体"/>
          <w:b/>
          <w:szCs w:val="21"/>
          <w:highlight w:val="none"/>
        </w:rPr>
      </w:pPr>
      <w:r>
        <w:rPr>
          <w:rFonts w:hint="eastAsia" w:ascii="宋体" w:hAnsi="宋体" w:cs="宋体"/>
          <w:b/>
          <w:szCs w:val="21"/>
          <w:highlight w:val="none"/>
        </w:rPr>
        <w:br w:type="page"/>
      </w:r>
      <w:bookmarkStart w:id="230" w:name="_Toc86124092"/>
      <w:bookmarkStart w:id="231" w:name="_Toc496805400"/>
    </w:p>
    <w:p w14:paraId="692883E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jc w:val="left"/>
        <w:textAlignment w:val="auto"/>
        <w:rPr>
          <w:rFonts w:ascii="宋体" w:hAnsi="宋体" w:cs="宋体"/>
          <w:b/>
          <w:sz w:val="24"/>
          <w:highlight w:val="none"/>
        </w:rPr>
      </w:pPr>
      <w:bookmarkStart w:id="232" w:name="_Toc489145772"/>
      <w:bookmarkStart w:id="233" w:name="_Toc489197876"/>
      <w:bookmarkStart w:id="234" w:name="_Toc488633637"/>
      <w:bookmarkStart w:id="235" w:name="_Toc439335030"/>
      <w:r>
        <w:rPr>
          <w:rFonts w:hint="eastAsia" w:ascii="宋体" w:hAnsi="宋体" w:cs="宋体"/>
          <w:b/>
          <w:sz w:val="24"/>
          <w:highlight w:val="none"/>
        </w:rPr>
        <w:t>一、采购需求一览表</w:t>
      </w:r>
    </w:p>
    <w:tbl>
      <w:tblPr>
        <w:tblStyle w:val="38"/>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587"/>
        <w:gridCol w:w="785"/>
        <w:gridCol w:w="2616"/>
        <w:gridCol w:w="720"/>
        <w:gridCol w:w="781"/>
        <w:gridCol w:w="1553"/>
      </w:tblGrid>
      <w:tr w14:paraId="392E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54" w:type="dxa"/>
            <w:shd w:val="clear" w:color="000000" w:fill="FFFFFF"/>
            <w:vAlign w:val="center"/>
          </w:tcPr>
          <w:p w14:paraId="5517C095">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序号</w:t>
            </w:r>
          </w:p>
        </w:tc>
        <w:tc>
          <w:tcPr>
            <w:tcW w:w="1587" w:type="dxa"/>
            <w:shd w:val="clear" w:color="000000" w:fill="FFFFFF"/>
            <w:vAlign w:val="center"/>
          </w:tcPr>
          <w:p w14:paraId="6FC2F07B">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是否为节能产品政府采购品目清单政府强制采购产品</w:t>
            </w:r>
          </w:p>
        </w:tc>
        <w:tc>
          <w:tcPr>
            <w:tcW w:w="785" w:type="dxa"/>
            <w:shd w:val="clear" w:color="000000" w:fill="FFFFFF"/>
            <w:vAlign w:val="center"/>
          </w:tcPr>
          <w:p w14:paraId="34BDAE87">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是否接受进口产品</w:t>
            </w:r>
          </w:p>
        </w:tc>
        <w:tc>
          <w:tcPr>
            <w:tcW w:w="2616" w:type="dxa"/>
            <w:shd w:val="clear" w:color="000000" w:fill="FFFFFF"/>
            <w:vAlign w:val="center"/>
          </w:tcPr>
          <w:p w14:paraId="515628AA">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项目（产品）名称</w:t>
            </w:r>
          </w:p>
        </w:tc>
        <w:tc>
          <w:tcPr>
            <w:tcW w:w="720" w:type="dxa"/>
            <w:shd w:val="clear" w:color="000000" w:fill="FFFFFF"/>
            <w:vAlign w:val="center"/>
          </w:tcPr>
          <w:p w14:paraId="0DDF98D1">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数量</w:t>
            </w:r>
          </w:p>
        </w:tc>
        <w:tc>
          <w:tcPr>
            <w:tcW w:w="781" w:type="dxa"/>
            <w:shd w:val="clear" w:color="000000" w:fill="FFFFFF"/>
            <w:vAlign w:val="center"/>
          </w:tcPr>
          <w:p w14:paraId="6646A166">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计量单位</w:t>
            </w:r>
          </w:p>
        </w:tc>
        <w:tc>
          <w:tcPr>
            <w:tcW w:w="1553" w:type="dxa"/>
            <w:shd w:val="clear" w:color="000000" w:fill="FFFFFF"/>
            <w:vAlign w:val="center"/>
          </w:tcPr>
          <w:p w14:paraId="403D6BFA">
            <w:pPr>
              <w:keepNext w:val="0"/>
              <w:keepLines w:val="0"/>
              <w:pageBreakBefore w:val="0"/>
              <w:kinsoku/>
              <w:wordWrap/>
              <w:overflowPunct/>
              <w:topLinePunct w:val="0"/>
              <w:autoSpaceDE/>
              <w:autoSpaceDN/>
              <w:bidi w:val="0"/>
              <w:adjustRightInd/>
              <w:snapToGrid/>
              <w:spacing w:line="440" w:lineRule="exact"/>
              <w:ind w:firstLine="0"/>
              <w:jc w:val="center"/>
              <w:textAlignment w:val="auto"/>
              <w:rPr>
                <w:rFonts w:ascii="宋体" w:hAnsi="宋体" w:cs="宋体"/>
                <w:b/>
                <w:szCs w:val="21"/>
                <w:highlight w:val="none"/>
              </w:rPr>
            </w:pPr>
            <w:r>
              <w:rPr>
                <w:rFonts w:hint="eastAsia" w:ascii="宋体" w:hAnsi="宋体" w:cs="宋体"/>
                <w:b/>
                <w:szCs w:val="21"/>
                <w:highlight w:val="none"/>
              </w:rPr>
              <w:t>单价最高限价（元）</w:t>
            </w:r>
          </w:p>
        </w:tc>
      </w:tr>
      <w:tr w14:paraId="7211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6803E2F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587" w:type="dxa"/>
            <w:shd w:val="clear" w:color="000000" w:fill="FFFFFF"/>
            <w:vAlign w:val="center"/>
          </w:tcPr>
          <w:p w14:paraId="20B1BE4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shd w:val="clear" w:color="000000" w:fill="FFFFFF"/>
            <w:vAlign w:val="center"/>
          </w:tcPr>
          <w:p w14:paraId="050E764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4AF3BF5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冠层分析仪</w:t>
            </w:r>
          </w:p>
        </w:tc>
        <w:tc>
          <w:tcPr>
            <w:tcW w:w="720" w:type="dxa"/>
            <w:shd w:val="clear" w:color="auto" w:fill="auto"/>
            <w:vAlign w:val="center"/>
          </w:tcPr>
          <w:p w14:paraId="34F154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1988028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shd w:val="clear" w:color="000000" w:fill="FFFFFF"/>
            <w:vAlign w:val="center"/>
          </w:tcPr>
          <w:p w14:paraId="0C2AC89D">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61400.00</w:t>
            </w:r>
          </w:p>
        </w:tc>
      </w:tr>
      <w:tr w14:paraId="5EC8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57A558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1587" w:type="dxa"/>
            <w:shd w:val="clear" w:color="000000" w:fill="FFFFFF"/>
            <w:vAlign w:val="center"/>
          </w:tcPr>
          <w:p w14:paraId="7158FEA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shd w:val="clear" w:color="000000" w:fill="FFFFFF"/>
            <w:vAlign w:val="center"/>
          </w:tcPr>
          <w:p w14:paraId="4768240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4E219DC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户外用温湿度记录器</w:t>
            </w:r>
          </w:p>
        </w:tc>
        <w:tc>
          <w:tcPr>
            <w:tcW w:w="720" w:type="dxa"/>
            <w:shd w:val="clear" w:color="auto" w:fill="auto"/>
            <w:vAlign w:val="center"/>
          </w:tcPr>
          <w:p w14:paraId="594D58D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781" w:type="dxa"/>
            <w:shd w:val="clear" w:color="auto" w:fill="auto"/>
            <w:vAlign w:val="center"/>
          </w:tcPr>
          <w:p w14:paraId="4C92FF5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shd w:val="clear" w:color="000000" w:fill="FFFFFF"/>
            <w:vAlign w:val="center"/>
          </w:tcPr>
          <w:p w14:paraId="7AD2BE07">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2800.00</w:t>
            </w:r>
          </w:p>
        </w:tc>
      </w:tr>
      <w:tr w14:paraId="39A0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54" w:type="dxa"/>
            <w:shd w:val="clear" w:color="auto" w:fill="auto"/>
            <w:vAlign w:val="center"/>
          </w:tcPr>
          <w:p w14:paraId="2E9365B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3</w:t>
            </w:r>
          </w:p>
        </w:tc>
        <w:tc>
          <w:tcPr>
            <w:tcW w:w="1587" w:type="dxa"/>
            <w:shd w:val="clear" w:color="000000" w:fill="FFFFFF"/>
            <w:vAlign w:val="center"/>
          </w:tcPr>
          <w:p w14:paraId="7A5D8C6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shd w:val="clear" w:color="000000" w:fill="FFFFFF"/>
            <w:vAlign w:val="center"/>
          </w:tcPr>
          <w:p w14:paraId="7DD0135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325263E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高精度室内温湿度记录器</w:t>
            </w:r>
          </w:p>
        </w:tc>
        <w:tc>
          <w:tcPr>
            <w:tcW w:w="720" w:type="dxa"/>
            <w:shd w:val="clear" w:color="auto" w:fill="auto"/>
            <w:vAlign w:val="center"/>
          </w:tcPr>
          <w:p w14:paraId="4F27BFE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781" w:type="dxa"/>
            <w:shd w:val="clear" w:color="auto" w:fill="auto"/>
            <w:vAlign w:val="center"/>
          </w:tcPr>
          <w:p w14:paraId="46E0429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shd w:val="clear" w:color="000000" w:fill="FFFFFF"/>
            <w:vAlign w:val="center"/>
          </w:tcPr>
          <w:p w14:paraId="60565F4F">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1400.00</w:t>
            </w:r>
          </w:p>
        </w:tc>
      </w:tr>
      <w:tr w14:paraId="0475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010FF7D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4</w:t>
            </w:r>
          </w:p>
        </w:tc>
        <w:tc>
          <w:tcPr>
            <w:tcW w:w="1587" w:type="dxa"/>
            <w:vAlign w:val="center"/>
          </w:tcPr>
          <w:p w14:paraId="01AEE84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7A4FED4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0753FFA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四分量净辐射记录器</w:t>
            </w:r>
          </w:p>
        </w:tc>
        <w:tc>
          <w:tcPr>
            <w:tcW w:w="720" w:type="dxa"/>
            <w:shd w:val="clear" w:color="auto" w:fill="auto"/>
            <w:vAlign w:val="center"/>
          </w:tcPr>
          <w:p w14:paraId="7204484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185DA2E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55AA88FE">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50000.00</w:t>
            </w:r>
          </w:p>
        </w:tc>
      </w:tr>
      <w:tr w14:paraId="596E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31190D0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1587" w:type="dxa"/>
            <w:vAlign w:val="center"/>
          </w:tcPr>
          <w:p w14:paraId="25423E4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6F25476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1C1583B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便携式小型气象站</w:t>
            </w:r>
          </w:p>
        </w:tc>
        <w:tc>
          <w:tcPr>
            <w:tcW w:w="720" w:type="dxa"/>
            <w:shd w:val="clear" w:color="auto" w:fill="auto"/>
            <w:vAlign w:val="center"/>
          </w:tcPr>
          <w:p w14:paraId="25A86C6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781" w:type="dxa"/>
            <w:shd w:val="clear" w:color="auto" w:fill="auto"/>
            <w:vAlign w:val="center"/>
          </w:tcPr>
          <w:p w14:paraId="18FB87A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320E4EA3">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5000.00</w:t>
            </w:r>
          </w:p>
        </w:tc>
      </w:tr>
      <w:tr w14:paraId="39D9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194119A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6</w:t>
            </w:r>
          </w:p>
        </w:tc>
        <w:tc>
          <w:tcPr>
            <w:tcW w:w="1587" w:type="dxa"/>
            <w:vAlign w:val="center"/>
          </w:tcPr>
          <w:p w14:paraId="0241AB1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5CC4F69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64783AE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固定式小型气象站</w:t>
            </w:r>
          </w:p>
        </w:tc>
        <w:tc>
          <w:tcPr>
            <w:tcW w:w="720" w:type="dxa"/>
            <w:shd w:val="clear" w:color="auto" w:fill="auto"/>
            <w:vAlign w:val="center"/>
          </w:tcPr>
          <w:p w14:paraId="0AAD26D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781" w:type="dxa"/>
            <w:shd w:val="clear" w:color="auto" w:fill="auto"/>
            <w:vAlign w:val="center"/>
          </w:tcPr>
          <w:p w14:paraId="7F5A0B7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42715E3E">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12500.00</w:t>
            </w:r>
          </w:p>
        </w:tc>
      </w:tr>
      <w:tr w14:paraId="46BD7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749B62F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7</w:t>
            </w:r>
          </w:p>
        </w:tc>
        <w:tc>
          <w:tcPr>
            <w:tcW w:w="1587" w:type="dxa"/>
            <w:vAlign w:val="center"/>
          </w:tcPr>
          <w:p w14:paraId="37315A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0D04E5B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7EF4576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舱体及光环境模拟系统（人工气候模拟实验模块）</w:t>
            </w:r>
          </w:p>
        </w:tc>
        <w:tc>
          <w:tcPr>
            <w:tcW w:w="720" w:type="dxa"/>
            <w:shd w:val="clear" w:color="auto" w:fill="auto"/>
            <w:vAlign w:val="center"/>
          </w:tcPr>
          <w:p w14:paraId="0BA5F86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5B05F4E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1325423B">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140000.00</w:t>
            </w:r>
          </w:p>
        </w:tc>
      </w:tr>
      <w:tr w14:paraId="4F75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08EFCAB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8</w:t>
            </w:r>
          </w:p>
        </w:tc>
        <w:tc>
          <w:tcPr>
            <w:tcW w:w="1587" w:type="dxa"/>
            <w:vAlign w:val="center"/>
          </w:tcPr>
          <w:p w14:paraId="48C807C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15F2FC8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1472C1B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热指数仪</w:t>
            </w:r>
          </w:p>
        </w:tc>
        <w:tc>
          <w:tcPr>
            <w:tcW w:w="720" w:type="dxa"/>
            <w:shd w:val="clear" w:color="auto" w:fill="auto"/>
            <w:vAlign w:val="center"/>
          </w:tcPr>
          <w:p w14:paraId="2F0C6E1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4</w:t>
            </w:r>
          </w:p>
        </w:tc>
        <w:tc>
          <w:tcPr>
            <w:tcW w:w="781" w:type="dxa"/>
            <w:shd w:val="clear" w:color="auto" w:fill="auto"/>
            <w:vAlign w:val="center"/>
          </w:tcPr>
          <w:p w14:paraId="719C35C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5B863131">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27000.00</w:t>
            </w:r>
          </w:p>
        </w:tc>
      </w:tr>
      <w:tr w14:paraId="2926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B29C8D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9</w:t>
            </w:r>
          </w:p>
        </w:tc>
        <w:tc>
          <w:tcPr>
            <w:tcW w:w="1587" w:type="dxa"/>
            <w:vAlign w:val="center"/>
          </w:tcPr>
          <w:p w14:paraId="5F4ADCB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7402DD5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1C52B82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热电偶+多通道记录仪</w:t>
            </w:r>
          </w:p>
        </w:tc>
        <w:tc>
          <w:tcPr>
            <w:tcW w:w="720" w:type="dxa"/>
            <w:shd w:val="clear" w:color="auto" w:fill="auto"/>
            <w:vAlign w:val="center"/>
          </w:tcPr>
          <w:p w14:paraId="62ADAF8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781" w:type="dxa"/>
            <w:shd w:val="clear" w:color="auto" w:fill="auto"/>
            <w:vAlign w:val="center"/>
          </w:tcPr>
          <w:p w14:paraId="457F8DB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4B8EAC62">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3000.00</w:t>
            </w:r>
          </w:p>
        </w:tc>
      </w:tr>
      <w:tr w14:paraId="0B11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4D8EED2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10</w:t>
            </w:r>
          </w:p>
        </w:tc>
        <w:tc>
          <w:tcPr>
            <w:tcW w:w="1587" w:type="dxa"/>
            <w:vAlign w:val="center"/>
          </w:tcPr>
          <w:p w14:paraId="441F716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3C47BBC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0A67CAC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温湿度处理及气流组织系统（人工气候模拟实验模块）</w:t>
            </w:r>
          </w:p>
        </w:tc>
        <w:tc>
          <w:tcPr>
            <w:tcW w:w="720" w:type="dxa"/>
            <w:shd w:val="clear" w:color="auto" w:fill="auto"/>
            <w:vAlign w:val="center"/>
          </w:tcPr>
          <w:p w14:paraId="64F0915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5017402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2F5B78C7">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160000.00</w:t>
            </w:r>
          </w:p>
        </w:tc>
      </w:tr>
      <w:tr w14:paraId="2E92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35105E2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11</w:t>
            </w:r>
          </w:p>
        </w:tc>
        <w:tc>
          <w:tcPr>
            <w:tcW w:w="1587" w:type="dxa"/>
            <w:vAlign w:val="center"/>
          </w:tcPr>
          <w:p w14:paraId="2E56B25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22114B0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2F42EC6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冷热源及新风系统（人工气候模拟实验模块）</w:t>
            </w:r>
          </w:p>
        </w:tc>
        <w:tc>
          <w:tcPr>
            <w:tcW w:w="720" w:type="dxa"/>
            <w:shd w:val="clear" w:color="auto" w:fill="auto"/>
            <w:vAlign w:val="center"/>
          </w:tcPr>
          <w:p w14:paraId="68BBA5B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5A397D0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7B30ECC0">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120000.00</w:t>
            </w:r>
          </w:p>
        </w:tc>
      </w:tr>
      <w:tr w14:paraId="3C41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0C79CC9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12</w:t>
            </w:r>
          </w:p>
        </w:tc>
        <w:tc>
          <w:tcPr>
            <w:tcW w:w="1587" w:type="dxa"/>
            <w:vAlign w:val="center"/>
          </w:tcPr>
          <w:p w14:paraId="4F049FD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499D3A9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01BD5F4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壁面辐射及供电供水系统（人工气候模拟实验模块）</w:t>
            </w:r>
          </w:p>
        </w:tc>
        <w:tc>
          <w:tcPr>
            <w:tcW w:w="720" w:type="dxa"/>
            <w:shd w:val="clear" w:color="auto" w:fill="auto"/>
            <w:vAlign w:val="center"/>
          </w:tcPr>
          <w:p w14:paraId="314AB8F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2464D3E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057460EF">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170000.00</w:t>
            </w:r>
          </w:p>
        </w:tc>
      </w:tr>
      <w:tr w14:paraId="5514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1B1BA91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13</w:t>
            </w:r>
          </w:p>
        </w:tc>
        <w:tc>
          <w:tcPr>
            <w:tcW w:w="1587" w:type="dxa"/>
            <w:vAlign w:val="center"/>
          </w:tcPr>
          <w:p w14:paraId="3E8E97F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42E6DBA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2484AC0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自控\数据采集系统及整体设计（人工气候模拟实验模块）</w:t>
            </w:r>
          </w:p>
        </w:tc>
        <w:tc>
          <w:tcPr>
            <w:tcW w:w="720" w:type="dxa"/>
            <w:shd w:val="clear" w:color="auto" w:fill="auto"/>
            <w:vAlign w:val="center"/>
          </w:tcPr>
          <w:p w14:paraId="29589BD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1A81ADD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17507A41">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160000.00</w:t>
            </w:r>
          </w:p>
        </w:tc>
      </w:tr>
      <w:tr w14:paraId="35D7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1B024F0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14</w:t>
            </w:r>
          </w:p>
        </w:tc>
        <w:tc>
          <w:tcPr>
            <w:tcW w:w="1587" w:type="dxa"/>
            <w:vAlign w:val="center"/>
          </w:tcPr>
          <w:p w14:paraId="7CB8450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405C6D7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29F90ED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高性能计算机工作站</w:t>
            </w:r>
          </w:p>
        </w:tc>
        <w:tc>
          <w:tcPr>
            <w:tcW w:w="720" w:type="dxa"/>
            <w:shd w:val="clear" w:color="auto" w:fill="auto"/>
            <w:vAlign w:val="center"/>
          </w:tcPr>
          <w:p w14:paraId="1A12844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4138EAB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7986C85F">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60000.00</w:t>
            </w:r>
          </w:p>
        </w:tc>
      </w:tr>
      <w:tr w14:paraId="1250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62091B1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15</w:t>
            </w:r>
          </w:p>
        </w:tc>
        <w:tc>
          <w:tcPr>
            <w:tcW w:w="1587" w:type="dxa"/>
            <w:vAlign w:val="center"/>
          </w:tcPr>
          <w:p w14:paraId="1E39137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5CB24C7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68CA28F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大型激光雕刻机A</w:t>
            </w:r>
          </w:p>
        </w:tc>
        <w:tc>
          <w:tcPr>
            <w:tcW w:w="720" w:type="dxa"/>
            <w:shd w:val="clear" w:color="auto" w:fill="auto"/>
            <w:vAlign w:val="center"/>
          </w:tcPr>
          <w:p w14:paraId="357366B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670648A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3F9BFE1B">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78000.00</w:t>
            </w:r>
          </w:p>
        </w:tc>
      </w:tr>
      <w:tr w14:paraId="31FB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04BD8E6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16</w:t>
            </w:r>
          </w:p>
        </w:tc>
        <w:tc>
          <w:tcPr>
            <w:tcW w:w="1587" w:type="dxa"/>
            <w:vAlign w:val="center"/>
          </w:tcPr>
          <w:p w14:paraId="6356300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1F85235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371C2C7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大型激光雕刻机B</w:t>
            </w:r>
          </w:p>
        </w:tc>
        <w:tc>
          <w:tcPr>
            <w:tcW w:w="720" w:type="dxa"/>
            <w:shd w:val="clear" w:color="auto" w:fill="auto"/>
            <w:vAlign w:val="center"/>
          </w:tcPr>
          <w:p w14:paraId="6FF98E3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7D68D6D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726D6616">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60000.00</w:t>
            </w:r>
          </w:p>
        </w:tc>
      </w:tr>
      <w:tr w14:paraId="2A50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12852A3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17</w:t>
            </w:r>
          </w:p>
        </w:tc>
        <w:tc>
          <w:tcPr>
            <w:tcW w:w="1587" w:type="dxa"/>
            <w:vAlign w:val="center"/>
          </w:tcPr>
          <w:p w14:paraId="3C1E0F6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5959A10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65241140">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木工模型制作工具套装</w:t>
            </w:r>
          </w:p>
        </w:tc>
        <w:tc>
          <w:tcPr>
            <w:tcW w:w="720" w:type="dxa"/>
            <w:shd w:val="clear" w:color="auto" w:fill="auto"/>
            <w:vAlign w:val="center"/>
          </w:tcPr>
          <w:p w14:paraId="3E7A212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781" w:type="dxa"/>
            <w:shd w:val="clear" w:color="auto" w:fill="auto"/>
            <w:vAlign w:val="center"/>
          </w:tcPr>
          <w:p w14:paraId="7DF7A7A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587BBBBA">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28000.00</w:t>
            </w:r>
          </w:p>
        </w:tc>
      </w:tr>
      <w:tr w14:paraId="5DA5C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6ACD13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18</w:t>
            </w:r>
          </w:p>
        </w:tc>
        <w:tc>
          <w:tcPr>
            <w:tcW w:w="1587" w:type="dxa"/>
            <w:vAlign w:val="center"/>
          </w:tcPr>
          <w:p w14:paraId="1ADB3FE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018F488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401AE38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高精度全自动交流稳压器</w:t>
            </w:r>
          </w:p>
        </w:tc>
        <w:tc>
          <w:tcPr>
            <w:tcW w:w="720" w:type="dxa"/>
            <w:shd w:val="clear" w:color="auto" w:fill="auto"/>
            <w:vAlign w:val="center"/>
          </w:tcPr>
          <w:p w14:paraId="1D5A830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2D282E2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4C1EEDB0">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7000.00</w:t>
            </w:r>
          </w:p>
        </w:tc>
      </w:tr>
      <w:tr w14:paraId="0BF3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A26AFA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19</w:t>
            </w:r>
          </w:p>
        </w:tc>
        <w:tc>
          <w:tcPr>
            <w:tcW w:w="1587" w:type="dxa"/>
            <w:vAlign w:val="center"/>
          </w:tcPr>
          <w:p w14:paraId="4A77FE2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48B8390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156028E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中央集尘管道系统</w:t>
            </w:r>
          </w:p>
        </w:tc>
        <w:tc>
          <w:tcPr>
            <w:tcW w:w="720" w:type="dxa"/>
            <w:shd w:val="clear" w:color="auto" w:fill="auto"/>
            <w:vAlign w:val="center"/>
          </w:tcPr>
          <w:p w14:paraId="479CABA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0CB0E30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件</w:t>
            </w:r>
          </w:p>
        </w:tc>
        <w:tc>
          <w:tcPr>
            <w:tcW w:w="1553" w:type="dxa"/>
            <w:vAlign w:val="center"/>
          </w:tcPr>
          <w:p w14:paraId="58A572E6">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30000.00</w:t>
            </w:r>
          </w:p>
        </w:tc>
      </w:tr>
      <w:tr w14:paraId="036E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1A8767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1587" w:type="dxa"/>
            <w:vAlign w:val="center"/>
          </w:tcPr>
          <w:p w14:paraId="57FA0C7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785" w:type="dxa"/>
            <w:vAlign w:val="center"/>
          </w:tcPr>
          <w:p w14:paraId="2526200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否</w:t>
            </w:r>
          </w:p>
        </w:tc>
        <w:tc>
          <w:tcPr>
            <w:tcW w:w="2616" w:type="dxa"/>
            <w:shd w:val="clear" w:color="auto" w:fill="auto"/>
            <w:vAlign w:val="center"/>
          </w:tcPr>
          <w:p w14:paraId="064D09E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安全防护用品套装</w:t>
            </w:r>
          </w:p>
        </w:tc>
        <w:tc>
          <w:tcPr>
            <w:tcW w:w="720" w:type="dxa"/>
            <w:shd w:val="clear" w:color="auto" w:fill="auto"/>
            <w:vAlign w:val="center"/>
          </w:tcPr>
          <w:p w14:paraId="2E60C79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781" w:type="dxa"/>
            <w:shd w:val="clear" w:color="auto" w:fill="auto"/>
            <w:vAlign w:val="center"/>
          </w:tcPr>
          <w:p w14:paraId="76A18E6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套</w:t>
            </w:r>
          </w:p>
        </w:tc>
        <w:tc>
          <w:tcPr>
            <w:tcW w:w="1553" w:type="dxa"/>
            <w:vAlign w:val="center"/>
          </w:tcPr>
          <w:p w14:paraId="74667BCD">
            <w:pPr>
              <w:widowControl/>
              <w:adjustRightInd w:val="0"/>
              <w:snapToGrid w:val="0"/>
              <w:spacing w:line="360" w:lineRule="auto"/>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15000.00</w:t>
            </w:r>
          </w:p>
        </w:tc>
      </w:tr>
    </w:tbl>
    <w:p w14:paraId="1FA060D1">
      <w:pPr>
        <w:widowControl/>
        <w:shd w:val="clear" w:color="auto" w:fill="FFFFFF"/>
        <w:spacing w:line="360" w:lineRule="auto"/>
        <w:ind w:firstLine="482"/>
        <w:jc w:val="left"/>
        <w:rPr>
          <w:rFonts w:ascii="宋体" w:hAnsi="宋体" w:cs="宋体"/>
          <w:b/>
          <w:sz w:val="24"/>
          <w:highlight w:val="none"/>
        </w:rPr>
      </w:pPr>
    </w:p>
    <w:p w14:paraId="30FEABFD">
      <w:pPr>
        <w:widowControl/>
        <w:shd w:val="clear" w:color="auto" w:fill="FFFFFF"/>
        <w:spacing w:line="360" w:lineRule="auto"/>
        <w:jc w:val="left"/>
        <w:rPr>
          <w:rFonts w:ascii="宋体" w:hAnsi="宋体" w:cs="宋体"/>
          <w:b/>
          <w:sz w:val="24"/>
          <w:highlight w:val="none"/>
        </w:rPr>
      </w:pPr>
      <w:r>
        <w:rPr>
          <w:rFonts w:hint="eastAsia" w:ascii="宋体" w:hAnsi="宋体" w:cs="宋体"/>
          <w:b/>
          <w:sz w:val="24"/>
          <w:highlight w:val="none"/>
        </w:rPr>
        <w:t>二、技术要求</w:t>
      </w:r>
    </w:p>
    <w:p w14:paraId="4A89989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ascii="宋体" w:hAnsi="宋体" w:cs="宋体"/>
          <w:b/>
          <w:szCs w:val="21"/>
          <w:highlight w:val="none"/>
        </w:rPr>
      </w:pPr>
      <w:bookmarkStart w:id="236" w:name="_Toc9533"/>
      <w:bookmarkStart w:id="237" w:name="OLE_LINK6"/>
      <w:bookmarkStart w:id="238" w:name="OLE_LINK5"/>
      <w:r>
        <w:rPr>
          <w:rFonts w:hint="eastAsia" w:ascii="宋体" w:hAnsi="宋体" w:cs="宋体"/>
          <w:b/>
          <w:szCs w:val="21"/>
          <w:highlight w:val="none"/>
        </w:rPr>
        <w:t>（一）采购标的需实现的功能或者目标</w:t>
      </w:r>
    </w:p>
    <w:p w14:paraId="5057A74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ascii="宋体" w:hAnsi="宋体" w:cs="宋体"/>
          <w:bCs/>
          <w:szCs w:val="21"/>
          <w:highlight w:val="none"/>
        </w:rPr>
      </w:pPr>
      <w:r>
        <w:rPr>
          <w:rFonts w:hint="eastAsia" w:ascii="宋体" w:hAnsi="宋体" w:cs="宋体"/>
          <w:bCs/>
          <w:szCs w:val="21"/>
          <w:highlight w:val="none"/>
        </w:rPr>
        <w:t>本项目拟采购冠层分析仪1件、户外用温湿度记录器20件、高精度室内温湿度记录器20件、四分量净辐射记录器1件、便携式小型气象站5件、固定式小型气象站5件、舱体及光环境模拟系统（人工气候模拟实验模块）1套、热指数仪4件、热电偶+多通道记录仪2件、温湿度处理及气流组织系统（人工气候模拟实验模块）1套、冷热源及新风系统（人工气候模拟实验模块）1套、壁面辐射及供电供水系统（人工气候模拟实验模块）1套、自控\数据采集系统及整体设计（人工气候模拟实验模块）1套、高性能计算机工作站1件、大型激光雕刻机A1件、大型激光雕刻机B1件、木工模型制作工具套装2套、高精度全自动交流稳压器1件、中央集尘管道系统1件、安全防护用品套装1套</w:t>
      </w:r>
      <w:r>
        <w:rPr>
          <w:rFonts w:hint="eastAsia"/>
          <w:highlight w:val="none"/>
        </w:rPr>
        <w:t>，用于建筑学专业本科教学使用。</w:t>
      </w:r>
    </w:p>
    <w:p w14:paraId="1E416B3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ascii="宋体" w:hAnsi="宋体" w:cs="宋体"/>
          <w:b/>
          <w:szCs w:val="21"/>
          <w:highlight w:val="none"/>
        </w:rPr>
      </w:pPr>
      <w:r>
        <w:rPr>
          <w:rFonts w:hint="eastAsia" w:ascii="宋体" w:hAnsi="宋体" w:cs="宋体"/>
          <w:b/>
          <w:szCs w:val="21"/>
          <w:highlight w:val="none"/>
        </w:rPr>
        <w:t>（二）采购标的需执行的国家相关标准、行业标准、地方标准或者其他标准、规范</w:t>
      </w:r>
    </w:p>
    <w:p w14:paraId="1E9ED9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ascii="宋体" w:hAnsi="宋体" w:cs="宋体"/>
          <w:bCs/>
          <w:szCs w:val="21"/>
          <w:highlight w:val="none"/>
        </w:rPr>
      </w:pPr>
      <w:r>
        <w:rPr>
          <w:rFonts w:hint="eastAsia" w:ascii="宋体" w:hAnsi="宋体" w:cs="宋体"/>
          <w:bCs/>
          <w:szCs w:val="21"/>
          <w:highlight w:val="none"/>
        </w:rPr>
        <w:t>按照采购标的需执行的国家相关标准、行业标准、地方标准或者其他标准、规范执行。</w:t>
      </w:r>
    </w:p>
    <w:p w14:paraId="62F376E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ascii="宋体" w:hAnsi="宋体" w:cs="宋体"/>
          <w:b/>
          <w:szCs w:val="21"/>
          <w:highlight w:val="none"/>
        </w:rPr>
      </w:pPr>
      <w:r>
        <w:rPr>
          <w:rFonts w:hint="eastAsia" w:ascii="宋体" w:hAnsi="宋体" w:cs="宋体"/>
          <w:b/>
          <w:szCs w:val="21"/>
          <w:highlight w:val="none"/>
        </w:rPr>
        <w:t>（三）采购标的需满足的质量、安全、技术规格、物理特性等要求</w:t>
      </w:r>
    </w:p>
    <w:p w14:paraId="5A52E1D4">
      <w:pPr>
        <w:pStyle w:val="8"/>
        <w:keepNext w:val="0"/>
        <w:keepLines w:val="0"/>
        <w:pageBreakBefore w:val="0"/>
        <w:kinsoku/>
        <w:wordWrap/>
        <w:overflowPunct/>
        <w:topLinePunct w:val="0"/>
        <w:autoSpaceDE/>
        <w:autoSpaceDN/>
        <w:bidi w:val="0"/>
        <w:adjustRightInd/>
        <w:snapToGrid/>
        <w:spacing w:beforeLines="0" w:line="360" w:lineRule="auto"/>
        <w:ind w:firstLine="420" w:firstLineChars="200"/>
        <w:textAlignment w:val="auto"/>
        <w:rPr>
          <w:rFonts w:hAnsi="宋体" w:cs="宋体"/>
          <w:bCs/>
          <w:szCs w:val="21"/>
          <w:highlight w:val="none"/>
        </w:rPr>
      </w:pPr>
      <w:bookmarkStart w:id="239" w:name="_Hlk450145418"/>
      <w:bookmarkStart w:id="240" w:name="_Toc8965"/>
      <w:bookmarkStart w:id="241" w:name="_Toc418755636"/>
      <w:bookmarkStart w:id="242" w:name="_Toc452040039"/>
      <w:r>
        <w:rPr>
          <w:rFonts w:hint="eastAsia" w:hAnsi="宋体" w:cs="宋体"/>
          <w:b/>
          <w:bCs/>
          <w:highlight w:val="none"/>
        </w:rPr>
        <w:t>注：下表中“技术参数及性能要求”标注“★”号参数为实质性技术参数，响应文件中必须提供最新技术支持资料支持技术要求偏离表应答（包括产品技术白皮书或检验报告或图纸或印刷宣</w:t>
      </w:r>
      <w:r>
        <w:rPr>
          <w:rFonts w:hint="eastAsia" w:hAnsi="宋体" w:cs="宋体"/>
          <w:b/>
          <w:bCs/>
          <w:strike w:val="0"/>
          <w:dstrike w:val="0"/>
          <w:highlight w:val="none"/>
        </w:rPr>
        <w:t>传彩页，不接受供应商自行印刷、打印或者手写的技术支持资料），采购需求有证明材料要求的以</w:t>
      </w:r>
      <w:r>
        <w:rPr>
          <w:rFonts w:hint="eastAsia" w:hAnsi="宋体" w:cs="宋体"/>
          <w:b/>
          <w:bCs/>
          <w:highlight w:val="none"/>
        </w:rPr>
        <w:t>采购需求要求为准。凡不符合上述要求的，视为无效技术支持资料。</w:t>
      </w:r>
      <w:bookmarkEnd w:id="239"/>
      <w:bookmarkEnd w:id="240"/>
      <w:bookmarkEnd w:id="241"/>
      <w:bookmarkEnd w:id="242"/>
    </w:p>
    <w:bookmarkEnd w:id="232"/>
    <w:bookmarkEnd w:id="233"/>
    <w:bookmarkEnd w:id="234"/>
    <w:bookmarkEnd w:id="235"/>
    <w:bookmarkEnd w:id="236"/>
    <w:bookmarkEnd w:id="237"/>
    <w:bookmarkEnd w:id="238"/>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030"/>
        <w:gridCol w:w="6643"/>
      </w:tblGrid>
      <w:tr w14:paraId="5912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14:paraId="5C600006">
            <w:pPr>
              <w:adjustRightInd w:val="0"/>
              <w:snapToGrid w:val="0"/>
              <w:spacing w:line="360" w:lineRule="auto"/>
              <w:jc w:val="both"/>
              <w:rPr>
                <w:rFonts w:ascii="宋体" w:hAnsi="宋体" w:cs="宋体"/>
                <w:szCs w:val="21"/>
                <w:highlight w:val="none"/>
              </w:rPr>
            </w:pPr>
            <w:r>
              <w:rPr>
                <w:rFonts w:hint="eastAsia" w:ascii="宋体" w:hAnsi="宋体" w:cs="宋体"/>
                <w:b/>
                <w:bCs/>
                <w:szCs w:val="21"/>
                <w:highlight w:val="none"/>
              </w:rPr>
              <w:t>序号</w:t>
            </w:r>
          </w:p>
        </w:tc>
        <w:tc>
          <w:tcPr>
            <w:tcW w:w="1030" w:type="dxa"/>
            <w:vAlign w:val="center"/>
          </w:tcPr>
          <w:p w14:paraId="52926C66">
            <w:pPr>
              <w:adjustRightInd w:val="0"/>
              <w:snapToGrid w:val="0"/>
              <w:spacing w:line="360" w:lineRule="auto"/>
              <w:jc w:val="both"/>
              <w:rPr>
                <w:rFonts w:ascii="宋体" w:hAnsi="宋体" w:cs="宋体"/>
                <w:szCs w:val="21"/>
                <w:highlight w:val="none"/>
              </w:rPr>
            </w:pPr>
            <w:r>
              <w:rPr>
                <w:rFonts w:hint="eastAsia" w:ascii="宋体" w:hAnsi="宋体" w:cs="宋体"/>
                <w:b/>
                <w:bCs/>
                <w:szCs w:val="21"/>
                <w:highlight w:val="none"/>
              </w:rPr>
              <w:t>项目（产品）名称</w:t>
            </w:r>
          </w:p>
        </w:tc>
        <w:tc>
          <w:tcPr>
            <w:tcW w:w="6643" w:type="dxa"/>
            <w:vAlign w:val="center"/>
          </w:tcPr>
          <w:p w14:paraId="154B9133">
            <w:pPr>
              <w:adjustRightInd w:val="0"/>
              <w:snapToGrid w:val="0"/>
              <w:spacing w:line="360" w:lineRule="auto"/>
              <w:ind w:firstLine="422"/>
              <w:jc w:val="center"/>
              <w:rPr>
                <w:rFonts w:ascii="宋体" w:hAnsi="宋体" w:cs="宋体"/>
                <w:szCs w:val="21"/>
                <w:highlight w:val="none"/>
              </w:rPr>
            </w:pPr>
            <w:r>
              <w:rPr>
                <w:rFonts w:hint="eastAsia" w:ascii="宋体" w:hAnsi="宋体" w:cs="宋体"/>
                <w:b/>
                <w:bCs/>
                <w:szCs w:val="21"/>
                <w:highlight w:val="none"/>
              </w:rPr>
              <w:t>技术参数及性能要求</w:t>
            </w:r>
          </w:p>
        </w:tc>
      </w:tr>
      <w:tr w14:paraId="2D19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2FA3063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1030" w:type="dxa"/>
            <w:shd w:val="clear" w:color="auto" w:fill="auto"/>
            <w:vAlign w:val="center"/>
          </w:tcPr>
          <w:p w14:paraId="1E1AD96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冠层分析仪</w:t>
            </w:r>
          </w:p>
        </w:tc>
        <w:tc>
          <w:tcPr>
            <w:tcW w:w="6643" w:type="dxa"/>
            <w:shd w:val="clear" w:color="000000" w:fill="FFFFFF"/>
            <w:vAlign w:val="center"/>
          </w:tcPr>
          <w:p w14:paraId="3AC60E3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1.用于高大树木类冠层分析测量，测量参数包括冠层叶面积指数LAI，平均叶倾角MLA，天空散射辐射透过率，消光系数，叶片分布，太阳直接辐射透过率；</w:t>
            </w:r>
          </w:p>
          <w:p w14:paraId="43017EE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2.可给不同的天空区域定义号码：天顶角和方位角定义范围；</w:t>
            </w:r>
          </w:p>
          <w:p w14:paraId="21FCC36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3.单个树的叶面积：直接可通过软件输出单个树的LAI；</w:t>
            </w:r>
          </w:p>
          <w:p w14:paraId="73EE6F1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4.分析局部图像：可以将图像中不需要参与分析的部分排除；</w:t>
            </w:r>
          </w:p>
          <w:p w14:paraId="0D23DADE">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5.触发拍照可通过蓝牙或wifi实时控制；</w:t>
            </w:r>
          </w:p>
          <w:p w14:paraId="5E303211">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6.可进行天空和叶片颜色过滤分析；</w:t>
            </w:r>
          </w:p>
          <w:p w14:paraId="3CF0E2E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7.现场获取、显示和存储植物冠层彩色图像，分析软件可手动调节阈值、自动调节阈值；</w:t>
            </w:r>
          </w:p>
          <w:p w14:paraId="1D654021">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8.有效像素大于2400万；</w:t>
            </w:r>
          </w:p>
          <w:p w14:paraId="0116585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9.最高分辨率≥6400×4000；</w:t>
            </w:r>
          </w:p>
          <w:p w14:paraId="081C7C0C">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10.对焦方式采用快速型混合自动对焦(相位检测自动对焦+对比度检测自动对焦）；</w:t>
            </w:r>
          </w:p>
          <w:p w14:paraId="1400D5DF">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11.液晶屏显示包括图形显示，显示全部信息，数字水平量规、柱状图，显示屏关等；</w:t>
            </w:r>
          </w:p>
          <w:p w14:paraId="56CACCD0">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12.内置可重复充电电池；</w:t>
            </w:r>
          </w:p>
          <w:p w14:paraId="2B8E2AD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13.传输方式采用Wifi和蓝牙4.1；</w:t>
            </w:r>
          </w:p>
          <w:p w14:paraId="634FA620">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14.测量平台最大可控转速平移方向：360°/s；</w:t>
            </w:r>
          </w:p>
          <w:p w14:paraId="294D9AEE">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15.手机app适用于iOS 11.0及以上或Android 7.0及以上。</w:t>
            </w:r>
          </w:p>
        </w:tc>
      </w:tr>
      <w:tr w14:paraId="5CC31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5247C22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w:t>
            </w:r>
          </w:p>
        </w:tc>
        <w:tc>
          <w:tcPr>
            <w:tcW w:w="1030" w:type="dxa"/>
            <w:shd w:val="clear" w:color="auto" w:fill="auto"/>
            <w:vAlign w:val="center"/>
          </w:tcPr>
          <w:p w14:paraId="322AE47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户外用温湿度记录器</w:t>
            </w:r>
          </w:p>
        </w:tc>
        <w:tc>
          <w:tcPr>
            <w:tcW w:w="6643" w:type="dxa"/>
            <w:shd w:val="clear" w:color="000000" w:fill="FFFFFF"/>
            <w:vAlign w:val="center"/>
          </w:tcPr>
          <w:p w14:paraId="03B85EEF">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1.用于户外温湿度记录，包括温湿度记录器、防辐射罩和配套安装件；</w:t>
            </w:r>
          </w:p>
          <w:p w14:paraId="19B0224D">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2.温湿度记录器含非易失性内存，能记录不少于21000组温度和湿度数据；</w:t>
            </w:r>
          </w:p>
          <w:p w14:paraId="7671EBB3">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3.温度传感器精度不低于0.25°C，分辨率不低于0.04°C；</w:t>
            </w:r>
          </w:p>
          <w:p w14:paraId="453E0E03">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4.湿度传感器精度不低于2.5% RH（10%到90%），分辨率不低于0.03%；</w:t>
            </w:r>
          </w:p>
          <w:p w14:paraId="1397FF3C">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5.可在-40到70°C下记录数据；</w:t>
            </w:r>
          </w:p>
          <w:p w14:paraId="1A47DBCC">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6.温湿度记录器使用1/2 AA,3.6V锂电池,用户可自行置换；</w:t>
            </w:r>
          </w:p>
          <w:p w14:paraId="4FFAF9FC">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7.记录数据可通过配套安装件导入最新版HOBOware软件进行数据分析；</w:t>
            </w:r>
          </w:p>
          <w:p w14:paraId="16AD6D2F">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8.可设置立即开始、延迟开始等数据记录模式；</w:t>
            </w:r>
          </w:p>
          <w:p w14:paraId="7107B68B">
            <w:pPr>
              <w:widowControl/>
              <w:adjustRightInd w:val="0"/>
              <w:snapToGrid w:val="0"/>
              <w:spacing w:line="360" w:lineRule="auto"/>
              <w:jc w:val="left"/>
              <w:rPr>
                <w:rFonts w:ascii="宋体" w:hAnsi="宋体" w:cs="宋体"/>
                <w:color w:val="000000"/>
                <w:kern w:val="0"/>
                <w:szCs w:val="21"/>
                <w:highlight w:val="none"/>
              </w:rPr>
            </w:pPr>
            <w:r>
              <w:rPr>
                <w:rFonts w:hint="eastAsia" w:ascii="宋体" w:hAnsi="宋体" w:cs="宋体"/>
                <w:color w:val="000000"/>
                <w:kern w:val="0"/>
                <w:szCs w:val="21"/>
                <w:highlight w:val="none"/>
              </w:rPr>
              <w:t>9.数据记录时间间隔为1秒到18小时，可灵活设置；</w:t>
            </w:r>
          </w:p>
          <w:p w14:paraId="30A102CC">
            <w:pPr>
              <w:widowControl/>
              <w:adjustRightInd w:val="0"/>
              <w:snapToGrid w:val="0"/>
              <w:spacing w:line="360" w:lineRule="auto"/>
              <w:jc w:val="left"/>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10.记录的数据可在记录的时候下载，或在停止后下载。</w:t>
            </w:r>
          </w:p>
        </w:tc>
      </w:tr>
      <w:tr w14:paraId="77C8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130A613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3</w:t>
            </w:r>
          </w:p>
        </w:tc>
        <w:tc>
          <w:tcPr>
            <w:tcW w:w="1030" w:type="dxa"/>
            <w:shd w:val="clear" w:color="auto" w:fill="auto"/>
            <w:vAlign w:val="center"/>
          </w:tcPr>
          <w:p w14:paraId="09CC29C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高精度室内温湿度记录器</w:t>
            </w:r>
          </w:p>
        </w:tc>
        <w:tc>
          <w:tcPr>
            <w:tcW w:w="6643" w:type="dxa"/>
            <w:shd w:val="clear" w:color="000000" w:fill="FFFFFF"/>
            <w:vAlign w:val="center"/>
          </w:tcPr>
          <w:p w14:paraId="663D85DF">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1.用于高精度室内温湿度记录，包括温湿度记录器、数据线和适配软件；</w:t>
            </w:r>
          </w:p>
          <w:p w14:paraId="6833E912">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2.拥有标准记录模式、爆发式记录模式、统计记录模式等多种记录模式；</w:t>
            </w:r>
          </w:p>
          <w:p w14:paraId="627F2B88">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3.具有显示屏，可实时显示温湿度数值、内存容量、电池电量；</w:t>
            </w:r>
          </w:p>
          <w:p w14:paraId="6FEC44B5">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4.温度传感器量程不低于-20°C至70°C，精度不低于±0.21°C（0°到50°C），分辨率不低于0.024°C @25°C，响应时间</w:t>
            </w:r>
            <w:r>
              <w:rPr>
                <w:rFonts w:ascii="宋体" w:hAnsi="宋体" w:cs="宋体"/>
                <w:color w:val="000000"/>
                <w:kern w:val="0"/>
                <w:szCs w:val="21"/>
                <w:highlight w:val="none"/>
                <w:lang w:val="en"/>
              </w:rPr>
              <w:t>≤</w:t>
            </w:r>
            <w:r>
              <w:rPr>
                <w:rFonts w:hint="eastAsia" w:ascii="宋体" w:hAnsi="宋体" w:cs="宋体"/>
                <w:color w:val="000000"/>
                <w:kern w:val="0"/>
                <w:szCs w:val="21"/>
                <w:highlight w:val="none"/>
              </w:rPr>
              <w:t>4分钟@空气流速为1米/秒（2.2mph），温度漂移小于0.1°C/每年；</w:t>
            </w:r>
          </w:p>
          <w:p w14:paraId="6ECD1BD8">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5.湿度传感器量程不低于1%至95%，精度不低于±2%（10%到90%RH)，分辨率不低于0.01%@25°C，响应时间</w:t>
            </w:r>
            <w:r>
              <w:rPr>
                <w:rFonts w:ascii="宋体" w:hAnsi="宋体" w:cs="宋体"/>
                <w:color w:val="000000"/>
                <w:kern w:val="0"/>
                <w:szCs w:val="21"/>
                <w:highlight w:val="none"/>
                <w:lang w:val="en"/>
              </w:rPr>
              <w:t>≤</w:t>
            </w:r>
            <w:r>
              <w:rPr>
                <w:rFonts w:hint="eastAsia" w:ascii="宋体" w:hAnsi="宋体" w:cs="宋体"/>
                <w:color w:val="000000"/>
                <w:kern w:val="0"/>
                <w:szCs w:val="21"/>
                <w:highlight w:val="none"/>
              </w:rPr>
              <w:t>10秒@空气流速为1米/秒（2.2mph），湿度漂移小于1%/每年；</w:t>
            </w:r>
          </w:p>
          <w:p w14:paraId="09D15825">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6.数据记录时间间隔为1秒到18小时，可灵活设置；</w:t>
            </w:r>
          </w:p>
          <w:p w14:paraId="792BA83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7.记录模式含标准记录模式、爆发式记录模式、统计记录模式；</w:t>
            </w:r>
          </w:p>
          <w:p w14:paraId="34BDDF1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8.时钟精度不低于±1分钟/每月(@25°C)；</w:t>
            </w:r>
          </w:p>
          <w:p w14:paraId="05FF93B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9.内存可记录不少于6w组测量数据；</w:t>
            </w:r>
          </w:p>
          <w:p w14:paraId="58D5E7D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10.防护等级≥IP50；</w:t>
            </w:r>
          </w:p>
          <w:p w14:paraId="424B5738">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11.记录数据可通过USB导入最新版HOBOware软件进行数据分析。</w:t>
            </w:r>
          </w:p>
        </w:tc>
      </w:tr>
      <w:tr w14:paraId="4745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2168822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4</w:t>
            </w:r>
          </w:p>
        </w:tc>
        <w:tc>
          <w:tcPr>
            <w:tcW w:w="1030" w:type="dxa"/>
            <w:shd w:val="clear" w:color="auto" w:fill="auto"/>
            <w:vAlign w:val="center"/>
          </w:tcPr>
          <w:p w14:paraId="3086F6DA">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四分量净辐射记录器</w:t>
            </w:r>
          </w:p>
        </w:tc>
        <w:tc>
          <w:tcPr>
            <w:tcW w:w="6643" w:type="dxa"/>
            <w:shd w:val="clear" w:color="000000" w:fill="FFFFFF"/>
            <w:vAlign w:val="center"/>
          </w:tcPr>
          <w:p w14:paraId="528601A3">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1.用于室外环境的净辐射测量和记录，包括太阳辐射传感器、地面辐射传感器、数据线、数据记录仪、</w:t>
            </w:r>
            <w:r>
              <w:rPr>
                <w:rFonts w:ascii="宋体" w:hAnsi="宋体" w:cs="宋体"/>
                <w:color w:val="000000"/>
                <w:kern w:val="0"/>
                <w:szCs w:val="21"/>
                <w:highlight w:val="none"/>
              </w:rPr>
              <w:t>配套数据处理软件</w:t>
            </w:r>
            <w:r>
              <w:rPr>
                <w:rFonts w:hint="eastAsia" w:ascii="宋体" w:hAnsi="宋体" w:cs="宋体"/>
                <w:color w:val="000000"/>
                <w:kern w:val="0"/>
                <w:szCs w:val="21"/>
                <w:highlight w:val="none"/>
              </w:rPr>
              <w:t>、供电系统和配套支架；</w:t>
            </w:r>
          </w:p>
          <w:p w14:paraId="251FAB0E">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2.系统通过太阳能供电，</w:t>
            </w:r>
            <w:r>
              <w:rPr>
                <w:rFonts w:ascii="宋体" w:hAnsi="宋体" w:cs="宋体"/>
                <w:color w:val="000000"/>
                <w:kern w:val="0"/>
                <w:szCs w:val="21"/>
                <w:highlight w:val="none"/>
              </w:rPr>
              <w:t>配置</w:t>
            </w:r>
            <w:r>
              <w:rPr>
                <w:rFonts w:hint="eastAsia" w:ascii="宋体" w:hAnsi="宋体" w:cs="宋体"/>
                <w:color w:val="000000"/>
                <w:kern w:val="0"/>
                <w:szCs w:val="21"/>
                <w:highlight w:val="none"/>
              </w:rPr>
              <w:t>内置铅电池12V/3.4Ah，最大电流1A，可测量太阳总辐射ESW↓，被反射的太阳辐射ESW↑，高空发出的红外线辐射EFIR↓,地面发出的红外线辐射EFIR↑；</w:t>
            </w:r>
          </w:p>
          <w:p w14:paraId="3B36B091">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3.太阳辐射传感器量程不低于0-2000W/m2，灵敏度不低于10µV/(W/m2)；</w:t>
            </w:r>
          </w:p>
          <w:p w14:paraId="0F8EA12E">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4.地面辐射传感器量程不低于-300～300W/m2，灵敏度不低于5～10µV/(W/m2)；</w:t>
            </w:r>
          </w:p>
          <w:p w14:paraId="11A184DC">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5.太阳辐射传感器和地面辐射传感器测量的数据，可经由数据线存储在数据记录仪中；</w:t>
            </w:r>
          </w:p>
          <w:p w14:paraId="6EB92E19">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6. 4G模块可远程监测，4G模块与主机一体化，支持电子邮件数据发送，FTP协议，HTTP协议等。可将数据记录仪中记录的辐射数据导出，用配套软件进行分析，系统通过软件连接电脑后进行数据的设置，以图形和数字格式实时显示测量值，和数据下载。</w:t>
            </w:r>
          </w:p>
        </w:tc>
      </w:tr>
      <w:tr w14:paraId="31A2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6F95336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5</w:t>
            </w:r>
          </w:p>
        </w:tc>
        <w:tc>
          <w:tcPr>
            <w:tcW w:w="1030" w:type="dxa"/>
            <w:shd w:val="clear" w:color="auto" w:fill="auto"/>
            <w:vAlign w:val="center"/>
          </w:tcPr>
          <w:p w14:paraId="11A8753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便携式小型气象站</w:t>
            </w:r>
          </w:p>
        </w:tc>
        <w:tc>
          <w:tcPr>
            <w:tcW w:w="6643" w:type="dxa"/>
            <w:shd w:val="clear" w:color="auto" w:fill="auto"/>
            <w:vAlign w:val="center"/>
          </w:tcPr>
          <w:p w14:paraId="42E481B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1.测量风速、风向、温度、湿度和气压；</w:t>
            </w:r>
          </w:p>
          <w:p w14:paraId="1A04E20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2.数据采集时间2秒到12小时之间，可调；图表可显示≥12000个数据点；可手动或自动采集数据，数据可上传至电脑；</w:t>
            </w:r>
          </w:p>
          <w:p w14:paraId="7270010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3.可实时显示并记录≥14种气象参数，包括露点温度、湿球温度和密度高度等；</w:t>
            </w:r>
          </w:p>
          <w:p w14:paraId="4F0179D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4.大屏、高分辨率、高对比度显示屏，带背光显示，可在夜间使用；</w:t>
            </w:r>
          </w:p>
          <w:p w14:paraId="45551AE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5.可以通过无线与手机或电脑进行连接；</w:t>
            </w:r>
          </w:p>
          <w:p w14:paraId="1C38196E">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6.完全防水（防护等级≥IP67），能够漂浮在水上；</w:t>
            </w:r>
          </w:p>
          <w:p w14:paraId="29637A09">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7.配套专用数据下载线连接设备与电脑；</w:t>
            </w:r>
          </w:p>
          <w:p w14:paraId="2A6861EE">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8.配套三脚架进行仪器固定。</w:t>
            </w:r>
          </w:p>
        </w:tc>
      </w:tr>
      <w:tr w14:paraId="0F7F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69B6610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6</w:t>
            </w:r>
          </w:p>
        </w:tc>
        <w:tc>
          <w:tcPr>
            <w:tcW w:w="1030" w:type="dxa"/>
            <w:shd w:val="clear" w:color="auto" w:fill="auto"/>
            <w:vAlign w:val="center"/>
          </w:tcPr>
          <w:p w14:paraId="4BE5729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固定式小型气象站</w:t>
            </w:r>
          </w:p>
        </w:tc>
        <w:tc>
          <w:tcPr>
            <w:tcW w:w="6643" w:type="dxa"/>
            <w:shd w:val="clear" w:color="auto" w:fill="auto"/>
            <w:vAlign w:val="center"/>
          </w:tcPr>
          <w:p w14:paraId="07C3D69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固定式小型气象站是具有气象数据采集、存储、处理和传送功能的自动气象站。主要测试温度、相对湿度、风速、风向、气压、降雨量、总辐射、紫外辐射等参数。技术参数如下：</w:t>
            </w:r>
          </w:p>
          <w:p w14:paraId="6ABF83A3">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1.存储：存储周期</w:t>
            </w:r>
            <w:r>
              <w:rPr>
                <w:rFonts w:ascii="宋体" w:hAnsi="宋体" w:cs="宋体"/>
                <w:color w:val="000000"/>
                <w:kern w:val="0"/>
                <w:szCs w:val="21"/>
                <w:highlight w:val="none"/>
              </w:rPr>
              <w:t>范围不小于</w:t>
            </w:r>
            <w:r>
              <w:rPr>
                <w:rFonts w:hint="eastAsia" w:ascii="宋体" w:hAnsi="宋体" w:cs="宋体"/>
                <w:color w:val="000000"/>
                <w:kern w:val="0"/>
                <w:szCs w:val="21"/>
                <w:highlight w:val="none"/>
              </w:rPr>
              <w:t>1-60min，采用U盘存储。</w:t>
            </w:r>
          </w:p>
          <w:p w14:paraId="0CBDC1B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2.温度：温度范围-30-70℃，精度±0.5℃。</w:t>
            </w:r>
          </w:p>
          <w:p w14:paraId="24BCFDE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3.湿度：湿度范围0-100%RH，精度±3%。</w:t>
            </w:r>
          </w:p>
          <w:p w14:paraId="78771FD5">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4.气压：气压范围</w:t>
            </w:r>
            <w:r>
              <w:rPr>
                <w:rFonts w:ascii="宋体" w:hAnsi="宋体" w:cs="宋体"/>
                <w:color w:val="000000"/>
                <w:kern w:val="0"/>
                <w:szCs w:val="21"/>
                <w:highlight w:val="none"/>
              </w:rPr>
              <w:t>不小于</w:t>
            </w:r>
            <w:r>
              <w:rPr>
                <w:rFonts w:hint="eastAsia" w:ascii="宋体" w:hAnsi="宋体" w:cs="宋体"/>
                <w:color w:val="000000"/>
                <w:kern w:val="0"/>
                <w:szCs w:val="21"/>
                <w:highlight w:val="none"/>
              </w:rPr>
              <w:t>500-1100hPa，精度&lt;1hPa。</w:t>
            </w:r>
          </w:p>
          <w:p w14:paraId="44DE22C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5.风向风速：风向范围16个方向360°，精度±5%；风速范围</w:t>
            </w:r>
            <w:r>
              <w:rPr>
                <w:rFonts w:ascii="宋体" w:hAnsi="宋体" w:cs="宋体"/>
                <w:color w:val="000000"/>
                <w:kern w:val="0"/>
                <w:szCs w:val="21"/>
                <w:highlight w:val="none"/>
              </w:rPr>
              <w:t>不小于</w:t>
            </w:r>
            <w:r>
              <w:rPr>
                <w:rFonts w:hint="eastAsia" w:ascii="宋体" w:hAnsi="宋体" w:cs="宋体"/>
                <w:color w:val="000000"/>
                <w:kern w:val="0"/>
                <w:szCs w:val="21"/>
                <w:highlight w:val="none"/>
              </w:rPr>
              <w:t>0-30m/s，精度±1m/s。</w:t>
            </w:r>
          </w:p>
          <w:p w14:paraId="78DE4728">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6.雨量：承雨口径φ160mm，雨量范围≤8mm/min，分辨率0.5mm，误差±4%。</w:t>
            </w:r>
          </w:p>
          <w:p w14:paraId="4BF6029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7.辐射：总辐射范围</w:t>
            </w:r>
            <w:r>
              <w:rPr>
                <w:rFonts w:ascii="宋体" w:hAnsi="宋体" w:cs="宋体"/>
                <w:color w:val="000000"/>
                <w:kern w:val="0"/>
                <w:szCs w:val="21"/>
                <w:highlight w:val="none"/>
              </w:rPr>
              <w:t>不小于</w:t>
            </w:r>
            <w:r>
              <w:rPr>
                <w:rFonts w:hint="eastAsia" w:ascii="宋体" w:hAnsi="宋体" w:cs="宋体"/>
                <w:color w:val="000000"/>
                <w:kern w:val="0"/>
                <w:szCs w:val="21"/>
                <w:highlight w:val="none"/>
              </w:rPr>
              <w:t>0-2000W/m²，光谱范围</w:t>
            </w:r>
            <w:r>
              <w:rPr>
                <w:rFonts w:ascii="宋体" w:hAnsi="宋体" w:cs="宋体"/>
                <w:color w:val="000000"/>
                <w:kern w:val="0"/>
                <w:szCs w:val="21"/>
                <w:highlight w:val="none"/>
              </w:rPr>
              <w:t>不小于</w:t>
            </w:r>
            <w:r>
              <w:rPr>
                <w:rFonts w:hint="eastAsia" w:ascii="宋体" w:hAnsi="宋体" w:cs="宋体"/>
                <w:color w:val="000000"/>
                <w:kern w:val="0"/>
                <w:szCs w:val="21"/>
                <w:highlight w:val="none"/>
              </w:rPr>
              <w:t>300-3200nm。</w:t>
            </w:r>
          </w:p>
          <w:p w14:paraId="19ACFE7F">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8.通讯供电：通讯方式为RS485、4G，供电电源为220V 50Hz AC。</w:t>
            </w:r>
          </w:p>
        </w:tc>
      </w:tr>
      <w:tr w14:paraId="52CC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18A71D6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7</w:t>
            </w:r>
          </w:p>
        </w:tc>
        <w:tc>
          <w:tcPr>
            <w:tcW w:w="1030" w:type="dxa"/>
            <w:shd w:val="clear" w:color="auto" w:fill="auto"/>
            <w:vAlign w:val="center"/>
          </w:tcPr>
          <w:p w14:paraId="1BC48DE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舱体及光环境模拟系统（人工气候模拟实验模块）</w:t>
            </w:r>
          </w:p>
        </w:tc>
        <w:tc>
          <w:tcPr>
            <w:tcW w:w="6643" w:type="dxa"/>
            <w:shd w:val="clear" w:color="auto" w:fill="auto"/>
            <w:vAlign w:val="center"/>
          </w:tcPr>
          <w:p w14:paraId="1C5EF9C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一、舱体系统</w:t>
            </w:r>
          </w:p>
          <w:p w14:paraId="5B49B0C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1.舱体系统由室内环境舱和室外环境舱组成，舱内尺寸均为3m×4m×2.8m，舱内净面积均约12m</w:t>
            </w:r>
            <w:r>
              <w:rPr>
                <w:rFonts w:hint="eastAsia" w:ascii="宋体" w:hAnsi="宋体" w:cs="宋体"/>
                <w:color w:val="000000"/>
                <w:kern w:val="0"/>
                <w:szCs w:val="21"/>
                <w:highlight w:val="none"/>
                <w:vertAlign w:val="superscript"/>
              </w:rPr>
              <w:t>2</w:t>
            </w:r>
            <w:r>
              <w:rPr>
                <w:rFonts w:hint="eastAsia" w:ascii="宋体" w:hAnsi="宋体" w:cs="宋体"/>
                <w:color w:val="000000"/>
                <w:kern w:val="0"/>
                <w:szCs w:val="21"/>
                <w:highlight w:val="none"/>
              </w:rPr>
              <w:t>，两舱温湿度可独立调整。</w:t>
            </w:r>
          </w:p>
          <w:p w14:paraId="739A71DF">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2.舱体结构设计应采用模块化复合保温结构，保温材料耐温范围：</w:t>
            </w:r>
            <w:r>
              <w:rPr>
                <w:rFonts w:ascii="宋体" w:hAnsi="宋体" w:cs="宋体"/>
                <w:color w:val="000000"/>
                <w:kern w:val="0"/>
                <w:szCs w:val="21"/>
                <w:highlight w:val="none"/>
              </w:rPr>
              <w:t>-40</w:t>
            </w:r>
            <w:r>
              <w:rPr>
                <w:rFonts w:ascii="Cambria Math" w:hAnsi="Cambria Math" w:cs="Cambria Math"/>
                <w:color w:val="000000"/>
                <w:kern w:val="0"/>
                <w:szCs w:val="21"/>
                <w:highlight w:val="none"/>
              </w:rPr>
              <w:t>−</w:t>
            </w:r>
            <w:r>
              <w:rPr>
                <w:rFonts w:ascii="宋体" w:hAnsi="宋体" w:cs="宋体"/>
                <w:color w:val="000000"/>
                <w:kern w:val="0"/>
                <w:szCs w:val="21"/>
                <w:highlight w:val="none"/>
              </w:rPr>
              <w:t>60</w:t>
            </w:r>
            <w:r>
              <w:rPr>
                <w:rFonts w:hint="eastAsia" w:ascii="宋体" w:hAnsi="宋体" w:cs="宋体"/>
                <w:color w:val="000000"/>
                <w:kern w:val="0"/>
                <w:szCs w:val="21"/>
                <w:highlight w:val="none"/>
              </w:rPr>
              <w:t>℃，密度≥</w:t>
            </w:r>
            <w:r>
              <w:rPr>
                <w:rFonts w:ascii="宋体" w:hAnsi="宋体" w:cs="宋体"/>
                <w:color w:val="000000"/>
                <w:kern w:val="0"/>
                <w:szCs w:val="21"/>
                <w:highlight w:val="none"/>
              </w:rPr>
              <w:t>40kg/m</w:t>
            </w:r>
            <w:r>
              <w:rPr>
                <w:rFonts w:ascii="宋体" w:hAnsi="宋体" w:cs="宋体"/>
                <w:color w:val="000000"/>
                <w:kern w:val="0"/>
                <w:szCs w:val="21"/>
                <w:highlight w:val="none"/>
                <w:vertAlign w:val="superscript"/>
              </w:rPr>
              <w:t>3</w:t>
            </w:r>
            <w:r>
              <w:rPr>
                <w:rFonts w:ascii="宋体" w:hAnsi="宋体" w:cs="宋体"/>
                <w:color w:val="000000"/>
                <w:kern w:val="0"/>
                <w:szCs w:val="21"/>
                <w:highlight w:val="none"/>
              </w:rPr>
              <w:t>,</w:t>
            </w:r>
            <w:r>
              <w:rPr>
                <w:rFonts w:hint="eastAsia" w:ascii="宋体" w:hAnsi="宋体" w:cs="宋体"/>
                <w:color w:val="000000"/>
                <w:kern w:val="0"/>
                <w:szCs w:val="21"/>
                <w:highlight w:val="none"/>
              </w:rPr>
              <w:t>导热系数≤</w:t>
            </w:r>
            <w:r>
              <w:rPr>
                <w:rFonts w:ascii="宋体" w:hAnsi="宋体" w:cs="宋体"/>
                <w:color w:val="000000"/>
                <w:kern w:val="0"/>
                <w:szCs w:val="21"/>
                <w:highlight w:val="none"/>
              </w:rPr>
              <w:t>0.03W/(m·K)</w:t>
            </w:r>
            <w:r>
              <w:rPr>
                <w:rFonts w:hint="eastAsia" w:ascii="宋体" w:hAnsi="宋体" w:cs="宋体"/>
                <w:color w:val="000000"/>
                <w:kern w:val="0"/>
                <w:szCs w:val="21"/>
                <w:highlight w:val="none"/>
              </w:rPr>
              <w:t>。</w:t>
            </w:r>
          </w:p>
          <w:p w14:paraId="5497F4F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★3.供应商需提供舱体平面图、3D效果图。</w:t>
            </w:r>
          </w:p>
          <w:p w14:paraId="387FFF2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两舱之间设置传热可拆隔墙：标准尺寸1.8*1.8米，按需在保温板和试件墙间切换，保温板需采用快速锁紧装置，并保证气密性，漏气率≤0.05m³/(h·m²)@50Pa。供应商需提供符合该技术要求的气密性测试原理、计算过程及后期验证测试使用的设备等说明。</w:t>
            </w:r>
          </w:p>
          <w:p w14:paraId="6337233A">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舱内可进行热流相关测试，测试参数可集成显示实时数据、趋势曲线、历史数据查询等功能。热流传感器热流输入范围为-1500W/㎡~+1500W/㎡，精度±2%，外形结构为圆形，直径约15mm，厚度约0.3mm，使用温度范围为-60℃~+80℃，响应速度优于0.5秒，内阻50~60Ω，适配多路信数据采集设备，支持全热流（传导、对流、辐射）信号采集，输出信号：10μV~1000μV。传感器可用于微点状热流精密测量，涵盖发动机与压缩机缸体散热分析、薄膜材料热物理性能测试、可穿戴消费电子设备热流监测、人体热流检测、生活环境热舒适度评估及假人模拟热流测试等场景。具备挠曲形变能力，可适应适度弯曲工况。可在水下或真空环境中长期稳定工作，且具备一定的耐酸碱腐蚀性能。</w:t>
            </w:r>
          </w:p>
          <w:p w14:paraId="0C973B68">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二、光环境模拟系统</w:t>
            </w:r>
          </w:p>
          <w:p w14:paraId="188F3EE0">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（一）室内舱光环境模拟系统</w:t>
            </w:r>
          </w:p>
          <w:p w14:paraId="5C734BE8">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采用高亮度、高显色LED阵列灯，多色灯采用RGB三基色LED阵列灯。灯光模拟照度0~1000Lux可调，色温3000~6000K可调。</w:t>
            </w:r>
          </w:p>
          <w:p w14:paraId="1E584D24">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（二）室外舱日照模拟系统</w:t>
            </w:r>
          </w:p>
          <w:p w14:paraId="07FC6AE3">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日照模拟器采用落地式，热效应辐照器尺寸1m×1m，距辐照器表面中心1m距离辐照强度范围0~1000W/㎡动态可调，精度≤±50W/m²，不均匀性≤±10%，时间不稳定性≤1%（30分钟持续输出）。具有应急制动和过流保护（响应时间＜10ms）系统。</w:t>
            </w:r>
          </w:p>
          <w:p w14:paraId="70E4BA93">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2.采用双轴旋转机构，高度0.2-1.4m电动调节，方位角0-180°连续旋转。模拟装置为落地式，带脚轮，可实现纵横自由移动，带可拆电缆头，具有双控制系统。</w:t>
            </w:r>
          </w:p>
          <w:p w14:paraId="06420AFD">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3.辐射强度测量仪测量范围：0~2000W/㎡，精度：＜5%，稳定性±2%，灵敏度7~14μV/W·m-2，响应时间≤30s(99%),测量光谱范围0.28~3.0μm。</w:t>
            </w:r>
          </w:p>
          <w:p w14:paraId="2955801A">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★4.供应商须提供实现上述要求的技术路径，包括：针对围护结构性能测试和人体热舒适性测试时，拟采用的光源装置种类、控制方法、系统流程图。</w:t>
            </w:r>
          </w:p>
        </w:tc>
      </w:tr>
      <w:tr w14:paraId="428C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264B097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8</w:t>
            </w:r>
          </w:p>
        </w:tc>
        <w:tc>
          <w:tcPr>
            <w:tcW w:w="1030" w:type="dxa"/>
            <w:shd w:val="clear" w:color="auto" w:fill="auto"/>
            <w:vAlign w:val="center"/>
          </w:tcPr>
          <w:p w14:paraId="2F4DB0DD">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热指数仪</w:t>
            </w:r>
          </w:p>
        </w:tc>
        <w:tc>
          <w:tcPr>
            <w:tcW w:w="6643" w:type="dxa"/>
            <w:shd w:val="clear" w:color="auto" w:fill="auto"/>
            <w:vAlign w:val="center"/>
          </w:tcPr>
          <w:p w14:paraId="00719529">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1.用于热舒适度分析，主机配合各探头可同时采集记录空气温度（T）、黑球温度(Tg)、自然湿球温度(Tn)以及风速(Va)；</w:t>
            </w:r>
          </w:p>
          <w:p w14:paraId="18A21C0E">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2.含主机、黑球温度探头、温湿度探头、万向风速探头、三脚架、电源适配器、数据线和配套软件等；</w:t>
            </w:r>
          </w:p>
          <w:p w14:paraId="71DE9843">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2.执行标准符合ISO7726，ISO7730和ISO7243标准要求；</w:t>
            </w:r>
          </w:p>
          <w:p w14:paraId="2E44056D">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3.传输方式采用USB、RS485和Wi-Fi；</w:t>
            </w:r>
          </w:p>
          <w:p w14:paraId="5CB30072">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4.传感器连接口≥3个SICRAM模组，探头插口为8针阳接头DIN45326；</w:t>
            </w:r>
          </w:p>
          <w:p w14:paraId="34DEA844">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5.主机可存储采集数据，存储量大于等于8g，存储间隔1秒到1个小时可编程；</w:t>
            </w:r>
          </w:p>
          <w:p w14:paraId="53E7E6FE">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6.具有黑球温度探头，可搭配SICRAM模组，传感器为1/3DIN高等级精度的Pt100，测量范围-30-120℃，分辨率0.1℃，响应时间不高于15分钟，黑球直径￠50mm；</w:t>
            </w:r>
          </w:p>
          <w:p w14:paraId="74B62C45">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7.具有温湿度探头，可搭配SICRAM模组，其中温度传感器为1/3DIN高等级精度的Pt100，测量范围-30℃-100℃，分辨率0.1℃；湿度传感器为电容式，测量范围0-100%RH，精度不低于2.5%RH，分辨率不低于0.1%RH；</w:t>
            </w:r>
          </w:p>
          <w:p w14:paraId="4E2147EF">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8.具有万向型热线风速探头，可搭配SICRAM模组，测量范围为0.05-5m/s（0-80℃），分辨率0.01m/s，精度不低于±(0.05+0.5%读数)m/s，±0.3m/s(1-5m/s)，防护球直径不大于￠80mm，响应时间不高于15分钟；</w:t>
            </w:r>
          </w:p>
          <w:p w14:paraId="5AF223E4">
            <w:pPr>
              <w:pStyle w:val="11"/>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9.记录数据可导入最新版DeltaLog10软件，生成CSV、PDF报告；</w:t>
            </w:r>
          </w:p>
          <w:p w14:paraId="1D883890">
            <w:pPr>
              <w:pStyle w:val="11"/>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10.电池为不小于6000mA/h的锂电池，可通过USB口充电。</w:t>
            </w:r>
          </w:p>
        </w:tc>
      </w:tr>
      <w:tr w14:paraId="1192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73835B8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9</w:t>
            </w:r>
          </w:p>
        </w:tc>
        <w:tc>
          <w:tcPr>
            <w:tcW w:w="1030" w:type="dxa"/>
            <w:shd w:val="clear" w:color="auto" w:fill="auto"/>
            <w:vAlign w:val="center"/>
          </w:tcPr>
          <w:p w14:paraId="78273CC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热电偶+多通道记录仪</w:t>
            </w:r>
          </w:p>
        </w:tc>
        <w:tc>
          <w:tcPr>
            <w:tcW w:w="6643" w:type="dxa"/>
            <w:shd w:val="clear" w:color="auto" w:fill="auto"/>
            <w:vAlign w:val="center"/>
          </w:tcPr>
          <w:p w14:paraId="34F96341">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在室内环境温度下测量记录温湿度热电偶数据。T型热电偶读数，易于查看LCD显示，大容量存储器，可指定高、低报警阈值，新的突发和统计测井模式，内部热敏电阻冷端补偿。</w:t>
            </w:r>
          </w:p>
          <w:p w14:paraId="48CCB0AC">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1.范围：不小于-260℃~400℃。</w:t>
            </w:r>
          </w:p>
          <w:p w14:paraId="668D2376">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2.精度：±0.6℃±热电偶探头精度。</w:t>
            </w:r>
          </w:p>
          <w:p w14:paraId="01CA211B">
            <w:pPr>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3.单个记录仪至少4通道。</w:t>
            </w:r>
          </w:p>
          <w:p w14:paraId="2621C489">
            <w:pPr>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4.分辨率：0.02℃</w:t>
            </w:r>
          </w:p>
        </w:tc>
      </w:tr>
      <w:tr w14:paraId="1043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3E58A546">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10</w:t>
            </w:r>
          </w:p>
        </w:tc>
        <w:tc>
          <w:tcPr>
            <w:tcW w:w="1030" w:type="dxa"/>
            <w:shd w:val="clear" w:color="auto" w:fill="auto"/>
            <w:vAlign w:val="center"/>
          </w:tcPr>
          <w:p w14:paraId="57CA38B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温湿度处理及气流组织系统（人工气候模拟实验模块）</w:t>
            </w:r>
          </w:p>
        </w:tc>
        <w:tc>
          <w:tcPr>
            <w:tcW w:w="6643" w:type="dxa"/>
            <w:shd w:val="clear" w:color="auto" w:fill="auto"/>
            <w:vAlign w:val="center"/>
          </w:tcPr>
          <w:p w14:paraId="1B37D8E9">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一、温湿度处理系统</w:t>
            </w:r>
          </w:p>
          <w:p w14:paraId="7BB9597D">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环境舱的温湿度处理系统需针对室内舱与室外舱的不同需求进行差异化设计。两舱需采用多级加湿、除湿、升温、降温技术，确保复杂工况下的参数独立精准调节。</w:t>
            </w:r>
          </w:p>
          <w:p w14:paraId="49633382">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1.室内舱：</w:t>
            </w:r>
          </w:p>
          <w:p w14:paraId="165AF444">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（1）空气温度5</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45℃动态可调，整体环境精度≤±0.5℃，当舱内温度变化幅度在10</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12℃时，稳定时间&lt;30min，稳定后，0.1</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1.7m高度方向偏差&lt;±0.5℃；</w:t>
            </w:r>
          </w:p>
          <w:p w14:paraId="5C9683F0">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（2）相对湿度控制范围为40-90%RH（28℃-45℃），控制精度≤±5%RH。</w:t>
            </w:r>
          </w:p>
          <w:p w14:paraId="6EF8BBA9">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2.室外舱：</w:t>
            </w:r>
          </w:p>
          <w:p w14:paraId="54D09157">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（1）空气温度-10</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45℃动态可调，整体环境精度≤±0.5℃，当温度在10</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35℃时，整体环境精度≤±0.3℃，当温度在-10</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10℃，35</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45℃时，整体环境精度≤±0.5℃，稳定后，0.1</w:t>
            </w:r>
            <w:r>
              <w:rPr>
                <w:rFonts w:ascii="Cambria Math" w:hAnsi="Cambria Math" w:cs="Cambria Math"/>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1.7m高度方向偏差&lt;±0.5℃；</w:t>
            </w:r>
          </w:p>
          <w:p w14:paraId="512A3C3F">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（2）相对湿度控制范围为30-95%RH（20℃-45℃），控制精度≤±5%RH。</w:t>
            </w:r>
          </w:p>
          <w:p w14:paraId="2E12B9F0">
            <w:pPr>
              <w:widowControl/>
              <w:adjustRightInd w:val="0"/>
              <w:snapToGrid w:val="0"/>
              <w:spacing w:line="360" w:lineRule="auto"/>
              <w:jc w:val="left"/>
              <w:rPr>
                <w:rFonts w:ascii="宋体" w:hAnsi="宋体"/>
                <w:szCs w:val="21"/>
                <w:highlight w:val="none"/>
              </w:rPr>
            </w:pPr>
            <w:r>
              <w:rPr>
                <w:rFonts w:hint="eastAsia" w:ascii="宋体" w:hAnsi="宋体"/>
                <w:szCs w:val="21"/>
                <w:highlight w:val="none"/>
              </w:rPr>
              <w:t>3.温度及相对湿度传感器：</w:t>
            </w:r>
          </w:p>
          <w:p w14:paraId="050AB295">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szCs w:val="21"/>
                <w:highlight w:val="none"/>
              </w:rPr>
              <w:t>温度传感器</w:t>
            </w:r>
            <w:r>
              <w:rPr>
                <w:rFonts w:ascii="宋体" w:hAnsi="宋体"/>
                <w:szCs w:val="21"/>
                <w:highlight w:val="none"/>
              </w:rPr>
              <w:t>测量范围：温度-40~</w:t>
            </w:r>
            <w:r>
              <w:rPr>
                <w:rFonts w:hint="eastAsia" w:ascii="宋体" w:hAnsi="宋体"/>
                <w:szCs w:val="21"/>
                <w:highlight w:val="none"/>
              </w:rPr>
              <w:t>80</w:t>
            </w:r>
            <w:r>
              <w:rPr>
                <w:rFonts w:ascii="宋体" w:hAnsi="宋体"/>
                <w:szCs w:val="21"/>
                <w:highlight w:val="none"/>
              </w:rPr>
              <w:t>℃，精度±0.</w:t>
            </w: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rPr>
              <w:t>；相对</w:t>
            </w:r>
            <w:r>
              <w:rPr>
                <w:rFonts w:ascii="宋体" w:hAnsi="宋体"/>
                <w:szCs w:val="21"/>
                <w:highlight w:val="none"/>
              </w:rPr>
              <w:t>湿度</w:t>
            </w:r>
            <w:r>
              <w:rPr>
                <w:rFonts w:hint="eastAsia" w:ascii="宋体" w:hAnsi="宋体"/>
                <w:szCs w:val="21"/>
                <w:highlight w:val="none"/>
              </w:rPr>
              <w:t>感器</w:t>
            </w:r>
            <w:r>
              <w:rPr>
                <w:rFonts w:ascii="宋体" w:hAnsi="宋体"/>
                <w:szCs w:val="21"/>
                <w:highlight w:val="none"/>
              </w:rPr>
              <w:t>测量范围：0~100%RH</w:t>
            </w:r>
            <w:r>
              <w:rPr>
                <w:rFonts w:hint="eastAsia" w:ascii="宋体" w:hAnsi="宋体"/>
                <w:szCs w:val="21"/>
                <w:highlight w:val="none"/>
              </w:rPr>
              <w:t>，</w:t>
            </w:r>
            <w:r>
              <w:rPr>
                <w:rFonts w:ascii="宋体" w:hAnsi="宋体"/>
                <w:szCs w:val="21"/>
                <w:highlight w:val="none"/>
              </w:rPr>
              <w:t>精度±</w:t>
            </w:r>
            <w:r>
              <w:rPr>
                <w:rFonts w:hint="eastAsia" w:ascii="宋体" w:hAnsi="宋体"/>
                <w:szCs w:val="21"/>
                <w:highlight w:val="none"/>
              </w:rPr>
              <w:t>5</w:t>
            </w:r>
            <w:r>
              <w:rPr>
                <w:rFonts w:ascii="宋体" w:hAnsi="宋体"/>
                <w:szCs w:val="21"/>
                <w:highlight w:val="none"/>
              </w:rPr>
              <w:t>%RH</w:t>
            </w:r>
            <w:r>
              <w:rPr>
                <w:rFonts w:hint="eastAsia" w:ascii="宋体" w:hAnsi="宋体"/>
                <w:szCs w:val="21"/>
                <w:highlight w:val="none"/>
              </w:rPr>
              <w:t>。</w:t>
            </w:r>
          </w:p>
          <w:p w14:paraId="09D924B0">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color w:val="000000"/>
                <w:kern w:val="0"/>
                <w:szCs w:val="21"/>
                <w:highlight w:val="none"/>
              </w:rPr>
              <w:t>★</w:t>
            </w:r>
            <w:r>
              <w:rPr>
                <w:rFonts w:hint="eastAsia" w:ascii="宋体" w:hAnsi="宋体" w:cs="宋体"/>
                <w:b/>
                <w:bCs/>
                <w:color w:val="000000" w:themeColor="text1"/>
                <w:kern w:val="0"/>
                <w:szCs w:val="21"/>
                <w:highlight w:val="none"/>
                <w14:textFill>
                  <w14:solidFill>
                    <w14:schemeClr w14:val="tx1"/>
                  </w14:solidFill>
                </w14:textFill>
              </w:rPr>
              <w:t>二、气流组织系统</w:t>
            </w:r>
          </w:p>
          <w:p w14:paraId="204ECF9F">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气流组织系统需根据不同实验场景灵活配置送风与回风模式。室内舱采用模块化多风口设计，支持侧向顶送、中送、底送等多种送风模式，以及顶回、中回、底回等回风模式，可自由切换；送风量在0~1500m³/h范围内连续可调，送风精度不超过5%。舱内2m以下空间风速控制在0.2m/s以下。室外舱需满足送风量0~1500m³/h可调。环境舱可通过百叶风口与多级风阀控制，应采用低噪变频风机。供应商须提供详细的技术路径，并提供系统原理图及3D效果图。</w:t>
            </w:r>
          </w:p>
          <w:p w14:paraId="5EF18A91">
            <w:pPr>
              <w:widowControl/>
              <w:numPr>
                <w:ilvl w:val="255"/>
                <w:numId w:val="0"/>
              </w:numPr>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三、环境监测集成模块</w:t>
            </w:r>
          </w:p>
          <w:p w14:paraId="44B2F36C">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环境监测集成模块具备多维环境因子同步捕获能力，涵盖气态介质组分（CO</w:t>
            </w:r>
            <w:r>
              <w:rPr>
                <w:rFonts w:ascii="Cambria Math" w:hAnsi="Cambria Math" w:cs="Cambria Math"/>
                <w:color w:val="000000" w:themeColor="text1"/>
                <w:kern w:val="0"/>
                <w:szCs w:val="21"/>
                <w:highlight w:val="none"/>
                <w14:textFill>
                  <w14:solidFill>
                    <w14:schemeClr w14:val="tx1"/>
                  </w14:solidFill>
                </w14:textFill>
              </w:rPr>
              <w:t>₂</w:t>
            </w:r>
            <w:r>
              <w:rPr>
                <w:rFonts w:hint="eastAsia" w:ascii="宋体" w:hAnsi="宋体" w:cs="宋体"/>
                <w:color w:val="000000" w:themeColor="text1"/>
                <w:kern w:val="0"/>
                <w:szCs w:val="21"/>
                <w:highlight w:val="none"/>
                <w14:textFill>
                  <w14:solidFill>
                    <w14:schemeClr w14:val="tx1"/>
                  </w14:solidFill>
                </w14:textFill>
              </w:rPr>
              <w:t>、TVOC等）、颗粒物相态分布（PM2.5/PM10）、热力学参数（温度、湿度）。</w:t>
            </w:r>
          </w:p>
          <w:p w14:paraId="198C229F">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用异构传感器融合架构，支持动态参数组态重构，实现监测维度的可编程化删减与扩展，适配差异化实验场景需求。配置自主充放电拓扑电路，实现锂聚合物电池的智能充放管理，保障极端断电场景下数据链路的完整性。集成模块需配置上位机软件，能够完成对集成模块的参数配置，数据读取，数据曲线绘制等操作。</w:t>
            </w:r>
          </w:p>
          <w:p w14:paraId="578EAEE8">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1.集成模块指标：</w:t>
            </w:r>
          </w:p>
          <w:p w14:paraId="3EEA1324">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a)参数指标</w:t>
            </w:r>
          </w:p>
          <w:p w14:paraId="35122924">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1)温度：-40~125℃，不确定度：0.3℃；</w:t>
            </w:r>
          </w:p>
          <w:p w14:paraId="49F72ECD">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2)湿度：5~99%RH，不确定度：3%；</w:t>
            </w:r>
          </w:p>
          <w:p w14:paraId="7D101592">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3)TVOC：0~60000ppb，精度1ppb@0~2008ppb；</w:t>
            </w:r>
          </w:p>
          <w:p w14:paraId="469E22C7">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4)eCO2：400~60000ppm，1ppm@400~1479ppm；</w:t>
            </w:r>
          </w:p>
          <w:p w14:paraId="0FC03BAB">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5)PM2.5：0~999ug/m³，±10%或±10ug；</w:t>
            </w:r>
          </w:p>
          <w:p w14:paraId="2A15E0ED">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6)PM10：0~1500ug/m³，±10%或±10ug。</w:t>
            </w:r>
          </w:p>
          <w:p w14:paraId="0B648A20">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b)系统指标：</w:t>
            </w:r>
          </w:p>
          <w:p w14:paraId="6BEA3F3B">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1)存储容量：＞20000条；</w:t>
            </w:r>
          </w:p>
          <w:p w14:paraId="682C1BE9">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2)1~6000秒，软件可设；</w:t>
            </w:r>
          </w:p>
          <w:p w14:paraId="42E63002">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3)电池容量：＞10000mAh；</w:t>
            </w:r>
          </w:p>
          <w:p w14:paraId="63CD897A">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4)功耗：＜180mA；静态＜690uA；</w:t>
            </w:r>
          </w:p>
          <w:p w14:paraId="1DF470F5">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5)显示：128*64点阵液晶（带背光）；</w:t>
            </w:r>
          </w:p>
          <w:p w14:paraId="734E2739">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6)USB数据接口；</w:t>
            </w:r>
          </w:p>
          <w:p w14:paraId="3E70BEF7">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7)带充电接口，充电电流≥1A；</w:t>
            </w:r>
          </w:p>
          <w:p w14:paraId="3D86952F">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8)带实体按键，可手动设置采样时间，实体按键3*3；</w:t>
            </w:r>
          </w:p>
          <w:p w14:paraId="53EADE18">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9)集成模块须内置嵌入式超低功耗主控单元（MCU），采用休眠态微电流维持技术（&lt;500μA），确保在非主动操作模式下连续监测时长≥2160h（3个月）。</w:t>
            </w:r>
          </w:p>
          <w:p w14:paraId="0E01CEF2">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c)控制器指标：</w:t>
            </w:r>
          </w:p>
          <w:p w14:paraId="5F6E2F09">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1)最大工作频率≥32MHz；</w:t>
            </w:r>
          </w:p>
          <w:p w14:paraId="442CA7CA">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2)最低功耗：＜1.7uA@3V；</w:t>
            </w:r>
          </w:p>
          <w:p w14:paraId="766AF126">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3)具有RTC功能的基本计时器；</w:t>
            </w:r>
          </w:p>
          <w:p w14:paraId="40BE2799">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4)IrDA编码和解码；</w:t>
            </w:r>
          </w:p>
          <w:p w14:paraId="712513CD">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5)具有SPI、I2C，UART等接口；</w:t>
            </w:r>
          </w:p>
          <w:p w14:paraId="540928EE">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6)内部DMA≥3通道。</w:t>
            </w:r>
          </w:p>
          <w:p w14:paraId="180F7C93">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d)软件指标：</w:t>
            </w:r>
          </w:p>
          <w:p w14:paraId="317FD094">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1)可以给仪器授时；</w:t>
            </w:r>
          </w:p>
          <w:p w14:paraId="3ADCC3D1">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2)设置/读取采样周期；</w:t>
            </w:r>
          </w:p>
          <w:p w14:paraId="3279DBD5">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3)设置/读取工作海拔；</w:t>
            </w:r>
          </w:p>
          <w:p w14:paraId="7F1314F3">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4)数据读取，曲线绘制。</w:t>
            </w:r>
          </w:p>
          <w:p w14:paraId="4D7B3EC5">
            <w:pPr>
              <w:widowControl/>
              <w:numPr>
                <w:ilvl w:val="255"/>
                <w:numId w:val="0"/>
              </w:numPr>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四、无线气体流量采集系统</w:t>
            </w:r>
          </w:p>
          <w:p w14:paraId="255DC468">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无线气体流量采集系统分为无线流量计（以下称从机）和无线流量计接收终端（以下称主机）两部分。从机完成气体流量的采集与暂存，其中数据的采集分为有无气体的状态采集和实际气体流量大小的数据采集两种类型；主机通过USB接口与上位机相连，接收上位机发送的指令，完成对无线流量计所采数据的收集及上传。主机和从机之间通过无线的方式进行数据传输。从机采用聚合物锂电池供电，自带充电电路。</w:t>
            </w:r>
          </w:p>
          <w:p w14:paraId="6A820997">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相关指标如下：</w:t>
            </w:r>
          </w:p>
          <w:p w14:paraId="59AB9B93">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a)气体流量测量范围：0~1000sccm；</w:t>
            </w:r>
          </w:p>
          <w:p w14:paraId="694FF523">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b)分辨率：8sccm；</w:t>
            </w:r>
          </w:p>
          <w:p w14:paraId="357F1875">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c)无线通信距离：&gt;25m；</w:t>
            </w:r>
          </w:p>
          <w:p w14:paraId="2E1EA9BF">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d)电池电压采样：≥8 bit；</w:t>
            </w:r>
          </w:p>
          <w:p w14:paraId="03A89282">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e)流量采样精度：≥8 bit；</w:t>
            </w:r>
          </w:p>
          <w:p w14:paraId="010829B1">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f)数据暂存长度：40 bit / 40byte；</w:t>
            </w:r>
          </w:p>
          <w:p w14:paraId="3C81715C">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g)流量采样周期：5ms（可设置）；</w:t>
            </w:r>
          </w:p>
          <w:p w14:paraId="48A7AC11">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h)重量：＜80g；</w:t>
            </w:r>
          </w:p>
          <w:p w14:paraId="6D10CFE2">
            <w:pPr>
              <w:widowControl/>
              <w:numPr>
                <w:ilvl w:val="255"/>
                <w:numId w:val="0"/>
              </w:num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i)电池容量：＞600mAh；</w:t>
            </w:r>
          </w:p>
          <w:p w14:paraId="596C821B">
            <w:pPr>
              <w:widowControl/>
              <w:numPr>
                <w:ilvl w:val="255"/>
                <w:numId w:val="0"/>
              </w:numPr>
              <w:adjustRightInd w:val="0"/>
              <w:snapToGrid w:val="0"/>
              <w:spacing w:line="360" w:lineRule="auto"/>
              <w:ind w:left="0" w:leftChars="0" w:firstLine="0" w:firstLineChars="0"/>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j)串口通信速率：115200。</w:t>
            </w:r>
          </w:p>
        </w:tc>
      </w:tr>
      <w:tr w14:paraId="4400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3F569E94">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11</w:t>
            </w:r>
          </w:p>
        </w:tc>
        <w:tc>
          <w:tcPr>
            <w:tcW w:w="1030" w:type="dxa"/>
            <w:shd w:val="clear" w:color="auto" w:fill="auto"/>
            <w:vAlign w:val="center"/>
          </w:tcPr>
          <w:p w14:paraId="55A8EE5E">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冷热源及新风系统（人工气候模拟实验模块）</w:t>
            </w:r>
          </w:p>
        </w:tc>
        <w:tc>
          <w:tcPr>
            <w:tcW w:w="6643" w:type="dxa"/>
            <w:shd w:val="clear" w:color="auto" w:fill="auto"/>
            <w:vAlign w:val="center"/>
          </w:tcPr>
          <w:p w14:paraId="753A6E17">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一、冷热源系统</w:t>
            </w:r>
          </w:p>
          <w:p w14:paraId="0F01E269">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1.环境舱配套的冷热源系统需具备温度、相对湿度控制能力，可快速响应温变需求并维持稳定输出，同时满足宽范围湿度调节能力。</w:t>
            </w:r>
          </w:p>
          <w:p w14:paraId="40A6AC17">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冷热源系统能力需满足：控制室内舱温度范围5℃-45℃、相对湿度范围40%RH-90%RH(28℃~45℃)，控制室外舱温度范围-10℃</w:t>
            </w:r>
            <w:r>
              <w:rPr>
                <w:rFonts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45℃、相对湿度范围30%RH-95%RH(20~45℃)。</w:t>
            </w:r>
          </w:p>
          <w:p w14:paraId="7544FD52">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2.系统升温模块、加湿模块、降温模块、除湿模块需采用节能设计，支持长时间连续运行，配备多重安全保护机制（如过载保护、高压报警、低压报警等），并可通过控制系统实现实时监测、数据记录等。</w:t>
            </w:r>
          </w:p>
          <w:p w14:paraId="470D04A5">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3.冷热源系统应具备模块化设计，便于维护升级。</w:t>
            </w:r>
          </w:p>
          <w:p w14:paraId="79476BDB">
            <w:pPr>
              <w:widowControl/>
              <w:adjustRightInd w:val="0"/>
              <w:snapToGrid w:val="0"/>
              <w:spacing w:line="360" w:lineRule="auto"/>
              <w:jc w:val="left"/>
              <w:rPr>
                <w:rFonts w:ascii="宋体" w:hAnsi="宋体" w:cs="宋体"/>
                <w:kern w:val="0"/>
                <w:szCs w:val="21"/>
                <w:highlight w:val="none"/>
              </w:rPr>
            </w:pPr>
            <w:r>
              <w:rPr>
                <w:rFonts w:hint="eastAsia" w:ascii="宋体" w:hAnsi="宋体" w:cs="宋体"/>
                <w:color w:val="000000"/>
                <w:kern w:val="0"/>
                <w:szCs w:val="21"/>
                <w:highlight w:val="none"/>
              </w:rPr>
              <w:t>★</w:t>
            </w:r>
            <w:r>
              <w:rPr>
                <w:rFonts w:hint="eastAsia" w:ascii="宋体" w:hAnsi="宋体" w:cs="宋体"/>
                <w:kern w:val="0"/>
                <w:szCs w:val="21"/>
                <w:highlight w:val="none"/>
              </w:rPr>
              <w:t>4.</w:t>
            </w:r>
            <w:r>
              <w:rPr>
                <w:rFonts w:ascii="宋体" w:hAnsi="宋体" w:cs="宋体"/>
                <w:kern w:val="0"/>
                <w:szCs w:val="21"/>
                <w:highlight w:val="none"/>
              </w:rPr>
              <w:t>供应商须提供</w:t>
            </w:r>
            <w:r>
              <w:rPr>
                <w:rFonts w:hint="eastAsia" w:ascii="宋体" w:hAnsi="宋体" w:cs="宋体"/>
                <w:kern w:val="0"/>
                <w:szCs w:val="21"/>
                <w:highlight w:val="none"/>
              </w:rPr>
              <w:t>实现</w:t>
            </w:r>
            <w:r>
              <w:rPr>
                <w:rFonts w:ascii="宋体" w:hAnsi="宋体" w:cs="宋体"/>
                <w:kern w:val="0"/>
                <w:szCs w:val="21"/>
                <w:highlight w:val="none"/>
              </w:rPr>
              <w:t>的技术路径，</w:t>
            </w:r>
            <w:r>
              <w:rPr>
                <w:rFonts w:hint="eastAsia" w:ascii="宋体" w:hAnsi="宋体" w:cs="宋体"/>
                <w:kern w:val="0"/>
                <w:szCs w:val="21"/>
                <w:highlight w:val="none"/>
              </w:rPr>
              <w:t>并使用建筑动态负荷模拟计算软件结合实际情况开展人工气候模拟设备的供暖、空调负荷计算，负荷计算报告需包括：软件建模截图、负荷计算参数设定截图、采购标的执行标准要求的空调、供暖负荷各项计算结果截图。</w:t>
            </w:r>
          </w:p>
          <w:p w14:paraId="11669913">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二、新风系统</w:t>
            </w:r>
          </w:p>
          <w:p w14:paraId="52178552">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两环境舱内均设置新风系统，用于调节舱内气体成分比例，新风量控制量不低于每人30m³/h，且系统新回风比可控。</w:t>
            </w:r>
          </w:p>
          <w:p w14:paraId="319DAB7E">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三、环境参数监测子系统</w:t>
            </w:r>
          </w:p>
          <w:p w14:paraId="1033D0B4">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配置具备时空同步监测能力的智能终端设备，要求采用MEMS阵列式传感器技术实现空气温湿度（±0.3℃/±3% RH精度）的多维度动态采集，集成BDS-3高精度定位模块（CEP≤5m），支持周期性数据存储（≥16MB 循环缓存）与加密无线传输（AES-128协议），内置锂聚合物电池组（≥2000mAh）及USB-C快充接口，具备</w:t>
            </w:r>
            <w:r>
              <w:rPr>
                <w:rFonts w:ascii="宋体" w:hAnsi="宋体" w:cs="宋体"/>
                <w:color w:val="000000" w:themeColor="text1"/>
                <w:kern w:val="0"/>
                <w:szCs w:val="21"/>
                <w:highlight w:val="none"/>
                <w:lang w:val="e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IP65防护等级，可在-40℃~+85℃极端环境下持续工作。设备需支持远程参数配置（采样频率0.1Hz-1Hz可调）、断网续传及OTA固件升级功能。</w:t>
            </w:r>
          </w:p>
          <w:p w14:paraId="5B48190A">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四、无线传输子系统</w:t>
            </w:r>
          </w:p>
          <w:p w14:paraId="0A9D636D">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1.工业级无线产品，能适用于复杂环境，可低温下保持良好工作，-15℃甚至更低；</w:t>
            </w:r>
          </w:p>
          <w:p w14:paraId="5ECF0650">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2.MCU+物联网无线传输芯片,定制化程序。</w:t>
            </w:r>
          </w:p>
          <w:p w14:paraId="0563DB13">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3.可变路由组网，可自动组网</w:t>
            </w:r>
          </w:p>
          <w:p w14:paraId="11C93ABA">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4.功耗低，功耗低至1.5μA</w:t>
            </w:r>
          </w:p>
          <w:p w14:paraId="15F23CC2">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5.支持自定义加密</w:t>
            </w:r>
          </w:p>
          <w:p w14:paraId="66992A21">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6.自主定义通信协议</w:t>
            </w:r>
          </w:p>
          <w:p w14:paraId="343223B4">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7.提供多种传感器的接口</w:t>
            </w:r>
          </w:p>
          <w:p w14:paraId="402167F1">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8.可配置rs232和rs485对接现有温度变送器，温湿度模块，仪表及设备。</w:t>
            </w:r>
          </w:p>
          <w:p w14:paraId="07837C07">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9.可跟现有数据软件系统兼容，可透明传输。</w:t>
            </w:r>
          </w:p>
          <w:p w14:paraId="19B32911">
            <w:pPr>
              <w:widowControl/>
              <w:adjustRightInd w:val="0"/>
              <w:snapToGrid w:val="0"/>
              <w:spacing w:line="360" w:lineRule="auto"/>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10.后期无维护费用。</w:t>
            </w:r>
          </w:p>
        </w:tc>
      </w:tr>
      <w:tr w14:paraId="46AB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2D65E652">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12</w:t>
            </w:r>
          </w:p>
        </w:tc>
        <w:tc>
          <w:tcPr>
            <w:tcW w:w="1030" w:type="dxa"/>
            <w:shd w:val="clear" w:color="auto" w:fill="auto"/>
            <w:vAlign w:val="center"/>
          </w:tcPr>
          <w:p w14:paraId="3699179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壁面辐射及供电供水系统（人工气候模拟实验模块）</w:t>
            </w:r>
          </w:p>
        </w:tc>
        <w:tc>
          <w:tcPr>
            <w:tcW w:w="6643" w:type="dxa"/>
            <w:shd w:val="clear" w:color="auto" w:fill="auto"/>
            <w:vAlign w:val="center"/>
          </w:tcPr>
          <w:p w14:paraId="11FBE082">
            <w:pPr>
              <w:widowControl/>
              <w:autoSpaceDE w:val="0"/>
              <w:autoSpaceDN w:val="0"/>
              <w:adjustRightInd w:val="0"/>
              <w:snapToGrid w:val="0"/>
              <w:spacing w:line="360" w:lineRule="auto"/>
              <w:rPr>
                <w:rFonts w:ascii="宋体" w:hAnsi="宋体"/>
                <w:b/>
                <w:bCs/>
                <w:szCs w:val="21"/>
                <w:highlight w:val="none"/>
              </w:rPr>
            </w:pPr>
            <w:r>
              <w:rPr>
                <w:rFonts w:hint="eastAsia" w:ascii="宋体" w:hAnsi="宋体"/>
                <w:b/>
                <w:bCs/>
                <w:szCs w:val="21"/>
                <w:highlight w:val="none"/>
              </w:rPr>
              <w:t>一、壁面辐射系统</w:t>
            </w:r>
          </w:p>
          <w:p w14:paraId="4C2E4E5B">
            <w:pPr>
              <w:widowControl/>
              <w:autoSpaceDE w:val="0"/>
              <w:autoSpaceDN w:val="0"/>
              <w:adjustRightInd w:val="0"/>
              <w:snapToGrid w:val="0"/>
              <w:spacing w:line="360" w:lineRule="auto"/>
              <w:rPr>
                <w:rFonts w:ascii="宋体" w:hAnsi="宋体"/>
                <w:szCs w:val="21"/>
                <w:highlight w:val="none"/>
              </w:rPr>
            </w:pPr>
            <w:r>
              <w:rPr>
                <w:rFonts w:hint="eastAsia" w:ascii="宋体" w:hAnsi="宋体"/>
                <w:szCs w:val="21"/>
                <w:highlight w:val="none"/>
              </w:rPr>
              <w:t>1.室内舱壁面辐射调节系统包括水箱、水泵、辐射板、冷凝系统、管路电加热等。辐射控温调节范围：10～40℃（温度&gt;23℃），控制温度精度±0.5℃。辐射壁面采用石膏辐射板，舱底端墙各1面布置，每面流量范围为0-1000kg/h，测试精度为±0.1g。室内中心点辐射温度在15℃-45℃变化，可精确控制该点辐射温度恒定为15、25、35、45一小时及以上。无发热设备、人员等内扰和常规空调工况（室温18℃~26℃之间）下室内空间不均匀度不超过±1.0℃。</w:t>
            </w:r>
          </w:p>
          <w:p w14:paraId="3412AA4E">
            <w:pPr>
              <w:widowControl/>
              <w:autoSpaceDE w:val="0"/>
              <w:autoSpaceDN w:val="0"/>
              <w:adjustRightInd w:val="0"/>
              <w:snapToGrid w:val="0"/>
              <w:spacing w:line="360" w:lineRule="auto"/>
              <w:rPr>
                <w:rFonts w:ascii="宋体" w:hAnsi="宋体"/>
                <w:szCs w:val="21"/>
                <w:highlight w:val="none"/>
              </w:rPr>
            </w:pPr>
            <w:r>
              <w:rPr>
                <w:rFonts w:hint="eastAsia" w:ascii="宋体" w:hAnsi="宋体"/>
                <w:szCs w:val="21"/>
                <w:highlight w:val="none"/>
              </w:rPr>
              <w:t>2.辐射板需设置独立水泵供水，每条供水管路上均需安装管路控温装置以调节供水温度。每个面的辐射板需分为若干组，由分水器多级分配。为保证壁面温度分布的相对均匀性，每一组的辐射板采用同程并联的接法。</w:t>
            </w:r>
          </w:p>
          <w:p w14:paraId="22D568CF">
            <w:pPr>
              <w:widowControl/>
              <w:autoSpaceDE w:val="0"/>
              <w:autoSpaceDN w:val="0"/>
              <w:adjustRightInd w:val="0"/>
              <w:snapToGrid w:val="0"/>
              <w:spacing w:line="360" w:lineRule="auto"/>
              <w:rPr>
                <w:rFonts w:ascii="宋体" w:hAnsi="宋体"/>
                <w:szCs w:val="21"/>
                <w:highlight w:val="none"/>
              </w:rPr>
            </w:pPr>
            <w:r>
              <w:rPr>
                <w:rFonts w:hint="eastAsia" w:ascii="宋体" w:hAnsi="宋体" w:cs="宋体"/>
                <w:color w:val="000000"/>
                <w:kern w:val="0"/>
                <w:szCs w:val="21"/>
                <w:highlight w:val="none"/>
              </w:rPr>
              <w:t>★</w:t>
            </w:r>
            <w:r>
              <w:rPr>
                <w:rFonts w:hint="eastAsia" w:ascii="宋体" w:hAnsi="宋体"/>
                <w:szCs w:val="21"/>
                <w:highlight w:val="none"/>
              </w:rPr>
              <w:t>3.供应商须提供实现的技术路径，包括：拟采用的设备种类、壁面材料类型、设备系统流程图、自控系统原理图。</w:t>
            </w:r>
          </w:p>
          <w:p w14:paraId="7FE8153F">
            <w:pPr>
              <w:widowControl/>
              <w:autoSpaceDE w:val="0"/>
              <w:autoSpaceDN w:val="0"/>
              <w:adjustRightInd w:val="0"/>
              <w:snapToGrid w:val="0"/>
              <w:spacing w:line="360" w:lineRule="auto"/>
              <w:rPr>
                <w:rFonts w:ascii="宋体" w:hAnsi="宋体"/>
                <w:b/>
                <w:bCs/>
                <w:szCs w:val="21"/>
                <w:highlight w:val="none"/>
              </w:rPr>
            </w:pPr>
            <w:r>
              <w:rPr>
                <w:rFonts w:hint="eastAsia" w:ascii="宋体" w:hAnsi="宋体"/>
                <w:b/>
                <w:bCs/>
                <w:szCs w:val="21"/>
                <w:highlight w:val="none"/>
              </w:rPr>
              <w:t>二、供水系统</w:t>
            </w:r>
          </w:p>
          <w:p w14:paraId="6172D0B5">
            <w:pPr>
              <w:widowControl/>
              <w:autoSpaceDE w:val="0"/>
              <w:autoSpaceDN w:val="0"/>
              <w:adjustRightInd w:val="0"/>
              <w:snapToGrid w:val="0"/>
              <w:spacing w:line="360" w:lineRule="auto"/>
              <w:rPr>
                <w:rFonts w:ascii="宋体" w:hAnsi="宋体"/>
                <w:szCs w:val="21"/>
                <w:highlight w:val="none"/>
              </w:rPr>
            </w:pPr>
            <w:r>
              <w:rPr>
                <w:rFonts w:hint="eastAsia" w:ascii="宋体" w:hAnsi="宋体"/>
                <w:szCs w:val="21"/>
                <w:highlight w:val="none"/>
              </w:rPr>
              <w:t>采用独立闭式循环管路，需配置水质过滤系统，管路系统采用防冻设计，配置独立制冷系统制取冷水（板式换热机组换热量不低于6kW），并可将制出的冷水储存在水箱中，水箱中需要设置独立调温模块，精确调节水箱内的水温。水箱中应设有温度传感器实时监测水箱内的水温。供水系统应可提同时提供冷水和热水，供回水流量和供水温度可独立控制。每一面墙/底板的供回水相互独立，能实现相同或不同的壁面温度。</w:t>
            </w:r>
          </w:p>
          <w:p w14:paraId="44A94679">
            <w:pPr>
              <w:widowControl/>
              <w:adjustRightInd w:val="0"/>
              <w:snapToGrid w:val="0"/>
              <w:spacing w:line="360" w:lineRule="auto"/>
              <w:rPr>
                <w:rFonts w:ascii="宋体" w:hAnsi="宋体"/>
                <w:b/>
                <w:bCs/>
                <w:szCs w:val="21"/>
                <w:highlight w:val="none"/>
              </w:rPr>
            </w:pPr>
            <w:r>
              <w:rPr>
                <w:rFonts w:hint="eastAsia" w:ascii="宋体" w:hAnsi="宋体"/>
                <w:b/>
                <w:bCs/>
                <w:szCs w:val="21"/>
                <w:highlight w:val="none"/>
              </w:rPr>
              <w:t>三、供电系统</w:t>
            </w:r>
          </w:p>
          <w:p w14:paraId="4D6F748D">
            <w:pPr>
              <w:widowControl/>
              <w:adjustRightInd w:val="0"/>
              <w:snapToGrid w:val="0"/>
              <w:spacing w:line="360" w:lineRule="auto"/>
              <w:rPr>
                <w:rFonts w:ascii="宋体" w:hAnsi="宋体"/>
                <w:szCs w:val="21"/>
                <w:highlight w:val="none"/>
              </w:rPr>
            </w:pPr>
            <w:r>
              <w:rPr>
                <w:rFonts w:hint="eastAsia" w:ascii="宋体" w:hAnsi="宋体"/>
                <w:szCs w:val="21"/>
                <w:highlight w:val="none"/>
              </w:rPr>
              <w:t>供电及连锁保护应包括水箱超温保护、压缩机及风机电流过载保护、压缩冷凝机组高低压保护、设置急停开关，遇突发情况时可一键关闭全部设备的电源、水路调温模块与供水泵联锁保护。</w:t>
            </w:r>
          </w:p>
          <w:p w14:paraId="7E27B346">
            <w:pPr>
              <w:widowControl/>
              <w:adjustRightInd w:val="0"/>
              <w:snapToGrid w:val="0"/>
              <w:spacing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四、温度采集控制模块</w:t>
            </w:r>
          </w:p>
          <w:p w14:paraId="6870470E">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温度采集控制模块完成现场温度参数的采集和存储，并能在控制模式下完成对被控单元的控制。被控单元的输入可以是开关量和PWM。参数指标：</w:t>
            </w:r>
          </w:p>
          <w:p w14:paraId="14FC0371">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a)测量范围：-50℃至 +150℃</w:t>
            </w:r>
          </w:p>
          <w:p w14:paraId="70DF5CF3">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b)显示分辨率：0.1℃</w:t>
            </w:r>
          </w:p>
          <w:p w14:paraId="6C472F4B">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c)精度：±0.1℃（常温范围内）</w:t>
            </w:r>
          </w:p>
          <w:p w14:paraId="2B5E505F">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d)传感器类型：Pt100或PT1000铂电阻</w:t>
            </w:r>
          </w:p>
          <w:p w14:paraId="14E2E115">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e)采样周期：3秒~2小时</w:t>
            </w:r>
          </w:p>
          <w:p w14:paraId="72E8353E">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f)显示/记录模式：</w:t>
            </w:r>
          </w:p>
          <w:p w14:paraId="53206FF2">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1)显示：LCD 或低功耗 OLED 屏幕</w:t>
            </w:r>
          </w:p>
          <w:p w14:paraId="394BCCCB">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2)数据存储：内置 Flash 存储，容量不小于8MB</w:t>
            </w:r>
          </w:p>
          <w:p w14:paraId="7624E274">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3)数据接口：USB </w:t>
            </w:r>
          </w:p>
          <w:p w14:paraId="00A2B28F">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g)控制参数：</w:t>
            </w:r>
          </w:p>
          <w:p w14:paraId="6CA4153D">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1)开关量：≥2路；</w:t>
            </w:r>
          </w:p>
          <w:p w14:paraId="60341AEA">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2)PWM输出：≥2路。</w:t>
            </w:r>
          </w:p>
          <w:p w14:paraId="6273F470">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h)电源管理：可充电锂电池，支持低功耗模式，续航半年到1年、2年以上（或可支持存储20万条数据）</w:t>
            </w:r>
          </w:p>
          <w:p w14:paraId="5667C7B3">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i)外壳设计：参考指定公模</w:t>
            </w:r>
          </w:p>
          <w:p w14:paraId="3FBA6506">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j)工作环境：工作温度范围为 -30℃至 +70℃，湿度范围为 0-95% RH（无冷凝）</w:t>
            </w:r>
          </w:p>
          <w:p w14:paraId="1515E9FB">
            <w:pPr>
              <w:widowControl/>
              <w:adjustRightInd w:val="0"/>
              <w:snapToGrid w:val="0"/>
              <w:spacing w:line="360" w:lineRule="auto"/>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k)校准功能：支持单点和多点校准，提供校准接口。</w:t>
            </w:r>
          </w:p>
        </w:tc>
      </w:tr>
      <w:tr w14:paraId="322E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439B912B">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13</w:t>
            </w:r>
          </w:p>
        </w:tc>
        <w:tc>
          <w:tcPr>
            <w:tcW w:w="1030" w:type="dxa"/>
            <w:shd w:val="clear" w:color="auto" w:fill="auto"/>
            <w:vAlign w:val="center"/>
          </w:tcPr>
          <w:p w14:paraId="47F10FA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自控\数据采集系统及整体设计（人工气候模拟实验模块）</w:t>
            </w:r>
          </w:p>
        </w:tc>
        <w:tc>
          <w:tcPr>
            <w:tcW w:w="6643" w:type="dxa"/>
            <w:shd w:val="clear" w:color="auto" w:fill="auto"/>
            <w:vAlign w:val="center"/>
          </w:tcPr>
          <w:p w14:paraId="539412CF">
            <w:pPr>
              <w:widowControl/>
              <w:adjustRightInd w:val="0"/>
              <w:snapToGrid w:val="0"/>
              <w:spacing w:line="360" w:lineRule="auto"/>
              <w:jc w:val="left"/>
              <w:rPr>
                <w:rFonts w:ascii="宋体" w:hAnsi="宋体" w:cs="宋体"/>
                <w:kern w:val="0"/>
                <w:szCs w:val="21"/>
                <w:highlight w:val="none"/>
              </w:rPr>
            </w:pPr>
            <w:r>
              <w:rPr>
                <w:rFonts w:hint="eastAsia" w:ascii="宋体" w:hAnsi="宋体" w:cs="宋体"/>
                <w:kern w:val="0"/>
                <w:szCs w:val="21"/>
                <w:highlight w:val="none"/>
              </w:rPr>
              <w:t>1.系统主要包括强电控制柜、PLC控制柜、温度测量系统、湿度测量系统、数据采集系统、PLC、数控模块、串口服务器、上位机及定制化上位机软件等。</w:t>
            </w:r>
          </w:p>
          <w:p w14:paraId="3BBCB3F0">
            <w:pPr>
              <w:widowControl/>
              <w:numPr>
                <w:ilvl w:val="255"/>
                <w:numId w:val="0"/>
              </w:numPr>
              <w:adjustRightInd w:val="0"/>
              <w:snapToGrid w:val="0"/>
              <w:spacing w:line="360" w:lineRule="auto"/>
              <w:jc w:val="left"/>
              <w:rPr>
                <w:rFonts w:ascii="宋体" w:hAnsi="宋体" w:cs="宋体"/>
                <w:kern w:val="0"/>
                <w:szCs w:val="21"/>
                <w:highlight w:val="none"/>
              </w:rPr>
            </w:pPr>
            <w:r>
              <w:rPr>
                <w:rFonts w:hint="eastAsia" w:ascii="宋体" w:hAnsi="宋体" w:cs="宋体"/>
                <w:kern w:val="0"/>
                <w:szCs w:val="21"/>
                <w:highlight w:val="none"/>
              </w:rPr>
              <w:t>2.系统应能控制各设备的启停，通过本地的人机界面可实现独立控制，能实时显示各设备的状态，并包含数据的采集、传输、实时查看、存储、趋势曲线显示、数据导出等功能。系统应有设备安全保护与联锁设计，包括：风机与风阀连锁、风机与加热模块连锁、风机与加湿模块连锁、风机与配套冷机连锁、水泵与加热模块连锁等；压缩机故障反馈及断电保护、水箱缺水保护、加热超温保护、急停保护等。供应商应提供连锁设计的详细说明，如设计及说明不详细，缺项、漏项的，响应无效。</w:t>
            </w:r>
          </w:p>
          <w:p w14:paraId="0F7C32CC">
            <w:pPr>
              <w:widowControl/>
              <w:numPr>
                <w:ilvl w:val="255"/>
                <w:numId w:val="0"/>
              </w:numPr>
              <w:adjustRightInd w:val="0"/>
              <w:snapToGrid w:val="0"/>
              <w:spacing w:line="360" w:lineRule="auto"/>
              <w:jc w:val="left"/>
              <w:rPr>
                <w:rFonts w:hint="eastAsia" w:ascii="宋体" w:hAnsi="宋体" w:cs="宋体"/>
                <w:kern w:val="0"/>
                <w:szCs w:val="21"/>
                <w:highlight w:val="none"/>
              </w:rPr>
            </w:pPr>
            <w:r>
              <w:rPr>
                <w:rFonts w:hint="eastAsia" w:ascii="宋体" w:hAnsi="宋体"/>
                <w:szCs w:val="21"/>
                <w:highlight w:val="none"/>
              </w:rPr>
              <w:t>★</w:t>
            </w:r>
            <w:r>
              <w:rPr>
                <w:rFonts w:hint="eastAsia" w:ascii="宋体" w:hAnsi="宋体" w:cs="宋体"/>
                <w:kern w:val="0"/>
                <w:szCs w:val="21"/>
                <w:highlight w:val="none"/>
              </w:rPr>
              <w:t>3.供应商需提供人工气候模拟实验模块（包括室内环境和室外环境）的可视化自控软件界面，需包括以下功能：两环境舱主体结构、主要设备展示，控制参数展示（温度、湿度、送回风等），参数设定调节，历史数据趋势曲线展示；要求供应商提供上述全部功能的截图证明材料。</w:t>
            </w:r>
          </w:p>
          <w:p w14:paraId="0441AF03">
            <w:pPr>
              <w:widowControl/>
              <w:numPr>
                <w:ilvl w:val="255"/>
                <w:numId w:val="0"/>
              </w:numPr>
              <w:adjustRightInd w:val="0"/>
              <w:snapToGrid w:val="0"/>
              <w:spacing w:line="360" w:lineRule="auto"/>
              <w:jc w:val="left"/>
              <w:rPr>
                <w:rFonts w:ascii="宋体" w:hAnsi="宋体" w:cs="宋体"/>
                <w:kern w:val="0"/>
                <w:szCs w:val="21"/>
                <w:highlight w:val="none"/>
              </w:rPr>
            </w:pPr>
            <w:r>
              <w:rPr>
                <w:rFonts w:hint="eastAsia" w:ascii="宋体" w:hAnsi="宋体" w:cs="宋体"/>
                <w:kern w:val="0"/>
                <w:szCs w:val="21"/>
                <w:highlight w:val="none"/>
              </w:rPr>
              <w:t>4.数据采集能实现多参数同步采集，包括温度、湿度、辐射强度、二氧化碳浓度及热流数据，并支持数据实时传输与存储。具备可扩展性，可适配未来新增传感器的接入需求。</w:t>
            </w:r>
          </w:p>
          <w:p w14:paraId="569DFA78">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5.温度传感器测量范围：温度-40~80℃，精度±0.5℃；</w:t>
            </w:r>
          </w:p>
          <w:p w14:paraId="08C3191F">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6.相对湿度感器测量范围：0~100%RH，精度±5%RH。</w:t>
            </w:r>
          </w:p>
          <w:p w14:paraId="69DF4C64">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7.辐射强度测量仪测量范围：0~2000W/㎡，精度：＜5%，稳定性±2%，灵敏度7~14μV/W·m-2，响应时间≤30s(99%),测量光谱范围0.28~3.0μm。</w:t>
            </w:r>
          </w:p>
          <w:p w14:paraId="761BBD50">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8.二氧化碳传感器测量范围：0~10000ppm，精度：±30ppm（500~1000ppm），响应时间：≤45秒。</w:t>
            </w:r>
          </w:p>
          <w:p w14:paraId="59A59108">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9.热流传感器热流输入范围：为-1500W/㎡~+1500W/㎡，精度±2%，外形结构为圆形，直径约15mm，厚度约0.3mm，使用温度范围为-60℃~+80℃，响应速度优于0.5秒，内阻50~60Ω，适配多路信数据采集设备，支持全热流（传导、对流、辐射）信号采集，输出信号：10μV~1000μV。传感器可用于微点状热流精密测量，涵盖发动机与压缩机缸体散热分析、薄膜材料热物理性能测试、可穿戴消费电子设备热流监测、人体热流检测、生活环境热舒适度评估及假人模拟热流测试等场景。具备挠曲形变能力，可适应适度弯曲工况。可在水下或真空环境中长期稳定工作，且具备一定的耐酸碱腐蚀性能。</w:t>
            </w:r>
          </w:p>
          <w:p w14:paraId="4F47CF31">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10.远程助理子系统：</w:t>
            </w:r>
          </w:p>
          <w:p w14:paraId="333A8B4C">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（1）一体化独立软硬件系统实现控制驱动电脑的硬件，并能识别系统断电、报警和提供温湿度环境检测接口，支持自动巡检。</w:t>
            </w:r>
          </w:p>
          <w:p w14:paraId="7179AC1E">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（2）软件机器人系统可24小时值守，可自动识别现有控制系统的桌面信息，并转化为告警及自动控制动作指令的硬件操作。</w:t>
            </w:r>
          </w:p>
          <w:p w14:paraId="3D487A2A">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（3）硬件远程实时控制，实现真实模拟人的现场动作操作。</w:t>
            </w:r>
          </w:p>
          <w:p w14:paraId="00A45B07">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（4）可穿透防火墙，实现无人自动操作和无人值守。</w:t>
            </w:r>
          </w:p>
          <w:p w14:paraId="1DCA905B">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（5）可支持二次轻松编程监视步骤和操作方法。</w:t>
            </w:r>
          </w:p>
          <w:p w14:paraId="4A22E5DD">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（6）实现发现状况，自动应急处理后并微信或短信通知相关人员，实现对现有监控系统的精准补充。</w:t>
            </w:r>
          </w:p>
          <w:p w14:paraId="4C5CE1E4">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（7）定制化机器外壳及硬件配置。</w:t>
            </w:r>
          </w:p>
          <w:p w14:paraId="41619187">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（8）标准产品参数：</w:t>
            </w:r>
          </w:p>
          <w:p w14:paraId="1F0BF0BB">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1）处理器与芯片组</w:t>
            </w:r>
          </w:p>
          <w:p w14:paraId="3BA670C1">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IPC - 610L 主板支持 Intel 系列ix CPU，芯片组采用不低于Intel® H110。能够满足不同工业应用场景对处理器性能的需求。</w:t>
            </w:r>
          </w:p>
          <w:p w14:paraId="3BCD151B">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2）内存与显示</w:t>
            </w:r>
          </w:p>
          <w:p w14:paraId="37C837A3">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主板具备 2 x 288PIN DDR4 DIMM 内存插槽，支持</w:t>
            </w:r>
            <w:r>
              <w:rPr>
                <w:rFonts w:ascii="宋体" w:hAnsi="宋体"/>
                <w:szCs w:val="21"/>
                <w:highlight w:val="none"/>
                <w:lang w:val="en"/>
              </w:rPr>
              <w:t>≥</w:t>
            </w:r>
            <w:r>
              <w:rPr>
                <w:rFonts w:hint="eastAsia" w:ascii="宋体" w:hAnsi="宋体"/>
                <w:szCs w:val="21"/>
                <w:highlight w:val="none"/>
              </w:rPr>
              <w:t>32GB。采用Intel芯片组集成的显示控制器，显示接口有VGA+HDMI+DVI，能够方便地连接各种显示设备，满足工业监控和操作界面显示的需求。</w:t>
            </w:r>
          </w:p>
          <w:p w14:paraId="12379CD4">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3）存储与音频</w:t>
            </w:r>
          </w:p>
          <w:p w14:paraId="5084C8B2">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在存储方面，有4xSATA3.0接口。音频具备MIC-in、Line-in、Speaker- out接口，能够实现基本的音频输入输出功能。</w:t>
            </w:r>
          </w:p>
          <w:p w14:paraId="5F1FD2B6">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4）网络与接口</w:t>
            </w:r>
          </w:p>
          <w:p w14:paraId="56A269C0">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网络配置为2x100/1000M Ethernet。</w:t>
            </w:r>
          </w:p>
          <w:p w14:paraId="1F60F14F">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5）工作环境与其他特性</w:t>
            </w:r>
          </w:p>
          <w:p w14:paraId="4E5E856F">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主板的工作温度范围为 0~60 摄氏度，非工作存储温度范围为 - 40~85 摄氏度；工作湿度范围为 5%~95% 无凝结，非工作存储湿度范围为 5%~95% 无凝结。这种宽温宽湿的设计使其能够适应较为恶劣的工业环境。</w:t>
            </w:r>
          </w:p>
          <w:p w14:paraId="6C820870">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6）具备可编程秒/分的 Watch Dog 功能，支持超时中断或系统复位，保障系统运行的稳定性。</w:t>
            </w:r>
          </w:p>
          <w:p w14:paraId="1E1F3459">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7）根据需求定制化的输入输出模块，实现多种信号采集与控制。</w:t>
            </w:r>
          </w:p>
          <w:p w14:paraId="4A2FF1C5">
            <w:pPr>
              <w:widowControl/>
              <w:numPr>
                <w:ilvl w:val="255"/>
                <w:numId w:val="0"/>
              </w:numPr>
              <w:adjustRightInd w:val="0"/>
              <w:snapToGrid w:val="0"/>
              <w:spacing w:line="360" w:lineRule="auto"/>
              <w:jc w:val="left"/>
              <w:rPr>
                <w:rFonts w:ascii="宋体" w:hAnsi="宋体"/>
                <w:szCs w:val="21"/>
                <w:highlight w:val="none"/>
              </w:rPr>
            </w:pPr>
            <w:r>
              <w:rPr>
                <w:rFonts w:hint="eastAsia" w:ascii="宋体" w:hAnsi="宋体"/>
                <w:szCs w:val="21"/>
                <w:highlight w:val="none"/>
              </w:rPr>
              <w:t>8）配套实现自动识别与操控软件。</w:t>
            </w:r>
          </w:p>
          <w:p w14:paraId="1F941F35">
            <w:pPr>
              <w:widowControl/>
              <w:numPr>
                <w:ilvl w:val="255"/>
                <w:numId w:val="0"/>
              </w:numPr>
              <w:adjustRightInd w:val="0"/>
              <w:snapToGrid w:val="0"/>
              <w:spacing w:line="360" w:lineRule="auto"/>
              <w:ind w:left="0" w:leftChars="0" w:firstLine="0" w:firstLineChars="0"/>
              <w:jc w:val="left"/>
              <w:rPr>
                <w:rFonts w:ascii="宋体" w:hAnsi="宋体" w:eastAsia="宋体" w:cs="宋体"/>
                <w:color w:val="000000"/>
                <w:kern w:val="0"/>
                <w:sz w:val="21"/>
                <w:szCs w:val="21"/>
                <w:highlight w:val="none"/>
                <w:lang w:val="en-US" w:eastAsia="zh-CN" w:bidi="ar-SA"/>
              </w:rPr>
            </w:pPr>
            <w:r>
              <w:rPr>
                <w:rFonts w:hint="eastAsia" w:ascii="宋体" w:hAnsi="宋体"/>
                <w:szCs w:val="21"/>
                <w:highlight w:val="none"/>
              </w:rPr>
              <w:t>★11.供应商需提供本项目人工气候模拟实验模块的整体设计方案以及测试过程，包括：设备安装平面布置图、实验系统设计方案、原理图、流程图等相关图纸，并对技术要求及实验测试过程进行说明。</w:t>
            </w:r>
          </w:p>
        </w:tc>
      </w:tr>
      <w:tr w14:paraId="714A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9" w:type="dxa"/>
            <w:shd w:val="clear" w:color="auto" w:fill="auto"/>
            <w:vAlign w:val="center"/>
          </w:tcPr>
          <w:p w14:paraId="0C94C7D5">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14</w:t>
            </w:r>
          </w:p>
        </w:tc>
        <w:tc>
          <w:tcPr>
            <w:tcW w:w="1030" w:type="dxa"/>
            <w:shd w:val="clear" w:color="auto" w:fill="auto"/>
            <w:vAlign w:val="center"/>
          </w:tcPr>
          <w:p w14:paraId="2277113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高性能计算机工作站</w:t>
            </w:r>
          </w:p>
        </w:tc>
        <w:tc>
          <w:tcPr>
            <w:tcW w:w="6643" w:type="dxa"/>
            <w:shd w:val="clear" w:color="auto" w:fill="auto"/>
            <w:vAlign w:val="center"/>
          </w:tcPr>
          <w:p w14:paraId="15D6B954">
            <w:pPr>
              <w:wordWrap w:val="0"/>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1.支持双处理器配置，每个处理器须为高性能多核架构，总物理核心数不少于128个，总线程数不少于256个；</w:t>
            </w:r>
          </w:p>
          <w:p w14:paraId="719EC205">
            <w:pPr>
              <w:wordWrap w:val="0"/>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2.</w:t>
            </w:r>
            <w:r>
              <w:rPr>
                <w:rFonts w:ascii="宋体" w:hAnsi="宋体" w:cs="宋体"/>
                <w:color w:val="000000"/>
                <w:kern w:val="0"/>
                <w:szCs w:val="21"/>
                <w:highlight w:val="none"/>
                <w:lang w:val="en"/>
              </w:rPr>
              <w:t xml:space="preserve"> ≥</w:t>
            </w:r>
            <w:r>
              <w:rPr>
                <w:rFonts w:hint="eastAsia" w:ascii="宋体" w:hAnsi="宋体" w:cs="宋体"/>
                <w:color w:val="000000"/>
                <w:kern w:val="0"/>
                <w:szCs w:val="21"/>
                <w:highlight w:val="none"/>
              </w:rPr>
              <w:t>128G内存，</w:t>
            </w:r>
            <w:r>
              <w:rPr>
                <w:rFonts w:ascii="宋体" w:hAnsi="宋体" w:cs="宋体"/>
                <w:color w:val="000000"/>
                <w:kern w:val="0"/>
                <w:szCs w:val="21"/>
                <w:highlight w:val="none"/>
                <w:lang w:val="en"/>
              </w:rPr>
              <w:t>≥</w:t>
            </w:r>
            <w:r>
              <w:rPr>
                <w:rFonts w:hint="eastAsia" w:ascii="宋体" w:hAnsi="宋体" w:cs="宋体"/>
                <w:color w:val="000000"/>
                <w:kern w:val="0"/>
                <w:szCs w:val="21"/>
                <w:highlight w:val="none"/>
              </w:rPr>
              <w:t>1TB SSD</w:t>
            </w:r>
          </w:p>
          <w:p w14:paraId="6D0BF3F3">
            <w:pPr>
              <w:wordWrap w:val="0"/>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3.显卡4090(24GB)</w:t>
            </w:r>
          </w:p>
          <w:p w14:paraId="247D0B90">
            <w:pPr>
              <w:wordWrap w:val="0"/>
              <w:adjustRightInd w:val="0"/>
              <w:snapToGrid w:val="0"/>
              <w:spacing w:line="360" w:lineRule="auto"/>
              <w:rPr>
                <w:rFonts w:ascii="宋体" w:hAnsi="宋体" w:cs="宋体"/>
                <w:color w:val="000000"/>
                <w:kern w:val="0"/>
                <w:szCs w:val="21"/>
                <w:highlight w:val="none"/>
              </w:rPr>
            </w:pPr>
            <w:r>
              <w:rPr>
                <w:rFonts w:hint="eastAsia" w:ascii="宋体" w:hAnsi="宋体" w:cs="宋体"/>
                <w:color w:val="000000"/>
                <w:kern w:val="0"/>
                <w:szCs w:val="21"/>
                <w:highlight w:val="none"/>
              </w:rPr>
              <w:t>4.</w:t>
            </w:r>
            <w:r>
              <w:rPr>
                <w:rFonts w:ascii="宋体" w:hAnsi="宋体" w:cs="宋体"/>
                <w:color w:val="000000"/>
                <w:kern w:val="0"/>
                <w:szCs w:val="21"/>
                <w:highlight w:val="none"/>
                <w:lang w:val="en"/>
              </w:rPr>
              <w:t>≥</w:t>
            </w:r>
            <w:r>
              <w:rPr>
                <w:rFonts w:hint="eastAsia" w:ascii="宋体" w:hAnsi="宋体" w:cs="宋体"/>
                <w:color w:val="000000"/>
                <w:kern w:val="0"/>
                <w:szCs w:val="21"/>
                <w:highlight w:val="none"/>
              </w:rPr>
              <w:t>27寸4K显示器</w:t>
            </w:r>
          </w:p>
          <w:p w14:paraId="23900596">
            <w:pPr>
              <w:wordWrap w:val="0"/>
              <w:adjustRightInd w:val="0"/>
              <w:snapToGrid w:val="0"/>
              <w:spacing w:line="360" w:lineRule="auto"/>
              <w:rPr>
                <w:rFonts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rPr>
              <w:t>5.配套键盘、鼠标一套。</w:t>
            </w:r>
          </w:p>
        </w:tc>
      </w:tr>
      <w:tr w14:paraId="3982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62E680A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18</w:t>
            </w:r>
          </w:p>
        </w:tc>
        <w:tc>
          <w:tcPr>
            <w:tcW w:w="1030" w:type="dxa"/>
            <w:shd w:val="clear" w:color="auto" w:fill="auto"/>
            <w:vAlign w:val="center"/>
          </w:tcPr>
          <w:p w14:paraId="4293FD97">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大型激光雕刻机A</w:t>
            </w:r>
          </w:p>
        </w:tc>
        <w:tc>
          <w:tcPr>
            <w:tcW w:w="6643" w:type="dxa"/>
            <w:shd w:val="clear" w:color="auto" w:fill="auto"/>
            <w:vAlign w:val="center"/>
          </w:tcPr>
          <w:p w14:paraId="543FCA1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1.彩屏控制系统， U盘脱机、网线、USB均可下载数据；加入断点续雕功能</w:t>
            </w:r>
          </w:p>
          <w:p w14:paraId="61375CF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2.软件兼容CorelDraw,AutoCAD,Photoshop及各种图形处理软件，直接原图输出功能</w:t>
            </w:r>
          </w:p>
          <w:p w14:paraId="7C4EA5EF">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3.24小时超长时间运转不丢步</w:t>
            </w:r>
          </w:p>
          <w:p w14:paraId="20C435E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4.前后通料，万向轮移动</w:t>
            </w:r>
          </w:p>
          <w:p w14:paraId="21066F1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5.应用材料：木制品、石材、有机玻璃、双色板、塑料、布料、皮革、纸、玻璃、水晶</w:t>
            </w:r>
          </w:p>
          <w:p w14:paraId="241D82C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6.激光器：封离式CO2激光管</w:t>
            </w:r>
          </w:p>
          <w:p w14:paraId="41D57AC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7.激光器功率：</w:t>
            </w:r>
            <w:r>
              <w:rPr>
                <w:rFonts w:ascii="宋体" w:hAnsi="宋体" w:cs="宋体"/>
                <w:kern w:val="0"/>
                <w:szCs w:val="21"/>
                <w:highlight w:val="none"/>
                <w:lang w:val="en"/>
              </w:rPr>
              <w:t>≥</w:t>
            </w:r>
            <w:r>
              <w:rPr>
                <w:rFonts w:hint="eastAsia" w:ascii="宋体" w:hAnsi="宋体" w:cs="宋体"/>
                <w:kern w:val="0"/>
                <w:szCs w:val="21"/>
                <w:highlight w:val="none"/>
              </w:rPr>
              <w:t>100W；</w:t>
            </w:r>
          </w:p>
          <w:p w14:paraId="36BA5C22">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8.波长：10.6μm；</w:t>
            </w:r>
          </w:p>
          <w:p w14:paraId="32F4257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9.冷却方式：循环水冷系统；</w:t>
            </w:r>
          </w:p>
          <w:p w14:paraId="2AAD15D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10.X*Y*Z行程(mm)：</w:t>
            </w:r>
            <w:r>
              <w:rPr>
                <w:rFonts w:ascii="宋体" w:hAnsi="宋体" w:cs="宋体"/>
                <w:kern w:val="0"/>
                <w:szCs w:val="21"/>
                <w:highlight w:val="none"/>
                <w:lang w:val="en"/>
              </w:rPr>
              <w:t>≥</w:t>
            </w:r>
            <w:r>
              <w:rPr>
                <w:rFonts w:hint="eastAsia" w:ascii="宋体" w:hAnsi="宋体" w:cs="宋体"/>
                <w:kern w:val="0"/>
                <w:szCs w:val="21"/>
                <w:highlight w:val="none"/>
              </w:rPr>
              <w:t>1300*900*225；</w:t>
            </w:r>
          </w:p>
          <w:p w14:paraId="5F40DAE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11.冷却方式：压缩机强制水冷及保护系统</w:t>
            </w:r>
          </w:p>
          <w:p w14:paraId="7D8DDB4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12.工作电压（V）：220V  50HZ；</w:t>
            </w:r>
          </w:p>
          <w:p w14:paraId="0B09E45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13.切割速度：</w:t>
            </w:r>
            <w:r>
              <w:rPr>
                <w:rFonts w:ascii="宋体" w:hAnsi="宋体" w:cs="宋体"/>
                <w:kern w:val="0"/>
                <w:szCs w:val="21"/>
                <w:highlight w:val="none"/>
              </w:rPr>
              <w:t>范围不小于</w:t>
            </w:r>
            <w:r>
              <w:rPr>
                <w:rFonts w:hint="eastAsia" w:ascii="宋体" w:hAnsi="宋体" w:cs="宋体"/>
                <w:kern w:val="0"/>
                <w:szCs w:val="21"/>
                <w:highlight w:val="none"/>
              </w:rPr>
              <w:t xml:space="preserve">0-1000mm/min </w:t>
            </w:r>
          </w:p>
          <w:p w14:paraId="26485C20">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14.雕刻速度：</w:t>
            </w:r>
            <w:r>
              <w:rPr>
                <w:rFonts w:ascii="宋体" w:hAnsi="宋体" w:cs="宋体"/>
                <w:kern w:val="0"/>
                <w:szCs w:val="21"/>
                <w:highlight w:val="none"/>
              </w:rPr>
              <w:t>范围不小于</w:t>
            </w:r>
            <w:r>
              <w:rPr>
                <w:rFonts w:hint="eastAsia" w:ascii="宋体" w:hAnsi="宋体" w:cs="宋体"/>
                <w:kern w:val="0"/>
                <w:szCs w:val="21"/>
                <w:highlight w:val="none"/>
              </w:rPr>
              <w:t>0-60000mm/min</w:t>
            </w:r>
          </w:p>
          <w:p w14:paraId="6EE2A73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15.机箱设计：前后送料门可开启设计，Y方向可无限延展；</w:t>
            </w:r>
          </w:p>
          <w:p w14:paraId="599FEE0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16.对焦方式：支持红外式自动对焦及手动对焦双模式；</w:t>
            </w:r>
          </w:p>
          <w:p w14:paraId="78E7AD9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 xml:space="preserve">17.定位精度：±0.05mm； </w:t>
            </w:r>
          </w:p>
          <w:p w14:paraId="68568B1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18.最小成型文字：文字1×1mm  English 0.7×0.7mm</w:t>
            </w:r>
          </w:p>
          <w:p w14:paraId="6B22C281">
            <w:pPr>
              <w:adjustRightInd w:val="0"/>
              <w:snapToGrid w:val="0"/>
              <w:spacing w:line="360" w:lineRule="auto"/>
              <w:rPr>
                <w:rFonts w:ascii="宋体" w:hAnsi="宋体" w:eastAsia="宋体" w:cs="宋体"/>
                <w:kern w:val="0"/>
                <w:sz w:val="21"/>
                <w:szCs w:val="21"/>
                <w:highlight w:val="none"/>
                <w:lang w:val="en-US" w:eastAsia="zh-CN" w:bidi="ar-SA"/>
              </w:rPr>
            </w:pPr>
            <w:r>
              <w:rPr>
                <w:rFonts w:hint="eastAsia" w:ascii="宋体" w:hAnsi="宋体" w:cs="宋体"/>
                <w:kern w:val="0"/>
                <w:szCs w:val="21"/>
                <w:highlight w:val="none"/>
              </w:rPr>
              <w:t>19.文件支持格式BMP HPGL PLT DST AI</w:t>
            </w:r>
          </w:p>
        </w:tc>
      </w:tr>
      <w:tr w14:paraId="28C4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32E0E34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19</w:t>
            </w:r>
          </w:p>
        </w:tc>
        <w:tc>
          <w:tcPr>
            <w:tcW w:w="1030" w:type="dxa"/>
            <w:shd w:val="clear" w:color="auto" w:fill="auto"/>
            <w:vAlign w:val="center"/>
          </w:tcPr>
          <w:p w14:paraId="34A46A8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大型激光雕刻机B</w:t>
            </w:r>
          </w:p>
        </w:tc>
        <w:tc>
          <w:tcPr>
            <w:tcW w:w="6643" w:type="dxa"/>
            <w:shd w:val="clear" w:color="auto" w:fill="auto"/>
            <w:vAlign w:val="center"/>
          </w:tcPr>
          <w:p w14:paraId="67BC45E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1.智能数控控制系统， U盘脱机、网线、USB均可下载数据；有智能寻边功能，能和UV打印机配合；具有断点续雕功能。</w:t>
            </w:r>
          </w:p>
          <w:p w14:paraId="0978CB8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2.软件兼容CorelDraw,AutoCAD,Photoshop及各种图形处理软件，直接原图输出功能。</w:t>
            </w:r>
          </w:p>
          <w:p w14:paraId="031ABC2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3.前后通料，万向轮移动。</w:t>
            </w:r>
          </w:p>
          <w:p w14:paraId="081C543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4.工作幅面：</w:t>
            </w:r>
            <w:r>
              <w:rPr>
                <w:rFonts w:ascii="宋体" w:hAnsi="宋体" w:cs="宋体"/>
                <w:kern w:val="0"/>
                <w:szCs w:val="21"/>
                <w:highlight w:val="none"/>
                <w:lang w:val="en"/>
              </w:rPr>
              <w:t>≥</w:t>
            </w:r>
            <w:r>
              <w:rPr>
                <w:rFonts w:hint="eastAsia" w:ascii="宋体" w:hAnsi="宋体" w:cs="宋体"/>
                <w:kern w:val="0"/>
                <w:szCs w:val="21"/>
                <w:highlight w:val="none"/>
              </w:rPr>
              <w:t>1300x2500mm</w:t>
            </w:r>
          </w:p>
          <w:p w14:paraId="49977E7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5.激光类型：封离式CO2激光管</w:t>
            </w:r>
          </w:p>
          <w:p w14:paraId="755F488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6.激光功率：</w:t>
            </w:r>
            <w:r>
              <w:rPr>
                <w:rFonts w:ascii="宋体" w:hAnsi="宋体" w:cs="宋体"/>
                <w:kern w:val="0"/>
                <w:szCs w:val="21"/>
                <w:highlight w:val="none"/>
                <w:lang w:val="en"/>
              </w:rPr>
              <w:t>≥</w:t>
            </w:r>
            <w:r>
              <w:rPr>
                <w:rFonts w:hint="eastAsia" w:ascii="宋体" w:hAnsi="宋体" w:cs="宋体"/>
                <w:kern w:val="0"/>
                <w:szCs w:val="21"/>
                <w:highlight w:val="none"/>
              </w:rPr>
              <w:t>300W</w:t>
            </w:r>
          </w:p>
          <w:p w14:paraId="502675E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7.冷却方式：压缩机强制水冷及保护系统</w:t>
            </w:r>
          </w:p>
          <w:p w14:paraId="42396650">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8.雕刻速度：</w:t>
            </w:r>
            <w:r>
              <w:rPr>
                <w:rFonts w:ascii="宋体" w:hAnsi="宋体" w:cs="宋体"/>
                <w:kern w:val="0"/>
                <w:szCs w:val="21"/>
                <w:highlight w:val="none"/>
              </w:rPr>
              <w:t>范围不小于</w:t>
            </w:r>
            <w:r>
              <w:rPr>
                <w:rFonts w:hint="eastAsia" w:ascii="宋体" w:hAnsi="宋体" w:cs="宋体"/>
                <w:kern w:val="0"/>
                <w:szCs w:val="21"/>
                <w:highlight w:val="none"/>
              </w:rPr>
              <w:t>0-60000mm/min</w:t>
            </w:r>
          </w:p>
          <w:p w14:paraId="4812320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9.切割速度：</w:t>
            </w:r>
            <w:r>
              <w:rPr>
                <w:rFonts w:ascii="宋体" w:hAnsi="宋体" w:cs="宋体"/>
                <w:kern w:val="0"/>
                <w:szCs w:val="21"/>
                <w:highlight w:val="none"/>
              </w:rPr>
              <w:t>范围不小于</w:t>
            </w:r>
            <w:r>
              <w:rPr>
                <w:rFonts w:hint="eastAsia" w:ascii="宋体" w:hAnsi="宋体" w:cs="宋体"/>
                <w:kern w:val="0"/>
                <w:szCs w:val="21"/>
                <w:highlight w:val="none"/>
              </w:rPr>
              <w:t>0-1000mm/min</w:t>
            </w:r>
          </w:p>
          <w:p w14:paraId="0FEAF56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10.重复定位精度：±0.05mm</w:t>
            </w:r>
          </w:p>
          <w:p w14:paraId="0C681525">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11.最小成型文字：文字1×1mm  English 0.7×0.7mm</w:t>
            </w:r>
          </w:p>
          <w:p w14:paraId="72A8D9D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12.支持图形格式：BMP、HPGL、PLT、DST、AI</w:t>
            </w:r>
          </w:p>
          <w:p w14:paraId="32932DB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13.控制软件：数控控制系统带寻边功能</w:t>
            </w:r>
          </w:p>
          <w:p w14:paraId="26A7686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14.驱动电机：步进驱动</w:t>
            </w:r>
          </w:p>
          <w:p w14:paraId="574A61F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15.工作电压：220V/50Hz</w:t>
            </w:r>
          </w:p>
          <w:p w14:paraId="333A5DAD">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16.工作温度：0-45℃</w:t>
            </w:r>
          </w:p>
          <w:p w14:paraId="05E0C3EB">
            <w:pPr>
              <w:adjustRightInd w:val="0"/>
              <w:snapToGrid w:val="0"/>
              <w:spacing w:line="360" w:lineRule="auto"/>
              <w:rPr>
                <w:rFonts w:ascii="宋体" w:hAnsi="宋体" w:eastAsia="宋体" w:cs="宋体"/>
                <w:kern w:val="0"/>
                <w:sz w:val="21"/>
                <w:szCs w:val="21"/>
                <w:highlight w:val="none"/>
                <w:lang w:val="en-US" w:eastAsia="zh-CN" w:bidi="ar-SA"/>
              </w:rPr>
            </w:pPr>
            <w:r>
              <w:rPr>
                <w:rFonts w:hint="eastAsia" w:ascii="宋体" w:hAnsi="宋体" w:cs="宋体"/>
                <w:kern w:val="0"/>
                <w:szCs w:val="21"/>
                <w:highlight w:val="none"/>
              </w:rPr>
              <w:t>17.应用材料：木制品、石材、有机玻璃、双色板、塑料、布料、皮革、纸、玻璃、水晶</w:t>
            </w:r>
          </w:p>
        </w:tc>
      </w:tr>
      <w:tr w14:paraId="6EAF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5B0B4571">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20</w:t>
            </w:r>
          </w:p>
        </w:tc>
        <w:tc>
          <w:tcPr>
            <w:tcW w:w="1030" w:type="dxa"/>
            <w:shd w:val="clear" w:color="auto" w:fill="auto"/>
            <w:vAlign w:val="center"/>
          </w:tcPr>
          <w:p w14:paraId="3551A9A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木工模型制作工具套装</w:t>
            </w:r>
          </w:p>
        </w:tc>
        <w:tc>
          <w:tcPr>
            <w:tcW w:w="6643" w:type="dxa"/>
            <w:shd w:val="clear" w:color="auto" w:fill="auto"/>
            <w:vAlign w:val="center"/>
          </w:tcPr>
          <w:p w14:paraId="155D61D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套装包含桌面小型设备，手工具，夹具；</w:t>
            </w:r>
          </w:p>
          <w:p w14:paraId="0F34A550">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一、桌面小型设备：</w:t>
            </w:r>
          </w:p>
          <w:p w14:paraId="20E64F1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16”无级调速拉花锯1台，4"x6"砂盘砂带组合机1台，1"x8"砂带砂盘机1台，联动集尘桶3台；</w:t>
            </w:r>
          </w:p>
          <w:p w14:paraId="6AB6A322">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二、手工具：</w:t>
            </w:r>
          </w:p>
          <w:p w14:paraId="2094F2B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热熔胶枪5个，手持曲线锯10个，10寸双刃锯10个，9.5寸夹背锯10个，平切锯10个，美工刀10个，剪子10个，木工锉扁平锉10个，木工锉半圆锉10个，木工锉圆锉10个，6件套什锦锉套装10套，300mm直尺10个，500mm直尺5个，300mm钢角尺5个，250mm不锈钢拐尺5个，200mm三角尺5个，铝合金尺座组合角尺5个，木柄铜头活动角尺5个，150mm弹簧划线规5个，5m卷尺5个，45°/90°角度规2个，A2双面切割垫10个，尖头镊子5个，宽头镊子5个，弯头镊子5个，砂纸打磨架10个，鼠标手刨打磨板10个（含替换砂纸15盒），砂纸套装1套（10中目数共计500张），473ml木工胶水5瓶；</w:t>
            </w:r>
          </w:p>
          <w:p w14:paraId="267696C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三、夹具：</w:t>
            </w:r>
          </w:p>
          <w:p w14:paraId="47A79F6A">
            <w:pPr>
              <w:adjustRightInd w:val="0"/>
              <w:snapToGrid w:val="0"/>
              <w:spacing w:line="360" w:lineRule="auto"/>
              <w:rPr>
                <w:rFonts w:ascii="宋体" w:hAnsi="宋体" w:eastAsia="宋体" w:cs="宋体"/>
                <w:kern w:val="0"/>
                <w:sz w:val="21"/>
                <w:szCs w:val="21"/>
                <w:highlight w:val="none"/>
                <w:lang w:val="en-US" w:eastAsia="zh-CN" w:bidi="ar-SA"/>
              </w:rPr>
            </w:pPr>
            <w:r>
              <w:rPr>
                <w:rFonts w:hint="eastAsia" w:ascii="宋体" w:hAnsi="宋体" w:cs="宋体"/>
                <w:kern w:val="0"/>
                <w:szCs w:val="21"/>
                <w:highlight w:val="none"/>
              </w:rPr>
              <w:t>12"可调木工夹3个，6''中型F夹6个，12''中型F夹6个，18''中型F夹6个，6'' 重型美式铁 F夹4个，12'' 重型美式 铁F夹4个，18'' 重型美式 铁F夹4个，可调塑料弹簧夹24个，G字夹12个，台面固定夹6个。</w:t>
            </w:r>
          </w:p>
        </w:tc>
      </w:tr>
      <w:tr w14:paraId="3078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679F10E8">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21</w:t>
            </w:r>
          </w:p>
        </w:tc>
        <w:tc>
          <w:tcPr>
            <w:tcW w:w="1030" w:type="dxa"/>
            <w:shd w:val="clear" w:color="auto" w:fill="auto"/>
            <w:vAlign w:val="center"/>
          </w:tcPr>
          <w:p w14:paraId="671BBB59">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高精度全自动交流稳压器</w:t>
            </w:r>
          </w:p>
        </w:tc>
        <w:tc>
          <w:tcPr>
            <w:tcW w:w="6643" w:type="dxa"/>
            <w:shd w:val="clear" w:color="auto" w:fill="auto"/>
            <w:vAlign w:val="top"/>
          </w:tcPr>
          <w:p w14:paraId="069D6F2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1.紧密布线、集成电路控制、双电压输出、双线包补偿调压、长寿命碳刷、伺服电机驱动；</w:t>
            </w:r>
          </w:p>
          <w:p w14:paraId="041621BD">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2.快速稳压，安全高效；</w:t>
            </w:r>
          </w:p>
          <w:p w14:paraId="01BBCEA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3.具有延时、过压、欠压及过流保护功能；</w:t>
            </w:r>
          </w:p>
          <w:p w14:paraId="7C780562">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4.容量：≥15000VA</w:t>
            </w:r>
          </w:p>
          <w:p w14:paraId="6430D63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5.稳压精度：220±4%</w:t>
            </w:r>
          </w:p>
          <w:p w14:paraId="23A6DC55">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6.过压保护：246±4V</w:t>
            </w:r>
          </w:p>
          <w:p w14:paraId="50EF95B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7.温升：＜60K</w:t>
            </w:r>
          </w:p>
          <w:p w14:paraId="555905F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8.频率：50/60Hz</w:t>
            </w:r>
          </w:p>
          <w:p w14:paraId="250FF3E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9.绝缘电阻：≥5mΩ</w:t>
            </w:r>
          </w:p>
          <w:p w14:paraId="76BDE41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10.耐压：1500V/MIN</w:t>
            </w:r>
          </w:p>
          <w:p w14:paraId="7BFBBFDD">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11.效率：＞90%</w:t>
            </w:r>
          </w:p>
          <w:p w14:paraId="2B0FA39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12.额定电流：68A（MAX）</w:t>
            </w:r>
          </w:p>
          <w:p w14:paraId="7E096395">
            <w:pPr>
              <w:adjustRightInd w:val="0"/>
              <w:snapToGrid w:val="0"/>
              <w:spacing w:line="360" w:lineRule="auto"/>
              <w:rPr>
                <w:rFonts w:hint="eastAsia" w:ascii="宋体" w:hAnsi="宋体" w:eastAsia="宋体" w:cs="宋体"/>
                <w:kern w:val="0"/>
                <w:sz w:val="21"/>
                <w:szCs w:val="21"/>
                <w:highlight w:val="none"/>
                <w:lang w:val="en-US" w:eastAsia="zh-CN" w:bidi="ar-SA"/>
              </w:rPr>
            </w:pPr>
            <w:r>
              <w:rPr>
                <w:rFonts w:hint="eastAsia" w:ascii="宋体" w:hAnsi="宋体" w:cs="宋体"/>
                <w:kern w:val="0"/>
                <w:szCs w:val="21"/>
                <w:highlight w:val="none"/>
              </w:rPr>
              <w:t>13.输入电压范围：160-250V</w:t>
            </w:r>
          </w:p>
        </w:tc>
      </w:tr>
      <w:tr w14:paraId="4BCB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5F30398F">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22</w:t>
            </w:r>
          </w:p>
        </w:tc>
        <w:tc>
          <w:tcPr>
            <w:tcW w:w="1030" w:type="dxa"/>
            <w:shd w:val="clear" w:color="auto" w:fill="auto"/>
            <w:vAlign w:val="center"/>
          </w:tcPr>
          <w:p w14:paraId="0650DB8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中央集尘管道系统</w:t>
            </w:r>
          </w:p>
        </w:tc>
        <w:tc>
          <w:tcPr>
            <w:tcW w:w="6643" w:type="dxa"/>
            <w:shd w:val="clear" w:color="auto" w:fill="auto"/>
            <w:vAlign w:val="top"/>
          </w:tcPr>
          <w:p w14:paraId="5DA34B85">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包含：智能除尘器1台，激光雕刻机净化器1台，镀锌管道系统1套。</w:t>
            </w:r>
          </w:p>
          <w:p w14:paraId="1F7412C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一、智能除尘器参数：</w:t>
            </w:r>
          </w:p>
          <w:p w14:paraId="15EB823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1.可为多台设备提供集尘服务，采用旋风分离技术，将大颗粒存入集尘桶，将细微粉尘吸入滤袋，增加集尘效率；</w:t>
            </w:r>
          </w:p>
          <w:p w14:paraId="1B7503C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2.纯铜铝壳电机</w:t>
            </w:r>
          </w:p>
          <w:p w14:paraId="419FD92F">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3.双底座万向轮方便移动</w:t>
            </w:r>
          </w:p>
          <w:p w14:paraId="016E8E7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4.旋风可视窗</w:t>
            </w:r>
          </w:p>
          <w:p w14:paraId="7265BC9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5.100L大尺寸集尘桶，粉尘可视窗，桶盖升降器，桶满报警器</w:t>
            </w:r>
          </w:p>
          <w:p w14:paraId="7405EB8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6.粉尘回收系统，粉尘二次回流</w:t>
            </w:r>
          </w:p>
          <w:p w14:paraId="17AF406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7.电动清尘毛刷，自动辅助清洁</w:t>
            </w:r>
          </w:p>
          <w:p w14:paraId="1DC03D0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8.远程遥控启停，智能报警系统</w:t>
            </w:r>
          </w:p>
          <w:p w14:paraId="024DAB2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9.过滤芯：微米级滤芯二次过滤</w:t>
            </w:r>
          </w:p>
          <w:p w14:paraId="4E43858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10.额定功率：2200w</w:t>
            </w:r>
          </w:p>
          <w:p w14:paraId="0050AF3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11.电压：220V/380V</w:t>
            </w:r>
          </w:p>
          <w:p w14:paraId="165A390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12.电机转速：</w:t>
            </w:r>
            <w:r>
              <w:rPr>
                <w:rFonts w:ascii="宋体" w:hAnsi="宋体" w:cs="宋体"/>
                <w:kern w:val="0"/>
                <w:szCs w:val="21"/>
                <w:highlight w:val="none"/>
              </w:rPr>
              <w:t>≥</w:t>
            </w:r>
            <w:r>
              <w:rPr>
                <w:rFonts w:hint="eastAsia" w:ascii="宋体" w:hAnsi="宋体" w:cs="宋体"/>
                <w:kern w:val="0"/>
                <w:szCs w:val="21"/>
                <w:highlight w:val="none"/>
              </w:rPr>
              <w:t>2800r/min</w:t>
            </w:r>
          </w:p>
          <w:p w14:paraId="0B6D00D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13.噪音等级：≤74dB，双重降噪技术</w:t>
            </w:r>
          </w:p>
          <w:p w14:paraId="792CB1A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14.风量：</w:t>
            </w:r>
            <w:r>
              <w:rPr>
                <w:rFonts w:ascii="宋体" w:hAnsi="宋体" w:cs="宋体"/>
                <w:kern w:val="0"/>
                <w:szCs w:val="21"/>
                <w:highlight w:val="none"/>
              </w:rPr>
              <w:t>≥</w:t>
            </w:r>
            <w:r>
              <w:rPr>
                <w:rFonts w:hint="eastAsia" w:ascii="宋体" w:hAnsi="宋体" w:cs="宋体"/>
                <w:kern w:val="0"/>
                <w:szCs w:val="21"/>
                <w:highlight w:val="none"/>
              </w:rPr>
              <w:t>1800m3/h</w:t>
            </w:r>
          </w:p>
          <w:p w14:paraId="486337D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15.过滤器类型：高分子聚酯纤维</w:t>
            </w:r>
          </w:p>
          <w:p w14:paraId="2F3B1180">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16.集尘口直径：150mm或100mm*2</w:t>
            </w:r>
          </w:p>
          <w:p w14:paraId="71CF6AC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二、激光雕刻机净化器参数：</w:t>
            </w:r>
          </w:p>
          <w:p w14:paraId="0F2DF74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1.激光雕刻机专用净化集尘器，可以有效处理加工过程中产生的，烟尘，粉尘，异味等有毒有害气体；</w:t>
            </w:r>
          </w:p>
          <w:p w14:paraId="7487B500">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2.配有移动滑轮方便移动；</w:t>
            </w:r>
          </w:p>
          <w:p w14:paraId="62B1E25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3.模块化设计；</w:t>
            </w:r>
          </w:p>
          <w:p w14:paraId="458071A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4.内置风机，做静音处理；</w:t>
            </w:r>
          </w:p>
          <w:p w14:paraId="540B196B">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5.电压：380V</w:t>
            </w:r>
          </w:p>
          <w:p w14:paraId="1BE0B4A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6.功率：</w:t>
            </w:r>
            <w:r>
              <w:rPr>
                <w:rFonts w:ascii="宋体" w:hAnsi="宋体" w:cs="宋体"/>
                <w:kern w:val="0"/>
                <w:szCs w:val="21"/>
                <w:highlight w:val="none"/>
              </w:rPr>
              <w:t>≥</w:t>
            </w:r>
            <w:r>
              <w:rPr>
                <w:rFonts w:hint="eastAsia" w:ascii="宋体" w:hAnsi="宋体" w:cs="宋体"/>
                <w:kern w:val="0"/>
                <w:szCs w:val="21"/>
                <w:highlight w:val="none"/>
              </w:rPr>
              <w:t>2.2KW</w:t>
            </w:r>
          </w:p>
          <w:p w14:paraId="57CD1D8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7.净化效率：99%</w:t>
            </w:r>
          </w:p>
          <w:p w14:paraId="6997DFEC">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8.清灰方式：自动脉冲</w:t>
            </w:r>
          </w:p>
          <w:p w14:paraId="234518F4">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9.处理风量：</w:t>
            </w:r>
            <w:r>
              <w:rPr>
                <w:rFonts w:ascii="宋体" w:hAnsi="宋体" w:cs="宋体"/>
                <w:kern w:val="0"/>
                <w:szCs w:val="21"/>
                <w:highlight w:val="none"/>
              </w:rPr>
              <w:t>≥</w:t>
            </w:r>
            <w:r>
              <w:rPr>
                <w:rFonts w:hint="eastAsia" w:ascii="宋体" w:hAnsi="宋体" w:cs="宋体"/>
                <w:kern w:val="0"/>
                <w:szCs w:val="21"/>
                <w:highlight w:val="none"/>
              </w:rPr>
              <w:t>3600m³/h</w:t>
            </w:r>
          </w:p>
          <w:p w14:paraId="7E2814E7">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10.噪音：≤65db</w:t>
            </w:r>
          </w:p>
          <w:p w14:paraId="5758EDA6">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11.进风口：160mm</w:t>
            </w:r>
          </w:p>
          <w:p w14:paraId="4F07F025">
            <w:pPr>
              <w:adjustRightInd w:val="0"/>
              <w:snapToGrid w:val="0"/>
              <w:spacing w:line="360" w:lineRule="auto"/>
              <w:jc w:val="left"/>
              <w:rPr>
                <w:rFonts w:ascii="宋体" w:hAnsi="宋体" w:cs="宋体"/>
                <w:kern w:val="0"/>
                <w:szCs w:val="21"/>
                <w:highlight w:val="none"/>
              </w:rPr>
            </w:pPr>
            <w:r>
              <w:rPr>
                <w:rFonts w:hint="eastAsia" w:ascii="宋体" w:hAnsi="宋体" w:cs="宋体"/>
                <w:kern w:val="0"/>
                <w:szCs w:val="21"/>
                <w:highlight w:val="none"/>
              </w:rPr>
              <w:t>三、镀锌管道系统参数：</w:t>
            </w:r>
          </w:p>
          <w:p w14:paraId="259F19B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1.镀锌金属直管：φ150mm（翻边）</w:t>
            </w:r>
          </w:p>
          <w:p w14:paraId="5896E923">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2.镀锌金属90°弯头：φ150mm（翻边）</w:t>
            </w:r>
          </w:p>
          <w:p w14:paraId="74E031D2">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3.镀锌金属：150-150-150mm等径马靴三通（翻边）</w:t>
            </w:r>
          </w:p>
          <w:p w14:paraId="2EA0CB9F">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4.镀锌金属变径：φ150mm-63/38mm</w:t>
            </w:r>
          </w:p>
          <w:p w14:paraId="036FFF78">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5.手动阀门，口径150mm</w:t>
            </w:r>
          </w:p>
          <w:p w14:paraId="16512791">
            <w:pPr>
              <w:adjustRightInd w:val="0"/>
              <w:snapToGrid w:val="0"/>
              <w:spacing w:line="360" w:lineRule="auto"/>
              <w:rPr>
                <w:rFonts w:ascii="宋体" w:hAnsi="宋体" w:eastAsia="宋体" w:cs="宋体"/>
                <w:kern w:val="0"/>
                <w:sz w:val="21"/>
                <w:szCs w:val="21"/>
                <w:highlight w:val="none"/>
                <w:lang w:val="en-US" w:eastAsia="zh-CN" w:bidi="ar-SA"/>
              </w:rPr>
            </w:pPr>
            <w:r>
              <w:rPr>
                <w:rFonts w:hint="eastAsia" w:ascii="宋体" w:hAnsi="宋体" w:cs="宋体"/>
                <w:kern w:val="0"/>
                <w:szCs w:val="21"/>
                <w:highlight w:val="none"/>
              </w:rPr>
              <w:t>6.安装工艺：管道之间使用镀锌快速卡箍连接。管道使用镀锌C型钢、底座、P型卡箍固定支撑，C型钢断面使用警示塑料堵头防止人员磕碰受伤。线路与气管排布在桥架内。设备集尘口与管道使用PE软管连接，并用卡箍固定。</w:t>
            </w:r>
          </w:p>
        </w:tc>
      </w:tr>
      <w:tr w14:paraId="7707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vAlign w:val="center"/>
          </w:tcPr>
          <w:p w14:paraId="7E88E0D3">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23</w:t>
            </w:r>
          </w:p>
        </w:tc>
        <w:tc>
          <w:tcPr>
            <w:tcW w:w="1030" w:type="dxa"/>
            <w:shd w:val="clear" w:color="auto" w:fill="auto"/>
            <w:vAlign w:val="center"/>
          </w:tcPr>
          <w:p w14:paraId="601A3C4C">
            <w:pPr>
              <w:widowControl/>
              <w:adjustRightInd w:val="0"/>
              <w:snapToGrid w:val="0"/>
              <w:spacing w:line="360" w:lineRule="auto"/>
              <w:jc w:val="center"/>
              <w:textAlignment w:val="center"/>
              <w:rPr>
                <w:rFonts w:ascii="宋体" w:hAnsi="宋体" w:cs="宋体"/>
                <w:kern w:val="0"/>
                <w:szCs w:val="21"/>
                <w:highlight w:val="none"/>
              </w:rPr>
            </w:pPr>
            <w:r>
              <w:rPr>
                <w:rFonts w:hint="eastAsia" w:ascii="宋体" w:hAnsi="宋体" w:cs="宋体"/>
                <w:kern w:val="0"/>
                <w:szCs w:val="21"/>
                <w:highlight w:val="none"/>
              </w:rPr>
              <w:t>安全防护用品套装</w:t>
            </w:r>
          </w:p>
        </w:tc>
        <w:tc>
          <w:tcPr>
            <w:tcW w:w="6643" w:type="dxa"/>
            <w:shd w:val="clear" w:color="auto" w:fill="auto"/>
            <w:vAlign w:val="top"/>
          </w:tcPr>
          <w:p w14:paraId="1CE4CB01">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套装包含：</w:t>
            </w:r>
          </w:p>
          <w:p w14:paraId="0D7501D1">
            <w:pPr>
              <w:adjustRightInd w:val="0"/>
              <w:snapToGrid w:val="0"/>
              <w:spacing w:line="360" w:lineRule="auto"/>
              <w:rPr>
                <w:rFonts w:ascii="宋体" w:hAnsi="宋体" w:eastAsia="宋体" w:cs="宋体"/>
                <w:kern w:val="0"/>
                <w:sz w:val="21"/>
                <w:szCs w:val="21"/>
                <w:highlight w:val="none"/>
                <w:lang w:val="en-US" w:eastAsia="zh-CN" w:bidi="ar-SA"/>
              </w:rPr>
            </w:pPr>
            <w:r>
              <w:rPr>
                <w:rFonts w:hint="eastAsia" w:ascii="宋体" w:hAnsi="宋体" w:cs="宋体"/>
                <w:kern w:val="0"/>
                <w:szCs w:val="21"/>
                <w:highlight w:val="none"/>
              </w:rPr>
              <w:t>5级防割手套60副，日常工作手套100副，高强度护目镜60个，抗冲击防护面罩10个，降噪防护耳赛200副，降噪防护耳罩10个，KN95口罩500个，工作围裙60个</w:t>
            </w:r>
          </w:p>
        </w:tc>
      </w:tr>
    </w:tbl>
    <w:p w14:paraId="43E70B8A">
      <w:pPr>
        <w:adjustRightInd w:val="0"/>
        <w:snapToGrid w:val="0"/>
        <w:spacing w:line="360" w:lineRule="auto"/>
        <w:ind w:firstLine="420" w:firstLineChars="200"/>
        <w:rPr>
          <w:rFonts w:ascii="宋体" w:hAnsi="宋体" w:cs="宋体"/>
          <w:bCs/>
          <w:szCs w:val="21"/>
          <w:highlight w:val="none"/>
        </w:rPr>
      </w:pPr>
    </w:p>
    <w:p w14:paraId="68EC4DDE">
      <w:pPr>
        <w:adjustRightInd w:val="0"/>
        <w:snapToGrid w:val="0"/>
        <w:spacing w:line="360" w:lineRule="auto"/>
        <w:ind w:firstLine="420" w:firstLineChars="200"/>
        <w:rPr>
          <w:rFonts w:ascii="宋体" w:hAnsi="宋体" w:cs="宋体"/>
          <w:bCs/>
          <w:szCs w:val="21"/>
          <w:highlight w:val="none"/>
        </w:rPr>
      </w:pPr>
      <w:r>
        <w:rPr>
          <w:rFonts w:hint="eastAsia" w:ascii="宋体" w:hAnsi="宋体" w:cs="宋体"/>
          <w:bCs/>
          <w:szCs w:val="21"/>
          <w:highlight w:val="none"/>
        </w:rPr>
        <w:br w:type="page"/>
      </w:r>
    </w:p>
    <w:p w14:paraId="016C4008">
      <w:pPr>
        <w:pStyle w:val="2"/>
        <w:snapToGrid w:val="0"/>
        <w:spacing w:line="360" w:lineRule="auto"/>
        <w:ind w:firstLine="643"/>
        <w:jc w:val="center"/>
        <w:rPr>
          <w:rFonts w:ascii="宋体" w:hAnsi="宋体" w:eastAsia="宋体" w:cs="宋体"/>
          <w:color w:val="auto"/>
          <w:sz w:val="32"/>
          <w:szCs w:val="32"/>
          <w:highlight w:val="none"/>
        </w:rPr>
      </w:pPr>
      <w:bookmarkStart w:id="243" w:name="_Toc14076"/>
      <w:r>
        <w:rPr>
          <w:rFonts w:hint="eastAsia" w:ascii="宋体" w:hAnsi="宋体" w:eastAsia="宋体" w:cs="宋体"/>
          <w:color w:val="auto"/>
          <w:sz w:val="32"/>
          <w:szCs w:val="32"/>
          <w:highlight w:val="none"/>
        </w:rPr>
        <w:t>第六章  谈判程序和方法</w:t>
      </w:r>
      <w:bookmarkEnd w:id="230"/>
      <w:bookmarkEnd w:id="231"/>
      <w:bookmarkEnd w:id="243"/>
    </w:p>
    <w:p w14:paraId="5B64E0D0">
      <w:pPr>
        <w:pStyle w:val="3"/>
        <w:adjustRightInd w:val="0"/>
        <w:snapToGrid w:val="0"/>
        <w:spacing w:before="0" w:after="0"/>
        <w:ind w:firstLine="562"/>
        <w:rPr>
          <w:rFonts w:ascii="宋体" w:hAnsi="宋体" w:cs="宋体"/>
          <w:szCs w:val="28"/>
          <w:highlight w:val="none"/>
        </w:rPr>
      </w:pPr>
      <w:bookmarkStart w:id="244" w:name="_Toc496805401"/>
      <w:bookmarkStart w:id="245" w:name="_Toc492340365"/>
      <w:bookmarkStart w:id="246" w:name="_Toc86124093"/>
      <w:bookmarkStart w:id="247" w:name="_Toc481316972"/>
      <w:bookmarkStart w:id="248" w:name="_Toc9459"/>
      <w:bookmarkStart w:id="249" w:name="_Toc191374457"/>
      <w:r>
        <w:rPr>
          <w:rFonts w:hint="eastAsia" w:ascii="宋体" w:hAnsi="宋体" w:cs="宋体"/>
          <w:szCs w:val="28"/>
          <w:highlight w:val="none"/>
        </w:rPr>
        <w:t>谈判程序和方法前附表</w:t>
      </w:r>
      <w:bookmarkEnd w:id="244"/>
      <w:bookmarkEnd w:id="245"/>
      <w:bookmarkEnd w:id="246"/>
      <w:bookmarkEnd w:id="247"/>
      <w:bookmarkEnd w:id="248"/>
      <w:bookmarkEnd w:id="249"/>
    </w:p>
    <w:tbl>
      <w:tblPr>
        <w:tblStyle w:val="38"/>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900"/>
        <w:gridCol w:w="1750"/>
        <w:gridCol w:w="5250"/>
      </w:tblGrid>
      <w:tr w14:paraId="6918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17" w:type="dxa"/>
            <w:gridSpan w:val="2"/>
            <w:vAlign w:val="center"/>
          </w:tcPr>
          <w:p w14:paraId="68554B99">
            <w:pPr>
              <w:adjustRightInd w:val="0"/>
              <w:snapToGrid w:val="0"/>
              <w:spacing w:line="360" w:lineRule="auto"/>
              <w:ind w:firstLine="422"/>
              <w:jc w:val="center"/>
              <w:rPr>
                <w:rFonts w:ascii="宋体" w:hAnsi="宋体" w:cs="宋体"/>
                <w:b/>
                <w:szCs w:val="21"/>
                <w:highlight w:val="none"/>
              </w:rPr>
            </w:pPr>
            <w:r>
              <w:rPr>
                <w:rFonts w:hint="eastAsia" w:ascii="宋体" w:hAnsi="宋体" w:cs="宋体"/>
                <w:b/>
                <w:szCs w:val="21"/>
                <w:highlight w:val="none"/>
              </w:rPr>
              <w:t>条款号</w:t>
            </w:r>
          </w:p>
        </w:tc>
        <w:tc>
          <w:tcPr>
            <w:tcW w:w="1750" w:type="dxa"/>
            <w:vAlign w:val="center"/>
          </w:tcPr>
          <w:p w14:paraId="1A88F65A">
            <w:pPr>
              <w:adjustRightInd w:val="0"/>
              <w:snapToGrid w:val="0"/>
              <w:spacing w:line="360" w:lineRule="auto"/>
              <w:ind w:firstLine="422"/>
              <w:jc w:val="center"/>
              <w:rPr>
                <w:rFonts w:ascii="宋体" w:hAnsi="宋体" w:cs="宋体"/>
                <w:b/>
                <w:szCs w:val="21"/>
                <w:highlight w:val="none"/>
              </w:rPr>
            </w:pPr>
            <w:r>
              <w:rPr>
                <w:rFonts w:hint="eastAsia" w:ascii="宋体" w:hAnsi="宋体" w:cs="宋体"/>
                <w:b/>
                <w:szCs w:val="21"/>
                <w:highlight w:val="none"/>
              </w:rPr>
              <w:t>审 查 内 容</w:t>
            </w:r>
          </w:p>
        </w:tc>
        <w:tc>
          <w:tcPr>
            <w:tcW w:w="5250" w:type="dxa"/>
            <w:vAlign w:val="center"/>
          </w:tcPr>
          <w:p w14:paraId="74EB1FF2">
            <w:pPr>
              <w:adjustRightInd w:val="0"/>
              <w:snapToGrid w:val="0"/>
              <w:spacing w:line="360" w:lineRule="auto"/>
              <w:ind w:firstLine="422"/>
              <w:jc w:val="center"/>
              <w:rPr>
                <w:rFonts w:ascii="宋体" w:hAnsi="宋体" w:cs="宋体"/>
                <w:b/>
                <w:szCs w:val="21"/>
                <w:highlight w:val="none"/>
              </w:rPr>
            </w:pPr>
            <w:r>
              <w:rPr>
                <w:rFonts w:hint="eastAsia" w:ascii="宋体" w:hAnsi="宋体" w:cs="宋体"/>
                <w:b/>
                <w:szCs w:val="21"/>
                <w:highlight w:val="none"/>
              </w:rPr>
              <w:t>审 查 标 准</w:t>
            </w:r>
          </w:p>
        </w:tc>
      </w:tr>
      <w:tr w14:paraId="491D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restart"/>
            <w:vAlign w:val="center"/>
          </w:tcPr>
          <w:p w14:paraId="0FB21749">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2.1</w:t>
            </w:r>
          </w:p>
        </w:tc>
        <w:tc>
          <w:tcPr>
            <w:tcW w:w="900" w:type="dxa"/>
            <w:vMerge w:val="restart"/>
            <w:vAlign w:val="center"/>
          </w:tcPr>
          <w:p w14:paraId="3E915D59">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实质性要求审查标准</w:t>
            </w:r>
          </w:p>
        </w:tc>
        <w:tc>
          <w:tcPr>
            <w:tcW w:w="1750" w:type="dxa"/>
            <w:vAlign w:val="center"/>
          </w:tcPr>
          <w:p w14:paraId="506D00C6">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资格条件</w:t>
            </w:r>
          </w:p>
        </w:tc>
        <w:tc>
          <w:tcPr>
            <w:tcW w:w="5250" w:type="dxa"/>
            <w:vAlign w:val="center"/>
          </w:tcPr>
          <w:p w14:paraId="209C94DE">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符合第二章“供应商须知”第4项规定</w:t>
            </w:r>
          </w:p>
        </w:tc>
      </w:tr>
      <w:tr w14:paraId="4AB3A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59B63A8B">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6F7A60DC">
            <w:pPr>
              <w:adjustRightInd w:val="0"/>
              <w:snapToGrid w:val="0"/>
              <w:spacing w:line="360" w:lineRule="auto"/>
              <w:jc w:val="center"/>
              <w:rPr>
                <w:rFonts w:ascii="宋体" w:hAnsi="宋体" w:cs="宋体"/>
                <w:szCs w:val="21"/>
                <w:highlight w:val="none"/>
              </w:rPr>
            </w:pPr>
          </w:p>
        </w:tc>
        <w:tc>
          <w:tcPr>
            <w:tcW w:w="1750" w:type="dxa"/>
            <w:vAlign w:val="center"/>
          </w:tcPr>
          <w:p w14:paraId="6E7EE8A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响应文件有效期</w:t>
            </w:r>
          </w:p>
        </w:tc>
        <w:tc>
          <w:tcPr>
            <w:tcW w:w="5250" w:type="dxa"/>
            <w:vAlign w:val="center"/>
          </w:tcPr>
          <w:p w14:paraId="19C581BF">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符合第二章“供应商须知”第17.1项规定</w:t>
            </w:r>
          </w:p>
        </w:tc>
      </w:tr>
      <w:tr w14:paraId="5B93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269B0ED7">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3EE28FE2">
            <w:pPr>
              <w:adjustRightInd w:val="0"/>
              <w:snapToGrid w:val="0"/>
              <w:spacing w:line="360" w:lineRule="auto"/>
              <w:jc w:val="center"/>
              <w:rPr>
                <w:rFonts w:ascii="宋体" w:hAnsi="宋体" w:cs="宋体"/>
                <w:szCs w:val="21"/>
                <w:highlight w:val="none"/>
              </w:rPr>
            </w:pPr>
          </w:p>
        </w:tc>
        <w:tc>
          <w:tcPr>
            <w:tcW w:w="1750" w:type="dxa"/>
            <w:vAlign w:val="center"/>
          </w:tcPr>
          <w:p w14:paraId="4B0EC97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谈判保证金</w:t>
            </w:r>
          </w:p>
        </w:tc>
        <w:tc>
          <w:tcPr>
            <w:tcW w:w="5250" w:type="dxa"/>
            <w:vAlign w:val="center"/>
          </w:tcPr>
          <w:p w14:paraId="52302B8A">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符合第二章“供应商须知”第18.1项规定</w:t>
            </w:r>
          </w:p>
        </w:tc>
      </w:tr>
      <w:tr w14:paraId="1F52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0A97342B">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253B6326">
            <w:pPr>
              <w:adjustRightInd w:val="0"/>
              <w:snapToGrid w:val="0"/>
              <w:spacing w:line="360" w:lineRule="auto"/>
              <w:jc w:val="center"/>
              <w:rPr>
                <w:rFonts w:ascii="宋体" w:hAnsi="宋体" w:cs="宋体"/>
                <w:szCs w:val="21"/>
                <w:highlight w:val="none"/>
              </w:rPr>
            </w:pPr>
          </w:p>
        </w:tc>
        <w:tc>
          <w:tcPr>
            <w:tcW w:w="1750" w:type="dxa"/>
            <w:vAlign w:val="center"/>
          </w:tcPr>
          <w:p w14:paraId="1B0ACA99">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谈判申请函</w:t>
            </w:r>
          </w:p>
        </w:tc>
        <w:tc>
          <w:tcPr>
            <w:tcW w:w="5250" w:type="dxa"/>
            <w:vAlign w:val="center"/>
          </w:tcPr>
          <w:p w14:paraId="2B7C336E">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有法定代表人或委托代理人电子签名或盖章，并加盖供应商电子公章；符合第四章“响应文件格式”中规定的格式及内容。</w:t>
            </w:r>
          </w:p>
        </w:tc>
      </w:tr>
      <w:tr w14:paraId="08F6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6C7586FD">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2C6ABE2C">
            <w:pPr>
              <w:adjustRightInd w:val="0"/>
              <w:snapToGrid w:val="0"/>
              <w:spacing w:line="360" w:lineRule="auto"/>
              <w:jc w:val="center"/>
              <w:rPr>
                <w:rFonts w:ascii="宋体" w:hAnsi="宋体" w:cs="宋体"/>
                <w:szCs w:val="21"/>
                <w:highlight w:val="none"/>
              </w:rPr>
            </w:pPr>
          </w:p>
        </w:tc>
        <w:tc>
          <w:tcPr>
            <w:tcW w:w="1750" w:type="dxa"/>
            <w:vAlign w:val="center"/>
          </w:tcPr>
          <w:p w14:paraId="692C0E94">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法定代表人身份证明书</w:t>
            </w:r>
          </w:p>
        </w:tc>
        <w:tc>
          <w:tcPr>
            <w:tcW w:w="5250" w:type="dxa"/>
            <w:vAlign w:val="center"/>
          </w:tcPr>
          <w:p w14:paraId="3AE95DBD">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符合谈判文件规定的格式及内容，并加盖供应商电子公章。</w:t>
            </w:r>
          </w:p>
        </w:tc>
      </w:tr>
      <w:tr w14:paraId="28BC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17" w:type="dxa"/>
            <w:vMerge w:val="continue"/>
            <w:vAlign w:val="center"/>
          </w:tcPr>
          <w:p w14:paraId="0C225AC3">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258C30E9">
            <w:pPr>
              <w:adjustRightInd w:val="0"/>
              <w:snapToGrid w:val="0"/>
              <w:spacing w:line="360" w:lineRule="auto"/>
              <w:jc w:val="center"/>
              <w:rPr>
                <w:rFonts w:ascii="宋体" w:hAnsi="宋体" w:cs="宋体"/>
                <w:szCs w:val="21"/>
                <w:highlight w:val="none"/>
              </w:rPr>
            </w:pPr>
          </w:p>
        </w:tc>
        <w:tc>
          <w:tcPr>
            <w:tcW w:w="1750" w:type="dxa"/>
            <w:vAlign w:val="center"/>
          </w:tcPr>
          <w:p w14:paraId="2A80ED4E">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法定代表人授权委托书</w:t>
            </w:r>
          </w:p>
        </w:tc>
        <w:tc>
          <w:tcPr>
            <w:tcW w:w="5250" w:type="dxa"/>
            <w:vAlign w:val="center"/>
          </w:tcPr>
          <w:p w14:paraId="7658B5FD">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有法定代表人电子签名或盖章，并加盖供应商电子公章；符合谈判文件规定的格式及内容。</w:t>
            </w:r>
          </w:p>
        </w:tc>
      </w:tr>
      <w:tr w14:paraId="34F1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227F1444">
            <w:pPr>
              <w:adjustRightInd w:val="0"/>
              <w:snapToGrid w:val="0"/>
              <w:spacing w:line="360" w:lineRule="auto"/>
              <w:jc w:val="center"/>
              <w:rPr>
                <w:rFonts w:ascii="宋体" w:hAnsi="宋体" w:cs="宋体"/>
                <w:szCs w:val="21"/>
                <w:highlight w:val="none"/>
              </w:rPr>
            </w:pPr>
          </w:p>
        </w:tc>
        <w:tc>
          <w:tcPr>
            <w:tcW w:w="900" w:type="dxa"/>
            <w:vMerge w:val="continue"/>
            <w:vAlign w:val="center"/>
          </w:tcPr>
          <w:p w14:paraId="0A97FB7E">
            <w:pPr>
              <w:adjustRightInd w:val="0"/>
              <w:snapToGrid w:val="0"/>
              <w:spacing w:line="360" w:lineRule="auto"/>
              <w:jc w:val="center"/>
              <w:rPr>
                <w:rFonts w:ascii="宋体" w:hAnsi="宋体" w:cs="宋体"/>
                <w:szCs w:val="21"/>
                <w:highlight w:val="none"/>
              </w:rPr>
            </w:pPr>
          </w:p>
        </w:tc>
        <w:tc>
          <w:tcPr>
            <w:tcW w:w="1750" w:type="dxa"/>
            <w:vAlign w:val="center"/>
          </w:tcPr>
          <w:p w14:paraId="0C71F318">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供应商具备参加政府采购活动条件承诺书</w:t>
            </w:r>
          </w:p>
        </w:tc>
        <w:tc>
          <w:tcPr>
            <w:tcW w:w="5250" w:type="dxa"/>
            <w:vAlign w:val="center"/>
          </w:tcPr>
          <w:p w14:paraId="2762FC5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符合《政府采购法》第二十二条规定</w:t>
            </w:r>
          </w:p>
        </w:tc>
      </w:tr>
      <w:tr w14:paraId="53DC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Merge w:val="continue"/>
            <w:vAlign w:val="center"/>
          </w:tcPr>
          <w:p w14:paraId="49F49F16">
            <w:pPr>
              <w:adjustRightInd w:val="0"/>
              <w:snapToGrid w:val="0"/>
              <w:spacing w:line="360" w:lineRule="auto"/>
              <w:rPr>
                <w:rFonts w:ascii="宋体" w:hAnsi="宋体" w:cs="宋体"/>
                <w:szCs w:val="21"/>
                <w:highlight w:val="none"/>
              </w:rPr>
            </w:pPr>
          </w:p>
        </w:tc>
        <w:tc>
          <w:tcPr>
            <w:tcW w:w="900" w:type="dxa"/>
            <w:vMerge w:val="continue"/>
            <w:vAlign w:val="center"/>
          </w:tcPr>
          <w:p w14:paraId="2452F672">
            <w:pPr>
              <w:adjustRightInd w:val="0"/>
              <w:snapToGrid w:val="0"/>
              <w:spacing w:line="360" w:lineRule="auto"/>
              <w:rPr>
                <w:rFonts w:ascii="宋体" w:hAnsi="宋体" w:cs="宋体"/>
                <w:szCs w:val="21"/>
                <w:highlight w:val="none"/>
              </w:rPr>
            </w:pPr>
          </w:p>
        </w:tc>
        <w:tc>
          <w:tcPr>
            <w:tcW w:w="1750" w:type="dxa"/>
            <w:vAlign w:val="center"/>
          </w:tcPr>
          <w:p w14:paraId="13A58E9F">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最后报价</w:t>
            </w:r>
          </w:p>
        </w:tc>
        <w:tc>
          <w:tcPr>
            <w:tcW w:w="5250" w:type="dxa"/>
            <w:vAlign w:val="center"/>
          </w:tcPr>
          <w:p w14:paraId="4F94B575">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最后报价未超过预算金额或最高限价或单价最高限价</w:t>
            </w:r>
          </w:p>
        </w:tc>
      </w:tr>
      <w:tr w14:paraId="7264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17" w:type="dxa"/>
            <w:vMerge w:val="continue"/>
            <w:vAlign w:val="center"/>
          </w:tcPr>
          <w:p w14:paraId="59600D66">
            <w:pPr>
              <w:adjustRightInd w:val="0"/>
              <w:snapToGrid w:val="0"/>
              <w:spacing w:line="360" w:lineRule="auto"/>
              <w:rPr>
                <w:rFonts w:ascii="宋体" w:hAnsi="宋体" w:cs="宋体"/>
                <w:szCs w:val="21"/>
                <w:highlight w:val="none"/>
              </w:rPr>
            </w:pPr>
          </w:p>
        </w:tc>
        <w:tc>
          <w:tcPr>
            <w:tcW w:w="900" w:type="dxa"/>
            <w:vMerge w:val="continue"/>
            <w:vAlign w:val="center"/>
          </w:tcPr>
          <w:p w14:paraId="436DA89C">
            <w:pPr>
              <w:adjustRightInd w:val="0"/>
              <w:snapToGrid w:val="0"/>
              <w:spacing w:line="360" w:lineRule="auto"/>
              <w:rPr>
                <w:rFonts w:ascii="宋体" w:hAnsi="宋体" w:cs="宋体"/>
                <w:szCs w:val="21"/>
                <w:highlight w:val="none"/>
              </w:rPr>
            </w:pPr>
          </w:p>
        </w:tc>
        <w:tc>
          <w:tcPr>
            <w:tcW w:w="1750" w:type="dxa"/>
            <w:vAlign w:val="center"/>
          </w:tcPr>
          <w:p w14:paraId="336B2F0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其它实质性要求</w:t>
            </w:r>
          </w:p>
        </w:tc>
        <w:tc>
          <w:tcPr>
            <w:tcW w:w="5250" w:type="dxa"/>
            <w:vAlign w:val="center"/>
          </w:tcPr>
          <w:p w14:paraId="3F7EE4F9">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1.实质性响应谈判文件中标注▲的条款；</w:t>
            </w:r>
          </w:p>
          <w:p w14:paraId="65CBA909">
            <w:pPr>
              <w:adjustRightInd w:val="0"/>
              <w:snapToGrid w:val="0"/>
              <w:spacing w:line="360" w:lineRule="auto"/>
              <w:jc w:val="left"/>
              <w:rPr>
                <w:rFonts w:ascii="宋体" w:hAnsi="宋体" w:cs="宋体"/>
                <w:highlight w:val="none"/>
              </w:rPr>
            </w:pPr>
            <w:r>
              <w:rPr>
                <w:rFonts w:hint="eastAsia" w:ascii="宋体" w:hAnsi="宋体" w:cs="宋体"/>
                <w:highlight w:val="none"/>
              </w:rPr>
              <w:t>2.响应文件中针对谈判文件第五章《采购需求》中标注★规格、技术条款和性能要求未出现1项以上（含1项）为负偏离；</w:t>
            </w:r>
          </w:p>
          <w:p w14:paraId="11377CD4">
            <w:pPr>
              <w:adjustRightInd w:val="0"/>
              <w:snapToGrid w:val="0"/>
              <w:spacing w:line="360" w:lineRule="auto"/>
              <w:jc w:val="left"/>
              <w:rPr>
                <w:rFonts w:ascii="宋体" w:hAnsi="宋体" w:cs="宋体"/>
                <w:highlight w:val="none"/>
              </w:rPr>
            </w:pPr>
            <w:r>
              <w:rPr>
                <w:rFonts w:hint="eastAsia" w:ascii="宋体" w:hAnsi="宋体" w:cs="宋体"/>
                <w:highlight w:val="none"/>
              </w:rPr>
              <w:t>3.响应文件中针对谈判文件第五章《采购需求》中未标注★规格、技术条款和性能要求未出现3项以上（含3项）为负偏离；</w:t>
            </w:r>
          </w:p>
          <w:p w14:paraId="31C1F325">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4.未出现竞争性谈判文件规定的其他无效情形。</w:t>
            </w:r>
          </w:p>
        </w:tc>
      </w:tr>
      <w:tr w14:paraId="7C78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14:paraId="776967B2">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2.2</w:t>
            </w:r>
          </w:p>
        </w:tc>
        <w:tc>
          <w:tcPr>
            <w:tcW w:w="900" w:type="dxa"/>
            <w:vAlign w:val="center"/>
          </w:tcPr>
          <w:p w14:paraId="59A1C926">
            <w:pPr>
              <w:adjustRightInd w:val="0"/>
              <w:snapToGrid w:val="0"/>
              <w:spacing w:line="360" w:lineRule="auto"/>
              <w:rPr>
                <w:rFonts w:ascii="宋体" w:hAnsi="宋体" w:cs="宋体"/>
                <w:szCs w:val="21"/>
                <w:highlight w:val="none"/>
              </w:rPr>
            </w:pPr>
            <w:r>
              <w:rPr>
                <w:rFonts w:hint="eastAsia" w:ascii="宋体" w:hAnsi="宋体" w:cs="宋体"/>
                <w:szCs w:val="21"/>
                <w:highlight w:val="none"/>
              </w:rPr>
              <w:t>谈判、比较与评价</w:t>
            </w:r>
          </w:p>
        </w:tc>
        <w:tc>
          <w:tcPr>
            <w:tcW w:w="7000" w:type="dxa"/>
            <w:gridSpan w:val="2"/>
            <w:vAlign w:val="center"/>
          </w:tcPr>
          <w:p w14:paraId="7FE31930">
            <w:pPr>
              <w:adjustRightInd w:val="0"/>
              <w:snapToGrid w:val="0"/>
              <w:spacing w:line="360" w:lineRule="auto"/>
              <w:rPr>
                <w:rFonts w:ascii="宋体" w:hAnsi="宋体" w:cs="宋体"/>
                <w:szCs w:val="21"/>
                <w:highlight w:val="none"/>
              </w:rPr>
            </w:pPr>
            <w:r>
              <w:rPr>
                <w:rFonts w:hint="eastAsia" w:ascii="宋体" w:hAnsi="宋体" w:cs="宋体"/>
                <w:szCs w:val="21"/>
                <w:highlight w:val="none"/>
              </w:rPr>
              <w:t>谈判小组所有成员集中与通过实质性要求审查的单一供应商分别进行谈判，谈判结束后，谈判小组将要求所有继续参加谈判的供应商在规定时间内提交最后报价，谈判小组根据各供应商最后报价、响应文件及澄清等，按“</w:t>
            </w:r>
            <w:r>
              <w:rPr>
                <w:rFonts w:hint="eastAsia" w:ascii="宋体" w:hAnsi="宋体" w:cs="宋体"/>
                <w:b/>
                <w:szCs w:val="21"/>
                <w:highlight w:val="none"/>
              </w:rPr>
              <w:t>谈判程序和方法</w:t>
            </w:r>
            <w:r>
              <w:rPr>
                <w:rFonts w:hint="eastAsia" w:ascii="宋体" w:hAnsi="宋体" w:cs="宋体"/>
                <w:szCs w:val="21"/>
                <w:highlight w:val="none"/>
              </w:rPr>
              <w:t>”中的规定推荐成交候选人。</w:t>
            </w:r>
          </w:p>
        </w:tc>
      </w:tr>
    </w:tbl>
    <w:p w14:paraId="4FB1857E">
      <w:pPr>
        <w:rPr>
          <w:rFonts w:ascii="宋体" w:hAnsi="宋体" w:cs="宋体"/>
          <w:szCs w:val="28"/>
          <w:highlight w:val="none"/>
        </w:rPr>
      </w:pPr>
      <w:bookmarkStart w:id="250" w:name="_Toc496805442"/>
      <w:bookmarkStart w:id="251" w:name="_Toc492340366"/>
      <w:bookmarkStart w:id="252" w:name="_Toc438157953"/>
      <w:bookmarkStart w:id="253" w:name="_Toc31220"/>
      <w:bookmarkStart w:id="254" w:name="_Toc464475984"/>
      <w:bookmarkStart w:id="255" w:name="_Toc481316973"/>
      <w:r>
        <w:rPr>
          <w:rFonts w:hint="eastAsia" w:ascii="宋体" w:hAnsi="宋体" w:cs="宋体"/>
          <w:szCs w:val="28"/>
          <w:highlight w:val="none"/>
        </w:rPr>
        <w:br w:type="page"/>
      </w:r>
    </w:p>
    <w:p w14:paraId="7B7EFBB7">
      <w:pPr>
        <w:pStyle w:val="3"/>
        <w:adjustRightInd w:val="0"/>
        <w:snapToGrid w:val="0"/>
        <w:spacing w:before="0" w:after="0"/>
        <w:ind w:firstLine="562"/>
        <w:jc w:val="both"/>
        <w:rPr>
          <w:rFonts w:ascii="宋体" w:hAnsi="宋体" w:cs="宋体"/>
          <w:szCs w:val="28"/>
          <w:highlight w:val="none"/>
        </w:rPr>
      </w:pPr>
      <w:r>
        <w:rPr>
          <w:rFonts w:hint="eastAsia" w:ascii="宋体" w:hAnsi="宋体" w:cs="宋体"/>
          <w:szCs w:val="28"/>
          <w:highlight w:val="none"/>
        </w:rPr>
        <w:t>1.谈判方法</w:t>
      </w:r>
      <w:bookmarkEnd w:id="250"/>
      <w:bookmarkEnd w:id="251"/>
      <w:bookmarkEnd w:id="252"/>
      <w:bookmarkEnd w:id="253"/>
      <w:bookmarkEnd w:id="254"/>
      <w:bookmarkEnd w:id="255"/>
    </w:p>
    <w:p w14:paraId="5606A844">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谈判小组所有成员集中与单一供应商分别进行谈判，并给予所有参加谈判的供应商平等的谈判机会。</w:t>
      </w:r>
    </w:p>
    <w:p w14:paraId="5ED87B43">
      <w:pPr>
        <w:pStyle w:val="3"/>
        <w:adjustRightInd w:val="0"/>
        <w:snapToGrid w:val="0"/>
        <w:spacing w:before="0" w:after="0"/>
        <w:ind w:firstLine="562"/>
        <w:jc w:val="both"/>
        <w:rPr>
          <w:rFonts w:ascii="宋体" w:hAnsi="宋体" w:cs="宋体"/>
          <w:szCs w:val="28"/>
          <w:highlight w:val="none"/>
        </w:rPr>
      </w:pPr>
      <w:bookmarkStart w:id="256" w:name="_Toc438157954"/>
      <w:bookmarkStart w:id="257" w:name="_Toc464475985"/>
      <w:bookmarkStart w:id="258" w:name="_Toc481316974"/>
      <w:bookmarkStart w:id="259" w:name="_Toc86124095"/>
      <w:bookmarkStart w:id="260" w:name="_Toc347849270"/>
      <w:bookmarkStart w:id="261" w:name="_Toc496805443"/>
      <w:bookmarkStart w:id="262" w:name="_Toc27251"/>
      <w:bookmarkStart w:id="263" w:name="_Toc492340367"/>
      <w:r>
        <w:rPr>
          <w:rFonts w:hint="eastAsia" w:ascii="宋体" w:hAnsi="宋体" w:cs="宋体"/>
          <w:szCs w:val="28"/>
          <w:highlight w:val="none"/>
        </w:rPr>
        <w:t>2.谈判</w:t>
      </w:r>
      <w:bookmarkEnd w:id="256"/>
      <w:bookmarkEnd w:id="257"/>
      <w:bookmarkEnd w:id="258"/>
      <w:bookmarkEnd w:id="259"/>
      <w:bookmarkEnd w:id="260"/>
      <w:r>
        <w:rPr>
          <w:rFonts w:hint="eastAsia" w:ascii="宋体" w:hAnsi="宋体" w:cs="宋体"/>
          <w:szCs w:val="28"/>
          <w:highlight w:val="none"/>
        </w:rPr>
        <w:t>程序</w:t>
      </w:r>
      <w:bookmarkEnd w:id="261"/>
      <w:bookmarkEnd w:id="262"/>
      <w:bookmarkEnd w:id="263"/>
    </w:p>
    <w:p w14:paraId="189F061D">
      <w:pPr>
        <w:pStyle w:val="4"/>
        <w:tabs>
          <w:tab w:val="left" w:pos="900"/>
        </w:tabs>
        <w:adjustRightInd w:val="0"/>
        <w:snapToGrid w:val="0"/>
        <w:spacing w:before="0" w:after="0"/>
        <w:ind w:firstLine="0" w:firstLineChars="0"/>
        <w:jc w:val="left"/>
        <w:rPr>
          <w:rFonts w:hAnsi="宋体" w:cs="宋体"/>
          <w:szCs w:val="24"/>
          <w:highlight w:val="none"/>
        </w:rPr>
      </w:pPr>
      <w:bookmarkStart w:id="264" w:name="_Toc496805444"/>
      <w:bookmarkStart w:id="265" w:name="_Toc464475986"/>
      <w:bookmarkStart w:id="266" w:name="_Toc347849271"/>
      <w:bookmarkStart w:id="267" w:name="_Toc492340368"/>
      <w:bookmarkStart w:id="268" w:name="_Toc48271429"/>
      <w:bookmarkStart w:id="269" w:name="_Toc329810237"/>
      <w:bookmarkStart w:id="270" w:name="_Toc86124096"/>
      <w:bookmarkStart w:id="271" w:name="_Toc438157955"/>
      <w:bookmarkStart w:id="272" w:name="_Toc9701"/>
      <w:bookmarkStart w:id="273" w:name="_Toc481316975"/>
      <w:bookmarkStart w:id="274" w:name="_Toc191374449"/>
      <w:r>
        <w:rPr>
          <w:rFonts w:hint="eastAsia" w:hAnsi="宋体" w:cs="宋体"/>
          <w:szCs w:val="24"/>
          <w:highlight w:val="none"/>
        </w:rPr>
        <w:t>2.1实质性要求审查</w:t>
      </w:r>
      <w:bookmarkEnd w:id="264"/>
      <w:bookmarkEnd w:id="265"/>
      <w:bookmarkEnd w:id="266"/>
      <w:bookmarkEnd w:id="267"/>
      <w:bookmarkEnd w:id="268"/>
      <w:bookmarkEnd w:id="269"/>
      <w:bookmarkEnd w:id="270"/>
      <w:bookmarkEnd w:id="271"/>
      <w:bookmarkEnd w:id="272"/>
      <w:bookmarkEnd w:id="273"/>
      <w:bookmarkEnd w:id="274"/>
    </w:p>
    <w:p w14:paraId="57C89055">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实质性要求审查标准：谈判小组</w:t>
      </w:r>
      <w:r>
        <w:rPr>
          <w:rFonts w:hint="eastAsia" w:ascii="宋体" w:hAnsi="宋体" w:cs="宋体"/>
          <w:kern w:val="0"/>
          <w:szCs w:val="21"/>
          <w:highlight w:val="none"/>
        </w:rPr>
        <w:t>依据法律法规和谈判文件的规定，对响应文件中的资格证明等进行审查（详</w:t>
      </w:r>
      <w:r>
        <w:rPr>
          <w:rFonts w:hint="eastAsia" w:ascii="宋体" w:hAnsi="宋体" w:cs="宋体"/>
          <w:szCs w:val="21"/>
          <w:highlight w:val="none"/>
        </w:rPr>
        <w:t>见“</w:t>
      </w:r>
      <w:r>
        <w:rPr>
          <w:rFonts w:hint="eastAsia" w:ascii="宋体" w:hAnsi="宋体" w:cs="宋体"/>
          <w:b/>
          <w:szCs w:val="21"/>
          <w:highlight w:val="none"/>
        </w:rPr>
        <w:t>谈判程序和方法前附表</w:t>
      </w:r>
      <w:r>
        <w:rPr>
          <w:rFonts w:hint="eastAsia" w:ascii="宋体" w:hAnsi="宋体" w:cs="宋体"/>
          <w:szCs w:val="21"/>
          <w:highlight w:val="none"/>
        </w:rPr>
        <w:t>”</w:t>
      </w:r>
      <w:r>
        <w:rPr>
          <w:rFonts w:hint="eastAsia" w:ascii="宋体" w:hAnsi="宋体" w:cs="宋体"/>
          <w:kern w:val="0"/>
          <w:szCs w:val="21"/>
          <w:highlight w:val="none"/>
        </w:rPr>
        <w:t>）</w:t>
      </w:r>
      <w:r>
        <w:rPr>
          <w:rFonts w:hint="eastAsia" w:ascii="宋体" w:hAnsi="宋体" w:cs="宋体"/>
          <w:szCs w:val="21"/>
          <w:highlight w:val="none"/>
        </w:rPr>
        <w:t>。</w:t>
      </w:r>
      <w:r>
        <w:rPr>
          <w:rFonts w:hint="eastAsia" w:ascii="宋体" w:hAnsi="宋体" w:cs="宋体"/>
          <w:bCs/>
          <w:szCs w:val="21"/>
          <w:highlight w:val="none"/>
        </w:rPr>
        <w:t>有一项不符合谈判标准的，不通过实质性要求审查，不再参与</w:t>
      </w:r>
      <w:r>
        <w:rPr>
          <w:rFonts w:hint="eastAsia" w:ascii="宋体" w:hAnsi="宋体" w:cs="宋体"/>
          <w:highlight w:val="none"/>
        </w:rPr>
        <w:t>谈判、比较与评价环节</w:t>
      </w:r>
      <w:r>
        <w:rPr>
          <w:rFonts w:hint="eastAsia" w:ascii="宋体" w:hAnsi="宋体" w:cs="宋体"/>
          <w:bCs/>
          <w:szCs w:val="21"/>
          <w:highlight w:val="none"/>
        </w:rPr>
        <w:t>。当符合实质性要求条件的供应商少于三家时，将终止本次竞争性谈判采购活动。</w:t>
      </w:r>
    </w:p>
    <w:p w14:paraId="7338B874">
      <w:pPr>
        <w:pStyle w:val="4"/>
        <w:tabs>
          <w:tab w:val="left" w:pos="900"/>
        </w:tabs>
        <w:adjustRightInd w:val="0"/>
        <w:snapToGrid w:val="0"/>
        <w:spacing w:before="0" w:after="0"/>
        <w:ind w:firstLine="0" w:firstLineChars="0"/>
        <w:jc w:val="left"/>
        <w:rPr>
          <w:rFonts w:hAnsi="宋体" w:cs="宋体"/>
          <w:szCs w:val="24"/>
          <w:highlight w:val="none"/>
        </w:rPr>
      </w:pPr>
      <w:bookmarkStart w:id="275" w:name="_Toc191374453"/>
      <w:bookmarkStart w:id="276" w:name="_Toc86124100"/>
      <w:bookmarkStart w:id="277" w:name="_Toc48271433"/>
      <w:bookmarkStart w:id="278" w:name="_Toc438157959"/>
      <w:bookmarkStart w:id="279" w:name="_Toc347849275"/>
      <w:bookmarkStart w:id="280" w:name="_Toc481316979"/>
      <w:bookmarkStart w:id="281" w:name="_Toc464475990"/>
      <w:bookmarkStart w:id="282" w:name="_Toc496805445"/>
      <w:bookmarkStart w:id="283" w:name="_Toc329810241"/>
      <w:bookmarkStart w:id="284" w:name="_Toc31344"/>
      <w:bookmarkStart w:id="285" w:name="_Toc492340369"/>
      <w:r>
        <w:rPr>
          <w:rFonts w:hint="eastAsia" w:hAnsi="宋体" w:cs="宋体"/>
          <w:szCs w:val="24"/>
          <w:highlight w:val="none"/>
        </w:rPr>
        <w:t>2.2</w:t>
      </w:r>
      <w:bookmarkEnd w:id="275"/>
      <w:bookmarkEnd w:id="276"/>
      <w:bookmarkStart w:id="286" w:name="_Toc86124101"/>
      <w:bookmarkStart w:id="287" w:name="_Toc191374454"/>
      <w:r>
        <w:rPr>
          <w:rFonts w:hint="eastAsia" w:hAnsi="宋体" w:cs="宋体"/>
          <w:szCs w:val="24"/>
          <w:highlight w:val="none"/>
        </w:rPr>
        <w:t>谈判</w:t>
      </w:r>
      <w:bookmarkEnd w:id="277"/>
      <w:r>
        <w:rPr>
          <w:rFonts w:hint="eastAsia" w:hAnsi="宋体" w:cs="宋体"/>
          <w:szCs w:val="24"/>
          <w:highlight w:val="none"/>
        </w:rPr>
        <w:t>、比较与评价</w:t>
      </w:r>
      <w:bookmarkEnd w:id="278"/>
      <w:bookmarkEnd w:id="279"/>
      <w:bookmarkEnd w:id="280"/>
      <w:bookmarkEnd w:id="281"/>
      <w:bookmarkEnd w:id="282"/>
      <w:bookmarkEnd w:id="283"/>
      <w:bookmarkEnd w:id="284"/>
      <w:bookmarkEnd w:id="285"/>
    </w:p>
    <w:p w14:paraId="5315021E">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2.2.1谈判小组所有成员集中与通过实质性要求审查的单一供应商分别进行谈判。在谈判中，谈判的任何一方不得透露与谈判有关的其他供应商的技术资料、价格、折扣和其他信息。</w:t>
      </w:r>
    </w:p>
    <w:p w14:paraId="322286FA">
      <w:pPr>
        <w:adjustRightInd w:val="0"/>
        <w:snapToGrid w:val="0"/>
        <w:spacing w:line="360" w:lineRule="auto"/>
        <w:ind w:firstLine="411" w:firstLineChars="196"/>
        <w:rPr>
          <w:rFonts w:ascii="宋体" w:hAnsi="宋体" w:cs="宋体"/>
          <w:szCs w:val="21"/>
          <w:highlight w:val="none"/>
        </w:rPr>
      </w:pPr>
      <w:r>
        <w:rPr>
          <w:rFonts w:hint="eastAsia" w:ascii="宋体" w:hAnsi="宋体" w:cs="宋体"/>
          <w:szCs w:val="21"/>
          <w:highlight w:val="none"/>
        </w:rPr>
        <w:t>2.2.2谈判文件有实质性变动的，谈判小组将经采购人代表确认后，以书面形式通知所有参加谈判的供应商。但不得对涉及竞争的公平、公正性内容进行修改、变动。</w:t>
      </w:r>
    </w:p>
    <w:p w14:paraId="6569176C">
      <w:pPr>
        <w:adjustRightInd w:val="0"/>
        <w:snapToGrid w:val="0"/>
        <w:spacing w:line="360" w:lineRule="auto"/>
        <w:ind w:firstLine="411" w:firstLineChars="196"/>
        <w:rPr>
          <w:rFonts w:ascii="宋体" w:hAnsi="宋体" w:cs="宋体"/>
          <w:szCs w:val="21"/>
          <w:highlight w:val="none"/>
        </w:rPr>
      </w:pPr>
      <w:r>
        <w:rPr>
          <w:rFonts w:hint="eastAsia" w:ascii="宋体" w:hAnsi="宋体" w:cs="宋体"/>
          <w:szCs w:val="21"/>
          <w:highlight w:val="none"/>
        </w:rPr>
        <w:t>2.2.3为有助于对响应文件的详细审查、评价和比较，谈判小组可要求对供应商分别进行技术询问、澄清，有关要求和答复均现场进行。</w:t>
      </w:r>
    </w:p>
    <w:p w14:paraId="0271DFF5">
      <w:pPr>
        <w:adjustRightInd w:val="0"/>
        <w:snapToGrid w:val="0"/>
        <w:spacing w:line="360" w:lineRule="auto"/>
        <w:ind w:firstLine="411" w:firstLineChars="196"/>
        <w:jc w:val="left"/>
        <w:rPr>
          <w:rFonts w:ascii="宋体" w:hAnsi="宋体" w:cs="宋体"/>
          <w:szCs w:val="21"/>
          <w:highlight w:val="none"/>
        </w:rPr>
      </w:pPr>
      <w:r>
        <w:rPr>
          <w:rFonts w:hint="eastAsia" w:ascii="宋体" w:hAnsi="宋体" w:cs="宋体"/>
          <w:szCs w:val="21"/>
          <w:highlight w:val="none"/>
        </w:rPr>
        <w:t>2.2.4谈判小组对供应商提交的澄清、说明有疑问的，可以要求供应商进一步澄清、说明。谈判小组要求供应商澄清、说明或者更正响应文件应当以书面形式作出。供应商的澄清、说明或者更正应当由法定代表人或其授权代表签字或者加盖供应商电子公章。</w:t>
      </w:r>
    </w:p>
    <w:p w14:paraId="6C8B4B35">
      <w:pPr>
        <w:adjustRightInd w:val="0"/>
        <w:snapToGrid w:val="0"/>
        <w:spacing w:line="360" w:lineRule="auto"/>
        <w:ind w:firstLine="411" w:firstLineChars="196"/>
        <w:rPr>
          <w:rFonts w:ascii="宋体" w:hAnsi="宋体" w:cs="宋体"/>
          <w:szCs w:val="21"/>
          <w:highlight w:val="none"/>
        </w:rPr>
      </w:pPr>
      <w:r>
        <w:rPr>
          <w:rFonts w:hint="eastAsia" w:ascii="宋体" w:hAnsi="宋体" w:cs="宋体"/>
          <w:szCs w:val="21"/>
          <w:highlight w:val="none"/>
        </w:rPr>
        <w:t>2.2.5谈判结束后，谈判小组将要求所有继续参加谈判的供应商在规定时间内提交最后报价，提交最后报价的供应商不得少于3家。</w:t>
      </w:r>
      <w:r>
        <w:rPr>
          <w:rFonts w:hint="eastAsia" w:ascii="宋体" w:hAnsi="宋体" w:cs="宋体"/>
          <w:highlight w:val="none"/>
        </w:rPr>
        <w:t>最后报价超过采购预算的，将不被推荐为成交候选人。</w:t>
      </w:r>
    </w:p>
    <w:p w14:paraId="09067A8D">
      <w:pPr>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2.2.6谈判小组根据各供应商最后报价、响应文件及澄清等，按“</w:t>
      </w:r>
      <w:r>
        <w:rPr>
          <w:rFonts w:hint="eastAsia" w:ascii="宋体" w:hAnsi="宋体" w:cs="宋体"/>
          <w:b/>
          <w:szCs w:val="21"/>
          <w:highlight w:val="none"/>
        </w:rPr>
        <w:t>谈判程序和方法</w:t>
      </w:r>
      <w:r>
        <w:rPr>
          <w:rFonts w:hint="eastAsia" w:ascii="宋体" w:hAnsi="宋体" w:cs="宋体"/>
          <w:szCs w:val="21"/>
          <w:highlight w:val="none"/>
        </w:rPr>
        <w:t>”中的规定推荐成交候选人，经谈判小组评审，质量或服务不能满足谈判文件实质性响应要求的供应商，不予推荐成交。</w:t>
      </w:r>
    </w:p>
    <w:p w14:paraId="185A0C97">
      <w:pPr>
        <w:adjustRightInd w:val="0"/>
        <w:snapToGrid w:val="0"/>
        <w:spacing w:line="360" w:lineRule="auto"/>
        <w:ind w:firstLine="411" w:firstLineChars="196"/>
        <w:rPr>
          <w:rFonts w:ascii="宋体" w:hAnsi="宋体" w:cs="宋体"/>
          <w:szCs w:val="21"/>
          <w:highlight w:val="none"/>
        </w:rPr>
      </w:pPr>
      <w:r>
        <w:rPr>
          <w:rFonts w:hint="eastAsia" w:ascii="宋体" w:hAnsi="宋体" w:cs="宋体"/>
          <w:szCs w:val="21"/>
          <w:highlight w:val="none"/>
        </w:rPr>
        <w:t>2.2.7谈判小组成员要依法独立审查，并对审查意见承担个人责任。谈判小组成员对需要共同认定的事项存在争议的，按照少数服从多数的原则做出结论。</w:t>
      </w:r>
    </w:p>
    <w:p w14:paraId="109D6AB8">
      <w:pPr>
        <w:adjustRightInd w:val="0"/>
        <w:snapToGrid w:val="0"/>
        <w:spacing w:line="360" w:lineRule="auto"/>
        <w:ind w:firstLine="411" w:firstLineChars="196"/>
        <w:rPr>
          <w:rFonts w:ascii="宋体" w:hAnsi="宋体" w:cs="宋体"/>
          <w:szCs w:val="21"/>
          <w:highlight w:val="none"/>
        </w:rPr>
      </w:pPr>
      <w:r>
        <w:rPr>
          <w:rFonts w:hint="eastAsia" w:ascii="宋体" w:hAnsi="宋体" w:cs="宋体"/>
          <w:szCs w:val="21"/>
          <w:highlight w:val="none"/>
        </w:rPr>
        <w:t>2.2.8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C2C220E">
      <w:pPr>
        <w:pStyle w:val="4"/>
        <w:tabs>
          <w:tab w:val="left" w:pos="900"/>
        </w:tabs>
        <w:adjustRightInd w:val="0"/>
        <w:snapToGrid w:val="0"/>
        <w:spacing w:before="0" w:after="0"/>
        <w:ind w:firstLine="0" w:firstLineChars="0"/>
        <w:jc w:val="left"/>
        <w:rPr>
          <w:rFonts w:hAnsi="宋体" w:cs="宋体"/>
          <w:szCs w:val="24"/>
          <w:highlight w:val="none"/>
        </w:rPr>
      </w:pPr>
      <w:bookmarkStart w:id="288" w:name="_Toc481316980"/>
      <w:bookmarkStart w:id="289" w:name="_Toc347849276"/>
      <w:bookmarkStart w:id="290" w:name="_Toc329810242"/>
      <w:bookmarkStart w:id="291" w:name="_Toc7963"/>
      <w:bookmarkStart w:id="292" w:name="_Toc438157960"/>
      <w:bookmarkStart w:id="293" w:name="_Toc464475991"/>
      <w:bookmarkStart w:id="294" w:name="_Toc496805446"/>
      <w:bookmarkStart w:id="295" w:name="_Toc492340370"/>
      <w:r>
        <w:rPr>
          <w:rFonts w:hint="eastAsia" w:hAnsi="宋体" w:cs="宋体"/>
          <w:szCs w:val="24"/>
          <w:highlight w:val="none"/>
        </w:rPr>
        <w:t>2.3 谈判结果</w:t>
      </w:r>
      <w:bookmarkEnd w:id="288"/>
      <w:bookmarkEnd w:id="289"/>
      <w:bookmarkEnd w:id="290"/>
      <w:bookmarkEnd w:id="291"/>
      <w:bookmarkEnd w:id="292"/>
      <w:bookmarkEnd w:id="293"/>
      <w:bookmarkEnd w:id="294"/>
      <w:bookmarkEnd w:id="295"/>
    </w:p>
    <w:bookmarkEnd w:id="286"/>
    <w:bookmarkEnd w:id="287"/>
    <w:p w14:paraId="71D164C5">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谈判小组根据竞争性谈判文件规定的谈判程序和方法对各供应商的响应文件进行评审，从质量和服务均能满足采购文件实质性响应要求的供应商中，按照最后报价</w:t>
      </w:r>
      <w:r>
        <w:rPr>
          <w:rFonts w:hint="eastAsia" w:ascii="宋体" w:hAnsi="宋体" w:cs="宋体"/>
          <w:highlight w:val="none"/>
        </w:rPr>
        <w:t>（符合中小企业划分标准或残疾人福利性单位的用扣除后的价格参与评审）</w:t>
      </w:r>
      <w:r>
        <w:rPr>
          <w:rFonts w:hint="eastAsia" w:ascii="宋体" w:hAnsi="宋体" w:cs="宋体"/>
          <w:szCs w:val="21"/>
          <w:highlight w:val="none"/>
        </w:rPr>
        <w:t>由低到高的顺序提出3名以上成交候选人，最后报价相同的，按照节能产品、环境标志产品、技术指标优劣顺序推荐，并编写评审报告。</w:t>
      </w:r>
    </w:p>
    <w:p w14:paraId="3B306DCC">
      <w:pPr>
        <w:adjustRightInd w:val="0"/>
        <w:snapToGrid w:val="0"/>
        <w:spacing w:line="360" w:lineRule="auto"/>
        <w:ind w:firstLine="472" w:firstLineChars="225"/>
        <w:rPr>
          <w:rFonts w:ascii="宋体" w:hAnsi="宋体" w:cs="宋体"/>
          <w:szCs w:val="21"/>
          <w:highlight w:val="none"/>
        </w:rPr>
      </w:pPr>
    </w:p>
    <w:p w14:paraId="0C414877">
      <w:pPr>
        <w:adjustRightInd w:val="0"/>
        <w:snapToGrid w:val="0"/>
        <w:spacing w:line="360" w:lineRule="auto"/>
        <w:rPr>
          <w:rFonts w:ascii="宋体" w:hAnsi="宋体" w:cs="宋体"/>
          <w:szCs w:val="21"/>
          <w:highlight w:val="none"/>
        </w:rPr>
      </w:pPr>
    </w:p>
    <w:sectPr>
      <w:pgSz w:w="11906" w:h="16838"/>
      <w:pgMar w:top="1440" w:right="1800" w:bottom="1440" w:left="1800" w:header="510" w:footer="68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5E6EA11-C0DA-49B8-8E63-42513DB9995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782584EB-6CDE-4AC4-BF7E-B86A653015F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embedRegular r:id="rId3" w:fontKey="{2000626B-E474-465E-B2D9-631EDF3970A2}"/>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embedRegular r:id="rId4" w:fontKey="{A1CCA2A9-925D-44D3-B5A9-608AD3AAEB4A}"/>
  </w:font>
  <w:font w:name="楷体">
    <w:panose1 w:val="02010609060101010101"/>
    <w:charset w:val="86"/>
    <w:family w:val="modern"/>
    <w:pitch w:val="default"/>
    <w:sig w:usb0="800002BF" w:usb1="38CF7CFA" w:usb2="00000016" w:usb3="00000000" w:csb0="00040001" w:csb1="00000000"/>
    <w:embedRegular r:id="rId5" w:fontKey="{139B2196-954D-4E5A-BCC7-9204F982E6BF}"/>
  </w:font>
  <w:font w:name="Cambria Math">
    <w:panose1 w:val="02040503050406030204"/>
    <w:charset w:val="00"/>
    <w:family w:val="roman"/>
    <w:pitch w:val="default"/>
    <w:sig w:usb0="E00006FF" w:usb1="420024FF" w:usb2="02000000" w:usb3="00000000" w:csb0="2000019F" w:csb1="00000000"/>
    <w:embedRegular r:id="rId6" w:fontKey="{FDF98897-9CDA-4FE9-A7C2-CFD04DDFAC8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D8101">
    <w:pPr>
      <w:pStyle w:val="22"/>
      <w:jc w:val="right"/>
      <w:rPr>
        <w:sz w:val="21"/>
      </w:rPr>
    </w:pPr>
    <w:r>
      <w:drawing>
        <wp:inline distT="0" distB="0" distL="114300" distR="114300">
          <wp:extent cx="1438275" cy="266700"/>
          <wp:effectExtent l="0" t="0" r="9525" b="0"/>
          <wp:docPr id="842848827"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48827"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2B409A">
                          <w:pPr>
                            <w:pStyle w:val="22"/>
                          </w:pPr>
                        </w:p>
                        <w:p w14:paraId="250C212D"/>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zqkhzIAQAAngMAAA4AAAAAAAAAAQAgAAAAHgEAAGRycy9lMm9Eb2Mu&#10;eG1sUEsFBgAAAAAGAAYAWQEAAFgFAAAAAA==&#10;">
              <v:fill on="f" focussize="0,0"/>
              <v:stroke on="f"/>
              <v:imagedata o:title=""/>
              <o:lock v:ext="edit" aspectratio="f"/>
              <v:textbox inset="0mm,0mm,0mm,0mm" style="mso-fit-shape-to-text:t;">
                <w:txbxContent>
                  <w:p w14:paraId="092B409A">
                    <w:pPr>
                      <w:pStyle w:val="22"/>
                    </w:pPr>
                  </w:p>
                  <w:p w14:paraId="250C212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87AB">
    <w:pPr>
      <w:pStyle w:val="22"/>
      <w:jc w:val="right"/>
    </w:pPr>
    <w:r>
      <w:drawing>
        <wp:inline distT="0" distB="0" distL="114300" distR="114300">
          <wp:extent cx="1438275" cy="266700"/>
          <wp:effectExtent l="0" t="0" r="9525" b="0"/>
          <wp:docPr id="120358981"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8981"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D64D81">
                          <w:pPr>
                            <w:pStyle w:val="22"/>
                            <w:jc w:val="right"/>
                          </w:pPr>
                        </w:p>
                        <w:p w14:paraId="2C43F964"/>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FOhrwyQEAAJ4DAAAOAAAAAAAAAAEAIAAAAB4BAABkcnMvZTJvRG9j&#10;LnhtbFBLBQYAAAAABgAGAFkBAABZBQAAAAA=&#10;">
              <v:fill on="f" focussize="0,0"/>
              <v:stroke on="f"/>
              <v:imagedata o:title=""/>
              <o:lock v:ext="edit" aspectratio="f"/>
              <v:textbox inset="0mm,0mm,0mm,0mm" style="mso-fit-shape-to-text:t;">
                <w:txbxContent>
                  <w:p w14:paraId="19D64D81">
                    <w:pPr>
                      <w:pStyle w:val="22"/>
                      <w:jc w:val="right"/>
                    </w:pPr>
                  </w:p>
                  <w:p w14:paraId="2C43F964"/>
                </w:txbxContent>
              </v:textbox>
            </v:shape>
          </w:pict>
        </mc:Fallback>
      </mc:AlternateContent>
    </w:r>
  </w:p>
  <w:p w14:paraId="614A86CC">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CCF67">
    <w:pPr>
      <w:pStyle w:val="22"/>
      <w:jc w:val="right"/>
      <w:rPr>
        <w:sz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2A860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C2A8608">
                    <w:pPr>
                      <w:pStyle w:val="22"/>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2073806790"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06790"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35DA71">
                          <w:pPr>
                            <w:pStyle w:val="22"/>
                          </w:pPr>
                        </w:p>
                        <w:p w14:paraId="70FF77A3"/>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PktQnyQEAAJ4DAAAOAAAAAAAAAAEAIAAAAB4BAABkcnMvZTJvRG9j&#10;LnhtbFBLBQYAAAAABgAGAFkBAABZBQAAAAA=&#10;">
              <v:fill on="f" focussize="0,0"/>
              <v:stroke on="f"/>
              <v:imagedata o:title=""/>
              <o:lock v:ext="edit" aspectratio="f"/>
              <v:textbox inset="0mm,0mm,0mm,0mm" style="mso-fit-shape-to-text:t;">
                <w:txbxContent>
                  <w:p w14:paraId="3D35DA71">
                    <w:pPr>
                      <w:pStyle w:val="22"/>
                    </w:pPr>
                  </w:p>
                  <w:p w14:paraId="70FF77A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5F6B8">
    <w:pPr>
      <w:pStyle w:val="22"/>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E603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F7E6037">
                    <w:pPr>
                      <w:pStyle w:val="22"/>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1206715001"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15001"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63AA45">
                          <w:pPr>
                            <w:pStyle w:val="22"/>
                            <w:jc w:val="right"/>
                          </w:pPr>
                        </w:p>
                        <w:p w14:paraId="4CB2789A"/>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E/Y2e3IAQAAngMAAA4AAAAAAAAAAQAgAAAAHgEAAGRycy9lMm9Eb2Mu&#10;eG1sUEsFBgAAAAAGAAYAWQEAAFgFAAAAAA==&#10;">
              <v:fill on="f" focussize="0,0"/>
              <v:stroke on="f"/>
              <v:imagedata o:title=""/>
              <o:lock v:ext="edit" aspectratio="f"/>
              <v:textbox inset="0mm,0mm,0mm,0mm" style="mso-fit-shape-to-text:t;">
                <w:txbxContent>
                  <w:p w14:paraId="4A63AA45">
                    <w:pPr>
                      <w:pStyle w:val="22"/>
                      <w:jc w:val="right"/>
                    </w:pPr>
                  </w:p>
                  <w:p w14:paraId="4CB2789A"/>
                </w:txbxContent>
              </v:textbox>
            </v:shape>
          </w:pict>
        </mc:Fallback>
      </mc:AlternateContent>
    </w:r>
  </w:p>
  <w:p w14:paraId="159B196A">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62D56">
    <w:pPr>
      <w:pBdr>
        <w:bottom w:val="single" w:color="auto" w:sz="4" w:space="0"/>
      </w:pBdr>
      <w:jc w:val="center"/>
    </w:pPr>
    <w:r>
      <w:rPr>
        <w:rFonts w:hint="eastAsia" w:hAnsi="宋体"/>
        <w:sz w:val="15"/>
        <w:szCs w:val="13"/>
        <w:lang w:eastAsia="zh-CN"/>
      </w:rPr>
      <w:t>云南大学建筑与规划学院建筑学本科专业评估达标实验室设备项目采购</w:t>
    </w:r>
    <w:r>
      <w:rPr>
        <w:rFonts w:hint="eastAsia" w:hAnsi="宋体"/>
        <w:sz w:val="15"/>
        <w:szCs w:val="13"/>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DD5B2">
    <w:pPr>
      <w:pBdr>
        <w:bottom w:val="single" w:color="auto" w:sz="4" w:space="0"/>
      </w:pBdr>
      <w:jc w:val="center"/>
    </w:pPr>
    <w:r>
      <w:rPr>
        <w:rFonts w:hint="eastAsia" w:hAnsi="宋体"/>
        <w:sz w:val="15"/>
        <w:szCs w:val="13"/>
        <w:lang w:eastAsia="zh-CN"/>
      </w:rPr>
      <w:t>云南大学建筑与规划学院建筑学本科专业评估达标实验室设备项目采购</w:t>
    </w:r>
    <w:r>
      <w:rPr>
        <w:rFonts w:hint="eastAsia" w:hAnsi="宋体"/>
        <w:sz w:val="15"/>
        <w:szCs w:val="13"/>
      </w:rPr>
      <w:t xml:space="preserve">                                 竞争性谈判文件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4OWQ3MWQ3NGVmMGZkNTQ2YzUyNjIyZjRjNjg3ODIifQ=="/>
  </w:docVars>
  <w:rsids>
    <w:rsidRoot w:val="003D21E6"/>
    <w:rsid w:val="0000042F"/>
    <w:rsid w:val="0000116D"/>
    <w:rsid w:val="000011A5"/>
    <w:rsid w:val="000017BA"/>
    <w:rsid w:val="00002616"/>
    <w:rsid w:val="00002E53"/>
    <w:rsid w:val="00002FD6"/>
    <w:rsid w:val="00004AB9"/>
    <w:rsid w:val="00004D9F"/>
    <w:rsid w:val="00005000"/>
    <w:rsid w:val="00010186"/>
    <w:rsid w:val="00010306"/>
    <w:rsid w:val="00010D77"/>
    <w:rsid w:val="000120A1"/>
    <w:rsid w:val="000123FE"/>
    <w:rsid w:val="00012512"/>
    <w:rsid w:val="000127A0"/>
    <w:rsid w:val="00013070"/>
    <w:rsid w:val="00013AB6"/>
    <w:rsid w:val="000142B3"/>
    <w:rsid w:val="000154FF"/>
    <w:rsid w:val="00015F3D"/>
    <w:rsid w:val="00016BB0"/>
    <w:rsid w:val="00016D12"/>
    <w:rsid w:val="00016D92"/>
    <w:rsid w:val="00017156"/>
    <w:rsid w:val="00017714"/>
    <w:rsid w:val="00020730"/>
    <w:rsid w:val="000215A0"/>
    <w:rsid w:val="00021A39"/>
    <w:rsid w:val="00024FF3"/>
    <w:rsid w:val="00025609"/>
    <w:rsid w:val="00026A07"/>
    <w:rsid w:val="00027C5B"/>
    <w:rsid w:val="000302B3"/>
    <w:rsid w:val="000309D9"/>
    <w:rsid w:val="00031AEC"/>
    <w:rsid w:val="00032D17"/>
    <w:rsid w:val="000351E8"/>
    <w:rsid w:val="000357D9"/>
    <w:rsid w:val="000366F2"/>
    <w:rsid w:val="00040C59"/>
    <w:rsid w:val="0004181F"/>
    <w:rsid w:val="00041848"/>
    <w:rsid w:val="00041B1E"/>
    <w:rsid w:val="0004387B"/>
    <w:rsid w:val="000444F5"/>
    <w:rsid w:val="000456E5"/>
    <w:rsid w:val="0004673B"/>
    <w:rsid w:val="00047DE9"/>
    <w:rsid w:val="00051C8D"/>
    <w:rsid w:val="00051CD9"/>
    <w:rsid w:val="0005311F"/>
    <w:rsid w:val="000538F0"/>
    <w:rsid w:val="00053ADE"/>
    <w:rsid w:val="000541A9"/>
    <w:rsid w:val="000579E9"/>
    <w:rsid w:val="00060629"/>
    <w:rsid w:val="0006178D"/>
    <w:rsid w:val="0006206A"/>
    <w:rsid w:val="000625C0"/>
    <w:rsid w:val="00062B4E"/>
    <w:rsid w:val="000648DA"/>
    <w:rsid w:val="000653F2"/>
    <w:rsid w:val="00065DAD"/>
    <w:rsid w:val="0006690F"/>
    <w:rsid w:val="0007058D"/>
    <w:rsid w:val="00070A04"/>
    <w:rsid w:val="00071A61"/>
    <w:rsid w:val="00072A3B"/>
    <w:rsid w:val="00073C4E"/>
    <w:rsid w:val="00073E7C"/>
    <w:rsid w:val="00075032"/>
    <w:rsid w:val="00076274"/>
    <w:rsid w:val="00077205"/>
    <w:rsid w:val="000805BC"/>
    <w:rsid w:val="00081F31"/>
    <w:rsid w:val="00082B74"/>
    <w:rsid w:val="000837D1"/>
    <w:rsid w:val="000856F2"/>
    <w:rsid w:val="00085ADB"/>
    <w:rsid w:val="00085CA0"/>
    <w:rsid w:val="000862F2"/>
    <w:rsid w:val="000871A3"/>
    <w:rsid w:val="00090477"/>
    <w:rsid w:val="00093589"/>
    <w:rsid w:val="00093B6B"/>
    <w:rsid w:val="000942E6"/>
    <w:rsid w:val="0009442C"/>
    <w:rsid w:val="0009493C"/>
    <w:rsid w:val="00094CE8"/>
    <w:rsid w:val="00094D27"/>
    <w:rsid w:val="00096AA4"/>
    <w:rsid w:val="00097296"/>
    <w:rsid w:val="00097628"/>
    <w:rsid w:val="000A0ED2"/>
    <w:rsid w:val="000A11D7"/>
    <w:rsid w:val="000A144D"/>
    <w:rsid w:val="000A1DB7"/>
    <w:rsid w:val="000A36D9"/>
    <w:rsid w:val="000A3D54"/>
    <w:rsid w:val="000A41F8"/>
    <w:rsid w:val="000A5163"/>
    <w:rsid w:val="000A55CC"/>
    <w:rsid w:val="000A7F64"/>
    <w:rsid w:val="000B0577"/>
    <w:rsid w:val="000B071C"/>
    <w:rsid w:val="000B0A65"/>
    <w:rsid w:val="000B38E5"/>
    <w:rsid w:val="000B3938"/>
    <w:rsid w:val="000B3C86"/>
    <w:rsid w:val="000B3F26"/>
    <w:rsid w:val="000B45CB"/>
    <w:rsid w:val="000B4760"/>
    <w:rsid w:val="000B494A"/>
    <w:rsid w:val="000B6603"/>
    <w:rsid w:val="000B69D6"/>
    <w:rsid w:val="000C0AB7"/>
    <w:rsid w:val="000C1AC8"/>
    <w:rsid w:val="000C25FF"/>
    <w:rsid w:val="000C2E50"/>
    <w:rsid w:val="000C3E36"/>
    <w:rsid w:val="000C4499"/>
    <w:rsid w:val="000C451E"/>
    <w:rsid w:val="000C5C45"/>
    <w:rsid w:val="000C63F5"/>
    <w:rsid w:val="000C737E"/>
    <w:rsid w:val="000D0334"/>
    <w:rsid w:val="000D073F"/>
    <w:rsid w:val="000D09F0"/>
    <w:rsid w:val="000D1920"/>
    <w:rsid w:val="000D28C5"/>
    <w:rsid w:val="000D2BBD"/>
    <w:rsid w:val="000D2FAD"/>
    <w:rsid w:val="000D364C"/>
    <w:rsid w:val="000D3B55"/>
    <w:rsid w:val="000D4075"/>
    <w:rsid w:val="000D4E90"/>
    <w:rsid w:val="000D631A"/>
    <w:rsid w:val="000D6C0B"/>
    <w:rsid w:val="000E062D"/>
    <w:rsid w:val="000E07D6"/>
    <w:rsid w:val="000E1576"/>
    <w:rsid w:val="000E3466"/>
    <w:rsid w:val="000E3AEF"/>
    <w:rsid w:val="000E44A6"/>
    <w:rsid w:val="000E52B3"/>
    <w:rsid w:val="000E6758"/>
    <w:rsid w:val="000E7624"/>
    <w:rsid w:val="000F129D"/>
    <w:rsid w:val="000F2105"/>
    <w:rsid w:val="000F320F"/>
    <w:rsid w:val="000F3379"/>
    <w:rsid w:val="000F38C0"/>
    <w:rsid w:val="000F476E"/>
    <w:rsid w:val="000F49A2"/>
    <w:rsid w:val="000F4F6E"/>
    <w:rsid w:val="000F5E76"/>
    <w:rsid w:val="000F6A8F"/>
    <w:rsid w:val="000F6E7E"/>
    <w:rsid w:val="000F73CF"/>
    <w:rsid w:val="000F7AE7"/>
    <w:rsid w:val="00100EF7"/>
    <w:rsid w:val="00102534"/>
    <w:rsid w:val="00102ECB"/>
    <w:rsid w:val="001048E2"/>
    <w:rsid w:val="0010491E"/>
    <w:rsid w:val="00104949"/>
    <w:rsid w:val="00104A3B"/>
    <w:rsid w:val="00104FAD"/>
    <w:rsid w:val="00105579"/>
    <w:rsid w:val="001057F4"/>
    <w:rsid w:val="0010599E"/>
    <w:rsid w:val="00105CFC"/>
    <w:rsid w:val="001069AD"/>
    <w:rsid w:val="00106B4A"/>
    <w:rsid w:val="00106EF9"/>
    <w:rsid w:val="00107377"/>
    <w:rsid w:val="00110C5A"/>
    <w:rsid w:val="00111C79"/>
    <w:rsid w:val="00111D3F"/>
    <w:rsid w:val="00111FDC"/>
    <w:rsid w:val="0011232A"/>
    <w:rsid w:val="001124EC"/>
    <w:rsid w:val="00114715"/>
    <w:rsid w:val="0011509A"/>
    <w:rsid w:val="00116CCB"/>
    <w:rsid w:val="00117131"/>
    <w:rsid w:val="001207A7"/>
    <w:rsid w:val="0012106C"/>
    <w:rsid w:val="00121335"/>
    <w:rsid w:val="00121621"/>
    <w:rsid w:val="001216BB"/>
    <w:rsid w:val="0012209D"/>
    <w:rsid w:val="00122D10"/>
    <w:rsid w:val="00122E72"/>
    <w:rsid w:val="001230AA"/>
    <w:rsid w:val="001234DF"/>
    <w:rsid w:val="001236C4"/>
    <w:rsid w:val="00125E0E"/>
    <w:rsid w:val="00127D49"/>
    <w:rsid w:val="00130523"/>
    <w:rsid w:val="00131A69"/>
    <w:rsid w:val="00131F98"/>
    <w:rsid w:val="0013200A"/>
    <w:rsid w:val="001334FB"/>
    <w:rsid w:val="001342E9"/>
    <w:rsid w:val="00135EF6"/>
    <w:rsid w:val="00136937"/>
    <w:rsid w:val="00136D04"/>
    <w:rsid w:val="0013766C"/>
    <w:rsid w:val="001376D4"/>
    <w:rsid w:val="0014027E"/>
    <w:rsid w:val="00140AA0"/>
    <w:rsid w:val="001422E3"/>
    <w:rsid w:val="00143B28"/>
    <w:rsid w:val="0014581D"/>
    <w:rsid w:val="00147D2E"/>
    <w:rsid w:val="00150580"/>
    <w:rsid w:val="00151AD1"/>
    <w:rsid w:val="00151D13"/>
    <w:rsid w:val="00152DA0"/>
    <w:rsid w:val="00153451"/>
    <w:rsid w:val="001538BC"/>
    <w:rsid w:val="00153F63"/>
    <w:rsid w:val="00154423"/>
    <w:rsid w:val="00154EC9"/>
    <w:rsid w:val="00154F41"/>
    <w:rsid w:val="00163005"/>
    <w:rsid w:val="00163877"/>
    <w:rsid w:val="00165E09"/>
    <w:rsid w:val="0016621B"/>
    <w:rsid w:val="001664F7"/>
    <w:rsid w:val="001704B3"/>
    <w:rsid w:val="00171E12"/>
    <w:rsid w:val="00172A1A"/>
    <w:rsid w:val="00172A8E"/>
    <w:rsid w:val="00173846"/>
    <w:rsid w:val="00174A59"/>
    <w:rsid w:val="001777FD"/>
    <w:rsid w:val="001810BE"/>
    <w:rsid w:val="00181983"/>
    <w:rsid w:val="00182248"/>
    <w:rsid w:val="0018428A"/>
    <w:rsid w:val="001847DA"/>
    <w:rsid w:val="001850F6"/>
    <w:rsid w:val="00190079"/>
    <w:rsid w:val="00193BB8"/>
    <w:rsid w:val="00195B25"/>
    <w:rsid w:val="00196FB7"/>
    <w:rsid w:val="001972F3"/>
    <w:rsid w:val="001976C5"/>
    <w:rsid w:val="001A0364"/>
    <w:rsid w:val="001A2532"/>
    <w:rsid w:val="001A3947"/>
    <w:rsid w:val="001A39DF"/>
    <w:rsid w:val="001A43AB"/>
    <w:rsid w:val="001A5CAB"/>
    <w:rsid w:val="001A5E04"/>
    <w:rsid w:val="001A683F"/>
    <w:rsid w:val="001A7C43"/>
    <w:rsid w:val="001B0101"/>
    <w:rsid w:val="001B0772"/>
    <w:rsid w:val="001B07F9"/>
    <w:rsid w:val="001B0C84"/>
    <w:rsid w:val="001B2E86"/>
    <w:rsid w:val="001B2ED9"/>
    <w:rsid w:val="001B5CDD"/>
    <w:rsid w:val="001B5D1F"/>
    <w:rsid w:val="001B60EA"/>
    <w:rsid w:val="001B6429"/>
    <w:rsid w:val="001B721C"/>
    <w:rsid w:val="001C0160"/>
    <w:rsid w:val="001C0B44"/>
    <w:rsid w:val="001C0DC2"/>
    <w:rsid w:val="001C3958"/>
    <w:rsid w:val="001C43EB"/>
    <w:rsid w:val="001C44B6"/>
    <w:rsid w:val="001C47A4"/>
    <w:rsid w:val="001C4E88"/>
    <w:rsid w:val="001C4F94"/>
    <w:rsid w:val="001C5201"/>
    <w:rsid w:val="001C5404"/>
    <w:rsid w:val="001C592D"/>
    <w:rsid w:val="001C68FB"/>
    <w:rsid w:val="001C6BCF"/>
    <w:rsid w:val="001D019B"/>
    <w:rsid w:val="001D051A"/>
    <w:rsid w:val="001D20E7"/>
    <w:rsid w:val="001D2612"/>
    <w:rsid w:val="001D296E"/>
    <w:rsid w:val="001D3688"/>
    <w:rsid w:val="001D4909"/>
    <w:rsid w:val="001D5339"/>
    <w:rsid w:val="001D5413"/>
    <w:rsid w:val="001D5E1E"/>
    <w:rsid w:val="001D73C9"/>
    <w:rsid w:val="001D76A7"/>
    <w:rsid w:val="001E1512"/>
    <w:rsid w:val="001E1B7E"/>
    <w:rsid w:val="001E29F4"/>
    <w:rsid w:val="001E3204"/>
    <w:rsid w:val="001E38B8"/>
    <w:rsid w:val="001E5E29"/>
    <w:rsid w:val="001E638D"/>
    <w:rsid w:val="001E6409"/>
    <w:rsid w:val="001E6948"/>
    <w:rsid w:val="001F078F"/>
    <w:rsid w:val="001F0AA7"/>
    <w:rsid w:val="001F177D"/>
    <w:rsid w:val="001F2878"/>
    <w:rsid w:val="001F32E9"/>
    <w:rsid w:val="001F3F8C"/>
    <w:rsid w:val="001F48A2"/>
    <w:rsid w:val="001F4FBA"/>
    <w:rsid w:val="001F519C"/>
    <w:rsid w:val="001F53B5"/>
    <w:rsid w:val="001F67A0"/>
    <w:rsid w:val="001F6F7B"/>
    <w:rsid w:val="001F72EC"/>
    <w:rsid w:val="00201019"/>
    <w:rsid w:val="00201C33"/>
    <w:rsid w:val="002022C3"/>
    <w:rsid w:val="00202BBC"/>
    <w:rsid w:val="002042E4"/>
    <w:rsid w:val="00204414"/>
    <w:rsid w:val="00204AF3"/>
    <w:rsid w:val="0020671C"/>
    <w:rsid w:val="00206D03"/>
    <w:rsid w:val="00207F87"/>
    <w:rsid w:val="00211602"/>
    <w:rsid w:val="002122D2"/>
    <w:rsid w:val="00213A20"/>
    <w:rsid w:val="002140BC"/>
    <w:rsid w:val="00214212"/>
    <w:rsid w:val="002159B0"/>
    <w:rsid w:val="0021639C"/>
    <w:rsid w:val="00216942"/>
    <w:rsid w:val="002175F3"/>
    <w:rsid w:val="00217683"/>
    <w:rsid w:val="00217A36"/>
    <w:rsid w:val="00220624"/>
    <w:rsid w:val="00220A44"/>
    <w:rsid w:val="00220DF6"/>
    <w:rsid w:val="00222944"/>
    <w:rsid w:val="00222CB9"/>
    <w:rsid w:val="0022315B"/>
    <w:rsid w:val="002245FD"/>
    <w:rsid w:val="0022632D"/>
    <w:rsid w:val="00226DF4"/>
    <w:rsid w:val="002302F2"/>
    <w:rsid w:val="00230A19"/>
    <w:rsid w:val="00230D28"/>
    <w:rsid w:val="0023239E"/>
    <w:rsid w:val="00232658"/>
    <w:rsid w:val="00232C82"/>
    <w:rsid w:val="0023384D"/>
    <w:rsid w:val="0023548C"/>
    <w:rsid w:val="00236B34"/>
    <w:rsid w:val="00237093"/>
    <w:rsid w:val="00240B29"/>
    <w:rsid w:val="00240D27"/>
    <w:rsid w:val="002412DB"/>
    <w:rsid w:val="00241F9E"/>
    <w:rsid w:val="002420ED"/>
    <w:rsid w:val="0024231B"/>
    <w:rsid w:val="00242611"/>
    <w:rsid w:val="00242B65"/>
    <w:rsid w:val="00244B91"/>
    <w:rsid w:val="00245017"/>
    <w:rsid w:val="00245981"/>
    <w:rsid w:val="00247C92"/>
    <w:rsid w:val="00250B90"/>
    <w:rsid w:val="00250C3E"/>
    <w:rsid w:val="002526B5"/>
    <w:rsid w:val="00253258"/>
    <w:rsid w:val="002536AA"/>
    <w:rsid w:val="002538B1"/>
    <w:rsid w:val="002543C7"/>
    <w:rsid w:val="00255342"/>
    <w:rsid w:val="00255470"/>
    <w:rsid w:val="00255B60"/>
    <w:rsid w:val="00262C57"/>
    <w:rsid w:val="00263059"/>
    <w:rsid w:val="002646ED"/>
    <w:rsid w:val="00264E62"/>
    <w:rsid w:val="002656DA"/>
    <w:rsid w:val="00265E70"/>
    <w:rsid w:val="00266889"/>
    <w:rsid w:val="00266A53"/>
    <w:rsid w:val="0026760B"/>
    <w:rsid w:val="00267B61"/>
    <w:rsid w:val="0027135C"/>
    <w:rsid w:val="00271506"/>
    <w:rsid w:val="002718D4"/>
    <w:rsid w:val="00271913"/>
    <w:rsid w:val="00272563"/>
    <w:rsid w:val="00273BB5"/>
    <w:rsid w:val="00273F45"/>
    <w:rsid w:val="002742DF"/>
    <w:rsid w:val="0027495B"/>
    <w:rsid w:val="002758AA"/>
    <w:rsid w:val="002763A7"/>
    <w:rsid w:val="002802B7"/>
    <w:rsid w:val="00280738"/>
    <w:rsid w:val="00280D1D"/>
    <w:rsid w:val="00280F5E"/>
    <w:rsid w:val="0028109F"/>
    <w:rsid w:val="00281A58"/>
    <w:rsid w:val="00281CF9"/>
    <w:rsid w:val="0028205E"/>
    <w:rsid w:val="002822B6"/>
    <w:rsid w:val="00284C59"/>
    <w:rsid w:val="002857C4"/>
    <w:rsid w:val="00285876"/>
    <w:rsid w:val="00286F59"/>
    <w:rsid w:val="0028735E"/>
    <w:rsid w:val="00287844"/>
    <w:rsid w:val="00287AC7"/>
    <w:rsid w:val="00290410"/>
    <w:rsid w:val="0029220E"/>
    <w:rsid w:val="00292AA4"/>
    <w:rsid w:val="002930CE"/>
    <w:rsid w:val="0029334C"/>
    <w:rsid w:val="002955A6"/>
    <w:rsid w:val="0029638F"/>
    <w:rsid w:val="00296C05"/>
    <w:rsid w:val="00296D82"/>
    <w:rsid w:val="00296EDA"/>
    <w:rsid w:val="002A054C"/>
    <w:rsid w:val="002A4995"/>
    <w:rsid w:val="002A4A15"/>
    <w:rsid w:val="002A54A1"/>
    <w:rsid w:val="002A6023"/>
    <w:rsid w:val="002B1E12"/>
    <w:rsid w:val="002B2148"/>
    <w:rsid w:val="002B2312"/>
    <w:rsid w:val="002B3606"/>
    <w:rsid w:val="002B4AC5"/>
    <w:rsid w:val="002B4DC3"/>
    <w:rsid w:val="002B511F"/>
    <w:rsid w:val="002B58E4"/>
    <w:rsid w:val="002B6357"/>
    <w:rsid w:val="002B64D3"/>
    <w:rsid w:val="002C0B7E"/>
    <w:rsid w:val="002C0F85"/>
    <w:rsid w:val="002C19D0"/>
    <w:rsid w:val="002C2001"/>
    <w:rsid w:val="002C3556"/>
    <w:rsid w:val="002C3E05"/>
    <w:rsid w:val="002C42A3"/>
    <w:rsid w:val="002C6307"/>
    <w:rsid w:val="002C7011"/>
    <w:rsid w:val="002D1373"/>
    <w:rsid w:val="002D1388"/>
    <w:rsid w:val="002D1F70"/>
    <w:rsid w:val="002D1F91"/>
    <w:rsid w:val="002D2F8E"/>
    <w:rsid w:val="002D310F"/>
    <w:rsid w:val="002D31A3"/>
    <w:rsid w:val="002D3497"/>
    <w:rsid w:val="002D356E"/>
    <w:rsid w:val="002D3635"/>
    <w:rsid w:val="002D3CE5"/>
    <w:rsid w:val="002D3DB4"/>
    <w:rsid w:val="002D4458"/>
    <w:rsid w:val="002D5EE9"/>
    <w:rsid w:val="002D64D8"/>
    <w:rsid w:val="002D69AD"/>
    <w:rsid w:val="002D7030"/>
    <w:rsid w:val="002D777B"/>
    <w:rsid w:val="002E050D"/>
    <w:rsid w:val="002E13C2"/>
    <w:rsid w:val="002E1A11"/>
    <w:rsid w:val="002E1ED2"/>
    <w:rsid w:val="002E2B02"/>
    <w:rsid w:val="002E2DEF"/>
    <w:rsid w:val="002E43D2"/>
    <w:rsid w:val="002E46E6"/>
    <w:rsid w:val="002E4A44"/>
    <w:rsid w:val="002E4B1B"/>
    <w:rsid w:val="002E5600"/>
    <w:rsid w:val="002E597D"/>
    <w:rsid w:val="002E6C92"/>
    <w:rsid w:val="002E7126"/>
    <w:rsid w:val="002E73A8"/>
    <w:rsid w:val="002E7F1E"/>
    <w:rsid w:val="002E7FE4"/>
    <w:rsid w:val="002F0BE7"/>
    <w:rsid w:val="002F0CFB"/>
    <w:rsid w:val="002F0DF7"/>
    <w:rsid w:val="002F0F10"/>
    <w:rsid w:val="002F1CE2"/>
    <w:rsid w:val="002F2E5C"/>
    <w:rsid w:val="002F3A89"/>
    <w:rsid w:val="002F4673"/>
    <w:rsid w:val="002F6E10"/>
    <w:rsid w:val="00301393"/>
    <w:rsid w:val="0030159B"/>
    <w:rsid w:val="00301A50"/>
    <w:rsid w:val="003025E6"/>
    <w:rsid w:val="00303769"/>
    <w:rsid w:val="0030585D"/>
    <w:rsid w:val="0030598B"/>
    <w:rsid w:val="00305AFD"/>
    <w:rsid w:val="00305B88"/>
    <w:rsid w:val="00305C3D"/>
    <w:rsid w:val="00305DED"/>
    <w:rsid w:val="00311E9F"/>
    <w:rsid w:val="0031250D"/>
    <w:rsid w:val="0031326A"/>
    <w:rsid w:val="00313279"/>
    <w:rsid w:val="003133C3"/>
    <w:rsid w:val="00313A77"/>
    <w:rsid w:val="003154CB"/>
    <w:rsid w:val="0031608B"/>
    <w:rsid w:val="0032151E"/>
    <w:rsid w:val="003225AD"/>
    <w:rsid w:val="0032292B"/>
    <w:rsid w:val="00323C9A"/>
    <w:rsid w:val="0032545A"/>
    <w:rsid w:val="00326506"/>
    <w:rsid w:val="00326CB4"/>
    <w:rsid w:val="0032701A"/>
    <w:rsid w:val="0032743F"/>
    <w:rsid w:val="0033055C"/>
    <w:rsid w:val="003305E6"/>
    <w:rsid w:val="0033060A"/>
    <w:rsid w:val="00330A77"/>
    <w:rsid w:val="00330E6B"/>
    <w:rsid w:val="00330F33"/>
    <w:rsid w:val="003315A7"/>
    <w:rsid w:val="00331660"/>
    <w:rsid w:val="003327EA"/>
    <w:rsid w:val="00332BAA"/>
    <w:rsid w:val="00333979"/>
    <w:rsid w:val="00333B97"/>
    <w:rsid w:val="0033453A"/>
    <w:rsid w:val="00334DF4"/>
    <w:rsid w:val="003355DB"/>
    <w:rsid w:val="003359B7"/>
    <w:rsid w:val="003359D0"/>
    <w:rsid w:val="00335F06"/>
    <w:rsid w:val="003373F4"/>
    <w:rsid w:val="00340101"/>
    <w:rsid w:val="00340E7F"/>
    <w:rsid w:val="00341E47"/>
    <w:rsid w:val="00341FA6"/>
    <w:rsid w:val="00342CDA"/>
    <w:rsid w:val="00343480"/>
    <w:rsid w:val="00343DFA"/>
    <w:rsid w:val="0034432F"/>
    <w:rsid w:val="00345828"/>
    <w:rsid w:val="00346264"/>
    <w:rsid w:val="0034723B"/>
    <w:rsid w:val="00347CD7"/>
    <w:rsid w:val="00350640"/>
    <w:rsid w:val="00350AE6"/>
    <w:rsid w:val="00352462"/>
    <w:rsid w:val="0035271E"/>
    <w:rsid w:val="00352E0B"/>
    <w:rsid w:val="00352E38"/>
    <w:rsid w:val="0035360A"/>
    <w:rsid w:val="003542DB"/>
    <w:rsid w:val="00354397"/>
    <w:rsid w:val="003548A9"/>
    <w:rsid w:val="00357C36"/>
    <w:rsid w:val="00360B29"/>
    <w:rsid w:val="00360C58"/>
    <w:rsid w:val="00360F6D"/>
    <w:rsid w:val="00361204"/>
    <w:rsid w:val="00361F66"/>
    <w:rsid w:val="00362C10"/>
    <w:rsid w:val="00362EC1"/>
    <w:rsid w:val="003630D8"/>
    <w:rsid w:val="003640D7"/>
    <w:rsid w:val="00364E33"/>
    <w:rsid w:val="00364F5D"/>
    <w:rsid w:val="003654F9"/>
    <w:rsid w:val="00365D2D"/>
    <w:rsid w:val="0036631E"/>
    <w:rsid w:val="00367320"/>
    <w:rsid w:val="00367EC4"/>
    <w:rsid w:val="0037059C"/>
    <w:rsid w:val="003716DA"/>
    <w:rsid w:val="00374B29"/>
    <w:rsid w:val="00375EEB"/>
    <w:rsid w:val="00377216"/>
    <w:rsid w:val="003772B9"/>
    <w:rsid w:val="003775A0"/>
    <w:rsid w:val="00380F59"/>
    <w:rsid w:val="003817BD"/>
    <w:rsid w:val="00381CA6"/>
    <w:rsid w:val="00382387"/>
    <w:rsid w:val="00382855"/>
    <w:rsid w:val="0038291A"/>
    <w:rsid w:val="003833A7"/>
    <w:rsid w:val="00383A59"/>
    <w:rsid w:val="00383B91"/>
    <w:rsid w:val="00384028"/>
    <w:rsid w:val="003845BE"/>
    <w:rsid w:val="00384BA3"/>
    <w:rsid w:val="0039150B"/>
    <w:rsid w:val="003917D1"/>
    <w:rsid w:val="00391D25"/>
    <w:rsid w:val="00391F7D"/>
    <w:rsid w:val="00392ED8"/>
    <w:rsid w:val="003931AC"/>
    <w:rsid w:val="00393373"/>
    <w:rsid w:val="00394474"/>
    <w:rsid w:val="00396C93"/>
    <w:rsid w:val="003979D1"/>
    <w:rsid w:val="003A049B"/>
    <w:rsid w:val="003A1163"/>
    <w:rsid w:val="003A1A4D"/>
    <w:rsid w:val="003A1F29"/>
    <w:rsid w:val="003A29E4"/>
    <w:rsid w:val="003A3839"/>
    <w:rsid w:val="003A4173"/>
    <w:rsid w:val="003A5803"/>
    <w:rsid w:val="003A5A91"/>
    <w:rsid w:val="003A5AA6"/>
    <w:rsid w:val="003A65CE"/>
    <w:rsid w:val="003A6E11"/>
    <w:rsid w:val="003A748A"/>
    <w:rsid w:val="003B0BE5"/>
    <w:rsid w:val="003B10C1"/>
    <w:rsid w:val="003B13ED"/>
    <w:rsid w:val="003B1437"/>
    <w:rsid w:val="003B2065"/>
    <w:rsid w:val="003B26F9"/>
    <w:rsid w:val="003B3EB9"/>
    <w:rsid w:val="003B7166"/>
    <w:rsid w:val="003B7428"/>
    <w:rsid w:val="003B7A01"/>
    <w:rsid w:val="003B7D8C"/>
    <w:rsid w:val="003C356B"/>
    <w:rsid w:val="003C4414"/>
    <w:rsid w:val="003C4633"/>
    <w:rsid w:val="003C4CF2"/>
    <w:rsid w:val="003C4D08"/>
    <w:rsid w:val="003C4E28"/>
    <w:rsid w:val="003C4F05"/>
    <w:rsid w:val="003C51CE"/>
    <w:rsid w:val="003C6BA6"/>
    <w:rsid w:val="003C7176"/>
    <w:rsid w:val="003D05DE"/>
    <w:rsid w:val="003D1A4E"/>
    <w:rsid w:val="003D21E6"/>
    <w:rsid w:val="003D43F1"/>
    <w:rsid w:val="003D6D7E"/>
    <w:rsid w:val="003D71E9"/>
    <w:rsid w:val="003D725E"/>
    <w:rsid w:val="003D742C"/>
    <w:rsid w:val="003E0618"/>
    <w:rsid w:val="003E175D"/>
    <w:rsid w:val="003E18F5"/>
    <w:rsid w:val="003E2483"/>
    <w:rsid w:val="003E28B3"/>
    <w:rsid w:val="003E33FB"/>
    <w:rsid w:val="003E3FC6"/>
    <w:rsid w:val="003E536D"/>
    <w:rsid w:val="003E60FA"/>
    <w:rsid w:val="003E6CC4"/>
    <w:rsid w:val="003E7803"/>
    <w:rsid w:val="003F14B2"/>
    <w:rsid w:val="003F2081"/>
    <w:rsid w:val="003F216B"/>
    <w:rsid w:val="003F44C4"/>
    <w:rsid w:val="003F5FD7"/>
    <w:rsid w:val="003F622D"/>
    <w:rsid w:val="003F64AF"/>
    <w:rsid w:val="003F6878"/>
    <w:rsid w:val="00401DE6"/>
    <w:rsid w:val="00402E06"/>
    <w:rsid w:val="00403DDB"/>
    <w:rsid w:val="00404EA7"/>
    <w:rsid w:val="004056C0"/>
    <w:rsid w:val="00405731"/>
    <w:rsid w:val="00405B60"/>
    <w:rsid w:val="0040709C"/>
    <w:rsid w:val="0040733F"/>
    <w:rsid w:val="00407CF9"/>
    <w:rsid w:val="00407EF8"/>
    <w:rsid w:val="00410DED"/>
    <w:rsid w:val="00410F75"/>
    <w:rsid w:val="00412223"/>
    <w:rsid w:val="00412F22"/>
    <w:rsid w:val="00412F4E"/>
    <w:rsid w:val="0041393A"/>
    <w:rsid w:val="0041402F"/>
    <w:rsid w:val="0041573C"/>
    <w:rsid w:val="00415BC9"/>
    <w:rsid w:val="004165D7"/>
    <w:rsid w:val="0041699C"/>
    <w:rsid w:val="00420337"/>
    <w:rsid w:val="00420747"/>
    <w:rsid w:val="00421051"/>
    <w:rsid w:val="004219EA"/>
    <w:rsid w:val="00421BE6"/>
    <w:rsid w:val="00421C7A"/>
    <w:rsid w:val="00422A4D"/>
    <w:rsid w:val="00422D96"/>
    <w:rsid w:val="004246C9"/>
    <w:rsid w:val="00424A39"/>
    <w:rsid w:val="00425B22"/>
    <w:rsid w:val="00426566"/>
    <w:rsid w:val="00426A02"/>
    <w:rsid w:val="00427ECE"/>
    <w:rsid w:val="00430A27"/>
    <w:rsid w:val="004329A9"/>
    <w:rsid w:val="004329CA"/>
    <w:rsid w:val="00432DFF"/>
    <w:rsid w:val="00433BC2"/>
    <w:rsid w:val="00434382"/>
    <w:rsid w:val="00434914"/>
    <w:rsid w:val="004354A9"/>
    <w:rsid w:val="0043663B"/>
    <w:rsid w:val="00437477"/>
    <w:rsid w:val="0044010C"/>
    <w:rsid w:val="00440F86"/>
    <w:rsid w:val="00441CEB"/>
    <w:rsid w:val="00442EC9"/>
    <w:rsid w:val="004431B7"/>
    <w:rsid w:val="00443A7D"/>
    <w:rsid w:val="00443D64"/>
    <w:rsid w:val="004444BB"/>
    <w:rsid w:val="004448EE"/>
    <w:rsid w:val="004454F4"/>
    <w:rsid w:val="004460AD"/>
    <w:rsid w:val="004463AB"/>
    <w:rsid w:val="004464B6"/>
    <w:rsid w:val="00446594"/>
    <w:rsid w:val="00446C24"/>
    <w:rsid w:val="00446E5B"/>
    <w:rsid w:val="004504C4"/>
    <w:rsid w:val="004505FF"/>
    <w:rsid w:val="00450A7C"/>
    <w:rsid w:val="004518B6"/>
    <w:rsid w:val="004529CD"/>
    <w:rsid w:val="004535E3"/>
    <w:rsid w:val="00453DBF"/>
    <w:rsid w:val="0045480C"/>
    <w:rsid w:val="00454AE8"/>
    <w:rsid w:val="00454CA7"/>
    <w:rsid w:val="00454D43"/>
    <w:rsid w:val="00455F22"/>
    <w:rsid w:val="00456A1C"/>
    <w:rsid w:val="00457EDB"/>
    <w:rsid w:val="0046015A"/>
    <w:rsid w:val="00460170"/>
    <w:rsid w:val="004631CC"/>
    <w:rsid w:val="00463ABA"/>
    <w:rsid w:val="0046491A"/>
    <w:rsid w:val="004649C5"/>
    <w:rsid w:val="004666BD"/>
    <w:rsid w:val="00466968"/>
    <w:rsid w:val="00471170"/>
    <w:rsid w:val="004732D9"/>
    <w:rsid w:val="004743B6"/>
    <w:rsid w:val="004747F6"/>
    <w:rsid w:val="00475E06"/>
    <w:rsid w:val="00476F97"/>
    <w:rsid w:val="00477D02"/>
    <w:rsid w:val="00480836"/>
    <w:rsid w:val="004813C0"/>
    <w:rsid w:val="00483B4A"/>
    <w:rsid w:val="00483E08"/>
    <w:rsid w:val="00483FAE"/>
    <w:rsid w:val="00483FFD"/>
    <w:rsid w:val="0048550B"/>
    <w:rsid w:val="004856A1"/>
    <w:rsid w:val="00486546"/>
    <w:rsid w:val="00486B64"/>
    <w:rsid w:val="00486D12"/>
    <w:rsid w:val="00487069"/>
    <w:rsid w:val="0049187F"/>
    <w:rsid w:val="0049237C"/>
    <w:rsid w:val="004927D9"/>
    <w:rsid w:val="004927F1"/>
    <w:rsid w:val="00492E06"/>
    <w:rsid w:val="00493F7E"/>
    <w:rsid w:val="00494005"/>
    <w:rsid w:val="00494537"/>
    <w:rsid w:val="00494D7A"/>
    <w:rsid w:val="004963A5"/>
    <w:rsid w:val="004973E5"/>
    <w:rsid w:val="00497BDD"/>
    <w:rsid w:val="00497F19"/>
    <w:rsid w:val="004A16EC"/>
    <w:rsid w:val="004A19D6"/>
    <w:rsid w:val="004A1CF5"/>
    <w:rsid w:val="004A1D61"/>
    <w:rsid w:val="004A219B"/>
    <w:rsid w:val="004A2CE1"/>
    <w:rsid w:val="004A3673"/>
    <w:rsid w:val="004A3CBB"/>
    <w:rsid w:val="004A4048"/>
    <w:rsid w:val="004A5027"/>
    <w:rsid w:val="004A50C9"/>
    <w:rsid w:val="004A50DE"/>
    <w:rsid w:val="004A5622"/>
    <w:rsid w:val="004A59AD"/>
    <w:rsid w:val="004A5EAE"/>
    <w:rsid w:val="004A5EEF"/>
    <w:rsid w:val="004A6146"/>
    <w:rsid w:val="004A6155"/>
    <w:rsid w:val="004A64B8"/>
    <w:rsid w:val="004A65A9"/>
    <w:rsid w:val="004A6877"/>
    <w:rsid w:val="004A776D"/>
    <w:rsid w:val="004B0D50"/>
    <w:rsid w:val="004B1208"/>
    <w:rsid w:val="004B14D5"/>
    <w:rsid w:val="004B29EF"/>
    <w:rsid w:val="004B32E5"/>
    <w:rsid w:val="004B38B3"/>
    <w:rsid w:val="004B597E"/>
    <w:rsid w:val="004B62B2"/>
    <w:rsid w:val="004B62E2"/>
    <w:rsid w:val="004B6757"/>
    <w:rsid w:val="004B6C2E"/>
    <w:rsid w:val="004B7CCE"/>
    <w:rsid w:val="004C0E20"/>
    <w:rsid w:val="004C1238"/>
    <w:rsid w:val="004C18C7"/>
    <w:rsid w:val="004C1A40"/>
    <w:rsid w:val="004C2C6D"/>
    <w:rsid w:val="004C3384"/>
    <w:rsid w:val="004C371A"/>
    <w:rsid w:val="004C3C87"/>
    <w:rsid w:val="004C41B7"/>
    <w:rsid w:val="004C433D"/>
    <w:rsid w:val="004C5C3C"/>
    <w:rsid w:val="004C6E7A"/>
    <w:rsid w:val="004C75BB"/>
    <w:rsid w:val="004C7BB3"/>
    <w:rsid w:val="004D17CC"/>
    <w:rsid w:val="004D1A02"/>
    <w:rsid w:val="004D1E17"/>
    <w:rsid w:val="004D3E4C"/>
    <w:rsid w:val="004D4826"/>
    <w:rsid w:val="004D4EFF"/>
    <w:rsid w:val="004D51E0"/>
    <w:rsid w:val="004D62FC"/>
    <w:rsid w:val="004D6FF1"/>
    <w:rsid w:val="004E1342"/>
    <w:rsid w:val="004E1910"/>
    <w:rsid w:val="004E1F94"/>
    <w:rsid w:val="004E32DF"/>
    <w:rsid w:val="004E411D"/>
    <w:rsid w:val="004E51CB"/>
    <w:rsid w:val="004E554A"/>
    <w:rsid w:val="004E6B49"/>
    <w:rsid w:val="004F14CF"/>
    <w:rsid w:val="004F2263"/>
    <w:rsid w:val="004F5483"/>
    <w:rsid w:val="004F6A24"/>
    <w:rsid w:val="004F6B12"/>
    <w:rsid w:val="004F6E40"/>
    <w:rsid w:val="004F74FC"/>
    <w:rsid w:val="004F77DC"/>
    <w:rsid w:val="005010D4"/>
    <w:rsid w:val="00502095"/>
    <w:rsid w:val="00502376"/>
    <w:rsid w:val="00504A4A"/>
    <w:rsid w:val="00504BE9"/>
    <w:rsid w:val="005050F2"/>
    <w:rsid w:val="00505272"/>
    <w:rsid w:val="00505A8B"/>
    <w:rsid w:val="00505B8B"/>
    <w:rsid w:val="0050629B"/>
    <w:rsid w:val="005064CE"/>
    <w:rsid w:val="00506840"/>
    <w:rsid w:val="00506C77"/>
    <w:rsid w:val="005078D2"/>
    <w:rsid w:val="005105D0"/>
    <w:rsid w:val="005117A7"/>
    <w:rsid w:val="00512712"/>
    <w:rsid w:val="005129CE"/>
    <w:rsid w:val="00513306"/>
    <w:rsid w:val="00513BFE"/>
    <w:rsid w:val="00514285"/>
    <w:rsid w:val="005155A9"/>
    <w:rsid w:val="00515C7B"/>
    <w:rsid w:val="005169E4"/>
    <w:rsid w:val="00516EF4"/>
    <w:rsid w:val="00517BC1"/>
    <w:rsid w:val="00520814"/>
    <w:rsid w:val="00520A14"/>
    <w:rsid w:val="00520E3C"/>
    <w:rsid w:val="00522740"/>
    <w:rsid w:val="00522A17"/>
    <w:rsid w:val="00522A30"/>
    <w:rsid w:val="00523410"/>
    <w:rsid w:val="005239C3"/>
    <w:rsid w:val="00523E1C"/>
    <w:rsid w:val="00524710"/>
    <w:rsid w:val="00524998"/>
    <w:rsid w:val="00524CBD"/>
    <w:rsid w:val="00525556"/>
    <w:rsid w:val="00525B21"/>
    <w:rsid w:val="0052620B"/>
    <w:rsid w:val="005268C6"/>
    <w:rsid w:val="00526A1E"/>
    <w:rsid w:val="005279EF"/>
    <w:rsid w:val="00531233"/>
    <w:rsid w:val="00531517"/>
    <w:rsid w:val="005338B3"/>
    <w:rsid w:val="005347FD"/>
    <w:rsid w:val="005349F1"/>
    <w:rsid w:val="0053659E"/>
    <w:rsid w:val="00536E47"/>
    <w:rsid w:val="00537FF6"/>
    <w:rsid w:val="005406D4"/>
    <w:rsid w:val="00541214"/>
    <w:rsid w:val="005414BE"/>
    <w:rsid w:val="0054164B"/>
    <w:rsid w:val="0054296A"/>
    <w:rsid w:val="00542BA6"/>
    <w:rsid w:val="0054326B"/>
    <w:rsid w:val="00543FE7"/>
    <w:rsid w:val="005442A4"/>
    <w:rsid w:val="005453E3"/>
    <w:rsid w:val="0054578A"/>
    <w:rsid w:val="00545A27"/>
    <w:rsid w:val="00545AEC"/>
    <w:rsid w:val="00547701"/>
    <w:rsid w:val="0055005E"/>
    <w:rsid w:val="00550BB3"/>
    <w:rsid w:val="00552864"/>
    <w:rsid w:val="00554AF7"/>
    <w:rsid w:val="00554D72"/>
    <w:rsid w:val="0055669F"/>
    <w:rsid w:val="00556C89"/>
    <w:rsid w:val="005570D9"/>
    <w:rsid w:val="00557373"/>
    <w:rsid w:val="005576F9"/>
    <w:rsid w:val="00557EEB"/>
    <w:rsid w:val="00560D40"/>
    <w:rsid w:val="00560E6E"/>
    <w:rsid w:val="00561B94"/>
    <w:rsid w:val="005639CA"/>
    <w:rsid w:val="00564410"/>
    <w:rsid w:val="0056492F"/>
    <w:rsid w:val="00565F86"/>
    <w:rsid w:val="00567C94"/>
    <w:rsid w:val="00570259"/>
    <w:rsid w:val="00570B64"/>
    <w:rsid w:val="00570F3A"/>
    <w:rsid w:val="00571B52"/>
    <w:rsid w:val="00572225"/>
    <w:rsid w:val="005732E9"/>
    <w:rsid w:val="005737C0"/>
    <w:rsid w:val="005759C9"/>
    <w:rsid w:val="00577688"/>
    <w:rsid w:val="00577ED3"/>
    <w:rsid w:val="00580150"/>
    <w:rsid w:val="00580354"/>
    <w:rsid w:val="00580FC1"/>
    <w:rsid w:val="0058194C"/>
    <w:rsid w:val="00581D27"/>
    <w:rsid w:val="00582235"/>
    <w:rsid w:val="00582AB2"/>
    <w:rsid w:val="00583488"/>
    <w:rsid w:val="0058355F"/>
    <w:rsid w:val="00584570"/>
    <w:rsid w:val="00584613"/>
    <w:rsid w:val="00585AE3"/>
    <w:rsid w:val="005867B9"/>
    <w:rsid w:val="00586C1E"/>
    <w:rsid w:val="0058752C"/>
    <w:rsid w:val="00587AAB"/>
    <w:rsid w:val="00587BA8"/>
    <w:rsid w:val="0059012D"/>
    <w:rsid w:val="00591C5A"/>
    <w:rsid w:val="005923F4"/>
    <w:rsid w:val="0059260A"/>
    <w:rsid w:val="00593471"/>
    <w:rsid w:val="00594D08"/>
    <w:rsid w:val="0059690F"/>
    <w:rsid w:val="005A0668"/>
    <w:rsid w:val="005A0C61"/>
    <w:rsid w:val="005A22D7"/>
    <w:rsid w:val="005A543F"/>
    <w:rsid w:val="005A71B4"/>
    <w:rsid w:val="005B1A8D"/>
    <w:rsid w:val="005B1DC7"/>
    <w:rsid w:val="005B274F"/>
    <w:rsid w:val="005B2B09"/>
    <w:rsid w:val="005B4852"/>
    <w:rsid w:val="005B54F7"/>
    <w:rsid w:val="005B55A2"/>
    <w:rsid w:val="005B5B00"/>
    <w:rsid w:val="005B6CBB"/>
    <w:rsid w:val="005B6E8A"/>
    <w:rsid w:val="005C03DB"/>
    <w:rsid w:val="005C16D8"/>
    <w:rsid w:val="005C2580"/>
    <w:rsid w:val="005C41A3"/>
    <w:rsid w:val="005C4237"/>
    <w:rsid w:val="005C5452"/>
    <w:rsid w:val="005C5690"/>
    <w:rsid w:val="005C5BB1"/>
    <w:rsid w:val="005C6324"/>
    <w:rsid w:val="005C6478"/>
    <w:rsid w:val="005C7CBE"/>
    <w:rsid w:val="005D2521"/>
    <w:rsid w:val="005D3400"/>
    <w:rsid w:val="005D3C0F"/>
    <w:rsid w:val="005D52C8"/>
    <w:rsid w:val="005D549E"/>
    <w:rsid w:val="005D5B6F"/>
    <w:rsid w:val="005D61A4"/>
    <w:rsid w:val="005D6D70"/>
    <w:rsid w:val="005D7F26"/>
    <w:rsid w:val="005E0CB5"/>
    <w:rsid w:val="005E2A59"/>
    <w:rsid w:val="005E4BAA"/>
    <w:rsid w:val="005E732D"/>
    <w:rsid w:val="005F010B"/>
    <w:rsid w:val="005F25E2"/>
    <w:rsid w:val="005F2D5E"/>
    <w:rsid w:val="005F4B17"/>
    <w:rsid w:val="005F67F7"/>
    <w:rsid w:val="005F71B6"/>
    <w:rsid w:val="005F72CA"/>
    <w:rsid w:val="005F797D"/>
    <w:rsid w:val="006018AF"/>
    <w:rsid w:val="00601A79"/>
    <w:rsid w:val="00601F77"/>
    <w:rsid w:val="0060234E"/>
    <w:rsid w:val="00602ED4"/>
    <w:rsid w:val="00603EF8"/>
    <w:rsid w:val="00604391"/>
    <w:rsid w:val="0060627D"/>
    <w:rsid w:val="00606578"/>
    <w:rsid w:val="00607139"/>
    <w:rsid w:val="00607696"/>
    <w:rsid w:val="00607E4D"/>
    <w:rsid w:val="00607EB1"/>
    <w:rsid w:val="00610DB1"/>
    <w:rsid w:val="00611585"/>
    <w:rsid w:val="00611878"/>
    <w:rsid w:val="00612EB2"/>
    <w:rsid w:val="00613D55"/>
    <w:rsid w:val="00613DF5"/>
    <w:rsid w:val="006147F3"/>
    <w:rsid w:val="00615DAA"/>
    <w:rsid w:val="006162D7"/>
    <w:rsid w:val="0062089B"/>
    <w:rsid w:val="00620B37"/>
    <w:rsid w:val="00621048"/>
    <w:rsid w:val="00621673"/>
    <w:rsid w:val="006218B0"/>
    <w:rsid w:val="00621FE5"/>
    <w:rsid w:val="00623D0B"/>
    <w:rsid w:val="0062421F"/>
    <w:rsid w:val="006262E1"/>
    <w:rsid w:val="00627FEA"/>
    <w:rsid w:val="00630E31"/>
    <w:rsid w:val="006310CF"/>
    <w:rsid w:val="0063173A"/>
    <w:rsid w:val="006325A9"/>
    <w:rsid w:val="00633291"/>
    <w:rsid w:val="00633C07"/>
    <w:rsid w:val="00633C29"/>
    <w:rsid w:val="00634867"/>
    <w:rsid w:val="006353C3"/>
    <w:rsid w:val="006357E4"/>
    <w:rsid w:val="00635AEB"/>
    <w:rsid w:val="00636DB6"/>
    <w:rsid w:val="00637C32"/>
    <w:rsid w:val="00641B21"/>
    <w:rsid w:val="00642176"/>
    <w:rsid w:val="006421E8"/>
    <w:rsid w:val="006437B3"/>
    <w:rsid w:val="00643B59"/>
    <w:rsid w:val="00646D1F"/>
    <w:rsid w:val="00646F68"/>
    <w:rsid w:val="0065124B"/>
    <w:rsid w:val="00651DE5"/>
    <w:rsid w:val="006523B8"/>
    <w:rsid w:val="006525B9"/>
    <w:rsid w:val="00654CF3"/>
    <w:rsid w:val="00654DE1"/>
    <w:rsid w:val="006550EC"/>
    <w:rsid w:val="00655206"/>
    <w:rsid w:val="00656BDC"/>
    <w:rsid w:val="006573D9"/>
    <w:rsid w:val="006575E8"/>
    <w:rsid w:val="006579FD"/>
    <w:rsid w:val="00657AB1"/>
    <w:rsid w:val="00660004"/>
    <w:rsid w:val="00661844"/>
    <w:rsid w:val="00662DF1"/>
    <w:rsid w:val="006633BF"/>
    <w:rsid w:val="006648AC"/>
    <w:rsid w:val="00664A56"/>
    <w:rsid w:val="00665EC5"/>
    <w:rsid w:val="006666D1"/>
    <w:rsid w:val="006673DE"/>
    <w:rsid w:val="00667E54"/>
    <w:rsid w:val="00670A36"/>
    <w:rsid w:val="00671ECF"/>
    <w:rsid w:val="006733A7"/>
    <w:rsid w:val="006737E3"/>
    <w:rsid w:val="00673B6B"/>
    <w:rsid w:val="00673F60"/>
    <w:rsid w:val="00675B1F"/>
    <w:rsid w:val="00676FAB"/>
    <w:rsid w:val="00677055"/>
    <w:rsid w:val="006807AE"/>
    <w:rsid w:val="00680DB1"/>
    <w:rsid w:val="00682308"/>
    <w:rsid w:val="006824A1"/>
    <w:rsid w:val="00682D97"/>
    <w:rsid w:val="00683254"/>
    <w:rsid w:val="00683491"/>
    <w:rsid w:val="0068547B"/>
    <w:rsid w:val="00687B45"/>
    <w:rsid w:val="00690BF9"/>
    <w:rsid w:val="00690FA8"/>
    <w:rsid w:val="00691EA2"/>
    <w:rsid w:val="00691F70"/>
    <w:rsid w:val="00693CAD"/>
    <w:rsid w:val="0069409F"/>
    <w:rsid w:val="006951B4"/>
    <w:rsid w:val="006959FA"/>
    <w:rsid w:val="0069616F"/>
    <w:rsid w:val="00697348"/>
    <w:rsid w:val="00697C86"/>
    <w:rsid w:val="00697D65"/>
    <w:rsid w:val="00697E9D"/>
    <w:rsid w:val="006A2F2C"/>
    <w:rsid w:val="006A349F"/>
    <w:rsid w:val="006A3CDC"/>
    <w:rsid w:val="006A4A39"/>
    <w:rsid w:val="006A576C"/>
    <w:rsid w:val="006A7C32"/>
    <w:rsid w:val="006A7C3D"/>
    <w:rsid w:val="006B09AC"/>
    <w:rsid w:val="006B17CB"/>
    <w:rsid w:val="006B1E9D"/>
    <w:rsid w:val="006B341D"/>
    <w:rsid w:val="006B3656"/>
    <w:rsid w:val="006B37BF"/>
    <w:rsid w:val="006B3F90"/>
    <w:rsid w:val="006B4046"/>
    <w:rsid w:val="006B47F4"/>
    <w:rsid w:val="006B4FA3"/>
    <w:rsid w:val="006B7DF3"/>
    <w:rsid w:val="006B7F89"/>
    <w:rsid w:val="006C0F10"/>
    <w:rsid w:val="006C1B8D"/>
    <w:rsid w:val="006C1E9D"/>
    <w:rsid w:val="006C2E25"/>
    <w:rsid w:val="006C334D"/>
    <w:rsid w:val="006C35CC"/>
    <w:rsid w:val="006C3A3B"/>
    <w:rsid w:val="006C4D51"/>
    <w:rsid w:val="006C4F32"/>
    <w:rsid w:val="006C51F7"/>
    <w:rsid w:val="006C560C"/>
    <w:rsid w:val="006C5791"/>
    <w:rsid w:val="006C788B"/>
    <w:rsid w:val="006C7B7F"/>
    <w:rsid w:val="006D1215"/>
    <w:rsid w:val="006D1236"/>
    <w:rsid w:val="006D2C2F"/>
    <w:rsid w:val="006D3034"/>
    <w:rsid w:val="006D3D97"/>
    <w:rsid w:val="006D4796"/>
    <w:rsid w:val="006D484B"/>
    <w:rsid w:val="006D61E8"/>
    <w:rsid w:val="006D6ACD"/>
    <w:rsid w:val="006D770A"/>
    <w:rsid w:val="006E068A"/>
    <w:rsid w:val="006E10DD"/>
    <w:rsid w:val="006E14B3"/>
    <w:rsid w:val="006E19F3"/>
    <w:rsid w:val="006E23A2"/>
    <w:rsid w:val="006E2ACB"/>
    <w:rsid w:val="006E2C36"/>
    <w:rsid w:val="006E458F"/>
    <w:rsid w:val="006E58C8"/>
    <w:rsid w:val="006E5E03"/>
    <w:rsid w:val="006E7185"/>
    <w:rsid w:val="006F2941"/>
    <w:rsid w:val="006F3D35"/>
    <w:rsid w:val="006F3EF0"/>
    <w:rsid w:val="006F4EF5"/>
    <w:rsid w:val="006F6569"/>
    <w:rsid w:val="006F743F"/>
    <w:rsid w:val="006F7497"/>
    <w:rsid w:val="006F792D"/>
    <w:rsid w:val="00701E45"/>
    <w:rsid w:val="00702104"/>
    <w:rsid w:val="00702B0E"/>
    <w:rsid w:val="00703071"/>
    <w:rsid w:val="00704968"/>
    <w:rsid w:val="00704C30"/>
    <w:rsid w:val="00707875"/>
    <w:rsid w:val="00707E77"/>
    <w:rsid w:val="00710105"/>
    <w:rsid w:val="0071116F"/>
    <w:rsid w:val="007113B0"/>
    <w:rsid w:val="00711681"/>
    <w:rsid w:val="0071184B"/>
    <w:rsid w:val="00711E04"/>
    <w:rsid w:val="0071224C"/>
    <w:rsid w:val="00712CA8"/>
    <w:rsid w:val="00713E31"/>
    <w:rsid w:val="00716A20"/>
    <w:rsid w:val="0071707A"/>
    <w:rsid w:val="0071768C"/>
    <w:rsid w:val="007176B8"/>
    <w:rsid w:val="00720503"/>
    <w:rsid w:val="007213B2"/>
    <w:rsid w:val="00721F31"/>
    <w:rsid w:val="0072204C"/>
    <w:rsid w:val="007220C6"/>
    <w:rsid w:val="0072217E"/>
    <w:rsid w:val="00722674"/>
    <w:rsid w:val="007229CA"/>
    <w:rsid w:val="00722A2C"/>
    <w:rsid w:val="0072383F"/>
    <w:rsid w:val="007267CA"/>
    <w:rsid w:val="00726D42"/>
    <w:rsid w:val="00727008"/>
    <w:rsid w:val="00727B52"/>
    <w:rsid w:val="007300E9"/>
    <w:rsid w:val="00731065"/>
    <w:rsid w:val="007310D1"/>
    <w:rsid w:val="0073201A"/>
    <w:rsid w:val="007321F8"/>
    <w:rsid w:val="007323BE"/>
    <w:rsid w:val="0073265E"/>
    <w:rsid w:val="00732C05"/>
    <w:rsid w:val="007338E1"/>
    <w:rsid w:val="00734521"/>
    <w:rsid w:val="007347E1"/>
    <w:rsid w:val="00734C78"/>
    <w:rsid w:val="00734CAE"/>
    <w:rsid w:val="007350B7"/>
    <w:rsid w:val="00735962"/>
    <w:rsid w:val="00735CBF"/>
    <w:rsid w:val="00736033"/>
    <w:rsid w:val="0073607F"/>
    <w:rsid w:val="007362FA"/>
    <w:rsid w:val="0073732B"/>
    <w:rsid w:val="00737566"/>
    <w:rsid w:val="00737AA3"/>
    <w:rsid w:val="00741F84"/>
    <w:rsid w:val="007425E2"/>
    <w:rsid w:val="007439A5"/>
    <w:rsid w:val="00744522"/>
    <w:rsid w:val="0074592D"/>
    <w:rsid w:val="00745EC9"/>
    <w:rsid w:val="00746D1F"/>
    <w:rsid w:val="00747542"/>
    <w:rsid w:val="00747574"/>
    <w:rsid w:val="007479B4"/>
    <w:rsid w:val="00747A97"/>
    <w:rsid w:val="00747BCD"/>
    <w:rsid w:val="00750366"/>
    <w:rsid w:val="007506D4"/>
    <w:rsid w:val="00751625"/>
    <w:rsid w:val="00751754"/>
    <w:rsid w:val="00751E4F"/>
    <w:rsid w:val="00753B21"/>
    <w:rsid w:val="0075587E"/>
    <w:rsid w:val="00755C51"/>
    <w:rsid w:val="00756DA4"/>
    <w:rsid w:val="00756E85"/>
    <w:rsid w:val="00757306"/>
    <w:rsid w:val="00760DD6"/>
    <w:rsid w:val="0076240E"/>
    <w:rsid w:val="00762583"/>
    <w:rsid w:val="00763433"/>
    <w:rsid w:val="00763490"/>
    <w:rsid w:val="00763CC6"/>
    <w:rsid w:val="00764041"/>
    <w:rsid w:val="007642B6"/>
    <w:rsid w:val="00766218"/>
    <w:rsid w:val="007664B5"/>
    <w:rsid w:val="007677BD"/>
    <w:rsid w:val="0076793B"/>
    <w:rsid w:val="00770125"/>
    <w:rsid w:val="00770232"/>
    <w:rsid w:val="00770792"/>
    <w:rsid w:val="00770C4A"/>
    <w:rsid w:val="007718D4"/>
    <w:rsid w:val="0077460B"/>
    <w:rsid w:val="007751E7"/>
    <w:rsid w:val="00775255"/>
    <w:rsid w:val="00775C34"/>
    <w:rsid w:val="00776BCA"/>
    <w:rsid w:val="00780295"/>
    <w:rsid w:val="007806E9"/>
    <w:rsid w:val="00780B8F"/>
    <w:rsid w:val="00780C7F"/>
    <w:rsid w:val="0078236A"/>
    <w:rsid w:val="007836E0"/>
    <w:rsid w:val="0078377C"/>
    <w:rsid w:val="00783DCD"/>
    <w:rsid w:val="00785709"/>
    <w:rsid w:val="0078723E"/>
    <w:rsid w:val="00787618"/>
    <w:rsid w:val="00787F59"/>
    <w:rsid w:val="00792010"/>
    <w:rsid w:val="007920DA"/>
    <w:rsid w:val="0079327B"/>
    <w:rsid w:val="0079349A"/>
    <w:rsid w:val="00793672"/>
    <w:rsid w:val="007956B3"/>
    <w:rsid w:val="00795822"/>
    <w:rsid w:val="0079633E"/>
    <w:rsid w:val="00796DC7"/>
    <w:rsid w:val="007A066A"/>
    <w:rsid w:val="007A0A3B"/>
    <w:rsid w:val="007A101A"/>
    <w:rsid w:val="007A411F"/>
    <w:rsid w:val="007A434F"/>
    <w:rsid w:val="007A4FFD"/>
    <w:rsid w:val="007A6389"/>
    <w:rsid w:val="007A6FD8"/>
    <w:rsid w:val="007A78E8"/>
    <w:rsid w:val="007A79E0"/>
    <w:rsid w:val="007B0093"/>
    <w:rsid w:val="007B0761"/>
    <w:rsid w:val="007B0A6C"/>
    <w:rsid w:val="007B1B45"/>
    <w:rsid w:val="007B2197"/>
    <w:rsid w:val="007B2C19"/>
    <w:rsid w:val="007B4B43"/>
    <w:rsid w:val="007B518B"/>
    <w:rsid w:val="007B6216"/>
    <w:rsid w:val="007B792D"/>
    <w:rsid w:val="007B7AAE"/>
    <w:rsid w:val="007B7C62"/>
    <w:rsid w:val="007C176F"/>
    <w:rsid w:val="007C185F"/>
    <w:rsid w:val="007C21E8"/>
    <w:rsid w:val="007C237F"/>
    <w:rsid w:val="007C28E8"/>
    <w:rsid w:val="007C411F"/>
    <w:rsid w:val="007C5ECA"/>
    <w:rsid w:val="007C5F1D"/>
    <w:rsid w:val="007C6692"/>
    <w:rsid w:val="007D1565"/>
    <w:rsid w:val="007D1954"/>
    <w:rsid w:val="007D196A"/>
    <w:rsid w:val="007D31CC"/>
    <w:rsid w:val="007D3726"/>
    <w:rsid w:val="007D5CC5"/>
    <w:rsid w:val="007E015B"/>
    <w:rsid w:val="007E017A"/>
    <w:rsid w:val="007E088D"/>
    <w:rsid w:val="007E21B4"/>
    <w:rsid w:val="007E336F"/>
    <w:rsid w:val="007E3C21"/>
    <w:rsid w:val="007E6B2B"/>
    <w:rsid w:val="007E71B9"/>
    <w:rsid w:val="007E7B36"/>
    <w:rsid w:val="007E7DB6"/>
    <w:rsid w:val="007F3259"/>
    <w:rsid w:val="007F3FE1"/>
    <w:rsid w:val="007F5A8E"/>
    <w:rsid w:val="007F5BB5"/>
    <w:rsid w:val="007F7674"/>
    <w:rsid w:val="007F77B6"/>
    <w:rsid w:val="00800320"/>
    <w:rsid w:val="00800BBC"/>
    <w:rsid w:val="008027FD"/>
    <w:rsid w:val="00802AED"/>
    <w:rsid w:val="00803206"/>
    <w:rsid w:val="008035EE"/>
    <w:rsid w:val="008037B9"/>
    <w:rsid w:val="00804A15"/>
    <w:rsid w:val="008059D6"/>
    <w:rsid w:val="008108F4"/>
    <w:rsid w:val="008115FA"/>
    <w:rsid w:val="0081196E"/>
    <w:rsid w:val="0081370A"/>
    <w:rsid w:val="0081379B"/>
    <w:rsid w:val="00814A23"/>
    <w:rsid w:val="008153E2"/>
    <w:rsid w:val="0081543C"/>
    <w:rsid w:val="00815750"/>
    <w:rsid w:val="008174E3"/>
    <w:rsid w:val="00817F1E"/>
    <w:rsid w:val="008210B0"/>
    <w:rsid w:val="0082216C"/>
    <w:rsid w:val="008228E9"/>
    <w:rsid w:val="00822A0B"/>
    <w:rsid w:val="008237AE"/>
    <w:rsid w:val="008243B0"/>
    <w:rsid w:val="00824EC3"/>
    <w:rsid w:val="008250A2"/>
    <w:rsid w:val="00825984"/>
    <w:rsid w:val="0082611F"/>
    <w:rsid w:val="00827B9B"/>
    <w:rsid w:val="0083086B"/>
    <w:rsid w:val="00830DB1"/>
    <w:rsid w:val="00831023"/>
    <w:rsid w:val="00831A51"/>
    <w:rsid w:val="0083233D"/>
    <w:rsid w:val="0083289C"/>
    <w:rsid w:val="008334A5"/>
    <w:rsid w:val="008341CD"/>
    <w:rsid w:val="00835204"/>
    <w:rsid w:val="008354D3"/>
    <w:rsid w:val="00835575"/>
    <w:rsid w:val="00840FAE"/>
    <w:rsid w:val="00841002"/>
    <w:rsid w:val="008412A8"/>
    <w:rsid w:val="00841539"/>
    <w:rsid w:val="00842687"/>
    <w:rsid w:val="00842CD8"/>
    <w:rsid w:val="00842E0B"/>
    <w:rsid w:val="00844329"/>
    <w:rsid w:val="008468B1"/>
    <w:rsid w:val="00846AFE"/>
    <w:rsid w:val="00846E4F"/>
    <w:rsid w:val="008474BF"/>
    <w:rsid w:val="00847DDD"/>
    <w:rsid w:val="00850308"/>
    <w:rsid w:val="008519A5"/>
    <w:rsid w:val="00852349"/>
    <w:rsid w:val="00852677"/>
    <w:rsid w:val="008529D8"/>
    <w:rsid w:val="00853D7E"/>
    <w:rsid w:val="00854E31"/>
    <w:rsid w:val="00855195"/>
    <w:rsid w:val="00856D56"/>
    <w:rsid w:val="0086010E"/>
    <w:rsid w:val="00860922"/>
    <w:rsid w:val="0086095B"/>
    <w:rsid w:val="00860EC2"/>
    <w:rsid w:val="00860F8B"/>
    <w:rsid w:val="00861313"/>
    <w:rsid w:val="008615B8"/>
    <w:rsid w:val="00861F81"/>
    <w:rsid w:val="0086235C"/>
    <w:rsid w:val="0086395C"/>
    <w:rsid w:val="00863B12"/>
    <w:rsid w:val="008648A1"/>
    <w:rsid w:val="00865484"/>
    <w:rsid w:val="008655DA"/>
    <w:rsid w:val="00866988"/>
    <w:rsid w:val="00866CC0"/>
    <w:rsid w:val="00867734"/>
    <w:rsid w:val="00867E5D"/>
    <w:rsid w:val="00871C2C"/>
    <w:rsid w:val="00871D36"/>
    <w:rsid w:val="0087460D"/>
    <w:rsid w:val="008747AE"/>
    <w:rsid w:val="00874B63"/>
    <w:rsid w:val="00874B73"/>
    <w:rsid w:val="00875584"/>
    <w:rsid w:val="008758EB"/>
    <w:rsid w:val="0087593A"/>
    <w:rsid w:val="008766CD"/>
    <w:rsid w:val="008801C6"/>
    <w:rsid w:val="0088048F"/>
    <w:rsid w:val="00880DFF"/>
    <w:rsid w:val="00880E26"/>
    <w:rsid w:val="00880F0D"/>
    <w:rsid w:val="0088296A"/>
    <w:rsid w:val="00883063"/>
    <w:rsid w:val="00883431"/>
    <w:rsid w:val="0088379A"/>
    <w:rsid w:val="00883AC1"/>
    <w:rsid w:val="00887969"/>
    <w:rsid w:val="00887A67"/>
    <w:rsid w:val="008904E1"/>
    <w:rsid w:val="0089130A"/>
    <w:rsid w:val="00893EE5"/>
    <w:rsid w:val="008942F0"/>
    <w:rsid w:val="00895739"/>
    <w:rsid w:val="0089624D"/>
    <w:rsid w:val="00896551"/>
    <w:rsid w:val="00896E3F"/>
    <w:rsid w:val="00896FA1"/>
    <w:rsid w:val="008971A5"/>
    <w:rsid w:val="00897334"/>
    <w:rsid w:val="00897BCB"/>
    <w:rsid w:val="008A15CE"/>
    <w:rsid w:val="008A2159"/>
    <w:rsid w:val="008A2D28"/>
    <w:rsid w:val="008A3256"/>
    <w:rsid w:val="008A4563"/>
    <w:rsid w:val="008A45F0"/>
    <w:rsid w:val="008A5570"/>
    <w:rsid w:val="008A6376"/>
    <w:rsid w:val="008A6831"/>
    <w:rsid w:val="008A7633"/>
    <w:rsid w:val="008B00BF"/>
    <w:rsid w:val="008B0B4A"/>
    <w:rsid w:val="008B0C75"/>
    <w:rsid w:val="008B0D0B"/>
    <w:rsid w:val="008B1968"/>
    <w:rsid w:val="008B2F15"/>
    <w:rsid w:val="008B3926"/>
    <w:rsid w:val="008B41D8"/>
    <w:rsid w:val="008B4A5B"/>
    <w:rsid w:val="008B4EF6"/>
    <w:rsid w:val="008B54CE"/>
    <w:rsid w:val="008B560B"/>
    <w:rsid w:val="008B56FA"/>
    <w:rsid w:val="008B5AF8"/>
    <w:rsid w:val="008B6A78"/>
    <w:rsid w:val="008B6AB8"/>
    <w:rsid w:val="008B6B63"/>
    <w:rsid w:val="008B7036"/>
    <w:rsid w:val="008B7089"/>
    <w:rsid w:val="008B7E21"/>
    <w:rsid w:val="008C0A66"/>
    <w:rsid w:val="008C1738"/>
    <w:rsid w:val="008C1A97"/>
    <w:rsid w:val="008C1BF8"/>
    <w:rsid w:val="008C1C6F"/>
    <w:rsid w:val="008C201E"/>
    <w:rsid w:val="008C2193"/>
    <w:rsid w:val="008C2EE6"/>
    <w:rsid w:val="008C4964"/>
    <w:rsid w:val="008C79E3"/>
    <w:rsid w:val="008D0E5A"/>
    <w:rsid w:val="008D1042"/>
    <w:rsid w:val="008D2BC8"/>
    <w:rsid w:val="008D367A"/>
    <w:rsid w:val="008D4EF0"/>
    <w:rsid w:val="008D51F8"/>
    <w:rsid w:val="008D5CB3"/>
    <w:rsid w:val="008D5F5F"/>
    <w:rsid w:val="008D613F"/>
    <w:rsid w:val="008D7386"/>
    <w:rsid w:val="008D7F7C"/>
    <w:rsid w:val="008E0536"/>
    <w:rsid w:val="008E05EC"/>
    <w:rsid w:val="008E1D6B"/>
    <w:rsid w:val="008E3396"/>
    <w:rsid w:val="008E36EF"/>
    <w:rsid w:val="008E4C77"/>
    <w:rsid w:val="008E4FD1"/>
    <w:rsid w:val="008E5472"/>
    <w:rsid w:val="008E64B3"/>
    <w:rsid w:val="008F1FC9"/>
    <w:rsid w:val="008F319E"/>
    <w:rsid w:val="008F3BC0"/>
    <w:rsid w:val="008F3EA7"/>
    <w:rsid w:val="008F422F"/>
    <w:rsid w:val="008F45C6"/>
    <w:rsid w:val="008F4642"/>
    <w:rsid w:val="008F4D02"/>
    <w:rsid w:val="008F552F"/>
    <w:rsid w:val="008F5C8F"/>
    <w:rsid w:val="008F5EEE"/>
    <w:rsid w:val="008F75CC"/>
    <w:rsid w:val="00900CFE"/>
    <w:rsid w:val="0090175C"/>
    <w:rsid w:val="00901A08"/>
    <w:rsid w:val="00903AE6"/>
    <w:rsid w:val="00903F6B"/>
    <w:rsid w:val="009059E9"/>
    <w:rsid w:val="00905EBE"/>
    <w:rsid w:val="009070D5"/>
    <w:rsid w:val="009102E1"/>
    <w:rsid w:val="009107C0"/>
    <w:rsid w:val="00910EB8"/>
    <w:rsid w:val="009113B3"/>
    <w:rsid w:val="00912D59"/>
    <w:rsid w:val="00913532"/>
    <w:rsid w:val="00914643"/>
    <w:rsid w:val="00915B0D"/>
    <w:rsid w:val="0091653F"/>
    <w:rsid w:val="00916892"/>
    <w:rsid w:val="00916E75"/>
    <w:rsid w:val="00917CBF"/>
    <w:rsid w:val="00917FBC"/>
    <w:rsid w:val="00920B40"/>
    <w:rsid w:val="00921401"/>
    <w:rsid w:val="00921ED7"/>
    <w:rsid w:val="00923083"/>
    <w:rsid w:val="00924BBE"/>
    <w:rsid w:val="00925169"/>
    <w:rsid w:val="00925A3D"/>
    <w:rsid w:val="00925D79"/>
    <w:rsid w:val="00925EA0"/>
    <w:rsid w:val="0092674A"/>
    <w:rsid w:val="0092697C"/>
    <w:rsid w:val="0092707F"/>
    <w:rsid w:val="00927260"/>
    <w:rsid w:val="009273D7"/>
    <w:rsid w:val="00927DAB"/>
    <w:rsid w:val="00930280"/>
    <w:rsid w:val="00930A1B"/>
    <w:rsid w:val="00931413"/>
    <w:rsid w:val="00931691"/>
    <w:rsid w:val="00931F36"/>
    <w:rsid w:val="00932DD5"/>
    <w:rsid w:val="00933138"/>
    <w:rsid w:val="00933198"/>
    <w:rsid w:val="00933937"/>
    <w:rsid w:val="00935715"/>
    <w:rsid w:val="00936A71"/>
    <w:rsid w:val="00937435"/>
    <w:rsid w:val="00937B19"/>
    <w:rsid w:val="00940189"/>
    <w:rsid w:val="00941525"/>
    <w:rsid w:val="00941DC5"/>
    <w:rsid w:val="00943485"/>
    <w:rsid w:val="00943783"/>
    <w:rsid w:val="00946385"/>
    <w:rsid w:val="009469AC"/>
    <w:rsid w:val="009502B1"/>
    <w:rsid w:val="0095082B"/>
    <w:rsid w:val="00950A09"/>
    <w:rsid w:val="00952367"/>
    <w:rsid w:val="0095278D"/>
    <w:rsid w:val="00952FAD"/>
    <w:rsid w:val="009538BE"/>
    <w:rsid w:val="00954236"/>
    <w:rsid w:val="00954D5D"/>
    <w:rsid w:val="009575FC"/>
    <w:rsid w:val="00957755"/>
    <w:rsid w:val="00962908"/>
    <w:rsid w:val="0096508F"/>
    <w:rsid w:val="0096675E"/>
    <w:rsid w:val="00967957"/>
    <w:rsid w:val="00967D45"/>
    <w:rsid w:val="00970E17"/>
    <w:rsid w:val="00970FDE"/>
    <w:rsid w:val="0097309E"/>
    <w:rsid w:val="00974500"/>
    <w:rsid w:val="009748D7"/>
    <w:rsid w:val="00974F10"/>
    <w:rsid w:val="009767AF"/>
    <w:rsid w:val="00977755"/>
    <w:rsid w:val="00981AAD"/>
    <w:rsid w:val="00982E07"/>
    <w:rsid w:val="009845F4"/>
    <w:rsid w:val="00985D2E"/>
    <w:rsid w:val="00986247"/>
    <w:rsid w:val="00990122"/>
    <w:rsid w:val="00991389"/>
    <w:rsid w:val="009930C0"/>
    <w:rsid w:val="0099320B"/>
    <w:rsid w:val="00993504"/>
    <w:rsid w:val="00993CFA"/>
    <w:rsid w:val="00993FCB"/>
    <w:rsid w:val="009954F8"/>
    <w:rsid w:val="00997C07"/>
    <w:rsid w:val="009A172A"/>
    <w:rsid w:val="009A205A"/>
    <w:rsid w:val="009A28B2"/>
    <w:rsid w:val="009A3A5A"/>
    <w:rsid w:val="009A4546"/>
    <w:rsid w:val="009A52EF"/>
    <w:rsid w:val="009A5EA5"/>
    <w:rsid w:val="009A752E"/>
    <w:rsid w:val="009B01E9"/>
    <w:rsid w:val="009B1B82"/>
    <w:rsid w:val="009B1E16"/>
    <w:rsid w:val="009B3603"/>
    <w:rsid w:val="009B4177"/>
    <w:rsid w:val="009B4282"/>
    <w:rsid w:val="009B4541"/>
    <w:rsid w:val="009B4B46"/>
    <w:rsid w:val="009B4D8B"/>
    <w:rsid w:val="009B5696"/>
    <w:rsid w:val="009B5B21"/>
    <w:rsid w:val="009B6AC3"/>
    <w:rsid w:val="009B7051"/>
    <w:rsid w:val="009B775B"/>
    <w:rsid w:val="009C03D8"/>
    <w:rsid w:val="009C0CC1"/>
    <w:rsid w:val="009C0E96"/>
    <w:rsid w:val="009C1868"/>
    <w:rsid w:val="009C18A2"/>
    <w:rsid w:val="009C1A0E"/>
    <w:rsid w:val="009C2128"/>
    <w:rsid w:val="009C3432"/>
    <w:rsid w:val="009C497C"/>
    <w:rsid w:val="009C5179"/>
    <w:rsid w:val="009C55B9"/>
    <w:rsid w:val="009C5883"/>
    <w:rsid w:val="009C5BE2"/>
    <w:rsid w:val="009C60D1"/>
    <w:rsid w:val="009C6224"/>
    <w:rsid w:val="009C6E1B"/>
    <w:rsid w:val="009C7A14"/>
    <w:rsid w:val="009D1836"/>
    <w:rsid w:val="009D2427"/>
    <w:rsid w:val="009D24EB"/>
    <w:rsid w:val="009D340F"/>
    <w:rsid w:val="009D3461"/>
    <w:rsid w:val="009D4557"/>
    <w:rsid w:val="009D49C0"/>
    <w:rsid w:val="009D5BE8"/>
    <w:rsid w:val="009D6100"/>
    <w:rsid w:val="009D61B2"/>
    <w:rsid w:val="009D757C"/>
    <w:rsid w:val="009E05F9"/>
    <w:rsid w:val="009E1B97"/>
    <w:rsid w:val="009E1E2A"/>
    <w:rsid w:val="009E20D9"/>
    <w:rsid w:val="009E218E"/>
    <w:rsid w:val="009E2525"/>
    <w:rsid w:val="009E262A"/>
    <w:rsid w:val="009E472D"/>
    <w:rsid w:val="009E571E"/>
    <w:rsid w:val="009E7C93"/>
    <w:rsid w:val="009F0CED"/>
    <w:rsid w:val="009F113D"/>
    <w:rsid w:val="009F1303"/>
    <w:rsid w:val="009F1BB2"/>
    <w:rsid w:val="009F3FFC"/>
    <w:rsid w:val="009F58C7"/>
    <w:rsid w:val="009F7668"/>
    <w:rsid w:val="009F7C14"/>
    <w:rsid w:val="00A005D6"/>
    <w:rsid w:val="00A00C32"/>
    <w:rsid w:val="00A01E77"/>
    <w:rsid w:val="00A02D1E"/>
    <w:rsid w:val="00A0607E"/>
    <w:rsid w:val="00A06480"/>
    <w:rsid w:val="00A10639"/>
    <w:rsid w:val="00A1086C"/>
    <w:rsid w:val="00A1303B"/>
    <w:rsid w:val="00A1336E"/>
    <w:rsid w:val="00A13AE1"/>
    <w:rsid w:val="00A13C90"/>
    <w:rsid w:val="00A157E5"/>
    <w:rsid w:val="00A17849"/>
    <w:rsid w:val="00A17BF6"/>
    <w:rsid w:val="00A2092B"/>
    <w:rsid w:val="00A20C13"/>
    <w:rsid w:val="00A21386"/>
    <w:rsid w:val="00A22FE8"/>
    <w:rsid w:val="00A23D4F"/>
    <w:rsid w:val="00A25273"/>
    <w:rsid w:val="00A2652B"/>
    <w:rsid w:val="00A26787"/>
    <w:rsid w:val="00A27571"/>
    <w:rsid w:val="00A279DB"/>
    <w:rsid w:val="00A27BDB"/>
    <w:rsid w:val="00A30163"/>
    <w:rsid w:val="00A3059D"/>
    <w:rsid w:val="00A33A93"/>
    <w:rsid w:val="00A34365"/>
    <w:rsid w:val="00A347BE"/>
    <w:rsid w:val="00A3557C"/>
    <w:rsid w:val="00A3689B"/>
    <w:rsid w:val="00A40269"/>
    <w:rsid w:val="00A4080A"/>
    <w:rsid w:val="00A40EB0"/>
    <w:rsid w:val="00A41121"/>
    <w:rsid w:val="00A4140A"/>
    <w:rsid w:val="00A41F25"/>
    <w:rsid w:val="00A421E5"/>
    <w:rsid w:val="00A42226"/>
    <w:rsid w:val="00A434DB"/>
    <w:rsid w:val="00A44513"/>
    <w:rsid w:val="00A446FA"/>
    <w:rsid w:val="00A46200"/>
    <w:rsid w:val="00A46EE2"/>
    <w:rsid w:val="00A4795C"/>
    <w:rsid w:val="00A503AF"/>
    <w:rsid w:val="00A527CF"/>
    <w:rsid w:val="00A52D44"/>
    <w:rsid w:val="00A542DC"/>
    <w:rsid w:val="00A544B7"/>
    <w:rsid w:val="00A54EC4"/>
    <w:rsid w:val="00A554B6"/>
    <w:rsid w:val="00A55DC7"/>
    <w:rsid w:val="00A56B70"/>
    <w:rsid w:val="00A56E26"/>
    <w:rsid w:val="00A57769"/>
    <w:rsid w:val="00A6098D"/>
    <w:rsid w:val="00A60F96"/>
    <w:rsid w:val="00A60FB3"/>
    <w:rsid w:val="00A626ED"/>
    <w:rsid w:val="00A62836"/>
    <w:rsid w:val="00A6426D"/>
    <w:rsid w:val="00A642A2"/>
    <w:rsid w:val="00A64A08"/>
    <w:rsid w:val="00A64F76"/>
    <w:rsid w:val="00A659BD"/>
    <w:rsid w:val="00A66129"/>
    <w:rsid w:val="00A66245"/>
    <w:rsid w:val="00A67C3C"/>
    <w:rsid w:val="00A7290C"/>
    <w:rsid w:val="00A742D6"/>
    <w:rsid w:val="00A760F0"/>
    <w:rsid w:val="00A7642B"/>
    <w:rsid w:val="00A7675C"/>
    <w:rsid w:val="00A76A0A"/>
    <w:rsid w:val="00A77C9F"/>
    <w:rsid w:val="00A80059"/>
    <w:rsid w:val="00A8114A"/>
    <w:rsid w:val="00A81E12"/>
    <w:rsid w:val="00A82250"/>
    <w:rsid w:val="00A83583"/>
    <w:rsid w:val="00A8358E"/>
    <w:rsid w:val="00A85D9E"/>
    <w:rsid w:val="00A85DE9"/>
    <w:rsid w:val="00A8610E"/>
    <w:rsid w:val="00A872B9"/>
    <w:rsid w:val="00A876EB"/>
    <w:rsid w:val="00A92352"/>
    <w:rsid w:val="00A926C5"/>
    <w:rsid w:val="00A92F1A"/>
    <w:rsid w:val="00A933D9"/>
    <w:rsid w:val="00A93A5C"/>
    <w:rsid w:val="00A941A6"/>
    <w:rsid w:val="00A950B5"/>
    <w:rsid w:val="00A95462"/>
    <w:rsid w:val="00A95893"/>
    <w:rsid w:val="00A95BA5"/>
    <w:rsid w:val="00A96712"/>
    <w:rsid w:val="00A96CAA"/>
    <w:rsid w:val="00A975AF"/>
    <w:rsid w:val="00A97B8B"/>
    <w:rsid w:val="00AA0D14"/>
    <w:rsid w:val="00AA4140"/>
    <w:rsid w:val="00AA48A3"/>
    <w:rsid w:val="00AA56FD"/>
    <w:rsid w:val="00AA6183"/>
    <w:rsid w:val="00AA7258"/>
    <w:rsid w:val="00AB05BE"/>
    <w:rsid w:val="00AB0F4C"/>
    <w:rsid w:val="00AB216F"/>
    <w:rsid w:val="00AB2B50"/>
    <w:rsid w:val="00AB32B8"/>
    <w:rsid w:val="00AB3814"/>
    <w:rsid w:val="00AB390A"/>
    <w:rsid w:val="00AB4705"/>
    <w:rsid w:val="00AB4765"/>
    <w:rsid w:val="00AB6593"/>
    <w:rsid w:val="00AB72C4"/>
    <w:rsid w:val="00AB77D4"/>
    <w:rsid w:val="00AC0718"/>
    <w:rsid w:val="00AC1148"/>
    <w:rsid w:val="00AC1643"/>
    <w:rsid w:val="00AC2433"/>
    <w:rsid w:val="00AC2811"/>
    <w:rsid w:val="00AC2C55"/>
    <w:rsid w:val="00AC4CCC"/>
    <w:rsid w:val="00AC680E"/>
    <w:rsid w:val="00AC771A"/>
    <w:rsid w:val="00AC788A"/>
    <w:rsid w:val="00AD000B"/>
    <w:rsid w:val="00AD0DF2"/>
    <w:rsid w:val="00AD12F5"/>
    <w:rsid w:val="00AD3F94"/>
    <w:rsid w:val="00AD4141"/>
    <w:rsid w:val="00AD4737"/>
    <w:rsid w:val="00AE0278"/>
    <w:rsid w:val="00AE06CC"/>
    <w:rsid w:val="00AE06E3"/>
    <w:rsid w:val="00AE07BB"/>
    <w:rsid w:val="00AE21E0"/>
    <w:rsid w:val="00AE37FB"/>
    <w:rsid w:val="00AE3ADA"/>
    <w:rsid w:val="00AE45F9"/>
    <w:rsid w:val="00AE5D4F"/>
    <w:rsid w:val="00AE5E3C"/>
    <w:rsid w:val="00AE624C"/>
    <w:rsid w:val="00AE66CB"/>
    <w:rsid w:val="00AE70B9"/>
    <w:rsid w:val="00AE7A1F"/>
    <w:rsid w:val="00AF0A86"/>
    <w:rsid w:val="00AF1B27"/>
    <w:rsid w:val="00AF1E47"/>
    <w:rsid w:val="00AF211C"/>
    <w:rsid w:val="00AF2713"/>
    <w:rsid w:val="00AF2959"/>
    <w:rsid w:val="00AF2C5E"/>
    <w:rsid w:val="00AF5022"/>
    <w:rsid w:val="00AF52EE"/>
    <w:rsid w:val="00AF63AD"/>
    <w:rsid w:val="00AF6B65"/>
    <w:rsid w:val="00AF6BD6"/>
    <w:rsid w:val="00B000DA"/>
    <w:rsid w:val="00B012DD"/>
    <w:rsid w:val="00B01369"/>
    <w:rsid w:val="00B015B5"/>
    <w:rsid w:val="00B027E3"/>
    <w:rsid w:val="00B028EE"/>
    <w:rsid w:val="00B03D4C"/>
    <w:rsid w:val="00B03DC5"/>
    <w:rsid w:val="00B049F9"/>
    <w:rsid w:val="00B05323"/>
    <w:rsid w:val="00B064A5"/>
    <w:rsid w:val="00B06B7A"/>
    <w:rsid w:val="00B06D0F"/>
    <w:rsid w:val="00B07768"/>
    <w:rsid w:val="00B1022E"/>
    <w:rsid w:val="00B10995"/>
    <w:rsid w:val="00B11FFE"/>
    <w:rsid w:val="00B12D8B"/>
    <w:rsid w:val="00B13CA7"/>
    <w:rsid w:val="00B17A69"/>
    <w:rsid w:val="00B218DD"/>
    <w:rsid w:val="00B221D5"/>
    <w:rsid w:val="00B23F06"/>
    <w:rsid w:val="00B2521B"/>
    <w:rsid w:val="00B2564C"/>
    <w:rsid w:val="00B2641C"/>
    <w:rsid w:val="00B309BF"/>
    <w:rsid w:val="00B30FA0"/>
    <w:rsid w:val="00B30FB8"/>
    <w:rsid w:val="00B30FCC"/>
    <w:rsid w:val="00B31564"/>
    <w:rsid w:val="00B31EE5"/>
    <w:rsid w:val="00B325B5"/>
    <w:rsid w:val="00B33699"/>
    <w:rsid w:val="00B3613D"/>
    <w:rsid w:val="00B3659A"/>
    <w:rsid w:val="00B3704A"/>
    <w:rsid w:val="00B37EC2"/>
    <w:rsid w:val="00B40527"/>
    <w:rsid w:val="00B40E96"/>
    <w:rsid w:val="00B415C3"/>
    <w:rsid w:val="00B415F0"/>
    <w:rsid w:val="00B423A4"/>
    <w:rsid w:val="00B42439"/>
    <w:rsid w:val="00B427CF"/>
    <w:rsid w:val="00B42F3D"/>
    <w:rsid w:val="00B43183"/>
    <w:rsid w:val="00B43DA2"/>
    <w:rsid w:val="00B44873"/>
    <w:rsid w:val="00B45978"/>
    <w:rsid w:val="00B4776A"/>
    <w:rsid w:val="00B477FC"/>
    <w:rsid w:val="00B479EE"/>
    <w:rsid w:val="00B47EE9"/>
    <w:rsid w:val="00B513E8"/>
    <w:rsid w:val="00B53871"/>
    <w:rsid w:val="00B55263"/>
    <w:rsid w:val="00B570F6"/>
    <w:rsid w:val="00B57343"/>
    <w:rsid w:val="00B6022A"/>
    <w:rsid w:val="00B60562"/>
    <w:rsid w:val="00B62E81"/>
    <w:rsid w:val="00B63470"/>
    <w:rsid w:val="00B65710"/>
    <w:rsid w:val="00B65F5F"/>
    <w:rsid w:val="00B66A54"/>
    <w:rsid w:val="00B672D6"/>
    <w:rsid w:val="00B7074D"/>
    <w:rsid w:val="00B70967"/>
    <w:rsid w:val="00B70B96"/>
    <w:rsid w:val="00B73360"/>
    <w:rsid w:val="00B73513"/>
    <w:rsid w:val="00B74E6D"/>
    <w:rsid w:val="00B758EB"/>
    <w:rsid w:val="00B80E85"/>
    <w:rsid w:val="00B81957"/>
    <w:rsid w:val="00B81A85"/>
    <w:rsid w:val="00B82194"/>
    <w:rsid w:val="00B829F2"/>
    <w:rsid w:val="00B83862"/>
    <w:rsid w:val="00B85456"/>
    <w:rsid w:val="00B875F5"/>
    <w:rsid w:val="00B87D88"/>
    <w:rsid w:val="00B9055D"/>
    <w:rsid w:val="00B9075F"/>
    <w:rsid w:val="00B90DCB"/>
    <w:rsid w:val="00B912C4"/>
    <w:rsid w:val="00B92015"/>
    <w:rsid w:val="00B9215B"/>
    <w:rsid w:val="00B92CD3"/>
    <w:rsid w:val="00B939D1"/>
    <w:rsid w:val="00B93C09"/>
    <w:rsid w:val="00B9421F"/>
    <w:rsid w:val="00B947C3"/>
    <w:rsid w:val="00B95F87"/>
    <w:rsid w:val="00B96063"/>
    <w:rsid w:val="00B96356"/>
    <w:rsid w:val="00B97593"/>
    <w:rsid w:val="00B97790"/>
    <w:rsid w:val="00B97B76"/>
    <w:rsid w:val="00BA0EF8"/>
    <w:rsid w:val="00BA18C7"/>
    <w:rsid w:val="00BA318D"/>
    <w:rsid w:val="00BA3588"/>
    <w:rsid w:val="00BA4046"/>
    <w:rsid w:val="00BA4A95"/>
    <w:rsid w:val="00BA4D48"/>
    <w:rsid w:val="00BA75A6"/>
    <w:rsid w:val="00BA7F5C"/>
    <w:rsid w:val="00BB0619"/>
    <w:rsid w:val="00BB0B4B"/>
    <w:rsid w:val="00BB0E5D"/>
    <w:rsid w:val="00BB1892"/>
    <w:rsid w:val="00BB1AD0"/>
    <w:rsid w:val="00BB2976"/>
    <w:rsid w:val="00BB32BB"/>
    <w:rsid w:val="00BC0CBA"/>
    <w:rsid w:val="00BC1527"/>
    <w:rsid w:val="00BC16B9"/>
    <w:rsid w:val="00BC28C1"/>
    <w:rsid w:val="00BC2DCF"/>
    <w:rsid w:val="00BC2E1D"/>
    <w:rsid w:val="00BC355A"/>
    <w:rsid w:val="00BC3625"/>
    <w:rsid w:val="00BC5EC1"/>
    <w:rsid w:val="00BC704A"/>
    <w:rsid w:val="00BC7753"/>
    <w:rsid w:val="00BD0BA1"/>
    <w:rsid w:val="00BD0C9E"/>
    <w:rsid w:val="00BD1A0E"/>
    <w:rsid w:val="00BD1AD2"/>
    <w:rsid w:val="00BD2DB0"/>
    <w:rsid w:val="00BD39B3"/>
    <w:rsid w:val="00BD3BB5"/>
    <w:rsid w:val="00BD3E08"/>
    <w:rsid w:val="00BD4662"/>
    <w:rsid w:val="00BD674A"/>
    <w:rsid w:val="00BE03BE"/>
    <w:rsid w:val="00BE10E1"/>
    <w:rsid w:val="00BE1E86"/>
    <w:rsid w:val="00BE5399"/>
    <w:rsid w:val="00BE6623"/>
    <w:rsid w:val="00BE7195"/>
    <w:rsid w:val="00BE7B8B"/>
    <w:rsid w:val="00BF06D1"/>
    <w:rsid w:val="00BF3247"/>
    <w:rsid w:val="00BF3450"/>
    <w:rsid w:val="00BF46C7"/>
    <w:rsid w:val="00BF68D4"/>
    <w:rsid w:val="00BF7485"/>
    <w:rsid w:val="00C000DF"/>
    <w:rsid w:val="00C0035F"/>
    <w:rsid w:val="00C01062"/>
    <w:rsid w:val="00C03C01"/>
    <w:rsid w:val="00C0447A"/>
    <w:rsid w:val="00C06648"/>
    <w:rsid w:val="00C0747F"/>
    <w:rsid w:val="00C1015D"/>
    <w:rsid w:val="00C10946"/>
    <w:rsid w:val="00C1104B"/>
    <w:rsid w:val="00C115C4"/>
    <w:rsid w:val="00C129F1"/>
    <w:rsid w:val="00C1394A"/>
    <w:rsid w:val="00C13B63"/>
    <w:rsid w:val="00C152E7"/>
    <w:rsid w:val="00C15D1E"/>
    <w:rsid w:val="00C16E1D"/>
    <w:rsid w:val="00C17E67"/>
    <w:rsid w:val="00C21123"/>
    <w:rsid w:val="00C225BC"/>
    <w:rsid w:val="00C22B44"/>
    <w:rsid w:val="00C23055"/>
    <w:rsid w:val="00C2355A"/>
    <w:rsid w:val="00C23E15"/>
    <w:rsid w:val="00C24B43"/>
    <w:rsid w:val="00C251DA"/>
    <w:rsid w:val="00C256B9"/>
    <w:rsid w:val="00C26177"/>
    <w:rsid w:val="00C26FB6"/>
    <w:rsid w:val="00C27515"/>
    <w:rsid w:val="00C3038E"/>
    <w:rsid w:val="00C30781"/>
    <w:rsid w:val="00C32223"/>
    <w:rsid w:val="00C331B8"/>
    <w:rsid w:val="00C34304"/>
    <w:rsid w:val="00C34998"/>
    <w:rsid w:val="00C36EED"/>
    <w:rsid w:val="00C37AE6"/>
    <w:rsid w:val="00C4096C"/>
    <w:rsid w:val="00C41664"/>
    <w:rsid w:val="00C41B76"/>
    <w:rsid w:val="00C42373"/>
    <w:rsid w:val="00C44400"/>
    <w:rsid w:val="00C4452A"/>
    <w:rsid w:val="00C44C59"/>
    <w:rsid w:val="00C4584F"/>
    <w:rsid w:val="00C4679C"/>
    <w:rsid w:val="00C4779F"/>
    <w:rsid w:val="00C47C9C"/>
    <w:rsid w:val="00C503E8"/>
    <w:rsid w:val="00C50558"/>
    <w:rsid w:val="00C50B62"/>
    <w:rsid w:val="00C51B60"/>
    <w:rsid w:val="00C51B82"/>
    <w:rsid w:val="00C51ECA"/>
    <w:rsid w:val="00C52D37"/>
    <w:rsid w:val="00C52DBE"/>
    <w:rsid w:val="00C53E49"/>
    <w:rsid w:val="00C54786"/>
    <w:rsid w:val="00C551DB"/>
    <w:rsid w:val="00C5527B"/>
    <w:rsid w:val="00C56135"/>
    <w:rsid w:val="00C56978"/>
    <w:rsid w:val="00C605A3"/>
    <w:rsid w:val="00C605B1"/>
    <w:rsid w:val="00C608F6"/>
    <w:rsid w:val="00C60AD4"/>
    <w:rsid w:val="00C62D8D"/>
    <w:rsid w:val="00C652BA"/>
    <w:rsid w:val="00C6538D"/>
    <w:rsid w:val="00C6797E"/>
    <w:rsid w:val="00C70A32"/>
    <w:rsid w:val="00C71AA2"/>
    <w:rsid w:val="00C71FC5"/>
    <w:rsid w:val="00C720D6"/>
    <w:rsid w:val="00C72E57"/>
    <w:rsid w:val="00C7313F"/>
    <w:rsid w:val="00C73212"/>
    <w:rsid w:val="00C73BF0"/>
    <w:rsid w:val="00C74130"/>
    <w:rsid w:val="00C74EC7"/>
    <w:rsid w:val="00C754C5"/>
    <w:rsid w:val="00C767A6"/>
    <w:rsid w:val="00C813CC"/>
    <w:rsid w:val="00C828E6"/>
    <w:rsid w:val="00C83A29"/>
    <w:rsid w:val="00C83D55"/>
    <w:rsid w:val="00C84C08"/>
    <w:rsid w:val="00C85BC0"/>
    <w:rsid w:val="00C85C1C"/>
    <w:rsid w:val="00C861FD"/>
    <w:rsid w:val="00C86DC1"/>
    <w:rsid w:val="00C90C72"/>
    <w:rsid w:val="00C91572"/>
    <w:rsid w:val="00C91D5B"/>
    <w:rsid w:val="00C92458"/>
    <w:rsid w:val="00C92E24"/>
    <w:rsid w:val="00C93167"/>
    <w:rsid w:val="00C940A9"/>
    <w:rsid w:val="00C957B4"/>
    <w:rsid w:val="00C9661A"/>
    <w:rsid w:val="00C969C5"/>
    <w:rsid w:val="00C977F0"/>
    <w:rsid w:val="00CA0966"/>
    <w:rsid w:val="00CA11B5"/>
    <w:rsid w:val="00CA141D"/>
    <w:rsid w:val="00CA18A9"/>
    <w:rsid w:val="00CA2380"/>
    <w:rsid w:val="00CA2D0C"/>
    <w:rsid w:val="00CA30F4"/>
    <w:rsid w:val="00CA4443"/>
    <w:rsid w:val="00CA4547"/>
    <w:rsid w:val="00CA459C"/>
    <w:rsid w:val="00CA559A"/>
    <w:rsid w:val="00CA610A"/>
    <w:rsid w:val="00CA6268"/>
    <w:rsid w:val="00CA653D"/>
    <w:rsid w:val="00CA6C6C"/>
    <w:rsid w:val="00CB1107"/>
    <w:rsid w:val="00CB296C"/>
    <w:rsid w:val="00CB36EF"/>
    <w:rsid w:val="00CB558C"/>
    <w:rsid w:val="00CB6090"/>
    <w:rsid w:val="00CB6343"/>
    <w:rsid w:val="00CB6380"/>
    <w:rsid w:val="00CB6CA0"/>
    <w:rsid w:val="00CC023A"/>
    <w:rsid w:val="00CC1295"/>
    <w:rsid w:val="00CC1CCC"/>
    <w:rsid w:val="00CC1FA7"/>
    <w:rsid w:val="00CC272D"/>
    <w:rsid w:val="00CC282F"/>
    <w:rsid w:val="00CC3815"/>
    <w:rsid w:val="00CC408F"/>
    <w:rsid w:val="00CC4AB7"/>
    <w:rsid w:val="00CC4F1D"/>
    <w:rsid w:val="00CC64EE"/>
    <w:rsid w:val="00CD083D"/>
    <w:rsid w:val="00CD1DC3"/>
    <w:rsid w:val="00CD21E5"/>
    <w:rsid w:val="00CD2F26"/>
    <w:rsid w:val="00CD3998"/>
    <w:rsid w:val="00CD488B"/>
    <w:rsid w:val="00CD58B2"/>
    <w:rsid w:val="00CE01FB"/>
    <w:rsid w:val="00CE03A0"/>
    <w:rsid w:val="00CE07D2"/>
    <w:rsid w:val="00CE12AE"/>
    <w:rsid w:val="00CE1478"/>
    <w:rsid w:val="00CE17B7"/>
    <w:rsid w:val="00CE1875"/>
    <w:rsid w:val="00CE1C8F"/>
    <w:rsid w:val="00CE1F3B"/>
    <w:rsid w:val="00CE2CC6"/>
    <w:rsid w:val="00CE45F2"/>
    <w:rsid w:val="00CE5181"/>
    <w:rsid w:val="00CE5DB2"/>
    <w:rsid w:val="00CE742F"/>
    <w:rsid w:val="00CF0073"/>
    <w:rsid w:val="00CF1039"/>
    <w:rsid w:val="00CF11CB"/>
    <w:rsid w:val="00CF1338"/>
    <w:rsid w:val="00CF1365"/>
    <w:rsid w:val="00CF1371"/>
    <w:rsid w:val="00CF4FDD"/>
    <w:rsid w:val="00CF6F37"/>
    <w:rsid w:val="00D00ED3"/>
    <w:rsid w:val="00D011AF"/>
    <w:rsid w:val="00D02C6A"/>
    <w:rsid w:val="00D03097"/>
    <w:rsid w:val="00D04D09"/>
    <w:rsid w:val="00D04F27"/>
    <w:rsid w:val="00D058DC"/>
    <w:rsid w:val="00D06E94"/>
    <w:rsid w:val="00D07034"/>
    <w:rsid w:val="00D07478"/>
    <w:rsid w:val="00D0760F"/>
    <w:rsid w:val="00D07E4A"/>
    <w:rsid w:val="00D103CB"/>
    <w:rsid w:val="00D1080A"/>
    <w:rsid w:val="00D10872"/>
    <w:rsid w:val="00D1115A"/>
    <w:rsid w:val="00D113C3"/>
    <w:rsid w:val="00D115B7"/>
    <w:rsid w:val="00D11808"/>
    <w:rsid w:val="00D124B6"/>
    <w:rsid w:val="00D12968"/>
    <w:rsid w:val="00D13E59"/>
    <w:rsid w:val="00D13E7C"/>
    <w:rsid w:val="00D14C24"/>
    <w:rsid w:val="00D154D9"/>
    <w:rsid w:val="00D2000A"/>
    <w:rsid w:val="00D21314"/>
    <w:rsid w:val="00D232C1"/>
    <w:rsid w:val="00D240F7"/>
    <w:rsid w:val="00D24951"/>
    <w:rsid w:val="00D25115"/>
    <w:rsid w:val="00D25538"/>
    <w:rsid w:val="00D25C8D"/>
    <w:rsid w:val="00D263F5"/>
    <w:rsid w:val="00D265BC"/>
    <w:rsid w:val="00D3025F"/>
    <w:rsid w:val="00D30445"/>
    <w:rsid w:val="00D30535"/>
    <w:rsid w:val="00D312D3"/>
    <w:rsid w:val="00D3145A"/>
    <w:rsid w:val="00D32372"/>
    <w:rsid w:val="00D3245C"/>
    <w:rsid w:val="00D32CFE"/>
    <w:rsid w:val="00D330CB"/>
    <w:rsid w:val="00D331AC"/>
    <w:rsid w:val="00D3414E"/>
    <w:rsid w:val="00D34682"/>
    <w:rsid w:val="00D35847"/>
    <w:rsid w:val="00D3649A"/>
    <w:rsid w:val="00D37DBE"/>
    <w:rsid w:val="00D40938"/>
    <w:rsid w:val="00D40A8C"/>
    <w:rsid w:val="00D41365"/>
    <w:rsid w:val="00D41810"/>
    <w:rsid w:val="00D42FA4"/>
    <w:rsid w:val="00D431A3"/>
    <w:rsid w:val="00D43850"/>
    <w:rsid w:val="00D43C1B"/>
    <w:rsid w:val="00D44E5F"/>
    <w:rsid w:val="00D4526D"/>
    <w:rsid w:val="00D45E4D"/>
    <w:rsid w:val="00D466FE"/>
    <w:rsid w:val="00D476BA"/>
    <w:rsid w:val="00D50CCF"/>
    <w:rsid w:val="00D513BC"/>
    <w:rsid w:val="00D515C9"/>
    <w:rsid w:val="00D5167F"/>
    <w:rsid w:val="00D53948"/>
    <w:rsid w:val="00D53B9A"/>
    <w:rsid w:val="00D54CC5"/>
    <w:rsid w:val="00D55C3A"/>
    <w:rsid w:val="00D5600E"/>
    <w:rsid w:val="00D57006"/>
    <w:rsid w:val="00D57A16"/>
    <w:rsid w:val="00D60291"/>
    <w:rsid w:val="00D608B5"/>
    <w:rsid w:val="00D61977"/>
    <w:rsid w:val="00D62071"/>
    <w:rsid w:val="00D6280A"/>
    <w:rsid w:val="00D63CB7"/>
    <w:rsid w:val="00D642BC"/>
    <w:rsid w:val="00D66651"/>
    <w:rsid w:val="00D70CE1"/>
    <w:rsid w:val="00D70E7A"/>
    <w:rsid w:val="00D715E8"/>
    <w:rsid w:val="00D71E95"/>
    <w:rsid w:val="00D74C4B"/>
    <w:rsid w:val="00D75609"/>
    <w:rsid w:val="00D75847"/>
    <w:rsid w:val="00D767E8"/>
    <w:rsid w:val="00D77B8C"/>
    <w:rsid w:val="00D80168"/>
    <w:rsid w:val="00D8036E"/>
    <w:rsid w:val="00D81280"/>
    <w:rsid w:val="00D817E7"/>
    <w:rsid w:val="00D81AB8"/>
    <w:rsid w:val="00D81CE0"/>
    <w:rsid w:val="00D83E74"/>
    <w:rsid w:val="00D85853"/>
    <w:rsid w:val="00D86A0F"/>
    <w:rsid w:val="00D86A8B"/>
    <w:rsid w:val="00D879D7"/>
    <w:rsid w:val="00D9055B"/>
    <w:rsid w:val="00D9125B"/>
    <w:rsid w:val="00D91CE5"/>
    <w:rsid w:val="00D94162"/>
    <w:rsid w:val="00D94972"/>
    <w:rsid w:val="00D95967"/>
    <w:rsid w:val="00D96C10"/>
    <w:rsid w:val="00D97701"/>
    <w:rsid w:val="00DA0355"/>
    <w:rsid w:val="00DA1248"/>
    <w:rsid w:val="00DA188D"/>
    <w:rsid w:val="00DA2A17"/>
    <w:rsid w:val="00DA35C7"/>
    <w:rsid w:val="00DA3A56"/>
    <w:rsid w:val="00DA4D81"/>
    <w:rsid w:val="00DA5708"/>
    <w:rsid w:val="00DA5DED"/>
    <w:rsid w:val="00DA5F5B"/>
    <w:rsid w:val="00DA672E"/>
    <w:rsid w:val="00DA685F"/>
    <w:rsid w:val="00DA6D8D"/>
    <w:rsid w:val="00DA6DE6"/>
    <w:rsid w:val="00DB2DBE"/>
    <w:rsid w:val="00DB33C4"/>
    <w:rsid w:val="00DB4254"/>
    <w:rsid w:val="00DB5E74"/>
    <w:rsid w:val="00DB7236"/>
    <w:rsid w:val="00DC216C"/>
    <w:rsid w:val="00DC3311"/>
    <w:rsid w:val="00DC52EF"/>
    <w:rsid w:val="00DC568B"/>
    <w:rsid w:val="00DC5B9F"/>
    <w:rsid w:val="00DC728D"/>
    <w:rsid w:val="00DC781F"/>
    <w:rsid w:val="00DC79C8"/>
    <w:rsid w:val="00DC7AF3"/>
    <w:rsid w:val="00DC7EBD"/>
    <w:rsid w:val="00DD059A"/>
    <w:rsid w:val="00DD0E4A"/>
    <w:rsid w:val="00DD282B"/>
    <w:rsid w:val="00DD2E02"/>
    <w:rsid w:val="00DD307B"/>
    <w:rsid w:val="00DD3902"/>
    <w:rsid w:val="00DD4011"/>
    <w:rsid w:val="00DD556F"/>
    <w:rsid w:val="00DD6375"/>
    <w:rsid w:val="00DD7D9B"/>
    <w:rsid w:val="00DE02DD"/>
    <w:rsid w:val="00DE0520"/>
    <w:rsid w:val="00DE0ECF"/>
    <w:rsid w:val="00DE1D57"/>
    <w:rsid w:val="00DE1DEF"/>
    <w:rsid w:val="00DE3579"/>
    <w:rsid w:val="00DE48A7"/>
    <w:rsid w:val="00DE49D4"/>
    <w:rsid w:val="00DE4B73"/>
    <w:rsid w:val="00DE4E92"/>
    <w:rsid w:val="00DE6890"/>
    <w:rsid w:val="00DE6F6E"/>
    <w:rsid w:val="00DE7F3A"/>
    <w:rsid w:val="00DE7FA1"/>
    <w:rsid w:val="00DF0AFE"/>
    <w:rsid w:val="00DF17F5"/>
    <w:rsid w:val="00DF2108"/>
    <w:rsid w:val="00DF2F3D"/>
    <w:rsid w:val="00DF437C"/>
    <w:rsid w:val="00DF45C4"/>
    <w:rsid w:val="00DF5074"/>
    <w:rsid w:val="00DF58EB"/>
    <w:rsid w:val="00DF69CD"/>
    <w:rsid w:val="00E00AD6"/>
    <w:rsid w:val="00E0423C"/>
    <w:rsid w:val="00E04328"/>
    <w:rsid w:val="00E05C12"/>
    <w:rsid w:val="00E06161"/>
    <w:rsid w:val="00E06F65"/>
    <w:rsid w:val="00E10BB4"/>
    <w:rsid w:val="00E14FFA"/>
    <w:rsid w:val="00E15571"/>
    <w:rsid w:val="00E163C7"/>
    <w:rsid w:val="00E1731F"/>
    <w:rsid w:val="00E1764F"/>
    <w:rsid w:val="00E176D2"/>
    <w:rsid w:val="00E1772E"/>
    <w:rsid w:val="00E20287"/>
    <w:rsid w:val="00E214E6"/>
    <w:rsid w:val="00E21C4A"/>
    <w:rsid w:val="00E22574"/>
    <w:rsid w:val="00E23580"/>
    <w:rsid w:val="00E23992"/>
    <w:rsid w:val="00E23A0C"/>
    <w:rsid w:val="00E25309"/>
    <w:rsid w:val="00E25594"/>
    <w:rsid w:val="00E25CD4"/>
    <w:rsid w:val="00E26AF0"/>
    <w:rsid w:val="00E26EDE"/>
    <w:rsid w:val="00E279CE"/>
    <w:rsid w:val="00E27B92"/>
    <w:rsid w:val="00E30A08"/>
    <w:rsid w:val="00E30A1B"/>
    <w:rsid w:val="00E31065"/>
    <w:rsid w:val="00E3123F"/>
    <w:rsid w:val="00E34938"/>
    <w:rsid w:val="00E34C12"/>
    <w:rsid w:val="00E35186"/>
    <w:rsid w:val="00E3632C"/>
    <w:rsid w:val="00E37160"/>
    <w:rsid w:val="00E371BF"/>
    <w:rsid w:val="00E37681"/>
    <w:rsid w:val="00E40469"/>
    <w:rsid w:val="00E40C2D"/>
    <w:rsid w:val="00E418CF"/>
    <w:rsid w:val="00E41B0D"/>
    <w:rsid w:val="00E41BD4"/>
    <w:rsid w:val="00E43082"/>
    <w:rsid w:val="00E4556D"/>
    <w:rsid w:val="00E46F2F"/>
    <w:rsid w:val="00E47230"/>
    <w:rsid w:val="00E474B8"/>
    <w:rsid w:val="00E47870"/>
    <w:rsid w:val="00E50604"/>
    <w:rsid w:val="00E51AF8"/>
    <w:rsid w:val="00E52986"/>
    <w:rsid w:val="00E52AF3"/>
    <w:rsid w:val="00E52EF3"/>
    <w:rsid w:val="00E544F1"/>
    <w:rsid w:val="00E564C8"/>
    <w:rsid w:val="00E5694D"/>
    <w:rsid w:val="00E56F79"/>
    <w:rsid w:val="00E57B65"/>
    <w:rsid w:val="00E608ED"/>
    <w:rsid w:val="00E60F74"/>
    <w:rsid w:val="00E61C86"/>
    <w:rsid w:val="00E61E41"/>
    <w:rsid w:val="00E6221E"/>
    <w:rsid w:val="00E62972"/>
    <w:rsid w:val="00E63821"/>
    <w:rsid w:val="00E63B6D"/>
    <w:rsid w:val="00E6540C"/>
    <w:rsid w:val="00E65585"/>
    <w:rsid w:val="00E67E45"/>
    <w:rsid w:val="00E734B7"/>
    <w:rsid w:val="00E7372D"/>
    <w:rsid w:val="00E751A4"/>
    <w:rsid w:val="00E75692"/>
    <w:rsid w:val="00E75DA5"/>
    <w:rsid w:val="00E76E38"/>
    <w:rsid w:val="00E77AF2"/>
    <w:rsid w:val="00E803F6"/>
    <w:rsid w:val="00E80B57"/>
    <w:rsid w:val="00E81B74"/>
    <w:rsid w:val="00E81D32"/>
    <w:rsid w:val="00E84703"/>
    <w:rsid w:val="00E85139"/>
    <w:rsid w:val="00E871D5"/>
    <w:rsid w:val="00E87565"/>
    <w:rsid w:val="00E87FB0"/>
    <w:rsid w:val="00E9011D"/>
    <w:rsid w:val="00E90145"/>
    <w:rsid w:val="00E9020D"/>
    <w:rsid w:val="00E906CF"/>
    <w:rsid w:val="00E90C00"/>
    <w:rsid w:val="00E91146"/>
    <w:rsid w:val="00E91AD8"/>
    <w:rsid w:val="00E91F2F"/>
    <w:rsid w:val="00E92104"/>
    <w:rsid w:val="00E93096"/>
    <w:rsid w:val="00E93949"/>
    <w:rsid w:val="00E93962"/>
    <w:rsid w:val="00E93B7A"/>
    <w:rsid w:val="00E9433A"/>
    <w:rsid w:val="00E94447"/>
    <w:rsid w:val="00E94820"/>
    <w:rsid w:val="00E96030"/>
    <w:rsid w:val="00E97AFF"/>
    <w:rsid w:val="00EA0F46"/>
    <w:rsid w:val="00EA1CB3"/>
    <w:rsid w:val="00EA2274"/>
    <w:rsid w:val="00EA2485"/>
    <w:rsid w:val="00EA27E1"/>
    <w:rsid w:val="00EA39E7"/>
    <w:rsid w:val="00EA503F"/>
    <w:rsid w:val="00EA791E"/>
    <w:rsid w:val="00EA79CD"/>
    <w:rsid w:val="00EA7FEA"/>
    <w:rsid w:val="00EB01CF"/>
    <w:rsid w:val="00EB01EA"/>
    <w:rsid w:val="00EB0370"/>
    <w:rsid w:val="00EB13C8"/>
    <w:rsid w:val="00EB1C50"/>
    <w:rsid w:val="00EB3A37"/>
    <w:rsid w:val="00EB701D"/>
    <w:rsid w:val="00EB7157"/>
    <w:rsid w:val="00EB7E79"/>
    <w:rsid w:val="00EC0158"/>
    <w:rsid w:val="00EC08A4"/>
    <w:rsid w:val="00EC2EA7"/>
    <w:rsid w:val="00EC481D"/>
    <w:rsid w:val="00EC4DCD"/>
    <w:rsid w:val="00EC513D"/>
    <w:rsid w:val="00EC517E"/>
    <w:rsid w:val="00EC5203"/>
    <w:rsid w:val="00EC5250"/>
    <w:rsid w:val="00EC58D9"/>
    <w:rsid w:val="00EC5FA7"/>
    <w:rsid w:val="00EC7317"/>
    <w:rsid w:val="00EC7D50"/>
    <w:rsid w:val="00ED059D"/>
    <w:rsid w:val="00ED069B"/>
    <w:rsid w:val="00ED1787"/>
    <w:rsid w:val="00ED1EC0"/>
    <w:rsid w:val="00ED2323"/>
    <w:rsid w:val="00ED2B0D"/>
    <w:rsid w:val="00ED2D7E"/>
    <w:rsid w:val="00ED30FA"/>
    <w:rsid w:val="00ED3B41"/>
    <w:rsid w:val="00ED3ED3"/>
    <w:rsid w:val="00ED4280"/>
    <w:rsid w:val="00ED73D8"/>
    <w:rsid w:val="00ED7AC6"/>
    <w:rsid w:val="00EE0295"/>
    <w:rsid w:val="00EE08B1"/>
    <w:rsid w:val="00EE19F5"/>
    <w:rsid w:val="00EE1CAE"/>
    <w:rsid w:val="00EE3D71"/>
    <w:rsid w:val="00EE477D"/>
    <w:rsid w:val="00EE53B0"/>
    <w:rsid w:val="00EE6B20"/>
    <w:rsid w:val="00EE71C3"/>
    <w:rsid w:val="00EE7577"/>
    <w:rsid w:val="00EF0021"/>
    <w:rsid w:val="00EF00BA"/>
    <w:rsid w:val="00EF204C"/>
    <w:rsid w:val="00EF23F6"/>
    <w:rsid w:val="00EF3E03"/>
    <w:rsid w:val="00EF3F38"/>
    <w:rsid w:val="00EF48C2"/>
    <w:rsid w:val="00EF5814"/>
    <w:rsid w:val="00EF6F6C"/>
    <w:rsid w:val="00EF78CA"/>
    <w:rsid w:val="00EF7D69"/>
    <w:rsid w:val="00F01CF7"/>
    <w:rsid w:val="00F02107"/>
    <w:rsid w:val="00F022F5"/>
    <w:rsid w:val="00F031BE"/>
    <w:rsid w:val="00F0515A"/>
    <w:rsid w:val="00F05314"/>
    <w:rsid w:val="00F071A7"/>
    <w:rsid w:val="00F078BA"/>
    <w:rsid w:val="00F10149"/>
    <w:rsid w:val="00F101DC"/>
    <w:rsid w:val="00F103EA"/>
    <w:rsid w:val="00F108FE"/>
    <w:rsid w:val="00F10CCE"/>
    <w:rsid w:val="00F110F9"/>
    <w:rsid w:val="00F11423"/>
    <w:rsid w:val="00F11AA5"/>
    <w:rsid w:val="00F13148"/>
    <w:rsid w:val="00F159A8"/>
    <w:rsid w:val="00F15E54"/>
    <w:rsid w:val="00F222B3"/>
    <w:rsid w:val="00F2282C"/>
    <w:rsid w:val="00F22CA2"/>
    <w:rsid w:val="00F22E4B"/>
    <w:rsid w:val="00F277A4"/>
    <w:rsid w:val="00F309FB"/>
    <w:rsid w:val="00F31729"/>
    <w:rsid w:val="00F31C9E"/>
    <w:rsid w:val="00F32209"/>
    <w:rsid w:val="00F327F4"/>
    <w:rsid w:val="00F32C62"/>
    <w:rsid w:val="00F338B2"/>
    <w:rsid w:val="00F33ED1"/>
    <w:rsid w:val="00F34005"/>
    <w:rsid w:val="00F34460"/>
    <w:rsid w:val="00F34953"/>
    <w:rsid w:val="00F35DC6"/>
    <w:rsid w:val="00F36EAA"/>
    <w:rsid w:val="00F40783"/>
    <w:rsid w:val="00F419C8"/>
    <w:rsid w:val="00F42953"/>
    <w:rsid w:val="00F435A2"/>
    <w:rsid w:val="00F43B3D"/>
    <w:rsid w:val="00F43F2F"/>
    <w:rsid w:val="00F44CEA"/>
    <w:rsid w:val="00F45909"/>
    <w:rsid w:val="00F459B4"/>
    <w:rsid w:val="00F461B6"/>
    <w:rsid w:val="00F46596"/>
    <w:rsid w:val="00F4703A"/>
    <w:rsid w:val="00F47C63"/>
    <w:rsid w:val="00F501C9"/>
    <w:rsid w:val="00F50972"/>
    <w:rsid w:val="00F51A0D"/>
    <w:rsid w:val="00F521B0"/>
    <w:rsid w:val="00F53403"/>
    <w:rsid w:val="00F554E5"/>
    <w:rsid w:val="00F55A7A"/>
    <w:rsid w:val="00F55B80"/>
    <w:rsid w:val="00F56735"/>
    <w:rsid w:val="00F576C5"/>
    <w:rsid w:val="00F57CBF"/>
    <w:rsid w:val="00F600ED"/>
    <w:rsid w:val="00F60542"/>
    <w:rsid w:val="00F6086F"/>
    <w:rsid w:val="00F610C1"/>
    <w:rsid w:val="00F61868"/>
    <w:rsid w:val="00F61E61"/>
    <w:rsid w:val="00F63D17"/>
    <w:rsid w:val="00F64C99"/>
    <w:rsid w:val="00F65409"/>
    <w:rsid w:val="00F669CF"/>
    <w:rsid w:val="00F66A9C"/>
    <w:rsid w:val="00F66CD8"/>
    <w:rsid w:val="00F67EC9"/>
    <w:rsid w:val="00F705F3"/>
    <w:rsid w:val="00F706E3"/>
    <w:rsid w:val="00F7096C"/>
    <w:rsid w:val="00F7099B"/>
    <w:rsid w:val="00F719FA"/>
    <w:rsid w:val="00F72885"/>
    <w:rsid w:val="00F74268"/>
    <w:rsid w:val="00F74584"/>
    <w:rsid w:val="00F745F6"/>
    <w:rsid w:val="00F7465C"/>
    <w:rsid w:val="00F81FDE"/>
    <w:rsid w:val="00F82AB3"/>
    <w:rsid w:val="00F82C04"/>
    <w:rsid w:val="00F83B6A"/>
    <w:rsid w:val="00F8438C"/>
    <w:rsid w:val="00F84957"/>
    <w:rsid w:val="00F84E87"/>
    <w:rsid w:val="00F84ECD"/>
    <w:rsid w:val="00F85905"/>
    <w:rsid w:val="00F86080"/>
    <w:rsid w:val="00F8773D"/>
    <w:rsid w:val="00F9010A"/>
    <w:rsid w:val="00F9039B"/>
    <w:rsid w:val="00F9080F"/>
    <w:rsid w:val="00F90C35"/>
    <w:rsid w:val="00F90E4D"/>
    <w:rsid w:val="00F91492"/>
    <w:rsid w:val="00F91814"/>
    <w:rsid w:val="00F92154"/>
    <w:rsid w:val="00F92AE6"/>
    <w:rsid w:val="00F92F52"/>
    <w:rsid w:val="00F9333A"/>
    <w:rsid w:val="00F93DA8"/>
    <w:rsid w:val="00F93F29"/>
    <w:rsid w:val="00F951CC"/>
    <w:rsid w:val="00F95789"/>
    <w:rsid w:val="00F95F87"/>
    <w:rsid w:val="00F96982"/>
    <w:rsid w:val="00F97443"/>
    <w:rsid w:val="00F97A79"/>
    <w:rsid w:val="00FA0ABF"/>
    <w:rsid w:val="00FA15A4"/>
    <w:rsid w:val="00FA4BC1"/>
    <w:rsid w:val="00FA5838"/>
    <w:rsid w:val="00FA782F"/>
    <w:rsid w:val="00FB0216"/>
    <w:rsid w:val="00FB0843"/>
    <w:rsid w:val="00FB2E4A"/>
    <w:rsid w:val="00FB3A8F"/>
    <w:rsid w:val="00FB47AB"/>
    <w:rsid w:val="00FB4B4B"/>
    <w:rsid w:val="00FB4D5A"/>
    <w:rsid w:val="00FB72CA"/>
    <w:rsid w:val="00FB7A74"/>
    <w:rsid w:val="00FC0B2C"/>
    <w:rsid w:val="00FC191A"/>
    <w:rsid w:val="00FC202C"/>
    <w:rsid w:val="00FC3222"/>
    <w:rsid w:val="00FC5CB9"/>
    <w:rsid w:val="00FC6D08"/>
    <w:rsid w:val="00FD0371"/>
    <w:rsid w:val="00FD118A"/>
    <w:rsid w:val="00FD1E08"/>
    <w:rsid w:val="00FD1E9D"/>
    <w:rsid w:val="00FD22E5"/>
    <w:rsid w:val="00FD2677"/>
    <w:rsid w:val="00FD2A8B"/>
    <w:rsid w:val="00FD2BD8"/>
    <w:rsid w:val="00FD37B7"/>
    <w:rsid w:val="00FD3803"/>
    <w:rsid w:val="00FD386C"/>
    <w:rsid w:val="00FD3A1F"/>
    <w:rsid w:val="00FD3EF8"/>
    <w:rsid w:val="00FD4FC0"/>
    <w:rsid w:val="00FD5617"/>
    <w:rsid w:val="00FD5B1E"/>
    <w:rsid w:val="00FD62B9"/>
    <w:rsid w:val="00FD7159"/>
    <w:rsid w:val="00FD75A3"/>
    <w:rsid w:val="00FE1DAE"/>
    <w:rsid w:val="00FE2541"/>
    <w:rsid w:val="00FE5501"/>
    <w:rsid w:val="00FE5D7B"/>
    <w:rsid w:val="00FE5F09"/>
    <w:rsid w:val="00FE6CF7"/>
    <w:rsid w:val="00FE7890"/>
    <w:rsid w:val="00FE7C3B"/>
    <w:rsid w:val="00FF02B3"/>
    <w:rsid w:val="00FF04D7"/>
    <w:rsid w:val="00FF09C9"/>
    <w:rsid w:val="00FF15ED"/>
    <w:rsid w:val="00FF1612"/>
    <w:rsid w:val="00FF28F1"/>
    <w:rsid w:val="00FF3EF2"/>
    <w:rsid w:val="00FF4BA6"/>
    <w:rsid w:val="00FF661E"/>
    <w:rsid w:val="00FF7508"/>
    <w:rsid w:val="00FF78F5"/>
    <w:rsid w:val="00FF7E44"/>
    <w:rsid w:val="01717A11"/>
    <w:rsid w:val="01994B7A"/>
    <w:rsid w:val="0221355E"/>
    <w:rsid w:val="0225759F"/>
    <w:rsid w:val="02B01020"/>
    <w:rsid w:val="02FF77DD"/>
    <w:rsid w:val="030B0115"/>
    <w:rsid w:val="03B7272D"/>
    <w:rsid w:val="03B95AE7"/>
    <w:rsid w:val="0407356A"/>
    <w:rsid w:val="047A1615"/>
    <w:rsid w:val="048005CF"/>
    <w:rsid w:val="04AA32D8"/>
    <w:rsid w:val="04B93290"/>
    <w:rsid w:val="0507107C"/>
    <w:rsid w:val="050B0AD1"/>
    <w:rsid w:val="051027E3"/>
    <w:rsid w:val="055B2550"/>
    <w:rsid w:val="059C2C58"/>
    <w:rsid w:val="05BD7E93"/>
    <w:rsid w:val="05E65DF7"/>
    <w:rsid w:val="05F068BA"/>
    <w:rsid w:val="06413884"/>
    <w:rsid w:val="064D66C7"/>
    <w:rsid w:val="06570259"/>
    <w:rsid w:val="066213C5"/>
    <w:rsid w:val="067E12EE"/>
    <w:rsid w:val="06973A90"/>
    <w:rsid w:val="06D37A95"/>
    <w:rsid w:val="078E65BD"/>
    <w:rsid w:val="07950B26"/>
    <w:rsid w:val="07AD4763"/>
    <w:rsid w:val="07AF648A"/>
    <w:rsid w:val="07F2603F"/>
    <w:rsid w:val="082B61CD"/>
    <w:rsid w:val="088D33BC"/>
    <w:rsid w:val="08A31AD3"/>
    <w:rsid w:val="08D24499"/>
    <w:rsid w:val="08E20D37"/>
    <w:rsid w:val="08F1791D"/>
    <w:rsid w:val="09120680"/>
    <w:rsid w:val="09183031"/>
    <w:rsid w:val="09334719"/>
    <w:rsid w:val="0938349D"/>
    <w:rsid w:val="093924E2"/>
    <w:rsid w:val="095F4D3F"/>
    <w:rsid w:val="09815F03"/>
    <w:rsid w:val="099B4FD5"/>
    <w:rsid w:val="09AA6F59"/>
    <w:rsid w:val="09B5423E"/>
    <w:rsid w:val="09E831E8"/>
    <w:rsid w:val="0A3305A4"/>
    <w:rsid w:val="0A3B212C"/>
    <w:rsid w:val="0AAA6E2C"/>
    <w:rsid w:val="0B520C80"/>
    <w:rsid w:val="0BAA12A1"/>
    <w:rsid w:val="0C6769F7"/>
    <w:rsid w:val="0C786174"/>
    <w:rsid w:val="0C89583A"/>
    <w:rsid w:val="0C895C47"/>
    <w:rsid w:val="0C9C4180"/>
    <w:rsid w:val="0C9C6183"/>
    <w:rsid w:val="0CFD33F5"/>
    <w:rsid w:val="0D44353F"/>
    <w:rsid w:val="0D9826EA"/>
    <w:rsid w:val="0DAF27A4"/>
    <w:rsid w:val="0DB56458"/>
    <w:rsid w:val="0DDA4971"/>
    <w:rsid w:val="0DE4596E"/>
    <w:rsid w:val="0DF1589D"/>
    <w:rsid w:val="0DF7041A"/>
    <w:rsid w:val="0E09677F"/>
    <w:rsid w:val="0E0C7DBD"/>
    <w:rsid w:val="0E105702"/>
    <w:rsid w:val="0E236D2F"/>
    <w:rsid w:val="0E28418C"/>
    <w:rsid w:val="0E475979"/>
    <w:rsid w:val="0E7F743B"/>
    <w:rsid w:val="0EB702E4"/>
    <w:rsid w:val="0F2A4B44"/>
    <w:rsid w:val="0F69657F"/>
    <w:rsid w:val="0FC30448"/>
    <w:rsid w:val="0FDE53EC"/>
    <w:rsid w:val="0FEC320D"/>
    <w:rsid w:val="100A67F0"/>
    <w:rsid w:val="103277E3"/>
    <w:rsid w:val="10395AFA"/>
    <w:rsid w:val="108A3B9C"/>
    <w:rsid w:val="10BD7ADE"/>
    <w:rsid w:val="10CE622E"/>
    <w:rsid w:val="11047EE5"/>
    <w:rsid w:val="11307011"/>
    <w:rsid w:val="11614A58"/>
    <w:rsid w:val="1162193B"/>
    <w:rsid w:val="11863DB9"/>
    <w:rsid w:val="11DA3D6B"/>
    <w:rsid w:val="11EA17CD"/>
    <w:rsid w:val="12012899"/>
    <w:rsid w:val="120F5B98"/>
    <w:rsid w:val="121908E3"/>
    <w:rsid w:val="127D49C0"/>
    <w:rsid w:val="130A0829"/>
    <w:rsid w:val="133E5D52"/>
    <w:rsid w:val="134175B9"/>
    <w:rsid w:val="134A6EAA"/>
    <w:rsid w:val="135154B3"/>
    <w:rsid w:val="138A6CBD"/>
    <w:rsid w:val="148A3566"/>
    <w:rsid w:val="14A61226"/>
    <w:rsid w:val="14B755E6"/>
    <w:rsid w:val="14BD7ADA"/>
    <w:rsid w:val="14C51D87"/>
    <w:rsid w:val="14E6367A"/>
    <w:rsid w:val="14F5095B"/>
    <w:rsid w:val="14FB471B"/>
    <w:rsid w:val="16095BA1"/>
    <w:rsid w:val="16137DD1"/>
    <w:rsid w:val="162B2D81"/>
    <w:rsid w:val="168C7E4B"/>
    <w:rsid w:val="16CD60CE"/>
    <w:rsid w:val="16FB7141"/>
    <w:rsid w:val="178044A6"/>
    <w:rsid w:val="179901BE"/>
    <w:rsid w:val="17C53A77"/>
    <w:rsid w:val="17E06B04"/>
    <w:rsid w:val="17EB1AB4"/>
    <w:rsid w:val="17F26B08"/>
    <w:rsid w:val="18567D7C"/>
    <w:rsid w:val="18585DDC"/>
    <w:rsid w:val="188159D9"/>
    <w:rsid w:val="18A04B6C"/>
    <w:rsid w:val="18B50D5B"/>
    <w:rsid w:val="18C27C65"/>
    <w:rsid w:val="18F953B8"/>
    <w:rsid w:val="18FE5D0F"/>
    <w:rsid w:val="1929372E"/>
    <w:rsid w:val="196735C7"/>
    <w:rsid w:val="19677E6A"/>
    <w:rsid w:val="1972381E"/>
    <w:rsid w:val="197E599A"/>
    <w:rsid w:val="19B10E6B"/>
    <w:rsid w:val="19E468B7"/>
    <w:rsid w:val="19E51F44"/>
    <w:rsid w:val="19E70E0E"/>
    <w:rsid w:val="19EF469B"/>
    <w:rsid w:val="1A061660"/>
    <w:rsid w:val="1A24245F"/>
    <w:rsid w:val="1A3C42F7"/>
    <w:rsid w:val="1A407387"/>
    <w:rsid w:val="1A4E60D8"/>
    <w:rsid w:val="1B54270A"/>
    <w:rsid w:val="1B6A01B8"/>
    <w:rsid w:val="1B7023CE"/>
    <w:rsid w:val="1B941F2A"/>
    <w:rsid w:val="1B9B7E27"/>
    <w:rsid w:val="1BBB463C"/>
    <w:rsid w:val="1BDF22A2"/>
    <w:rsid w:val="1BE973A9"/>
    <w:rsid w:val="1BF63A07"/>
    <w:rsid w:val="1C3F7DA1"/>
    <w:rsid w:val="1CE756C6"/>
    <w:rsid w:val="1CF807DF"/>
    <w:rsid w:val="1D1262AF"/>
    <w:rsid w:val="1D1E2D82"/>
    <w:rsid w:val="1D39331E"/>
    <w:rsid w:val="1D4F0AF5"/>
    <w:rsid w:val="1D93351D"/>
    <w:rsid w:val="1D9B2591"/>
    <w:rsid w:val="1DA904CE"/>
    <w:rsid w:val="1E544367"/>
    <w:rsid w:val="1E6C14A7"/>
    <w:rsid w:val="1E8E4590"/>
    <w:rsid w:val="1EA700D7"/>
    <w:rsid w:val="1ED02718"/>
    <w:rsid w:val="1F3922C5"/>
    <w:rsid w:val="1F5639A9"/>
    <w:rsid w:val="1F7950FB"/>
    <w:rsid w:val="1F9936A3"/>
    <w:rsid w:val="1FD63B9A"/>
    <w:rsid w:val="202B720C"/>
    <w:rsid w:val="208D05BE"/>
    <w:rsid w:val="20EB0AAC"/>
    <w:rsid w:val="20EB6B1A"/>
    <w:rsid w:val="21715035"/>
    <w:rsid w:val="21D108A4"/>
    <w:rsid w:val="21E4296F"/>
    <w:rsid w:val="21F546A4"/>
    <w:rsid w:val="221E3F00"/>
    <w:rsid w:val="22A5416A"/>
    <w:rsid w:val="22A82BBD"/>
    <w:rsid w:val="22A87693"/>
    <w:rsid w:val="22B8599C"/>
    <w:rsid w:val="22F51678"/>
    <w:rsid w:val="22FA3875"/>
    <w:rsid w:val="23447A14"/>
    <w:rsid w:val="23C827A7"/>
    <w:rsid w:val="24BC2F5C"/>
    <w:rsid w:val="24D52702"/>
    <w:rsid w:val="252030A7"/>
    <w:rsid w:val="254A6C60"/>
    <w:rsid w:val="255C1F3C"/>
    <w:rsid w:val="25670609"/>
    <w:rsid w:val="256B6EEA"/>
    <w:rsid w:val="25936F18"/>
    <w:rsid w:val="259A20CF"/>
    <w:rsid w:val="25A12E55"/>
    <w:rsid w:val="25D570AA"/>
    <w:rsid w:val="25FB7371"/>
    <w:rsid w:val="26184A84"/>
    <w:rsid w:val="263A6224"/>
    <w:rsid w:val="265C46E7"/>
    <w:rsid w:val="265D54EB"/>
    <w:rsid w:val="26D24B53"/>
    <w:rsid w:val="26D44D9E"/>
    <w:rsid w:val="27070CA1"/>
    <w:rsid w:val="270C7FBF"/>
    <w:rsid w:val="27110C67"/>
    <w:rsid w:val="271E4EE9"/>
    <w:rsid w:val="278803BB"/>
    <w:rsid w:val="27F57C7A"/>
    <w:rsid w:val="284474BA"/>
    <w:rsid w:val="28625612"/>
    <w:rsid w:val="28721618"/>
    <w:rsid w:val="288315D2"/>
    <w:rsid w:val="29293BFD"/>
    <w:rsid w:val="29AE4B90"/>
    <w:rsid w:val="29BF54C4"/>
    <w:rsid w:val="29ED0762"/>
    <w:rsid w:val="2A790F52"/>
    <w:rsid w:val="2A82768C"/>
    <w:rsid w:val="2A88365C"/>
    <w:rsid w:val="2AC3077D"/>
    <w:rsid w:val="2B1344E2"/>
    <w:rsid w:val="2B1B6149"/>
    <w:rsid w:val="2B6E4D12"/>
    <w:rsid w:val="2BA8022A"/>
    <w:rsid w:val="2BC2163A"/>
    <w:rsid w:val="2BD1414E"/>
    <w:rsid w:val="2BD954EB"/>
    <w:rsid w:val="2BDA3187"/>
    <w:rsid w:val="2BFC47F6"/>
    <w:rsid w:val="2C687852"/>
    <w:rsid w:val="2C8939D5"/>
    <w:rsid w:val="2CA81950"/>
    <w:rsid w:val="2CC55886"/>
    <w:rsid w:val="2CFC27F3"/>
    <w:rsid w:val="2D5442CA"/>
    <w:rsid w:val="2D8B6DC2"/>
    <w:rsid w:val="2D972291"/>
    <w:rsid w:val="2DB96A0A"/>
    <w:rsid w:val="2DF166C7"/>
    <w:rsid w:val="2DF86A07"/>
    <w:rsid w:val="2E6D0AE5"/>
    <w:rsid w:val="2E74006D"/>
    <w:rsid w:val="2E8519CE"/>
    <w:rsid w:val="2E861631"/>
    <w:rsid w:val="2E9C444B"/>
    <w:rsid w:val="2E9D5EF0"/>
    <w:rsid w:val="2EAF049C"/>
    <w:rsid w:val="2EDE519C"/>
    <w:rsid w:val="2EF043FE"/>
    <w:rsid w:val="2F212122"/>
    <w:rsid w:val="2F5F2AB5"/>
    <w:rsid w:val="2F8C4669"/>
    <w:rsid w:val="2F9D6E36"/>
    <w:rsid w:val="2FA474D7"/>
    <w:rsid w:val="2FD44698"/>
    <w:rsid w:val="2FF34336"/>
    <w:rsid w:val="2FFD1131"/>
    <w:rsid w:val="300351B0"/>
    <w:rsid w:val="30524573"/>
    <w:rsid w:val="30BA3153"/>
    <w:rsid w:val="30E216D3"/>
    <w:rsid w:val="310D2A8E"/>
    <w:rsid w:val="3132324B"/>
    <w:rsid w:val="313E4B34"/>
    <w:rsid w:val="31972861"/>
    <w:rsid w:val="31B57B6A"/>
    <w:rsid w:val="31C709F7"/>
    <w:rsid w:val="31FE3C2F"/>
    <w:rsid w:val="3207440B"/>
    <w:rsid w:val="3210535E"/>
    <w:rsid w:val="32620623"/>
    <w:rsid w:val="329A1124"/>
    <w:rsid w:val="32B86D11"/>
    <w:rsid w:val="331C593D"/>
    <w:rsid w:val="332130EA"/>
    <w:rsid w:val="337002FD"/>
    <w:rsid w:val="33756F4C"/>
    <w:rsid w:val="33794048"/>
    <w:rsid w:val="33812055"/>
    <w:rsid w:val="33C0338F"/>
    <w:rsid w:val="33C65D02"/>
    <w:rsid w:val="33DB5DEB"/>
    <w:rsid w:val="3440142E"/>
    <w:rsid w:val="346B7B1F"/>
    <w:rsid w:val="35625794"/>
    <w:rsid w:val="35695B6B"/>
    <w:rsid w:val="35756A33"/>
    <w:rsid w:val="35764394"/>
    <w:rsid w:val="35BB0825"/>
    <w:rsid w:val="35BB0836"/>
    <w:rsid w:val="35F47911"/>
    <w:rsid w:val="36083EA1"/>
    <w:rsid w:val="360A4309"/>
    <w:rsid w:val="3615292F"/>
    <w:rsid w:val="36181F50"/>
    <w:rsid w:val="36542EC4"/>
    <w:rsid w:val="36681FFB"/>
    <w:rsid w:val="366D4F88"/>
    <w:rsid w:val="367D7C82"/>
    <w:rsid w:val="371A7103"/>
    <w:rsid w:val="37237706"/>
    <w:rsid w:val="37B14D4B"/>
    <w:rsid w:val="384D470D"/>
    <w:rsid w:val="386C76BC"/>
    <w:rsid w:val="38792858"/>
    <w:rsid w:val="388000EA"/>
    <w:rsid w:val="3885558E"/>
    <w:rsid w:val="38F90D9E"/>
    <w:rsid w:val="391612E8"/>
    <w:rsid w:val="39203377"/>
    <w:rsid w:val="393A3157"/>
    <w:rsid w:val="395E71FA"/>
    <w:rsid w:val="396B3281"/>
    <w:rsid w:val="39877D3A"/>
    <w:rsid w:val="398A40C7"/>
    <w:rsid w:val="39925921"/>
    <w:rsid w:val="39BA4025"/>
    <w:rsid w:val="39CD2AD7"/>
    <w:rsid w:val="3A2A76EF"/>
    <w:rsid w:val="3A5A097A"/>
    <w:rsid w:val="3A743936"/>
    <w:rsid w:val="3AC60AFD"/>
    <w:rsid w:val="3ADC7A1E"/>
    <w:rsid w:val="3B096350"/>
    <w:rsid w:val="3B8A41FA"/>
    <w:rsid w:val="3B8F383E"/>
    <w:rsid w:val="3C3C6B49"/>
    <w:rsid w:val="3C41537B"/>
    <w:rsid w:val="3C4877C4"/>
    <w:rsid w:val="3C7C2F0F"/>
    <w:rsid w:val="3CB36292"/>
    <w:rsid w:val="3CCD7084"/>
    <w:rsid w:val="3D0D7463"/>
    <w:rsid w:val="3D3C42ED"/>
    <w:rsid w:val="3D515309"/>
    <w:rsid w:val="3DF4071C"/>
    <w:rsid w:val="3E341DFE"/>
    <w:rsid w:val="3E7331D4"/>
    <w:rsid w:val="3E8A166F"/>
    <w:rsid w:val="3EA31AE2"/>
    <w:rsid w:val="3ECD0E4F"/>
    <w:rsid w:val="3ED44181"/>
    <w:rsid w:val="3EF67563"/>
    <w:rsid w:val="3F425D83"/>
    <w:rsid w:val="3F7033C6"/>
    <w:rsid w:val="3F9645EA"/>
    <w:rsid w:val="3FB628D7"/>
    <w:rsid w:val="3FCC1EB9"/>
    <w:rsid w:val="3FEC09B9"/>
    <w:rsid w:val="40172C96"/>
    <w:rsid w:val="40203C74"/>
    <w:rsid w:val="40296850"/>
    <w:rsid w:val="402A7D77"/>
    <w:rsid w:val="403A261B"/>
    <w:rsid w:val="40C965A5"/>
    <w:rsid w:val="40D51C52"/>
    <w:rsid w:val="40DA53F5"/>
    <w:rsid w:val="411D20B3"/>
    <w:rsid w:val="41264E27"/>
    <w:rsid w:val="417E09CE"/>
    <w:rsid w:val="41BA07B6"/>
    <w:rsid w:val="41EE0379"/>
    <w:rsid w:val="42195422"/>
    <w:rsid w:val="42304B49"/>
    <w:rsid w:val="42313480"/>
    <w:rsid w:val="424268CE"/>
    <w:rsid w:val="424E22D3"/>
    <w:rsid w:val="425D2E52"/>
    <w:rsid w:val="42BF297F"/>
    <w:rsid w:val="42C01EBD"/>
    <w:rsid w:val="42FF5145"/>
    <w:rsid w:val="43050EA5"/>
    <w:rsid w:val="43462D46"/>
    <w:rsid w:val="43D86DBD"/>
    <w:rsid w:val="43E94C15"/>
    <w:rsid w:val="44176E6F"/>
    <w:rsid w:val="4419772C"/>
    <w:rsid w:val="443834D1"/>
    <w:rsid w:val="4468150F"/>
    <w:rsid w:val="44694C46"/>
    <w:rsid w:val="44743631"/>
    <w:rsid w:val="44BD5C4D"/>
    <w:rsid w:val="44CB5C3B"/>
    <w:rsid w:val="45554AF1"/>
    <w:rsid w:val="455B4991"/>
    <w:rsid w:val="45915F1C"/>
    <w:rsid w:val="45AD6389"/>
    <w:rsid w:val="45D16F47"/>
    <w:rsid w:val="45D54EDE"/>
    <w:rsid w:val="45E83F3B"/>
    <w:rsid w:val="45ED0BBB"/>
    <w:rsid w:val="4607066A"/>
    <w:rsid w:val="462D0C00"/>
    <w:rsid w:val="46382CD9"/>
    <w:rsid w:val="465A2719"/>
    <w:rsid w:val="46F14D89"/>
    <w:rsid w:val="47255F06"/>
    <w:rsid w:val="474C1AD3"/>
    <w:rsid w:val="475A0986"/>
    <w:rsid w:val="479650E7"/>
    <w:rsid w:val="47C628EB"/>
    <w:rsid w:val="483A52FE"/>
    <w:rsid w:val="48506114"/>
    <w:rsid w:val="48642650"/>
    <w:rsid w:val="48FA0238"/>
    <w:rsid w:val="491868E5"/>
    <w:rsid w:val="49213AF3"/>
    <w:rsid w:val="49B900C8"/>
    <w:rsid w:val="49F37AF5"/>
    <w:rsid w:val="4A0A67F4"/>
    <w:rsid w:val="4A492BF3"/>
    <w:rsid w:val="4A845BD6"/>
    <w:rsid w:val="4A9B5B61"/>
    <w:rsid w:val="4ADB2066"/>
    <w:rsid w:val="4AFE50C3"/>
    <w:rsid w:val="4B005B2E"/>
    <w:rsid w:val="4B0F3B03"/>
    <w:rsid w:val="4B2D2EF5"/>
    <w:rsid w:val="4B7547FF"/>
    <w:rsid w:val="4B87719B"/>
    <w:rsid w:val="4BAE52DF"/>
    <w:rsid w:val="4BD21D75"/>
    <w:rsid w:val="4C677D77"/>
    <w:rsid w:val="4C8E429B"/>
    <w:rsid w:val="4C90574A"/>
    <w:rsid w:val="4CA4386B"/>
    <w:rsid w:val="4CDF1767"/>
    <w:rsid w:val="4D770B5F"/>
    <w:rsid w:val="4DCF2504"/>
    <w:rsid w:val="4E0062C6"/>
    <w:rsid w:val="4E167EB6"/>
    <w:rsid w:val="4E4B3BC9"/>
    <w:rsid w:val="4ED00509"/>
    <w:rsid w:val="4ED81FAB"/>
    <w:rsid w:val="4EE26DC7"/>
    <w:rsid w:val="4EE6016B"/>
    <w:rsid w:val="4EF45B88"/>
    <w:rsid w:val="4F0A19A6"/>
    <w:rsid w:val="4F183407"/>
    <w:rsid w:val="4FA27746"/>
    <w:rsid w:val="4FB0333A"/>
    <w:rsid w:val="4FC6682E"/>
    <w:rsid w:val="4FE4628C"/>
    <w:rsid w:val="501030B1"/>
    <w:rsid w:val="501841B0"/>
    <w:rsid w:val="50C22AEE"/>
    <w:rsid w:val="50F175E0"/>
    <w:rsid w:val="50F711D9"/>
    <w:rsid w:val="512F483D"/>
    <w:rsid w:val="516B7A51"/>
    <w:rsid w:val="517746EB"/>
    <w:rsid w:val="51B25F3A"/>
    <w:rsid w:val="52844068"/>
    <w:rsid w:val="52935D32"/>
    <w:rsid w:val="52B02143"/>
    <w:rsid w:val="530E067E"/>
    <w:rsid w:val="531B560F"/>
    <w:rsid w:val="532819C5"/>
    <w:rsid w:val="53650BCB"/>
    <w:rsid w:val="53A35904"/>
    <w:rsid w:val="53D51084"/>
    <w:rsid w:val="53D94A0C"/>
    <w:rsid w:val="540532FE"/>
    <w:rsid w:val="54E62DF2"/>
    <w:rsid w:val="555B0F26"/>
    <w:rsid w:val="55921E53"/>
    <w:rsid w:val="55B27ACE"/>
    <w:rsid w:val="55B56B9C"/>
    <w:rsid w:val="564A13CC"/>
    <w:rsid w:val="56507644"/>
    <w:rsid w:val="56AA161A"/>
    <w:rsid w:val="56BC575E"/>
    <w:rsid w:val="56E308A0"/>
    <w:rsid w:val="56E6742C"/>
    <w:rsid w:val="578F24D4"/>
    <w:rsid w:val="57CD268A"/>
    <w:rsid w:val="58106AC3"/>
    <w:rsid w:val="58327C9E"/>
    <w:rsid w:val="58622633"/>
    <w:rsid w:val="58A31EA6"/>
    <w:rsid w:val="58C95B27"/>
    <w:rsid w:val="58FF2388"/>
    <w:rsid w:val="590A0C4D"/>
    <w:rsid w:val="59275536"/>
    <w:rsid w:val="5935613A"/>
    <w:rsid w:val="596565DA"/>
    <w:rsid w:val="596C6C0A"/>
    <w:rsid w:val="59710532"/>
    <w:rsid w:val="59D83A66"/>
    <w:rsid w:val="59E5370D"/>
    <w:rsid w:val="5A014C2A"/>
    <w:rsid w:val="5A1261E1"/>
    <w:rsid w:val="5AC93AAB"/>
    <w:rsid w:val="5AE448E6"/>
    <w:rsid w:val="5B0373F5"/>
    <w:rsid w:val="5B0978FF"/>
    <w:rsid w:val="5B461487"/>
    <w:rsid w:val="5B8A4251"/>
    <w:rsid w:val="5BB54207"/>
    <w:rsid w:val="5BF704CD"/>
    <w:rsid w:val="5C192A0F"/>
    <w:rsid w:val="5C377C38"/>
    <w:rsid w:val="5C66072D"/>
    <w:rsid w:val="5C732EDA"/>
    <w:rsid w:val="5C77632C"/>
    <w:rsid w:val="5C8B2430"/>
    <w:rsid w:val="5CAC2539"/>
    <w:rsid w:val="5CEC631E"/>
    <w:rsid w:val="5D0011A8"/>
    <w:rsid w:val="5D055863"/>
    <w:rsid w:val="5D467A6D"/>
    <w:rsid w:val="5D7D47EF"/>
    <w:rsid w:val="5D8D34C9"/>
    <w:rsid w:val="5DC32898"/>
    <w:rsid w:val="5DEB54F4"/>
    <w:rsid w:val="5E4D3BF4"/>
    <w:rsid w:val="5E5168B5"/>
    <w:rsid w:val="5E581E1A"/>
    <w:rsid w:val="5F610B6B"/>
    <w:rsid w:val="5F762912"/>
    <w:rsid w:val="5FC45C0D"/>
    <w:rsid w:val="5FEB5BCC"/>
    <w:rsid w:val="5FF23DF6"/>
    <w:rsid w:val="5FF747EF"/>
    <w:rsid w:val="5FFE59AF"/>
    <w:rsid w:val="600A269D"/>
    <w:rsid w:val="60276D97"/>
    <w:rsid w:val="602A40F6"/>
    <w:rsid w:val="604D7335"/>
    <w:rsid w:val="60734147"/>
    <w:rsid w:val="60BC595F"/>
    <w:rsid w:val="60BF4EBC"/>
    <w:rsid w:val="60C87DDA"/>
    <w:rsid w:val="6147641C"/>
    <w:rsid w:val="615C0CEB"/>
    <w:rsid w:val="616510B6"/>
    <w:rsid w:val="6172722A"/>
    <w:rsid w:val="619743F4"/>
    <w:rsid w:val="620D4340"/>
    <w:rsid w:val="621B7096"/>
    <w:rsid w:val="622E545C"/>
    <w:rsid w:val="629E50E6"/>
    <w:rsid w:val="62A50A05"/>
    <w:rsid w:val="62C80BF7"/>
    <w:rsid w:val="631172A7"/>
    <w:rsid w:val="632E56A8"/>
    <w:rsid w:val="633D386F"/>
    <w:rsid w:val="63452365"/>
    <w:rsid w:val="637900E2"/>
    <w:rsid w:val="637D3ABD"/>
    <w:rsid w:val="63D61EA6"/>
    <w:rsid w:val="642671DC"/>
    <w:rsid w:val="650E0D0D"/>
    <w:rsid w:val="651F3BC2"/>
    <w:rsid w:val="653E3041"/>
    <w:rsid w:val="654725D5"/>
    <w:rsid w:val="657E315F"/>
    <w:rsid w:val="65C11692"/>
    <w:rsid w:val="65EA1D44"/>
    <w:rsid w:val="65FD2C93"/>
    <w:rsid w:val="666A2430"/>
    <w:rsid w:val="66764946"/>
    <w:rsid w:val="667E3793"/>
    <w:rsid w:val="66836647"/>
    <w:rsid w:val="66880618"/>
    <w:rsid w:val="6688164F"/>
    <w:rsid w:val="66BE4A01"/>
    <w:rsid w:val="66DD061A"/>
    <w:rsid w:val="66EC4BC3"/>
    <w:rsid w:val="67010E0D"/>
    <w:rsid w:val="675461D0"/>
    <w:rsid w:val="676568C6"/>
    <w:rsid w:val="67BB6F54"/>
    <w:rsid w:val="67DC621F"/>
    <w:rsid w:val="67F31667"/>
    <w:rsid w:val="68136A0C"/>
    <w:rsid w:val="68534438"/>
    <w:rsid w:val="68544BF5"/>
    <w:rsid w:val="68B73F4A"/>
    <w:rsid w:val="6937352C"/>
    <w:rsid w:val="695D7F55"/>
    <w:rsid w:val="698B242F"/>
    <w:rsid w:val="698E0829"/>
    <w:rsid w:val="69A65836"/>
    <w:rsid w:val="69C40CE0"/>
    <w:rsid w:val="69C41D1E"/>
    <w:rsid w:val="6A341FFB"/>
    <w:rsid w:val="6A654A85"/>
    <w:rsid w:val="6A681775"/>
    <w:rsid w:val="6A782AF3"/>
    <w:rsid w:val="6A8110A4"/>
    <w:rsid w:val="6AD72FA9"/>
    <w:rsid w:val="6AEB410F"/>
    <w:rsid w:val="6B091261"/>
    <w:rsid w:val="6B260FAC"/>
    <w:rsid w:val="6B3D1F09"/>
    <w:rsid w:val="6BA869ED"/>
    <w:rsid w:val="6BB22B20"/>
    <w:rsid w:val="6BEF1429"/>
    <w:rsid w:val="6BF0033A"/>
    <w:rsid w:val="6C4249E7"/>
    <w:rsid w:val="6C4A1515"/>
    <w:rsid w:val="6C8A2604"/>
    <w:rsid w:val="6CA83783"/>
    <w:rsid w:val="6CFB6AD9"/>
    <w:rsid w:val="6D111762"/>
    <w:rsid w:val="6D380AFE"/>
    <w:rsid w:val="6D7E287D"/>
    <w:rsid w:val="6D951FFC"/>
    <w:rsid w:val="6DCF41EC"/>
    <w:rsid w:val="6EA0539E"/>
    <w:rsid w:val="6EA62F38"/>
    <w:rsid w:val="6F0D1B51"/>
    <w:rsid w:val="6F317A67"/>
    <w:rsid w:val="6F443280"/>
    <w:rsid w:val="6F581311"/>
    <w:rsid w:val="6F686405"/>
    <w:rsid w:val="6F6E5C7D"/>
    <w:rsid w:val="6F783996"/>
    <w:rsid w:val="6FD131C7"/>
    <w:rsid w:val="6FD80DD6"/>
    <w:rsid w:val="70294050"/>
    <w:rsid w:val="703127CA"/>
    <w:rsid w:val="70732E3D"/>
    <w:rsid w:val="70D850D2"/>
    <w:rsid w:val="710F3481"/>
    <w:rsid w:val="71225C4C"/>
    <w:rsid w:val="712264BB"/>
    <w:rsid w:val="71245C30"/>
    <w:rsid w:val="71C47C60"/>
    <w:rsid w:val="71E402BA"/>
    <w:rsid w:val="71F11895"/>
    <w:rsid w:val="72064488"/>
    <w:rsid w:val="724606BF"/>
    <w:rsid w:val="72555EB2"/>
    <w:rsid w:val="727F26DA"/>
    <w:rsid w:val="728F5B0B"/>
    <w:rsid w:val="72BD57A8"/>
    <w:rsid w:val="72CD40BC"/>
    <w:rsid w:val="72D80D10"/>
    <w:rsid w:val="7320054A"/>
    <w:rsid w:val="737A531C"/>
    <w:rsid w:val="738E13A2"/>
    <w:rsid w:val="73AF60E6"/>
    <w:rsid w:val="73BB6668"/>
    <w:rsid w:val="73D55118"/>
    <w:rsid w:val="73DA4A3B"/>
    <w:rsid w:val="74034635"/>
    <w:rsid w:val="741154EE"/>
    <w:rsid w:val="741311AA"/>
    <w:rsid w:val="74371CB9"/>
    <w:rsid w:val="74502038"/>
    <w:rsid w:val="74765D3C"/>
    <w:rsid w:val="74805637"/>
    <w:rsid w:val="74956EB9"/>
    <w:rsid w:val="749F7DA1"/>
    <w:rsid w:val="74A036A1"/>
    <w:rsid w:val="74A1308E"/>
    <w:rsid w:val="74D24A0B"/>
    <w:rsid w:val="75A73BE9"/>
    <w:rsid w:val="76382DA8"/>
    <w:rsid w:val="76787FBE"/>
    <w:rsid w:val="76EB7E9A"/>
    <w:rsid w:val="76F52DF3"/>
    <w:rsid w:val="7736563A"/>
    <w:rsid w:val="77B358A8"/>
    <w:rsid w:val="77BA5D68"/>
    <w:rsid w:val="77F254F5"/>
    <w:rsid w:val="77F474CB"/>
    <w:rsid w:val="781118A0"/>
    <w:rsid w:val="781F4FC6"/>
    <w:rsid w:val="782E1760"/>
    <w:rsid w:val="78670C60"/>
    <w:rsid w:val="78C53AE4"/>
    <w:rsid w:val="792D02F7"/>
    <w:rsid w:val="796A3E08"/>
    <w:rsid w:val="79807ECB"/>
    <w:rsid w:val="799177D5"/>
    <w:rsid w:val="799D1084"/>
    <w:rsid w:val="79B42ACE"/>
    <w:rsid w:val="79CB1B50"/>
    <w:rsid w:val="79E332DD"/>
    <w:rsid w:val="79FF7F16"/>
    <w:rsid w:val="7A2A78D9"/>
    <w:rsid w:val="7A6F7109"/>
    <w:rsid w:val="7A8870D1"/>
    <w:rsid w:val="7AE5249F"/>
    <w:rsid w:val="7B0D2845"/>
    <w:rsid w:val="7B1A1EBF"/>
    <w:rsid w:val="7B254479"/>
    <w:rsid w:val="7BBF3A95"/>
    <w:rsid w:val="7BD25037"/>
    <w:rsid w:val="7BE71F75"/>
    <w:rsid w:val="7C082304"/>
    <w:rsid w:val="7C6A2138"/>
    <w:rsid w:val="7CA45D02"/>
    <w:rsid w:val="7CC70628"/>
    <w:rsid w:val="7CF82358"/>
    <w:rsid w:val="7D0260E7"/>
    <w:rsid w:val="7D1067AE"/>
    <w:rsid w:val="7D4548DB"/>
    <w:rsid w:val="7D4E25C2"/>
    <w:rsid w:val="7D9D5AD8"/>
    <w:rsid w:val="7E3779E1"/>
    <w:rsid w:val="7E6C1EA1"/>
    <w:rsid w:val="7E7A2181"/>
    <w:rsid w:val="7E933D3D"/>
    <w:rsid w:val="7E947454"/>
    <w:rsid w:val="7EB14351"/>
    <w:rsid w:val="7EC81478"/>
    <w:rsid w:val="7EF12510"/>
    <w:rsid w:val="7F061D55"/>
    <w:rsid w:val="7F361938"/>
    <w:rsid w:val="7F441310"/>
    <w:rsid w:val="7F4E401B"/>
    <w:rsid w:val="7F516864"/>
    <w:rsid w:val="7FBB1FB8"/>
    <w:rsid w:val="7FBD5515"/>
    <w:rsid w:val="7FF05526"/>
    <w:rsid w:val="7FFA00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autoRedefine/>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48"/>
    <w:autoRedefine/>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link w:val="124"/>
    <w:autoRedefine/>
    <w:qFormat/>
    <w:uiPriority w:val="9"/>
    <w:pPr>
      <w:keepNext/>
      <w:keepLines/>
      <w:spacing w:before="120" w:after="120" w:line="360" w:lineRule="auto"/>
      <w:ind w:firstLine="200" w:firstLineChars="200"/>
      <w:jc w:val="center"/>
      <w:outlineLvl w:val="2"/>
    </w:pPr>
    <w:rPr>
      <w:rFonts w:ascii="宋体"/>
      <w:b/>
      <w:bCs/>
      <w:sz w:val="24"/>
      <w:szCs w:val="32"/>
    </w:rPr>
  </w:style>
  <w:style w:type="paragraph" w:styleId="5">
    <w:name w:val="heading 4"/>
    <w:basedOn w:val="1"/>
    <w:next w:val="1"/>
    <w:link w:val="114"/>
    <w:autoRedefine/>
    <w:qFormat/>
    <w:uiPriority w:val="0"/>
    <w:pPr>
      <w:keepNext/>
      <w:keepLines/>
      <w:spacing w:before="280" w:after="290" w:line="376" w:lineRule="auto"/>
      <w:outlineLvl w:val="3"/>
    </w:pPr>
    <w:rPr>
      <w:rFonts w:ascii="Cambria" w:hAnsi="Cambria"/>
      <w:b/>
      <w:bCs/>
      <w:snapToGrid w:val="0"/>
      <w:kern w:val="21"/>
      <w:sz w:val="28"/>
      <w:szCs w:val="28"/>
    </w:rPr>
  </w:style>
  <w:style w:type="paragraph" w:styleId="6">
    <w:name w:val="heading 5"/>
    <w:basedOn w:val="1"/>
    <w:next w:val="1"/>
    <w:autoRedefine/>
    <w:qFormat/>
    <w:uiPriority w:val="0"/>
    <w:pPr>
      <w:keepNext/>
      <w:keepLines/>
      <w:tabs>
        <w:tab w:val="left" w:pos="2100"/>
      </w:tabs>
      <w:adjustRightInd w:val="0"/>
      <w:spacing w:before="280" w:after="290" w:line="376" w:lineRule="atLeast"/>
      <w:ind w:left="2100" w:hanging="420"/>
      <w:textAlignment w:val="baseline"/>
      <w:outlineLvl w:val="4"/>
    </w:pPr>
    <w:rPr>
      <w:b/>
      <w:kern w:val="0"/>
      <w:sz w:val="28"/>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1200" w:leftChars="1200"/>
    </w:pPr>
  </w:style>
  <w:style w:type="paragraph" w:styleId="8">
    <w:name w:val="Normal Indent"/>
    <w:basedOn w:val="1"/>
    <w:link w:val="115"/>
    <w:autoRedefine/>
    <w:qFormat/>
    <w:uiPriority w:val="0"/>
    <w:pPr>
      <w:tabs>
        <w:tab w:val="left" w:pos="750"/>
      </w:tabs>
      <w:spacing w:beforeLines="50" w:line="300" w:lineRule="auto"/>
      <w:ind w:firstLine="200" w:firstLineChars="200"/>
    </w:pPr>
    <w:rPr>
      <w:rFonts w:ascii="宋体"/>
      <w:szCs w:val="20"/>
    </w:rPr>
  </w:style>
  <w:style w:type="paragraph" w:styleId="9">
    <w:name w:val="caption"/>
    <w:basedOn w:val="1"/>
    <w:next w:val="1"/>
    <w:autoRedefine/>
    <w:qFormat/>
    <w:uiPriority w:val="0"/>
    <w:rPr>
      <w:rFonts w:ascii="Cambria" w:hAnsi="Cambria" w:eastAsia="黑体"/>
      <w:sz w:val="20"/>
      <w:szCs w:val="20"/>
    </w:rPr>
  </w:style>
  <w:style w:type="paragraph" w:styleId="10">
    <w:name w:val="Document Map"/>
    <w:basedOn w:val="1"/>
    <w:autoRedefine/>
    <w:qFormat/>
    <w:uiPriority w:val="0"/>
    <w:pPr>
      <w:shd w:val="clear" w:color="auto" w:fill="000080"/>
    </w:pPr>
  </w:style>
  <w:style w:type="paragraph" w:styleId="11">
    <w:name w:val="annotation text"/>
    <w:basedOn w:val="1"/>
    <w:link w:val="131"/>
    <w:autoRedefine/>
    <w:qFormat/>
    <w:uiPriority w:val="0"/>
    <w:pPr>
      <w:jc w:val="left"/>
    </w:pPr>
    <w:rPr>
      <w:szCs w:val="20"/>
    </w:rPr>
  </w:style>
  <w:style w:type="paragraph" w:styleId="12">
    <w:name w:val="Body Text 3"/>
    <w:basedOn w:val="1"/>
    <w:link w:val="130"/>
    <w:autoRedefine/>
    <w:qFormat/>
    <w:uiPriority w:val="0"/>
    <w:pPr>
      <w:spacing w:after="120"/>
    </w:pPr>
    <w:rPr>
      <w:sz w:val="16"/>
      <w:szCs w:val="16"/>
    </w:rPr>
  </w:style>
  <w:style w:type="paragraph" w:styleId="13">
    <w:name w:val="Body Text"/>
    <w:basedOn w:val="1"/>
    <w:autoRedefine/>
    <w:qFormat/>
    <w:uiPriority w:val="0"/>
    <w:pPr>
      <w:adjustRightInd w:val="0"/>
      <w:spacing w:line="360" w:lineRule="auto"/>
    </w:pPr>
    <w:rPr>
      <w:rFonts w:ascii="宋体"/>
      <w:bCs/>
      <w:iCs/>
      <w:color w:val="FF00FF"/>
      <w:kern w:val="44"/>
      <w:sz w:val="28"/>
      <w:szCs w:val="20"/>
    </w:rPr>
  </w:style>
  <w:style w:type="paragraph" w:styleId="14">
    <w:name w:val="Body Text Indent"/>
    <w:basedOn w:val="1"/>
    <w:link w:val="55"/>
    <w:autoRedefine/>
    <w:qFormat/>
    <w:uiPriority w:val="0"/>
    <w:pPr>
      <w:ind w:firstLine="200" w:firstLineChars="200"/>
      <w:jc w:val="left"/>
    </w:pPr>
    <w:rPr>
      <w:rFonts w:ascii="仿宋_GB2312" w:eastAsia="仿宋_GB2312"/>
      <w:sz w:val="28"/>
    </w:rPr>
  </w:style>
  <w:style w:type="paragraph" w:styleId="15">
    <w:name w:val="toc 5"/>
    <w:basedOn w:val="1"/>
    <w:next w:val="1"/>
    <w:autoRedefine/>
    <w:qFormat/>
    <w:uiPriority w:val="0"/>
    <w:pPr>
      <w:ind w:left="800" w:leftChars="800"/>
    </w:pPr>
  </w:style>
  <w:style w:type="paragraph" w:styleId="16">
    <w:name w:val="toc 3"/>
    <w:basedOn w:val="1"/>
    <w:next w:val="1"/>
    <w:autoRedefine/>
    <w:qFormat/>
    <w:uiPriority w:val="39"/>
    <w:pPr>
      <w:tabs>
        <w:tab w:val="right" w:leader="dot" w:pos="9515"/>
      </w:tabs>
      <w:ind w:left="400" w:leftChars="400"/>
    </w:pPr>
  </w:style>
  <w:style w:type="paragraph" w:styleId="17">
    <w:name w:val="Plain Text"/>
    <w:basedOn w:val="1"/>
    <w:next w:val="1"/>
    <w:link w:val="49"/>
    <w:autoRedefine/>
    <w:qFormat/>
    <w:uiPriority w:val="99"/>
    <w:pPr>
      <w:autoSpaceDE w:val="0"/>
      <w:autoSpaceDN w:val="0"/>
      <w:adjustRightInd w:val="0"/>
      <w:jc w:val="left"/>
    </w:pPr>
    <w:rPr>
      <w:rFonts w:ascii="宋体"/>
      <w:kern w:val="0"/>
      <w:sz w:val="20"/>
    </w:rPr>
  </w:style>
  <w:style w:type="paragraph" w:styleId="18">
    <w:name w:val="toc 8"/>
    <w:basedOn w:val="1"/>
    <w:next w:val="1"/>
    <w:autoRedefine/>
    <w:qFormat/>
    <w:uiPriority w:val="0"/>
    <w:pPr>
      <w:ind w:left="1400" w:leftChars="1400"/>
    </w:pPr>
  </w:style>
  <w:style w:type="paragraph" w:styleId="19">
    <w:name w:val="Date"/>
    <w:basedOn w:val="1"/>
    <w:next w:val="1"/>
    <w:autoRedefine/>
    <w:qFormat/>
    <w:uiPriority w:val="0"/>
    <w:pPr>
      <w:ind w:left="2500" w:leftChars="2500"/>
    </w:pPr>
    <w:rPr>
      <w:rFonts w:ascii="仿宋_GB2312" w:eastAsia="仿宋_GB2312"/>
      <w:sz w:val="28"/>
    </w:rPr>
  </w:style>
  <w:style w:type="paragraph" w:styleId="20">
    <w:name w:val="Body Text Indent 2"/>
    <w:basedOn w:val="1"/>
    <w:link w:val="155"/>
    <w:autoRedefine/>
    <w:qFormat/>
    <w:uiPriority w:val="0"/>
    <w:pPr>
      <w:spacing w:line="60" w:lineRule="auto"/>
      <w:ind w:firstLine="128" w:firstLineChars="128"/>
    </w:pPr>
    <w:rPr>
      <w:rFonts w:ascii="仿宋_GB2312" w:eastAsia="仿宋_GB2312"/>
      <w:sz w:val="28"/>
    </w:rPr>
  </w:style>
  <w:style w:type="paragraph" w:styleId="21">
    <w:name w:val="Balloon Text"/>
    <w:basedOn w:val="1"/>
    <w:autoRedefine/>
    <w:qFormat/>
    <w:uiPriority w:val="0"/>
    <w:rPr>
      <w:sz w:val="18"/>
      <w:szCs w:val="18"/>
    </w:rPr>
  </w:style>
  <w:style w:type="paragraph" w:styleId="22">
    <w:name w:val="footer"/>
    <w:basedOn w:val="1"/>
    <w:link w:val="50"/>
    <w:autoRedefine/>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3">
    <w:name w:val="header"/>
    <w:basedOn w:val="1"/>
    <w:link w:val="121"/>
    <w:autoRedefine/>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4">
    <w:name w:val="toc 1"/>
    <w:basedOn w:val="1"/>
    <w:next w:val="1"/>
    <w:autoRedefine/>
    <w:qFormat/>
    <w:uiPriority w:val="39"/>
  </w:style>
  <w:style w:type="paragraph" w:styleId="25">
    <w:name w:val="toc 4"/>
    <w:basedOn w:val="1"/>
    <w:next w:val="1"/>
    <w:autoRedefine/>
    <w:qFormat/>
    <w:uiPriority w:val="0"/>
    <w:pPr>
      <w:ind w:left="600" w:leftChars="600"/>
    </w:pPr>
  </w:style>
  <w:style w:type="paragraph" w:styleId="26">
    <w:name w:val="footnote text"/>
    <w:basedOn w:val="1"/>
    <w:autoRedefine/>
    <w:qFormat/>
    <w:uiPriority w:val="0"/>
    <w:pPr>
      <w:snapToGrid w:val="0"/>
      <w:jc w:val="left"/>
    </w:pPr>
    <w:rPr>
      <w:sz w:val="18"/>
      <w:szCs w:val="18"/>
    </w:rPr>
  </w:style>
  <w:style w:type="paragraph" w:styleId="27">
    <w:name w:val="toc 6"/>
    <w:basedOn w:val="1"/>
    <w:next w:val="1"/>
    <w:autoRedefine/>
    <w:qFormat/>
    <w:uiPriority w:val="0"/>
    <w:pPr>
      <w:ind w:left="1000" w:leftChars="1000"/>
    </w:pPr>
  </w:style>
  <w:style w:type="paragraph" w:styleId="28">
    <w:name w:val="Body Text Indent 3"/>
    <w:basedOn w:val="1"/>
    <w:autoRedefine/>
    <w:qFormat/>
    <w:uiPriority w:val="0"/>
    <w:pPr>
      <w:spacing w:line="360" w:lineRule="auto"/>
      <w:ind w:firstLine="192" w:firstLineChars="192"/>
    </w:pPr>
    <w:rPr>
      <w:rFonts w:ascii="仿宋_GB2312" w:eastAsia="仿宋_GB2312"/>
      <w:color w:val="3366FF"/>
      <w:sz w:val="24"/>
    </w:rPr>
  </w:style>
  <w:style w:type="paragraph" w:styleId="29">
    <w:name w:val="table of figures"/>
    <w:basedOn w:val="1"/>
    <w:next w:val="1"/>
    <w:autoRedefine/>
    <w:qFormat/>
    <w:uiPriority w:val="0"/>
    <w:pPr>
      <w:ind w:left="840" w:hanging="420"/>
    </w:pPr>
    <w:rPr>
      <w:szCs w:val="20"/>
    </w:rPr>
  </w:style>
  <w:style w:type="paragraph" w:styleId="30">
    <w:name w:val="toc 2"/>
    <w:basedOn w:val="1"/>
    <w:next w:val="1"/>
    <w:autoRedefine/>
    <w:qFormat/>
    <w:uiPriority w:val="39"/>
    <w:pPr>
      <w:tabs>
        <w:tab w:val="right" w:leader="dot" w:pos="9515"/>
      </w:tabs>
      <w:ind w:left="270" w:leftChars="100" w:right="100" w:rightChars="100" w:hanging="60"/>
    </w:pPr>
  </w:style>
  <w:style w:type="paragraph" w:styleId="31">
    <w:name w:val="toc 9"/>
    <w:basedOn w:val="1"/>
    <w:next w:val="1"/>
    <w:autoRedefine/>
    <w:qFormat/>
    <w:uiPriority w:val="0"/>
    <w:pPr>
      <w:ind w:left="1600" w:leftChars="1600"/>
    </w:pPr>
  </w:style>
  <w:style w:type="paragraph" w:styleId="32">
    <w:name w:val="Body Text 2"/>
    <w:basedOn w:val="1"/>
    <w:link w:val="122"/>
    <w:autoRedefine/>
    <w:qFormat/>
    <w:uiPriority w:val="0"/>
    <w:rPr>
      <w:rFonts w:ascii="宋体"/>
      <w:sz w:val="13"/>
      <w:szCs w:val="20"/>
    </w:rPr>
  </w:style>
  <w:style w:type="paragraph" w:styleId="33">
    <w:name w:val="HTML Preformatted"/>
    <w:basedOn w:val="1"/>
    <w:link w:val="5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Arial Unicode MS" w:cs="Arial"/>
      <w:kern w:val="0"/>
      <w:sz w:val="20"/>
      <w:szCs w:val="20"/>
    </w:rPr>
  </w:style>
  <w:style w:type="paragraph" w:styleId="34">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35">
    <w:name w:val="annotation subject"/>
    <w:basedOn w:val="11"/>
    <w:next w:val="11"/>
    <w:link w:val="132"/>
    <w:autoRedefine/>
    <w:qFormat/>
    <w:uiPriority w:val="0"/>
    <w:rPr>
      <w:rFonts w:ascii="宋体"/>
      <w:b/>
      <w:bCs/>
      <w:snapToGrid w:val="0"/>
      <w:kern w:val="21"/>
      <w:szCs w:val="24"/>
    </w:rPr>
  </w:style>
  <w:style w:type="paragraph" w:styleId="36">
    <w:name w:val="Body Text First Indent"/>
    <w:basedOn w:val="13"/>
    <w:autoRedefine/>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37">
    <w:name w:val="Body Text First Indent 2"/>
    <w:basedOn w:val="14"/>
    <w:autoRedefine/>
    <w:qFormat/>
    <w:uiPriority w:val="0"/>
    <w:pPr>
      <w:spacing w:after="120"/>
      <w:ind w:left="420" w:leftChars="200" w:firstLine="420"/>
    </w:pPr>
  </w:style>
  <w:style w:type="table" w:styleId="39">
    <w:name w:val="Table Grid"/>
    <w:basedOn w:val="3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0"/>
    <w:rPr>
      <w:color w:val="800080"/>
      <w:u w:val="single"/>
    </w:rPr>
  </w:style>
  <w:style w:type="character" w:styleId="44">
    <w:name w:val="Hyperlink"/>
    <w:autoRedefine/>
    <w:qFormat/>
    <w:uiPriority w:val="99"/>
    <w:rPr>
      <w:color w:val="0000FF"/>
      <w:u w:val="single"/>
    </w:rPr>
  </w:style>
  <w:style w:type="character" w:styleId="45">
    <w:name w:val="annotation reference"/>
    <w:autoRedefine/>
    <w:qFormat/>
    <w:uiPriority w:val="0"/>
    <w:rPr>
      <w:sz w:val="21"/>
      <w:szCs w:val="21"/>
    </w:rPr>
  </w:style>
  <w:style w:type="character" w:customStyle="1" w:styleId="46">
    <w:name w:val="纯文本 Char1"/>
    <w:autoRedefine/>
    <w:qFormat/>
    <w:uiPriority w:val="0"/>
    <w:rPr>
      <w:rFonts w:ascii="宋体"/>
      <w:szCs w:val="24"/>
    </w:rPr>
  </w:style>
  <w:style w:type="character" w:customStyle="1" w:styleId="47">
    <w:name w:val="普通文字 Char Char1"/>
    <w:basedOn w:val="40"/>
    <w:autoRedefine/>
    <w:qFormat/>
    <w:uiPriority w:val="0"/>
    <w:rPr>
      <w:rFonts w:ascii="宋体" w:eastAsia="宋体"/>
      <w:kern w:val="2"/>
      <w:sz w:val="21"/>
      <w:lang w:val="en-US" w:eastAsia="zh-CN" w:bidi="ar-SA"/>
    </w:rPr>
  </w:style>
  <w:style w:type="character" w:customStyle="1" w:styleId="48">
    <w:name w:val="标题 2 字符"/>
    <w:basedOn w:val="40"/>
    <w:link w:val="3"/>
    <w:autoRedefine/>
    <w:qFormat/>
    <w:uiPriority w:val="9"/>
    <w:rPr>
      <w:rFonts w:ascii="Arial" w:hAnsi="Arial"/>
      <w:b/>
      <w:bCs/>
      <w:kern w:val="2"/>
      <w:sz w:val="28"/>
      <w:szCs w:val="32"/>
    </w:rPr>
  </w:style>
  <w:style w:type="character" w:customStyle="1" w:styleId="49">
    <w:name w:val="纯文本 字符"/>
    <w:link w:val="17"/>
    <w:autoRedefine/>
    <w:qFormat/>
    <w:uiPriority w:val="99"/>
    <w:rPr>
      <w:rFonts w:ascii="宋体"/>
      <w:szCs w:val="24"/>
    </w:rPr>
  </w:style>
  <w:style w:type="character" w:customStyle="1" w:styleId="50">
    <w:name w:val="页脚 字符"/>
    <w:link w:val="22"/>
    <w:autoRedefine/>
    <w:qFormat/>
    <w:uiPriority w:val="99"/>
    <w:rPr>
      <w:sz w:val="18"/>
    </w:rPr>
  </w:style>
  <w:style w:type="character" w:customStyle="1" w:styleId="51">
    <w:name w:val="para1"/>
    <w:autoRedefine/>
    <w:qFormat/>
    <w:uiPriority w:val="0"/>
    <w:rPr>
      <w:rFonts w:hint="default" w:ascii="Arial" w:hAnsi="Arial" w:cs="Arial"/>
      <w:sz w:val="18"/>
      <w:szCs w:val="18"/>
    </w:rPr>
  </w:style>
  <w:style w:type="character" w:customStyle="1" w:styleId="52">
    <w:name w:val="grame"/>
    <w:basedOn w:val="40"/>
    <w:autoRedefine/>
    <w:qFormat/>
    <w:uiPriority w:val="0"/>
  </w:style>
  <w:style w:type="character" w:customStyle="1" w:styleId="53">
    <w:name w:val="HTML 预设格式 字符"/>
    <w:basedOn w:val="40"/>
    <w:link w:val="33"/>
    <w:autoRedefine/>
    <w:qFormat/>
    <w:uiPriority w:val="0"/>
    <w:rPr>
      <w:rFonts w:ascii="Arial" w:hAnsi="Arial" w:eastAsia="Arial Unicode MS" w:cs="Arial"/>
    </w:rPr>
  </w:style>
  <w:style w:type="character" w:customStyle="1" w:styleId="54">
    <w:name w:val="apple-converted-space"/>
    <w:basedOn w:val="40"/>
    <w:autoRedefine/>
    <w:qFormat/>
    <w:uiPriority w:val="0"/>
  </w:style>
  <w:style w:type="character" w:customStyle="1" w:styleId="55">
    <w:name w:val="正文文本缩进 字符"/>
    <w:basedOn w:val="40"/>
    <w:link w:val="14"/>
    <w:autoRedefine/>
    <w:qFormat/>
    <w:uiPriority w:val="0"/>
    <w:rPr>
      <w:rFonts w:ascii="仿宋_GB2312" w:eastAsia="仿宋_GB2312"/>
      <w:kern w:val="2"/>
      <w:sz w:val="28"/>
      <w:szCs w:val="24"/>
    </w:rPr>
  </w:style>
  <w:style w:type="paragraph" w:customStyle="1" w:styleId="56">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57">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58">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59">
    <w:name w:val="Char"/>
    <w:basedOn w:val="1"/>
    <w:autoRedefine/>
    <w:qFormat/>
    <w:uiPriority w:val="0"/>
  </w:style>
  <w:style w:type="paragraph" w:customStyle="1" w:styleId="60">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1">
    <w:name w:val="font8"/>
    <w:basedOn w:val="1"/>
    <w:autoRedefine/>
    <w:qFormat/>
    <w:uiPriority w:val="0"/>
    <w:pPr>
      <w:widowControl/>
      <w:spacing w:before="100" w:beforeAutospacing="1" w:after="100" w:afterAutospacing="1"/>
      <w:jc w:val="left"/>
    </w:pPr>
    <w:rPr>
      <w:kern w:val="0"/>
      <w:sz w:val="20"/>
      <w:szCs w:val="20"/>
    </w:rPr>
  </w:style>
  <w:style w:type="paragraph" w:customStyle="1" w:styleId="62">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3">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4">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65">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66">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67">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68">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9">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71">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72">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3">
    <w:name w:val="Title_u"/>
    <w:basedOn w:val="1"/>
    <w:autoRedefine/>
    <w:qFormat/>
    <w:uiPriority w:val="0"/>
    <w:pPr>
      <w:widowControl/>
      <w:overflowPunct w:val="0"/>
      <w:autoSpaceDE w:val="0"/>
      <w:autoSpaceDN w:val="0"/>
      <w:adjustRightInd w:val="0"/>
      <w:spacing w:before="120" w:line="360" w:lineRule="auto"/>
      <w:jc w:val="center"/>
      <w:textAlignment w:val="baseline"/>
    </w:pPr>
    <w:rPr>
      <w:rFonts w:ascii="黑体" w:eastAsia="黑体"/>
      <w:b/>
      <w:kern w:val="0"/>
      <w:sz w:val="28"/>
      <w:szCs w:val="20"/>
    </w:rPr>
  </w:style>
  <w:style w:type="paragraph" w:customStyle="1" w:styleId="74">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75">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6">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7">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78">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79">
    <w:name w:val="Char Char Char1 Char Char Char Char"/>
    <w:basedOn w:val="1"/>
    <w:autoRedefine/>
    <w:qFormat/>
    <w:uiPriority w:val="0"/>
  </w:style>
  <w:style w:type="paragraph" w:customStyle="1" w:styleId="80">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81">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2">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3">
    <w:name w:val="样式1"/>
    <w:basedOn w:val="1"/>
    <w:autoRedefine/>
    <w:qFormat/>
    <w:uiPriority w:val="0"/>
    <w:pPr>
      <w:spacing w:before="120"/>
    </w:pPr>
    <w:rPr>
      <w:rFonts w:eastAsia="仿宋_GB2312"/>
      <w:sz w:val="24"/>
      <w:szCs w:val="20"/>
    </w:rPr>
  </w:style>
  <w:style w:type="paragraph" w:customStyle="1" w:styleId="84">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85">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6">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7">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8">
    <w:name w:val="Char Char Char Char"/>
    <w:basedOn w:val="1"/>
    <w:autoRedefine/>
    <w:qFormat/>
    <w:uiPriority w:val="0"/>
    <w:rPr>
      <w:rFonts w:ascii="Tahoma" w:hAnsi="Tahoma"/>
      <w:sz w:val="24"/>
      <w:szCs w:val="20"/>
    </w:rPr>
  </w:style>
  <w:style w:type="paragraph" w:customStyle="1" w:styleId="89">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90">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1">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2">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3">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94">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5">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96">
    <w:name w:val="xl23"/>
    <w:next w:val="8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98">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99">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0">
    <w:name w:val="Char Char Char Char Char Char Char Char Char Char"/>
    <w:basedOn w:val="1"/>
    <w:autoRedefine/>
    <w:qFormat/>
    <w:uiPriority w:val="0"/>
    <w:rPr>
      <w:rFonts w:ascii="Tahoma" w:hAnsi="Tahoma"/>
      <w:sz w:val="24"/>
      <w:szCs w:val="20"/>
    </w:rPr>
  </w:style>
  <w:style w:type="paragraph" w:customStyle="1" w:styleId="101">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2">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03">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04">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05">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6">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07">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08">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09">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0">
    <w:name w:val="Char13"/>
    <w:basedOn w:val="1"/>
    <w:autoRedefine/>
    <w:qFormat/>
    <w:uiPriority w:val="0"/>
  </w:style>
  <w:style w:type="paragraph" w:customStyle="1" w:styleId="111">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2">
    <w:name w:val="列出段落1"/>
    <w:basedOn w:val="1"/>
    <w:autoRedefine/>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3">
    <w:name w:val="lemmawgt-lemmatitle-title1"/>
    <w:basedOn w:val="40"/>
    <w:autoRedefine/>
    <w:qFormat/>
    <w:uiPriority w:val="0"/>
  </w:style>
  <w:style w:type="character" w:customStyle="1" w:styleId="114">
    <w:name w:val="标题 4 字符"/>
    <w:basedOn w:val="40"/>
    <w:link w:val="5"/>
    <w:autoRedefine/>
    <w:qFormat/>
    <w:uiPriority w:val="0"/>
    <w:rPr>
      <w:rFonts w:ascii="Cambria" w:hAnsi="Cambria"/>
      <w:b/>
      <w:bCs/>
      <w:snapToGrid w:val="0"/>
      <w:kern w:val="21"/>
      <w:sz w:val="28"/>
      <w:szCs w:val="28"/>
    </w:rPr>
  </w:style>
  <w:style w:type="character" w:customStyle="1" w:styleId="115">
    <w:name w:val="正文缩进 字符"/>
    <w:link w:val="8"/>
    <w:autoRedefine/>
    <w:qFormat/>
    <w:uiPriority w:val="0"/>
    <w:rPr>
      <w:rFonts w:ascii="宋体"/>
      <w:kern w:val="2"/>
      <w:sz w:val="21"/>
    </w:rPr>
  </w:style>
  <w:style w:type="character" w:customStyle="1" w:styleId="116">
    <w:name w:val="招标2 Char Char"/>
    <w:basedOn w:val="117"/>
    <w:link w:val="119"/>
    <w:autoRedefine/>
    <w:qFormat/>
    <w:uiPriority w:val="0"/>
    <w:rPr>
      <w:rFonts w:hAnsi="宋体"/>
      <w:sz w:val="24"/>
      <w:szCs w:val="24"/>
    </w:rPr>
  </w:style>
  <w:style w:type="character" w:customStyle="1" w:styleId="117">
    <w:name w:val="招标 Char Char"/>
    <w:link w:val="118"/>
    <w:autoRedefine/>
    <w:qFormat/>
    <w:uiPriority w:val="0"/>
    <w:rPr>
      <w:rFonts w:hAnsi="宋体"/>
      <w:sz w:val="24"/>
      <w:szCs w:val="24"/>
    </w:rPr>
  </w:style>
  <w:style w:type="paragraph" w:customStyle="1" w:styleId="118">
    <w:name w:val="招标"/>
    <w:basedOn w:val="17"/>
    <w:link w:val="117"/>
    <w:autoRedefine/>
    <w:qFormat/>
    <w:uiPriority w:val="0"/>
    <w:pPr>
      <w:autoSpaceDE/>
      <w:autoSpaceDN/>
      <w:adjustRightInd/>
      <w:spacing w:line="276" w:lineRule="auto"/>
      <w:jc w:val="both"/>
    </w:pPr>
    <w:rPr>
      <w:rFonts w:ascii="Times New Roman" w:hAnsi="宋体"/>
      <w:sz w:val="24"/>
    </w:rPr>
  </w:style>
  <w:style w:type="paragraph" w:customStyle="1" w:styleId="119">
    <w:name w:val="招标2"/>
    <w:basedOn w:val="118"/>
    <w:link w:val="116"/>
    <w:autoRedefine/>
    <w:qFormat/>
    <w:uiPriority w:val="0"/>
    <w:pPr>
      <w:spacing w:line="300" w:lineRule="auto"/>
      <w:ind w:left="851"/>
    </w:pPr>
  </w:style>
  <w:style w:type="character" w:customStyle="1" w:styleId="120">
    <w:name w:val="标题 1 字符"/>
    <w:link w:val="2"/>
    <w:autoRedefine/>
    <w:qFormat/>
    <w:locked/>
    <w:uiPriority w:val="0"/>
    <w:rPr>
      <w:rFonts w:ascii="仿宋_GB2312" w:eastAsia="仿宋_GB2312"/>
      <w:b/>
      <w:bCs/>
      <w:color w:val="000000"/>
      <w:sz w:val="28"/>
    </w:rPr>
  </w:style>
  <w:style w:type="character" w:customStyle="1" w:styleId="121">
    <w:name w:val="页眉 字符"/>
    <w:link w:val="23"/>
    <w:autoRedefine/>
    <w:qFormat/>
    <w:locked/>
    <w:uiPriority w:val="0"/>
    <w:rPr>
      <w:sz w:val="18"/>
    </w:rPr>
  </w:style>
  <w:style w:type="character" w:customStyle="1" w:styleId="122">
    <w:name w:val="正文文本 2 字符"/>
    <w:link w:val="32"/>
    <w:autoRedefine/>
    <w:qFormat/>
    <w:uiPriority w:val="0"/>
    <w:rPr>
      <w:rFonts w:ascii="宋体"/>
      <w:kern w:val="2"/>
      <w:sz w:val="13"/>
    </w:rPr>
  </w:style>
  <w:style w:type="character" w:customStyle="1" w:styleId="123">
    <w:name w:val="批注文字 Char"/>
    <w:autoRedefine/>
    <w:qFormat/>
    <w:uiPriority w:val="0"/>
    <w:rPr>
      <w:kern w:val="2"/>
      <w:sz w:val="21"/>
    </w:rPr>
  </w:style>
  <w:style w:type="character" w:customStyle="1" w:styleId="124">
    <w:name w:val="标题 3 字符"/>
    <w:link w:val="4"/>
    <w:autoRedefine/>
    <w:qFormat/>
    <w:uiPriority w:val="9"/>
    <w:rPr>
      <w:rFonts w:ascii="宋体"/>
      <w:b/>
      <w:bCs/>
      <w:kern w:val="2"/>
      <w:sz w:val="24"/>
      <w:szCs w:val="32"/>
    </w:rPr>
  </w:style>
  <w:style w:type="character" w:customStyle="1" w:styleId="125">
    <w:name w:val="招标5 Char Char"/>
    <w:link w:val="126"/>
    <w:autoRedefine/>
    <w:qFormat/>
    <w:uiPriority w:val="0"/>
    <w:rPr>
      <w:kern w:val="2"/>
      <w:sz w:val="18"/>
      <w:szCs w:val="18"/>
    </w:rPr>
  </w:style>
  <w:style w:type="paragraph" w:customStyle="1" w:styleId="126">
    <w:name w:val="招标5"/>
    <w:basedOn w:val="1"/>
    <w:link w:val="125"/>
    <w:autoRedefine/>
    <w:qFormat/>
    <w:uiPriority w:val="0"/>
    <w:pPr>
      <w:spacing w:line="300" w:lineRule="auto"/>
    </w:pPr>
    <w:rPr>
      <w:sz w:val="18"/>
      <w:szCs w:val="18"/>
    </w:rPr>
  </w:style>
  <w:style w:type="character" w:customStyle="1" w:styleId="127">
    <w:name w:val="apple-style-span"/>
    <w:basedOn w:val="40"/>
    <w:autoRedefine/>
    <w:qFormat/>
    <w:uiPriority w:val="0"/>
  </w:style>
  <w:style w:type="character" w:customStyle="1" w:styleId="128">
    <w:name w:val="表格正文 Char"/>
    <w:link w:val="129"/>
    <w:autoRedefine/>
    <w:qFormat/>
    <w:uiPriority w:val="0"/>
    <w:rPr>
      <w:rFonts w:ascii="宋体" w:hAnsi="宋体"/>
      <w:kern w:val="2"/>
      <w:sz w:val="21"/>
      <w:szCs w:val="21"/>
      <w:lang w:val="zh-CN"/>
    </w:rPr>
  </w:style>
  <w:style w:type="paragraph" w:customStyle="1" w:styleId="129">
    <w:name w:val="表格正文"/>
    <w:basedOn w:val="8"/>
    <w:link w:val="128"/>
    <w:autoRedefine/>
    <w:qFormat/>
    <w:uiPriority w:val="0"/>
    <w:pPr>
      <w:tabs>
        <w:tab w:val="clear" w:pos="750"/>
      </w:tabs>
      <w:adjustRightInd w:val="0"/>
      <w:snapToGrid w:val="0"/>
      <w:spacing w:before="156" w:afterLines="50" w:line="240" w:lineRule="auto"/>
      <w:ind w:firstLine="0" w:firstLineChars="0"/>
    </w:pPr>
    <w:rPr>
      <w:rFonts w:hAnsi="宋体"/>
      <w:szCs w:val="21"/>
      <w:lang w:val="zh-CN"/>
    </w:rPr>
  </w:style>
  <w:style w:type="character" w:customStyle="1" w:styleId="130">
    <w:name w:val="正文文本 3 字符"/>
    <w:basedOn w:val="40"/>
    <w:link w:val="12"/>
    <w:autoRedefine/>
    <w:qFormat/>
    <w:uiPriority w:val="0"/>
    <w:rPr>
      <w:kern w:val="2"/>
      <w:sz w:val="16"/>
      <w:szCs w:val="16"/>
    </w:rPr>
  </w:style>
  <w:style w:type="character" w:customStyle="1" w:styleId="131">
    <w:name w:val="批注文字 字符"/>
    <w:basedOn w:val="40"/>
    <w:link w:val="11"/>
    <w:autoRedefine/>
    <w:qFormat/>
    <w:uiPriority w:val="0"/>
    <w:rPr>
      <w:kern w:val="2"/>
      <w:sz w:val="21"/>
      <w:szCs w:val="24"/>
    </w:rPr>
  </w:style>
  <w:style w:type="character" w:customStyle="1" w:styleId="132">
    <w:name w:val="批注主题 字符"/>
    <w:basedOn w:val="131"/>
    <w:link w:val="35"/>
    <w:autoRedefine/>
    <w:qFormat/>
    <w:uiPriority w:val="0"/>
    <w:rPr>
      <w:rFonts w:ascii="宋体"/>
      <w:b/>
      <w:bCs/>
      <w:snapToGrid w:val="0"/>
      <w:kern w:val="21"/>
      <w:sz w:val="21"/>
      <w:szCs w:val="24"/>
    </w:rPr>
  </w:style>
  <w:style w:type="paragraph" w:customStyle="1" w:styleId="133">
    <w:name w:val="抬头"/>
    <w:basedOn w:val="1"/>
    <w:autoRedefine/>
    <w:qFormat/>
    <w:uiPriority w:val="0"/>
    <w:pPr>
      <w:spacing w:beforeLines="50" w:line="360" w:lineRule="auto"/>
    </w:pPr>
    <w:rPr>
      <w:rFonts w:ascii="宋体"/>
      <w:sz w:val="24"/>
    </w:rPr>
  </w:style>
  <w:style w:type="paragraph" w:customStyle="1" w:styleId="134">
    <w:name w:val="Char Char1"/>
    <w:basedOn w:val="1"/>
    <w:autoRedefine/>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135">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6">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37">
    <w:name w:val="Char Char2 Char Char"/>
    <w:basedOn w:val="1"/>
    <w:autoRedefine/>
    <w:qFormat/>
    <w:uiPriority w:val="0"/>
    <w:rPr>
      <w:szCs w:val="20"/>
    </w:rPr>
  </w:style>
  <w:style w:type="paragraph" w:customStyle="1" w:styleId="138">
    <w:name w:val="正文五号"/>
    <w:basedOn w:val="1"/>
    <w:autoRedefine/>
    <w:qFormat/>
    <w:uiPriority w:val="0"/>
    <w:rPr>
      <w:rFonts w:hint="eastAsia" w:ascii="宋体" w:eastAsia="仿宋_GB2312"/>
      <w:szCs w:val="20"/>
    </w:rPr>
  </w:style>
  <w:style w:type="paragraph" w:customStyle="1" w:styleId="139">
    <w:name w:val="Char Char Char Char1"/>
    <w:basedOn w:val="1"/>
    <w:autoRedefine/>
    <w:qFormat/>
    <w:uiPriority w:val="0"/>
  </w:style>
  <w:style w:type="paragraph" w:customStyle="1" w:styleId="140">
    <w:name w:val="Char1"/>
    <w:basedOn w:val="1"/>
    <w:autoRedefine/>
    <w:semiHidden/>
    <w:qFormat/>
    <w:uiPriority w:val="0"/>
    <w:pPr>
      <w:widowControl/>
      <w:spacing w:line="400" w:lineRule="exact"/>
      <w:jc w:val="center"/>
    </w:pPr>
    <w:rPr>
      <w:rFonts w:ascii="Verdana" w:hAnsi="Verdana"/>
      <w:kern w:val="0"/>
      <w:szCs w:val="20"/>
      <w:lang w:eastAsia="en-US"/>
    </w:rPr>
  </w:style>
  <w:style w:type="paragraph" w:customStyle="1" w:styleId="141">
    <w:name w:val="Char Char2 Char Char1"/>
    <w:basedOn w:val="1"/>
    <w:autoRedefine/>
    <w:qFormat/>
    <w:uiPriority w:val="0"/>
    <w:rPr>
      <w:szCs w:val="20"/>
    </w:rPr>
  </w:style>
  <w:style w:type="paragraph" w:customStyle="1" w:styleId="142">
    <w:name w:val="p13"/>
    <w:basedOn w:val="1"/>
    <w:autoRedefine/>
    <w:qFormat/>
    <w:uiPriority w:val="0"/>
    <w:pPr>
      <w:tabs>
        <w:tab w:val="left" w:pos="860"/>
      </w:tabs>
      <w:spacing w:line="400" w:lineRule="atLeast"/>
      <w:ind w:left="576" w:hanging="144"/>
      <w:jc w:val="left"/>
    </w:pPr>
    <w:rPr>
      <w:snapToGrid w:val="0"/>
      <w:kern w:val="0"/>
      <w:sz w:val="24"/>
      <w:szCs w:val="20"/>
      <w:lang w:val="en-GB" w:eastAsia="en-US"/>
    </w:rPr>
  </w:style>
  <w:style w:type="paragraph" w:customStyle="1" w:styleId="143">
    <w:name w:val="p39"/>
    <w:basedOn w:val="1"/>
    <w:autoRedefine/>
    <w:qFormat/>
    <w:uiPriority w:val="0"/>
    <w:pPr>
      <w:tabs>
        <w:tab w:val="left" w:pos="1100"/>
      </w:tabs>
      <w:spacing w:line="240" w:lineRule="atLeast"/>
      <w:ind w:left="288" w:hanging="1152"/>
    </w:pPr>
    <w:rPr>
      <w:snapToGrid w:val="0"/>
      <w:kern w:val="0"/>
      <w:sz w:val="24"/>
      <w:szCs w:val="20"/>
      <w:lang w:val="en-GB" w:eastAsia="en-US"/>
    </w:rPr>
  </w:style>
  <w:style w:type="paragraph" w:customStyle="1" w:styleId="144">
    <w:name w:val="目录"/>
    <w:basedOn w:val="1"/>
    <w:autoRedefine/>
    <w:qFormat/>
    <w:uiPriority w:val="0"/>
    <w:pPr>
      <w:widowControl/>
      <w:jc w:val="center"/>
    </w:pPr>
    <w:rPr>
      <w:rFonts w:ascii="宋体"/>
      <w:b/>
      <w:kern w:val="0"/>
      <w:sz w:val="36"/>
      <w:szCs w:val="20"/>
    </w:rPr>
  </w:style>
  <w:style w:type="paragraph" w:customStyle="1" w:styleId="145">
    <w:name w:val="列出段落2"/>
    <w:basedOn w:val="1"/>
    <w:link w:val="156"/>
    <w:autoRedefine/>
    <w:qFormat/>
    <w:uiPriority w:val="0"/>
    <w:pPr>
      <w:ind w:firstLine="420" w:firstLineChars="200"/>
    </w:pPr>
  </w:style>
  <w:style w:type="paragraph" w:customStyle="1" w:styleId="146">
    <w:name w:val="默认段落字体 Para Char"/>
    <w:basedOn w:val="1"/>
    <w:autoRedefine/>
    <w:qFormat/>
    <w:uiPriority w:val="0"/>
    <w:rPr>
      <w:szCs w:val="20"/>
    </w:rPr>
  </w:style>
  <w:style w:type="paragraph" w:customStyle="1" w:styleId="147">
    <w:name w:val="彩色列表 - 强调文字颜色 11"/>
    <w:basedOn w:val="1"/>
    <w:autoRedefine/>
    <w:qFormat/>
    <w:uiPriority w:val="0"/>
    <w:pPr>
      <w:ind w:firstLine="420" w:firstLineChars="200"/>
    </w:pPr>
    <w:rPr>
      <w:rFonts w:ascii="Calibri" w:hAnsi="Calibri"/>
      <w:szCs w:val="22"/>
    </w:rPr>
  </w:style>
  <w:style w:type="paragraph" w:customStyle="1" w:styleId="148">
    <w:name w:val="p3"/>
    <w:basedOn w:val="1"/>
    <w:autoRedefine/>
    <w:qFormat/>
    <w:uiPriority w:val="0"/>
    <w:pPr>
      <w:tabs>
        <w:tab w:val="left" w:pos="360"/>
      </w:tabs>
      <w:spacing w:line="400" w:lineRule="atLeast"/>
      <w:ind w:left="1080"/>
      <w:jc w:val="left"/>
    </w:pPr>
    <w:rPr>
      <w:snapToGrid w:val="0"/>
      <w:kern w:val="0"/>
      <w:sz w:val="24"/>
      <w:szCs w:val="20"/>
      <w:lang w:val="en-GB" w:eastAsia="en-US"/>
    </w:rPr>
  </w:style>
  <w:style w:type="paragraph" w:customStyle="1" w:styleId="149">
    <w:name w:val="默认段落字体 Para Char Char Char Char"/>
    <w:basedOn w:val="1"/>
    <w:autoRedefine/>
    <w:qFormat/>
    <w:uiPriority w:val="0"/>
  </w:style>
  <w:style w:type="paragraph" w:customStyle="1" w:styleId="150">
    <w:name w:val="表格"/>
    <w:basedOn w:val="1"/>
    <w:autoRedefine/>
    <w:qFormat/>
    <w:uiPriority w:val="0"/>
    <w:pPr>
      <w:tabs>
        <w:tab w:val="left" w:pos="1200"/>
      </w:tabs>
      <w:spacing w:line="500" w:lineRule="exact"/>
      <w:jc w:val="center"/>
    </w:pPr>
    <w:rPr>
      <w:rFonts w:ascii="宋体"/>
      <w:sz w:val="24"/>
      <w:szCs w:val="18"/>
    </w:rPr>
  </w:style>
  <w:style w:type="paragraph" w:customStyle="1" w:styleId="151">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52">
    <w:name w:val="列出段落21"/>
    <w:basedOn w:val="1"/>
    <w:autoRedefine/>
    <w:qFormat/>
    <w:uiPriority w:val="0"/>
    <w:pPr>
      <w:ind w:firstLine="420" w:firstLineChars="200"/>
    </w:pPr>
    <w:rPr>
      <w:rFonts w:ascii="Calibri" w:hAnsi="Calibri"/>
      <w:szCs w:val="22"/>
    </w:rPr>
  </w:style>
  <w:style w:type="paragraph" w:customStyle="1" w:styleId="153">
    <w:name w:val="小标题"/>
    <w:basedOn w:val="1"/>
    <w:autoRedefine/>
    <w:qFormat/>
    <w:uiPriority w:val="0"/>
    <w:pPr>
      <w:tabs>
        <w:tab w:val="left" w:pos="420"/>
      </w:tabs>
      <w:spacing w:beforeLines="25"/>
    </w:pPr>
    <w:rPr>
      <w:rFonts w:ascii="Arial" w:hAnsi="Arial" w:eastAsia="黑体"/>
      <w:b/>
      <w:snapToGrid w:val="0"/>
      <w:sz w:val="24"/>
      <w:szCs w:val="20"/>
    </w:rPr>
  </w:style>
  <w:style w:type="paragraph" w:customStyle="1" w:styleId="154">
    <w:name w:val="项目排列"/>
    <w:basedOn w:val="1"/>
    <w:autoRedefine/>
    <w:qFormat/>
    <w:uiPriority w:val="0"/>
    <w:pPr>
      <w:tabs>
        <w:tab w:val="left" w:pos="900"/>
      </w:tabs>
      <w:spacing w:beforeLines="50" w:line="300" w:lineRule="auto"/>
    </w:pPr>
    <w:rPr>
      <w:snapToGrid w:val="0"/>
      <w:sz w:val="24"/>
    </w:rPr>
  </w:style>
  <w:style w:type="character" w:customStyle="1" w:styleId="155">
    <w:name w:val="正文文本缩进 2 字符"/>
    <w:link w:val="20"/>
    <w:autoRedefine/>
    <w:qFormat/>
    <w:uiPriority w:val="0"/>
    <w:rPr>
      <w:rFonts w:ascii="仿宋_GB2312" w:eastAsia="仿宋_GB2312"/>
      <w:kern w:val="2"/>
      <w:sz w:val="28"/>
      <w:szCs w:val="24"/>
    </w:rPr>
  </w:style>
  <w:style w:type="character" w:customStyle="1" w:styleId="156">
    <w:name w:val="列出段落 Char"/>
    <w:link w:val="145"/>
    <w:autoRedefine/>
    <w:qFormat/>
    <w:uiPriority w:val="0"/>
    <w:rPr>
      <w:kern w:val="2"/>
      <w:sz w:val="21"/>
      <w:szCs w:val="24"/>
    </w:rPr>
  </w:style>
  <w:style w:type="character" w:customStyle="1" w:styleId="157">
    <w:name w:val="font11"/>
    <w:basedOn w:val="40"/>
    <w:autoRedefine/>
    <w:qFormat/>
    <w:uiPriority w:val="0"/>
    <w:rPr>
      <w:rFonts w:hint="eastAsia" w:ascii="等线" w:hAnsi="等线" w:eastAsia="等线" w:cs="等线"/>
      <w:color w:val="000000"/>
      <w:sz w:val="21"/>
      <w:szCs w:val="21"/>
      <w:u w:val="none"/>
    </w:rPr>
  </w:style>
  <w:style w:type="character" w:customStyle="1" w:styleId="158">
    <w:name w:val="font21"/>
    <w:basedOn w:val="40"/>
    <w:autoRedefine/>
    <w:qFormat/>
    <w:uiPriority w:val="0"/>
    <w:rPr>
      <w:rFonts w:hint="eastAsia" w:ascii="宋体" w:hAnsi="宋体" w:eastAsia="宋体" w:cs="宋体"/>
      <w:color w:val="000000"/>
      <w:sz w:val="21"/>
      <w:szCs w:val="21"/>
      <w:u w:val="none"/>
    </w:rPr>
  </w:style>
  <w:style w:type="character" w:customStyle="1" w:styleId="159">
    <w:name w:val="font31"/>
    <w:basedOn w:val="40"/>
    <w:autoRedefine/>
    <w:qFormat/>
    <w:uiPriority w:val="0"/>
    <w:rPr>
      <w:rFonts w:hint="default" w:ascii="Times New Roman" w:hAnsi="Times New Roman" w:cs="Times New Roman"/>
      <w:color w:val="000000"/>
      <w:sz w:val="18"/>
      <w:szCs w:val="18"/>
      <w:u w:val="none"/>
    </w:rPr>
  </w:style>
  <w:style w:type="character" w:customStyle="1" w:styleId="160">
    <w:name w:val="font01"/>
    <w:basedOn w:val="40"/>
    <w:autoRedefine/>
    <w:qFormat/>
    <w:uiPriority w:val="0"/>
    <w:rPr>
      <w:rFonts w:hint="eastAsia" w:ascii="宋体" w:hAnsi="宋体" w:eastAsia="宋体" w:cs="宋体"/>
      <w:color w:val="000000"/>
      <w:sz w:val="20"/>
      <w:szCs w:val="20"/>
      <w:u w:val="none"/>
    </w:rPr>
  </w:style>
  <w:style w:type="paragraph" w:customStyle="1" w:styleId="161">
    <w:name w:val="列出段落3"/>
    <w:basedOn w:val="1"/>
    <w:autoRedefine/>
    <w:qFormat/>
    <w:uiPriority w:val="34"/>
    <w:pPr>
      <w:ind w:firstLine="420" w:firstLineChars="200"/>
    </w:pPr>
  </w:style>
  <w:style w:type="character" w:customStyle="1" w:styleId="162">
    <w:name w:val="font41"/>
    <w:basedOn w:val="40"/>
    <w:autoRedefine/>
    <w:qFormat/>
    <w:uiPriority w:val="0"/>
    <w:rPr>
      <w:rFonts w:hint="eastAsia" w:ascii="宋体" w:hAnsi="宋体" w:eastAsia="宋体" w:cs="宋体"/>
      <w:color w:val="FF0000"/>
      <w:sz w:val="20"/>
      <w:szCs w:val="20"/>
      <w:u w:val="none"/>
    </w:rPr>
  </w:style>
  <w:style w:type="table" w:customStyle="1" w:styleId="163">
    <w:name w:val="Table Normal"/>
    <w:autoRedefine/>
    <w:semiHidden/>
    <w:unhideWhenUsed/>
    <w:qFormat/>
    <w:uiPriority w:val="0"/>
    <w:tblPr>
      <w:tblCellMar>
        <w:top w:w="0" w:type="dxa"/>
        <w:left w:w="0" w:type="dxa"/>
        <w:bottom w:w="0" w:type="dxa"/>
        <w:right w:w="0" w:type="dxa"/>
      </w:tblCellMar>
    </w:tblPr>
  </w:style>
  <w:style w:type="paragraph" w:customStyle="1" w:styleId="164">
    <w:name w:val="文档结构图1"/>
    <w:basedOn w:val="1"/>
    <w:autoRedefine/>
    <w:qFormat/>
    <w:uiPriority w:val="0"/>
  </w:style>
  <w:style w:type="paragraph" w:customStyle="1" w:styleId="165">
    <w:name w:val="列出段落11"/>
    <w:basedOn w:val="1"/>
    <w:autoRedefine/>
    <w:qFormat/>
    <w:uiPriority w:val="99"/>
    <w:pPr>
      <w:ind w:firstLine="420" w:firstLineChars="200"/>
    </w:pPr>
  </w:style>
  <w:style w:type="paragraph" w:customStyle="1" w:styleId="166">
    <w:name w:val="Default"/>
    <w:autoRedefine/>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styleId="167">
    <w:name w:val="List Paragraph"/>
    <w:basedOn w:val="1"/>
    <w:autoRedefine/>
    <w:qFormat/>
    <w:uiPriority w:val="34"/>
    <w:pPr>
      <w:ind w:left="720"/>
      <w:contextualSpacing/>
      <w:jc w:val="left"/>
    </w:pPr>
    <w:rPr>
      <w:rFonts w:ascii="等线" w:hAnsi="等线" w:eastAsia="等线"/>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Company>
  <Pages>87</Pages>
  <Words>25559</Words>
  <Characters>27387</Characters>
  <Lines>358</Lines>
  <Paragraphs>100</Paragraphs>
  <TotalTime>48</TotalTime>
  <ScaleCrop>false</ScaleCrop>
  <LinksUpToDate>false</LinksUpToDate>
  <CharactersWithSpaces>27576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2025-03-26T01:49:00Z</dcterms:created>
  <dc:creator>z</dc:creator>
  <cp:lastModifiedBy>DCQ</cp:lastModifiedBy>
  <cp:lastPrinted>2017-10-12T05:20:00Z</cp:lastPrinted>
  <dcterms:modified xsi:type="dcterms:W3CDTF">2025-03-27T12:37:30Z</dcterms:modified>
  <dc:title>询价书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D39614559FD7406DAE7DE4C0E2264180_13</vt:lpwstr>
  </property>
  <property fmtid="{D5CDD505-2E9C-101B-9397-08002B2CF9AE}" pid="4" name="KSOTemplateDocerSaveRecord">
    <vt:lpwstr>eyJoZGlkIjoiZDA4OWQ3MWQ3NGVmMGZkNTQ2YzUyNjIyZjRjNjg3ODIiLCJ1c2VySWQiOiIyNjIxMTQ4ODEifQ==</vt:lpwstr>
  </property>
</Properties>
</file>