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7B639">
      <w:pPr>
        <w:tabs>
          <w:tab w:val="left" w:pos="735"/>
        </w:tabs>
        <w:autoSpaceDE w:val="0"/>
        <w:autoSpaceDN w:val="0"/>
        <w:adjustRightInd w:val="0"/>
        <w:snapToGrid w:val="0"/>
        <w:spacing w:before="240" w:beforeLines="100" w:line="360" w:lineRule="auto"/>
        <w:rPr>
          <w:rFonts w:eastAsia="仿宋_GB2312"/>
          <w:b/>
          <w:bCs/>
          <w:sz w:val="24"/>
          <w:highlight w:val="none"/>
          <w:lang w:val="zh-CN"/>
        </w:rPr>
      </w:pPr>
      <w:r>
        <w:rPr>
          <w:rFonts w:eastAsia="仿宋_GB2312"/>
          <w:b/>
          <w:bCs/>
          <w:sz w:val="24"/>
          <w:highlight w:val="none"/>
          <w:lang w:val="zh-CN"/>
        </w:rPr>
        <w:t>甲方：</w:t>
      </w:r>
      <w:r>
        <w:rPr>
          <w:rFonts w:eastAsia="仿宋_GB2312"/>
          <w:bCs/>
          <w:sz w:val="24"/>
          <w:highlight w:val="none"/>
          <w:lang w:val="zh-CN"/>
        </w:rPr>
        <w:t xml:space="preserve">（前款所称采购人）     </w:t>
      </w:r>
      <w:r>
        <w:rPr>
          <w:rFonts w:hint="eastAsia" w:eastAsia="仿宋_GB2312"/>
          <w:bCs/>
          <w:sz w:val="24"/>
          <w:highlight w:val="none"/>
        </w:rPr>
        <w:t xml:space="preserve">    </w:t>
      </w:r>
      <w:r>
        <w:rPr>
          <w:rFonts w:eastAsia="仿宋_GB2312"/>
          <w:bCs/>
          <w:sz w:val="24"/>
          <w:highlight w:val="none"/>
          <w:lang w:val="zh-CN"/>
        </w:rPr>
        <w:t>住所：</w:t>
      </w:r>
    </w:p>
    <w:p w14:paraId="7FCB90A9">
      <w:pPr>
        <w:tabs>
          <w:tab w:val="left" w:pos="735"/>
        </w:tabs>
        <w:autoSpaceDE w:val="0"/>
        <w:autoSpaceDN w:val="0"/>
        <w:adjustRightInd w:val="0"/>
        <w:snapToGrid w:val="0"/>
        <w:spacing w:line="360" w:lineRule="auto"/>
        <w:rPr>
          <w:rFonts w:eastAsia="仿宋_GB2312"/>
          <w:bCs/>
          <w:sz w:val="24"/>
          <w:highlight w:val="none"/>
          <w:lang w:val="zh-CN"/>
        </w:rPr>
      </w:pPr>
      <w:r>
        <w:rPr>
          <w:rFonts w:eastAsia="仿宋_GB2312"/>
          <w:b/>
          <w:bCs/>
          <w:sz w:val="24"/>
          <w:highlight w:val="none"/>
          <w:lang w:val="zh-CN"/>
        </w:rPr>
        <w:t>乙方：</w:t>
      </w:r>
      <w:r>
        <w:rPr>
          <w:rFonts w:eastAsia="仿宋_GB2312"/>
          <w:bCs/>
          <w:sz w:val="24"/>
          <w:highlight w:val="none"/>
          <w:lang w:val="zh-CN"/>
        </w:rPr>
        <w:t>（前款所称</w:t>
      </w:r>
      <w:r>
        <w:rPr>
          <w:rFonts w:hint="eastAsia" w:eastAsia="仿宋_GB2312"/>
          <w:bCs/>
          <w:sz w:val="24"/>
          <w:highlight w:val="none"/>
        </w:rPr>
        <w:t>成交供应商</w:t>
      </w:r>
      <w:r>
        <w:rPr>
          <w:rFonts w:eastAsia="仿宋_GB2312"/>
          <w:bCs/>
          <w:sz w:val="24"/>
          <w:highlight w:val="none"/>
          <w:lang w:val="zh-CN"/>
        </w:rPr>
        <w:t>）     住所：</w:t>
      </w:r>
    </w:p>
    <w:p w14:paraId="1AB4225F">
      <w:pPr>
        <w:adjustRightInd w:val="0"/>
        <w:snapToGrid w:val="0"/>
        <w:spacing w:line="360" w:lineRule="auto"/>
        <w:ind w:firstLine="480" w:firstLineChars="200"/>
        <w:rPr>
          <w:rFonts w:eastAsia="仿宋_GB2312"/>
          <w:sz w:val="24"/>
          <w:highlight w:val="none"/>
        </w:rPr>
      </w:pPr>
      <w:bookmarkStart w:id="0" w:name="_Toc19515384"/>
      <w:r>
        <w:rPr>
          <w:rFonts w:eastAsia="仿宋_GB2312"/>
          <w:sz w:val="24"/>
          <w:highlight w:val="none"/>
        </w:rPr>
        <w:t>一、合同内容（标的、数量、质量等）</w:t>
      </w:r>
      <w:bookmarkEnd w:id="0"/>
      <w:r>
        <w:rPr>
          <w:rFonts w:hint="eastAsia" w:eastAsia="仿宋_GB2312"/>
          <w:sz w:val="24"/>
          <w:highlight w:val="none"/>
        </w:rPr>
        <w:t>：</w:t>
      </w:r>
    </w:p>
    <w:p w14:paraId="1CE8D9C2">
      <w:pPr>
        <w:pStyle w:val="3"/>
        <w:spacing w:before="0" w:beforeAutospacing="0" w:after="0" w:afterAutospacing="0" w:line="360" w:lineRule="auto"/>
        <w:ind w:firstLine="480" w:firstLineChars="200"/>
        <w:rPr>
          <w:rFonts w:ascii="仿宋" w:hAnsi="仿宋" w:eastAsia="仿宋" w:cs="仿宋"/>
          <w:bCs/>
          <w:kern w:val="2"/>
          <w:highlight w:val="none"/>
        </w:rPr>
      </w:pPr>
      <w:r>
        <w:rPr>
          <w:rFonts w:hint="eastAsia" w:ascii="仿宋" w:hAnsi="仿宋" w:eastAsia="仿宋" w:cs="仿宋"/>
          <w:bCs/>
          <w:kern w:val="2"/>
          <w:highlight w:val="none"/>
        </w:rPr>
        <w:t>（一）采购内容</w:t>
      </w:r>
    </w:p>
    <w:tbl>
      <w:tblPr>
        <w:tblStyle w:val="8"/>
        <w:tblW w:w="5694"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59"/>
        <w:gridCol w:w="2007"/>
        <w:gridCol w:w="1078"/>
        <w:gridCol w:w="1332"/>
        <w:gridCol w:w="912"/>
        <w:gridCol w:w="1302"/>
        <w:gridCol w:w="1090"/>
        <w:gridCol w:w="1090"/>
      </w:tblGrid>
      <w:tr w14:paraId="71C457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2"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154B3DDC">
            <w:pPr>
              <w:jc w:val="center"/>
              <w:rPr>
                <w:rFonts w:ascii="仿宋" w:hAnsi="仿宋" w:eastAsia="仿宋" w:cs="仿宋"/>
                <w:sz w:val="24"/>
                <w:highlight w:val="none"/>
              </w:rPr>
            </w:pPr>
            <w:r>
              <w:rPr>
                <w:rFonts w:hint="eastAsia" w:ascii="仿宋" w:hAnsi="仿宋" w:eastAsia="仿宋" w:cs="仿宋"/>
                <w:spacing w:val="-1"/>
                <w:sz w:val="24"/>
                <w:highlight w:val="none"/>
              </w:rPr>
              <w:t>序号</w:t>
            </w:r>
          </w:p>
        </w:tc>
        <w:tc>
          <w:tcPr>
            <w:tcW w:w="1059" w:type="pct"/>
            <w:tcBorders>
              <w:top w:val="single" w:color="auto" w:sz="4" w:space="0"/>
              <w:left w:val="single" w:color="auto" w:sz="4" w:space="0"/>
              <w:bottom w:val="single" w:color="auto" w:sz="4" w:space="0"/>
              <w:right w:val="single" w:color="auto" w:sz="4" w:space="0"/>
            </w:tcBorders>
            <w:vAlign w:val="center"/>
          </w:tcPr>
          <w:p w14:paraId="48ABE264">
            <w:pPr>
              <w:jc w:val="center"/>
              <w:rPr>
                <w:rFonts w:ascii="仿宋" w:hAnsi="仿宋" w:eastAsia="仿宋" w:cs="仿宋"/>
                <w:sz w:val="24"/>
                <w:highlight w:val="none"/>
              </w:rPr>
            </w:pPr>
            <w:r>
              <w:rPr>
                <w:rFonts w:hint="eastAsia" w:ascii="仿宋" w:hAnsi="仿宋" w:eastAsia="仿宋" w:cs="仿宋"/>
                <w:sz w:val="24"/>
                <w:highlight w:val="none"/>
              </w:rPr>
              <w:t>服务内容</w:t>
            </w:r>
          </w:p>
        </w:tc>
        <w:tc>
          <w:tcPr>
            <w:tcW w:w="569" w:type="pct"/>
            <w:tcBorders>
              <w:top w:val="single" w:color="auto" w:sz="4" w:space="0"/>
              <w:left w:val="single" w:color="auto" w:sz="4" w:space="0"/>
              <w:bottom w:val="single" w:color="auto" w:sz="4" w:space="0"/>
              <w:right w:val="single" w:color="auto" w:sz="4" w:space="0"/>
            </w:tcBorders>
            <w:vAlign w:val="center"/>
          </w:tcPr>
          <w:p w14:paraId="62413A98">
            <w:pPr>
              <w:jc w:val="center"/>
              <w:rPr>
                <w:rFonts w:ascii="仿宋" w:hAnsi="仿宋" w:eastAsia="仿宋" w:cs="仿宋"/>
                <w:sz w:val="24"/>
                <w:highlight w:val="none"/>
              </w:rPr>
            </w:pPr>
            <w:r>
              <w:rPr>
                <w:rFonts w:hint="eastAsia" w:ascii="仿宋" w:hAnsi="仿宋" w:eastAsia="仿宋" w:cs="仿宋"/>
                <w:sz w:val="24"/>
                <w:highlight w:val="none"/>
              </w:rPr>
              <w:t>服务期</w:t>
            </w:r>
          </w:p>
        </w:tc>
        <w:tc>
          <w:tcPr>
            <w:tcW w:w="703" w:type="pct"/>
            <w:tcBorders>
              <w:top w:val="single" w:color="auto" w:sz="4" w:space="0"/>
              <w:left w:val="single" w:color="auto" w:sz="4" w:space="0"/>
              <w:bottom w:val="single" w:color="auto" w:sz="4" w:space="0"/>
              <w:right w:val="single" w:color="auto" w:sz="4" w:space="0"/>
            </w:tcBorders>
            <w:vAlign w:val="center"/>
          </w:tcPr>
          <w:p w14:paraId="4CCE2107">
            <w:pPr>
              <w:jc w:val="center"/>
              <w:rPr>
                <w:rFonts w:ascii="仿宋" w:hAnsi="仿宋" w:eastAsia="仿宋" w:cs="仿宋"/>
                <w:sz w:val="24"/>
                <w:highlight w:val="none"/>
              </w:rPr>
            </w:pPr>
            <w:r>
              <w:rPr>
                <w:rFonts w:hint="eastAsia" w:ascii="仿宋" w:hAnsi="仿宋" w:eastAsia="仿宋" w:cs="仿宋"/>
                <w:sz w:val="24"/>
                <w:highlight w:val="none"/>
              </w:rPr>
              <w:t>服务地点</w:t>
            </w:r>
          </w:p>
        </w:tc>
        <w:tc>
          <w:tcPr>
            <w:tcW w:w="481" w:type="pct"/>
            <w:tcBorders>
              <w:top w:val="single" w:color="auto" w:sz="4" w:space="0"/>
              <w:left w:val="single" w:color="auto" w:sz="4" w:space="0"/>
              <w:bottom w:val="single" w:color="auto" w:sz="4" w:space="0"/>
              <w:right w:val="single" w:color="auto" w:sz="4" w:space="0"/>
            </w:tcBorders>
            <w:vAlign w:val="center"/>
          </w:tcPr>
          <w:p w14:paraId="6D4FC47B">
            <w:pPr>
              <w:jc w:val="center"/>
              <w:rPr>
                <w:rFonts w:ascii="仿宋" w:hAnsi="仿宋" w:eastAsia="仿宋" w:cs="仿宋"/>
                <w:sz w:val="24"/>
                <w:highlight w:val="none"/>
              </w:rPr>
            </w:pPr>
            <w:r>
              <w:rPr>
                <w:rFonts w:hint="eastAsia" w:ascii="仿宋" w:hAnsi="仿宋" w:eastAsia="仿宋" w:cs="仿宋"/>
                <w:sz w:val="24"/>
                <w:highlight w:val="none"/>
              </w:rPr>
              <w:t>数量</w:t>
            </w:r>
          </w:p>
        </w:tc>
        <w:tc>
          <w:tcPr>
            <w:tcW w:w="687" w:type="pct"/>
            <w:tcBorders>
              <w:top w:val="single" w:color="auto" w:sz="4" w:space="0"/>
              <w:left w:val="single" w:color="auto" w:sz="4" w:space="0"/>
              <w:bottom w:val="single" w:color="auto" w:sz="4" w:space="0"/>
              <w:right w:val="single" w:color="auto" w:sz="4" w:space="0"/>
            </w:tcBorders>
            <w:vAlign w:val="center"/>
          </w:tcPr>
          <w:p w14:paraId="0DC1978B">
            <w:pPr>
              <w:jc w:val="center"/>
              <w:rPr>
                <w:rFonts w:ascii="仿宋" w:hAnsi="仿宋" w:eastAsia="仿宋" w:cs="仿宋"/>
                <w:sz w:val="24"/>
                <w:highlight w:val="none"/>
              </w:rPr>
            </w:pPr>
            <w:r>
              <w:rPr>
                <w:rFonts w:hint="eastAsia" w:ascii="仿宋" w:hAnsi="仿宋" w:eastAsia="仿宋" w:cs="仿宋"/>
                <w:sz w:val="24"/>
                <w:highlight w:val="none"/>
              </w:rPr>
              <w:t>单位</w:t>
            </w:r>
          </w:p>
        </w:tc>
        <w:tc>
          <w:tcPr>
            <w:tcW w:w="575" w:type="pct"/>
            <w:tcBorders>
              <w:top w:val="single" w:color="auto" w:sz="4" w:space="0"/>
              <w:left w:val="single" w:color="auto" w:sz="4" w:space="0"/>
              <w:bottom w:val="single" w:color="auto" w:sz="4" w:space="0"/>
              <w:right w:val="single" w:color="auto" w:sz="4" w:space="0"/>
            </w:tcBorders>
            <w:vAlign w:val="center"/>
          </w:tcPr>
          <w:p w14:paraId="3CB78723">
            <w:pPr>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单价（元）</w:t>
            </w:r>
          </w:p>
        </w:tc>
        <w:tc>
          <w:tcPr>
            <w:tcW w:w="575" w:type="pct"/>
            <w:tcBorders>
              <w:top w:val="single" w:color="auto" w:sz="4" w:space="0"/>
              <w:left w:val="single" w:color="auto" w:sz="4" w:space="0"/>
              <w:bottom w:val="single" w:color="auto" w:sz="4" w:space="0"/>
              <w:right w:val="single" w:color="auto" w:sz="4" w:space="0"/>
            </w:tcBorders>
            <w:vAlign w:val="center"/>
          </w:tcPr>
          <w:p w14:paraId="78F99C30">
            <w:pPr>
              <w:pStyle w:val="9"/>
              <w:jc w:val="center"/>
              <w:rPr>
                <w:rFonts w:ascii="仿宋" w:hAnsi="仿宋" w:eastAsia="仿宋" w:cs="仿宋"/>
                <w:highlight w:val="none"/>
              </w:rPr>
            </w:pPr>
          </w:p>
          <w:p w14:paraId="23257339">
            <w:pPr>
              <w:jc w:val="center"/>
              <w:rPr>
                <w:rFonts w:ascii="仿宋" w:hAnsi="仿宋" w:eastAsia="仿宋" w:cs="仿宋"/>
                <w:sz w:val="24"/>
                <w:highlight w:val="none"/>
              </w:rPr>
            </w:pPr>
            <w:r>
              <w:rPr>
                <w:rFonts w:hint="eastAsia" w:ascii="仿宋" w:hAnsi="仿宋" w:eastAsia="仿宋" w:cs="仿宋"/>
                <w:sz w:val="24"/>
                <w:highlight w:val="none"/>
              </w:rPr>
              <w:t>备注</w:t>
            </w:r>
          </w:p>
        </w:tc>
      </w:tr>
      <w:tr w14:paraId="612FC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8" w:hRule="atLeast"/>
          <w:jc w:val="center"/>
        </w:trPr>
        <w:tc>
          <w:tcPr>
            <w:tcW w:w="348" w:type="pct"/>
            <w:tcBorders>
              <w:top w:val="single" w:color="auto" w:sz="4" w:space="0"/>
            </w:tcBorders>
            <w:vAlign w:val="center"/>
          </w:tcPr>
          <w:p w14:paraId="1863CA3F">
            <w:pPr>
              <w:pStyle w:val="9"/>
              <w:rPr>
                <w:rFonts w:ascii="仿宋" w:hAnsi="仿宋" w:eastAsia="仿宋" w:cs="仿宋"/>
                <w:highlight w:val="none"/>
                <w:lang w:eastAsia="zh-CN"/>
              </w:rPr>
            </w:pPr>
          </w:p>
          <w:p w14:paraId="14A4F795">
            <w:pPr>
              <w:pStyle w:val="9"/>
              <w:jc w:val="center"/>
              <w:rPr>
                <w:rFonts w:ascii="仿宋" w:hAnsi="仿宋" w:eastAsia="仿宋" w:cs="仿宋"/>
                <w:highlight w:val="none"/>
                <w:lang w:eastAsia="zh-CN"/>
              </w:rPr>
            </w:pPr>
            <w:r>
              <w:rPr>
                <w:rFonts w:hint="eastAsia" w:ascii="仿宋" w:hAnsi="仿宋" w:eastAsia="仿宋" w:cs="仿宋"/>
                <w:highlight w:val="none"/>
                <w:lang w:eastAsia="zh-CN"/>
              </w:rPr>
              <w:t>1</w:t>
            </w:r>
          </w:p>
        </w:tc>
        <w:tc>
          <w:tcPr>
            <w:tcW w:w="1059" w:type="pct"/>
            <w:tcBorders>
              <w:top w:val="single" w:color="auto" w:sz="4" w:space="0"/>
            </w:tcBorders>
            <w:vAlign w:val="center"/>
          </w:tcPr>
          <w:p w14:paraId="25EB2BA5">
            <w:pPr>
              <w:pStyle w:val="9"/>
              <w:jc w:val="center"/>
              <w:rPr>
                <w:rFonts w:ascii="仿宋" w:hAnsi="仿宋" w:eastAsia="仿宋" w:cs="仿宋"/>
                <w:highlight w:val="none"/>
                <w:lang w:eastAsia="zh-CN"/>
              </w:rPr>
            </w:pPr>
            <w:r>
              <w:rPr>
                <w:rFonts w:hint="eastAsia" w:ascii="仿宋" w:hAnsi="仿宋" w:eastAsia="仿宋" w:cs="仿宋"/>
                <w:highlight w:val="none"/>
                <w:lang w:eastAsia="zh-CN"/>
              </w:rPr>
              <w:t>新就业形态劳动者健康服务项目</w:t>
            </w:r>
          </w:p>
        </w:tc>
        <w:tc>
          <w:tcPr>
            <w:tcW w:w="569" w:type="pct"/>
            <w:tcBorders>
              <w:top w:val="single" w:color="auto" w:sz="4" w:space="0"/>
            </w:tcBorders>
            <w:vAlign w:val="center"/>
          </w:tcPr>
          <w:p w14:paraId="7FD3F416">
            <w:pPr>
              <w:pStyle w:val="9"/>
              <w:jc w:val="center"/>
              <w:rPr>
                <w:rFonts w:ascii="仿宋" w:hAnsi="仿宋" w:eastAsia="仿宋" w:cs="仿宋"/>
                <w:highlight w:val="none"/>
                <w:lang w:eastAsia="zh-CN"/>
              </w:rPr>
            </w:pPr>
            <w:r>
              <w:rPr>
                <w:rFonts w:hint="eastAsia" w:ascii="仿宋" w:hAnsi="仿宋" w:eastAsia="仿宋" w:cs="仿宋"/>
                <w:highlight w:val="none"/>
                <w:lang w:eastAsia="zh-CN"/>
              </w:rPr>
              <w:t>服务使用有效期为自服务开通之日起12个月。</w:t>
            </w:r>
          </w:p>
        </w:tc>
        <w:tc>
          <w:tcPr>
            <w:tcW w:w="703" w:type="pct"/>
            <w:tcBorders>
              <w:top w:val="single" w:color="auto" w:sz="4" w:space="0"/>
            </w:tcBorders>
            <w:vAlign w:val="center"/>
          </w:tcPr>
          <w:p w14:paraId="0462E54C">
            <w:pPr>
              <w:pStyle w:val="9"/>
              <w:jc w:val="center"/>
              <w:rPr>
                <w:rFonts w:ascii="仿宋" w:hAnsi="仿宋" w:eastAsia="仿宋" w:cs="仿宋"/>
                <w:highlight w:val="none"/>
                <w:lang w:eastAsia="zh-CN"/>
              </w:rPr>
            </w:pPr>
            <w:r>
              <w:rPr>
                <w:rFonts w:hint="eastAsia" w:ascii="仿宋" w:hAnsi="仿宋" w:eastAsia="仿宋" w:cs="仿宋"/>
                <w:highlight w:val="none"/>
                <w:lang w:eastAsia="zh-CN"/>
              </w:rPr>
              <w:t>甲方指定地点</w:t>
            </w:r>
          </w:p>
        </w:tc>
        <w:tc>
          <w:tcPr>
            <w:tcW w:w="481" w:type="pct"/>
            <w:tcBorders>
              <w:top w:val="single" w:color="auto" w:sz="4" w:space="0"/>
            </w:tcBorders>
            <w:vAlign w:val="center"/>
          </w:tcPr>
          <w:p w14:paraId="70B6B25E">
            <w:pPr>
              <w:pStyle w:val="9"/>
              <w:jc w:val="center"/>
              <w:rPr>
                <w:rFonts w:ascii="仿宋" w:hAnsi="仿宋" w:eastAsia="仿宋" w:cs="仿宋"/>
                <w:highlight w:val="none"/>
                <w:lang w:eastAsia="zh-CN"/>
              </w:rPr>
            </w:pPr>
            <w:r>
              <w:rPr>
                <w:rFonts w:hint="eastAsia" w:ascii="仿宋" w:hAnsi="仿宋" w:eastAsia="仿宋" w:cs="仿宋"/>
                <w:highlight w:val="none"/>
                <w:lang w:eastAsia="zh-CN"/>
              </w:rPr>
              <w:t>1</w:t>
            </w:r>
          </w:p>
        </w:tc>
        <w:tc>
          <w:tcPr>
            <w:tcW w:w="687" w:type="pct"/>
            <w:tcBorders>
              <w:top w:val="single" w:color="auto" w:sz="4" w:space="0"/>
            </w:tcBorders>
            <w:vAlign w:val="center"/>
          </w:tcPr>
          <w:p w14:paraId="509D93D0">
            <w:pPr>
              <w:pStyle w:val="9"/>
              <w:jc w:val="center"/>
              <w:rPr>
                <w:rFonts w:ascii="仿宋" w:hAnsi="仿宋" w:eastAsia="仿宋" w:cs="仿宋"/>
                <w:highlight w:val="none"/>
                <w:lang w:eastAsia="zh-CN"/>
              </w:rPr>
            </w:pPr>
            <w:r>
              <w:rPr>
                <w:rFonts w:hint="eastAsia" w:ascii="仿宋" w:hAnsi="仿宋" w:eastAsia="仿宋" w:cs="仿宋"/>
                <w:highlight w:val="none"/>
                <w:lang w:eastAsia="zh-CN"/>
              </w:rPr>
              <w:t>项</w:t>
            </w:r>
          </w:p>
        </w:tc>
        <w:tc>
          <w:tcPr>
            <w:tcW w:w="575" w:type="pct"/>
            <w:tcBorders>
              <w:top w:val="single" w:color="auto" w:sz="4" w:space="0"/>
            </w:tcBorders>
            <w:vAlign w:val="center"/>
          </w:tcPr>
          <w:p w14:paraId="1BD66898">
            <w:pPr>
              <w:pStyle w:val="9"/>
              <w:jc w:val="center"/>
              <w:rPr>
                <w:rFonts w:ascii="仿宋" w:hAnsi="仿宋" w:eastAsia="仿宋" w:cs="仿宋"/>
                <w:highlight w:val="none"/>
                <w:lang w:eastAsia="zh-CN"/>
              </w:rPr>
            </w:pPr>
          </w:p>
        </w:tc>
        <w:tc>
          <w:tcPr>
            <w:tcW w:w="575" w:type="pct"/>
            <w:tcBorders>
              <w:top w:val="single" w:color="auto" w:sz="4" w:space="0"/>
            </w:tcBorders>
            <w:vAlign w:val="center"/>
          </w:tcPr>
          <w:p w14:paraId="1E1F8E4E">
            <w:pPr>
              <w:pStyle w:val="9"/>
              <w:jc w:val="center"/>
              <w:rPr>
                <w:rFonts w:ascii="仿宋" w:hAnsi="仿宋" w:eastAsia="仿宋" w:cs="仿宋"/>
                <w:highlight w:val="none"/>
                <w:lang w:eastAsia="zh-CN"/>
              </w:rPr>
            </w:pPr>
          </w:p>
        </w:tc>
      </w:tr>
    </w:tbl>
    <w:p w14:paraId="40DDDF12">
      <w:pPr>
        <w:pStyle w:val="3"/>
        <w:spacing w:before="0" w:beforeAutospacing="0" w:after="0" w:afterAutospacing="0" w:line="360" w:lineRule="auto"/>
        <w:ind w:firstLine="480" w:firstLineChars="200"/>
        <w:rPr>
          <w:rFonts w:ascii="仿宋" w:hAnsi="仿宋" w:eastAsia="仿宋" w:cs="仿宋"/>
          <w:bCs/>
          <w:kern w:val="2"/>
          <w:highlight w:val="none"/>
        </w:rPr>
      </w:pPr>
      <w:r>
        <w:rPr>
          <w:rFonts w:hint="eastAsia" w:ascii="仿宋" w:hAnsi="仿宋" w:eastAsia="仿宋" w:cs="仿宋"/>
          <w:bCs/>
          <w:kern w:val="2"/>
          <w:highlight w:val="none"/>
        </w:rPr>
        <w:t>（二）服务要求</w:t>
      </w:r>
    </w:p>
    <w:p w14:paraId="5F9BCB6A">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1.通过购买服务，采购具有互联网医院资质的专业机构等为新就业形态劳动者提供远程视频即时医疗、患重特大疾病专家绿色通道、送医送药上门、开设移动诊台、心理服务等针对性健康服务；</w:t>
      </w:r>
    </w:p>
    <w:p w14:paraId="270CA7BE">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2.服务人数：5000人。</w:t>
      </w:r>
    </w:p>
    <w:p w14:paraId="72A92846">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3.新就业形态劳动者健康服务标准（单价限价）为100元/人。</w:t>
      </w:r>
    </w:p>
    <w:p w14:paraId="39836565">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4.主要功能或目标：</w:t>
      </w:r>
    </w:p>
    <w:p w14:paraId="7FC408C3">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4.1远程视频即时医疗服务</w:t>
      </w:r>
    </w:p>
    <w:p w14:paraId="6C4DF51F">
      <w:pPr>
        <w:pStyle w:val="3"/>
        <w:spacing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①为服务对象提供全年365天，7×24小时远程视频即时医疗服务，包括但不限于咨询问诊、健康指导、用药指导、体检报告解读、紧急情况处理建议等。一年服务有效期内不限使用次数，视频咨询问诊服务过程中不限时长，视频应及时接通响应，如遇忙线，医生需在10分钟内回呼。</w:t>
      </w:r>
    </w:p>
    <w:p w14:paraId="2BC68927">
      <w:pPr>
        <w:pStyle w:val="3"/>
        <w:spacing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②远程视频即时医疗服务过程中支持三方在线视频通话功能，实现远程视频陪诊使用场景</w:t>
      </w:r>
    </w:p>
    <w:p w14:paraId="64AB2C62">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4.2就医绿色通道服务</w:t>
      </w:r>
    </w:p>
    <w:p w14:paraId="55FF9A00">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一年服务有效期内，至少包含5次/人/年（须可服务至直系亲属）的专家门诊挂号绿色通道服务次数。</w:t>
      </w:r>
    </w:p>
    <w:p w14:paraId="792D232E">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一年服务有效期内，至少包含5次/人/年（须可服务至直系亲属）的住院绿色通道服务次数，在职工或家属患重特大疾病时，能提供就医协助，安排医院加急住院服务。</w:t>
      </w:r>
    </w:p>
    <w:p w14:paraId="6FCA1EBC">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a.具有医院的门诊挂号绿色通道服务以及重特大疾病住院绿色通道服务，为服务对象或其家属协助就医挂号及住院。</w:t>
      </w:r>
    </w:p>
    <w:p w14:paraId="40BADE8D">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b.对于重特大疾病住院服务，提供重特大疾病的界定标准及提供住院服务的启动条件。</w:t>
      </w:r>
    </w:p>
    <w:p w14:paraId="57EFE53E">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4.3送药上门服务</w:t>
      </w:r>
    </w:p>
    <w:p w14:paraId="39026D9E">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为服务对象提供线上购药服务及送药上门服务。</w:t>
      </w:r>
    </w:p>
    <w:p w14:paraId="34FF044C">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4.4专业健康档案</w:t>
      </w:r>
    </w:p>
    <w:p w14:paraId="5D5C0018">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支持服务对象自主建立健康档案和医生为服务对象建立健康档案，用于服务对象存储问诊记录、病例资料、检查报告等。</w:t>
      </w:r>
    </w:p>
    <w:p w14:paraId="2A8A394F">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4.5系统要求</w:t>
      </w:r>
    </w:p>
    <w:p w14:paraId="375BCAC9">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根据项目需求，搭建职工健康服务平台并负责运营；要求该平台可支持以上所有服务功能，并具有医院专家远程视频会诊和科普直播的功能。该平台可支持服务对象对使用情况的线上即时评价和反馈。</w:t>
      </w:r>
    </w:p>
    <w:p w14:paraId="4C476DDE">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4.6其他</w:t>
      </w:r>
    </w:p>
    <w:p w14:paraId="0AB66EA4">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①提供开展专家科普直播的技术支持和运营服务、提供直播网络流量。</w:t>
      </w:r>
    </w:p>
    <w:p w14:paraId="7B88732D">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②提供开展专家远程视频会诊活动的技术支持和相关服务。</w:t>
      </w:r>
    </w:p>
    <w:p w14:paraId="795F07B8">
      <w:pPr>
        <w:pStyle w:val="3"/>
        <w:spacing w:before="0" w:beforeAutospacing="0" w:after="0" w:afterAutospacing="0" w:line="360" w:lineRule="auto"/>
        <w:ind w:firstLine="480" w:firstLineChars="200"/>
        <w:rPr>
          <w:rFonts w:ascii="仿宋" w:hAnsi="仿宋" w:eastAsia="仿宋" w:cs="仿宋"/>
          <w:kern w:val="2"/>
          <w:highlight w:val="none"/>
        </w:rPr>
      </w:pPr>
      <w:r>
        <w:rPr>
          <w:rFonts w:hint="eastAsia" w:ascii="仿宋" w:hAnsi="仿宋" w:eastAsia="仿宋" w:cs="仿宋"/>
          <w:kern w:val="2"/>
          <w:highlight w:val="none"/>
        </w:rPr>
        <w:t>③提供客户服务专线用于本项目服务。</w:t>
      </w:r>
    </w:p>
    <w:p w14:paraId="2021F6D6">
      <w:pPr>
        <w:spacing w:line="360" w:lineRule="auto"/>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4.7供应商需联系慈善机构、公益组织或爱心企业提供社会捐赠，筹集不低于预算金额的社会捐赠（物资或服务），若捐赠未达要求，差额部分由中标方承担，确保项目总服务价值（含本次中标内容）不低于预算金额的两倍。捐赠服务需在本项目服务期（签订合同一年内）完成交付。</w:t>
      </w:r>
    </w:p>
    <w:p w14:paraId="1D2E2A90">
      <w:pPr>
        <w:spacing w:line="360" w:lineRule="auto"/>
        <w:ind w:firstLine="480" w:firstLineChars="200"/>
        <w:rPr>
          <w:rFonts w:hint="default" w:ascii="宋体" w:hAnsi="宋体" w:eastAsia="宋体"/>
          <w:b/>
          <w:bCs/>
          <w:color w:val="C00000"/>
          <w:sz w:val="24"/>
          <w:highlight w:val="none"/>
          <w:lang w:val="en-US" w:eastAsia="zh-CN"/>
        </w:rPr>
      </w:pPr>
      <w:r>
        <w:rPr>
          <w:rFonts w:hint="eastAsia" w:ascii="仿宋" w:hAnsi="仿宋" w:eastAsia="仿宋" w:cs="仿宋"/>
          <w:kern w:val="2"/>
          <w:sz w:val="24"/>
          <w:szCs w:val="24"/>
          <w:highlight w:val="none"/>
          <w:lang w:val="en-US" w:eastAsia="zh-CN" w:bidi="ar-SA"/>
        </w:rPr>
        <w:t>供应商需向甲方提交捐赠合作方案（含捐赠服务内容及清单、质量标准等内容）</w:t>
      </w:r>
    </w:p>
    <w:p w14:paraId="1DAA4F2B">
      <w:pPr>
        <w:pStyle w:val="3"/>
        <w:spacing w:before="0" w:beforeAutospacing="0" w:after="0" w:afterAutospacing="0" w:line="360" w:lineRule="auto"/>
        <w:ind w:firstLine="480" w:firstLineChars="200"/>
        <w:rPr>
          <w:rFonts w:ascii="仿宋" w:hAnsi="仿宋" w:eastAsia="仿宋" w:cs="仿宋"/>
          <w:b/>
          <w:bCs/>
          <w:kern w:val="2"/>
          <w:highlight w:val="none"/>
        </w:rPr>
      </w:pPr>
      <w:r>
        <w:rPr>
          <w:rFonts w:hint="eastAsia" w:ascii="仿宋" w:hAnsi="仿宋" w:eastAsia="仿宋" w:cs="仿宋"/>
          <w:bCs/>
          <w:kern w:val="2"/>
          <w:highlight w:val="none"/>
        </w:rPr>
        <w:t>（</w:t>
      </w:r>
      <w:r>
        <w:rPr>
          <w:rFonts w:hint="eastAsia" w:ascii="仿宋" w:hAnsi="仿宋" w:eastAsia="仿宋" w:cs="仿宋"/>
          <w:bCs/>
          <w:kern w:val="2"/>
          <w:highlight w:val="none"/>
          <w:lang w:val="en-US" w:eastAsia="zh-CN"/>
        </w:rPr>
        <w:t>三</w:t>
      </w:r>
      <w:r>
        <w:rPr>
          <w:rFonts w:hint="eastAsia" w:ascii="仿宋" w:hAnsi="仿宋" w:eastAsia="仿宋" w:cs="仿宋"/>
          <w:bCs/>
          <w:kern w:val="2"/>
          <w:highlight w:val="none"/>
        </w:rPr>
        <w:t>）</w:t>
      </w:r>
      <w:r>
        <w:rPr>
          <w:rFonts w:hint="eastAsia" w:ascii="仿宋" w:hAnsi="仿宋" w:eastAsia="仿宋" w:cs="仿宋"/>
          <w:bCs/>
          <w:kern w:val="2"/>
          <w:highlight w:val="none"/>
          <w:lang w:val="en-US" w:eastAsia="zh-CN"/>
        </w:rPr>
        <w:t>人员</w:t>
      </w:r>
      <w:bookmarkStart w:id="10" w:name="_GoBack"/>
      <w:bookmarkEnd w:id="10"/>
      <w:r>
        <w:rPr>
          <w:rFonts w:hint="eastAsia" w:ascii="仿宋" w:hAnsi="仿宋" w:eastAsia="仿宋" w:cs="仿宋"/>
          <w:bCs/>
          <w:kern w:val="2"/>
          <w:highlight w:val="none"/>
        </w:rPr>
        <w:t>要求</w:t>
      </w:r>
    </w:p>
    <w:p w14:paraId="4F1C275A">
      <w:pPr>
        <w:widowControl/>
        <w:spacing w:line="360" w:lineRule="auto"/>
        <w:ind w:firstLine="480" w:firstLineChars="200"/>
        <w:jc w:val="left"/>
        <w:textAlignment w:val="center"/>
        <w:rPr>
          <w:rFonts w:ascii="仿宋" w:hAnsi="仿宋" w:eastAsia="仿宋" w:cs="仿宋"/>
          <w:kern w:val="0"/>
          <w:sz w:val="24"/>
          <w:highlight w:val="none"/>
          <w:lang w:bidi="ar"/>
        </w:rPr>
      </w:pPr>
      <w:r>
        <w:rPr>
          <w:rFonts w:hint="eastAsia" w:ascii="仿宋" w:hAnsi="仿宋" w:eastAsia="仿宋" w:cs="仿宋"/>
          <w:color w:val="000000" w:themeColor="text1"/>
          <w:kern w:val="0"/>
          <w:sz w:val="24"/>
          <w:highlight w:val="none"/>
          <w:lang w:bidi="ar"/>
          <w14:textFill>
            <w14:solidFill>
              <w14:schemeClr w14:val="tx1"/>
            </w14:solidFill>
          </w14:textFill>
        </w:rPr>
        <w:t>1.</w:t>
      </w:r>
      <w:r>
        <w:rPr>
          <w:rFonts w:hint="eastAsia" w:ascii="仿宋" w:hAnsi="仿宋" w:eastAsia="仿宋" w:cs="仿宋"/>
          <w:kern w:val="0"/>
          <w:sz w:val="24"/>
          <w:highlight w:val="none"/>
          <w:lang w:bidi="ar"/>
        </w:rPr>
        <w:t>具有临床工作经验的医生担任专职视频医生且可在服务过程中查验医生医师资格证不得少于</w:t>
      </w:r>
      <w:r>
        <w:rPr>
          <w:rFonts w:hint="eastAsia" w:ascii="仿宋" w:hAnsi="仿宋" w:eastAsia="仿宋" w:cs="仿宋"/>
          <w:kern w:val="0"/>
          <w:sz w:val="24"/>
          <w:highlight w:val="none"/>
          <w:lang w:val="en-US" w:eastAsia="zh-CN" w:bidi="ar"/>
        </w:rPr>
        <w:t>20</w:t>
      </w:r>
      <w:r>
        <w:rPr>
          <w:rFonts w:hint="eastAsia" w:ascii="仿宋" w:hAnsi="仿宋" w:eastAsia="仿宋" w:cs="仿宋"/>
          <w:kern w:val="0"/>
          <w:sz w:val="24"/>
          <w:highlight w:val="none"/>
          <w:lang w:bidi="ar"/>
        </w:rPr>
        <w:t>人。</w:t>
      </w:r>
    </w:p>
    <w:p w14:paraId="29F3F549">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2.具有负责重特大疾病的</w:t>
      </w:r>
      <w:r>
        <w:rPr>
          <w:rFonts w:hint="eastAsia" w:eastAsia="仿宋_GB2312"/>
          <w:sz w:val="24"/>
          <w:highlight w:val="none"/>
          <w:lang w:val="en-US" w:eastAsia="zh-CN"/>
        </w:rPr>
        <w:t>绿色通道</w:t>
      </w:r>
      <w:r>
        <w:rPr>
          <w:rFonts w:hint="eastAsia" w:eastAsia="仿宋_GB2312"/>
          <w:sz w:val="24"/>
          <w:highlight w:val="none"/>
        </w:rPr>
        <w:t>人员</w:t>
      </w:r>
      <w:r>
        <w:rPr>
          <w:rFonts w:hint="eastAsia" w:eastAsia="仿宋_GB2312"/>
          <w:sz w:val="24"/>
          <w:highlight w:val="none"/>
          <w:lang w:eastAsia="zh-CN"/>
        </w:rPr>
        <w:t>（</w:t>
      </w:r>
      <w:r>
        <w:rPr>
          <w:rFonts w:hint="eastAsia" w:eastAsia="仿宋_GB2312"/>
          <w:sz w:val="24"/>
          <w:highlight w:val="none"/>
          <w:lang w:val="en-US" w:eastAsia="zh-CN"/>
        </w:rPr>
        <w:t>或医生助理</w:t>
      </w:r>
      <w:r>
        <w:rPr>
          <w:rFonts w:hint="eastAsia" w:eastAsia="仿宋_GB2312"/>
          <w:sz w:val="24"/>
          <w:highlight w:val="none"/>
          <w:lang w:eastAsia="zh-CN"/>
        </w:rPr>
        <w:t>）</w:t>
      </w:r>
      <w:r>
        <w:rPr>
          <w:rFonts w:hint="eastAsia" w:eastAsia="仿宋_GB2312"/>
          <w:sz w:val="24"/>
          <w:highlight w:val="none"/>
        </w:rPr>
        <w:t>，能提供就医协助。</w:t>
      </w:r>
    </w:p>
    <w:p w14:paraId="4B85D5BF">
      <w:pPr>
        <w:adjustRightInd w:val="0"/>
        <w:snapToGrid w:val="0"/>
        <w:spacing w:line="360" w:lineRule="auto"/>
        <w:ind w:firstLine="480" w:firstLineChars="200"/>
        <w:rPr>
          <w:rFonts w:ascii="仿宋" w:hAnsi="仿宋" w:eastAsia="仿宋" w:cs="仿宋"/>
          <w:b/>
          <w:bCs/>
          <w:kern w:val="0"/>
          <w:sz w:val="24"/>
          <w:highlight w:val="none"/>
          <w:lang w:bidi="ar"/>
        </w:rPr>
      </w:pPr>
      <w:r>
        <w:rPr>
          <w:rFonts w:hint="eastAsia" w:eastAsia="仿宋_GB2312"/>
          <w:sz w:val="24"/>
          <w:highlight w:val="none"/>
        </w:rPr>
        <w:t>3.具有提供心理倾诉</w:t>
      </w:r>
      <w:r>
        <w:rPr>
          <w:rFonts w:hint="eastAsia" w:eastAsia="仿宋_GB2312"/>
          <w:sz w:val="24"/>
          <w:highlight w:val="none"/>
          <w:lang w:val="en-US" w:eastAsia="zh-CN"/>
        </w:rPr>
        <w:t>热线</w:t>
      </w:r>
      <w:r>
        <w:rPr>
          <w:rFonts w:hint="eastAsia" w:eastAsia="仿宋_GB2312"/>
          <w:sz w:val="24"/>
          <w:highlight w:val="none"/>
        </w:rPr>
        <w:t>；需满足覆盖多元压力场景需精准匹配劳动者高频心理困扰，能针对性回应具体场景下的倾诉需求。适配碎片化时间考虑到劳动者多为“轮班制”“弹性工作”，热线需提供 7×</w:t>
      </w:r>
      <w:r>
        <w:rPr>
          <w:rFonts w:hint="eastAsia" w:eastAsia="仿宋_GB2312"/>
          <w:sz w:val="24"/>
          <w:highlight w:val="none"/>
          <w:lang w:val="en-US" w:eastAsia="zh-CN"/>
        </w:rPr>
        <w:t>12</w:t>
      </w:r>
      <w:r>
        <w:rPr>
          <w:rFonts w:hint="eastAsia" w:eastAsia="仿宋_GB2312"/>
          <w:sz w:val="24"/>
          <w:highlight w:val="none"/>
        </w:rPr>
        <w:t>小时服务，且支持“短时高效沟通”。降低沟通门槛需消除劳动者“怕麻烦”“怕收费”“怕暴露身份”的顾虑，支持“匿名倾诉”（无需登记真实姓名、工作单位，仅需简单标注职业类型即可）。</w:t>
      </w:r>
    </w:p>
    <w:p w14:paraId="454F6E86">
      <w:pPr>
        <w:adjustRightInd w:val="0"/>
        <w:snapToGrid w:val="0"/>
        <w:spacing w:line="360" w:lineRule="auto"/>
        <w:ind w:firstLine="480" w:firstLineChars="200"/>
        <w:rPr>
          <w:rFonts w:eastAsia="仿宋_GB2312"/>
          <w:sz w:val="24"/>
          <w:highlight w:val="none"/>
        </w:rPr>
      </w:pPr>
    </w:p>
    <w:p w14:paraId="71BCAD25">
      <w:pPr>
        <w:adjustRightInd w:val="0"/>
        <w:snapToGrid w:val="0"/>
        <w:spacing w:line="360" w:lineRule="auto"/>
        <w:ind w:firstLine="480" w:firstLineChars="200"/>
        <w:rPr>
          <w:rFonts w:eastAsia="仿宋_GB2312"/>
          <w:sz w:val="24"/>
          <w:highlight w:val="none"/>
        </w:rPr>
      </w:pPr>
      <w:bookmarkStart w:id="1" w:name="_Toc19515385"/>
      <w:r>
        <w:rPr>
          <w:rFonts w:eastAsia="仿宋_GB2312"/>
          <w:sz w:val="24"/>
          <w:highlight w:val="none"/>
        </w:rPr>
        <w:t>二、合同价款</w:t>
      </w:r>
      <w:bookmarkEnd w:id="1"/>
    </w:p>
    <w:p w14:paraId="3FE64E22">
      <w:pPr>
        <w:adjustRightInd w:val="0"/>
        <w:snapToGrid w:val="0"/>
        <w:spacing w:line="360" w:lineRule="auto"/>
        <w:ind w:firstLine="480" w:firstLineChars="200"/>
        <w:rPr>
          <w:rFonts w:eastAsia="仿宋_GB2312"/>
          <w:sz w:val="24"/>
          <w:highlight w:val="none"/>
        </w:rPr>
      </w:pPr>
      <w:r>
        <w:rPr>
          <w:rFonts w:eastAsia="仿宋_GB2312"/>
          <w:sz w:val="24"/>
          <w:highlight w:val="none"/>
        </w:rPr>
        <w:t>1、合同总价：</w:t>
      </w:r>
    </w:p>
    <w:p w14:paraId="7BC49B65">
      <w:pPr>
        <w:adjustRightInd w:val="0"/>
        <w:snapToGrid w:val="0"/>
        <w:spacing w:line="360" w:lineRule="auto"/>
        <w:ind w:firstLine="480" w:firstLineChars="200"/>
        <w:rPr>
          <w:rFonts w:eastAsia="仿宋_GB2312"/>
          <w:sz w:val="24"/>
          <w:highlight w:val="none"/>
        </w:rPr>
      </w:pPr>
      <w:r>
        <w:rPr>
          <w:rFonts w:eastAsia="仿宋_GB2312"/>
          <w:sz w:val="24"/>
          <w:highlight w:val="none"/>
        </w:rPr>
        <w:t>2、合同总价包括：</w:t>
      </w:r>
      <w:r>
        <w:rPr>
          <w:rFonts w:hint="eastAsia" w:eastAsia="仿宋_GB2312"/>
          <w:sz w:val="24"/>
          <w:highlight w:val="none"/>
        </w:rPr>
        <w:t>本项目报价中应包括完成服务实施所需的费用（包含但不限于实施和完成工作所需的设备、劳务、运输、技术服务费、交通、维护、利润等费用和政策性文件规定及合同包含的所有风险、责任等各项应有的费用）、保险费用和各项税金等完成本项目所产生的全部费用。</w:t>
      </w:r>
    </w:p>
    <w:p w14:paraId="1035FE4B">
      <w:pPr>
        <w:adjustRightInd w:val="0"/>
        <w:snapToGrid w:val="0"/>
        <w:spacing w:line="360" w:lineRule="auto"/>
        <w:ind w:firstLine="480" w:firstLineChars="200"/>
        <w:rPr>
          <w:rFonts w:eastAsia="仿宋_GB2312"/>
          <w:sz w:val="24"/>
          <w:highlight w:val="none"/>
        </w:rPr>
      </w:pPr>
      <w:r>
        <w:rPr>
          <w:rFonts w:eastAsia="仿宋_GB2312"/>
          <w:sz w:val="24"/>
          <w:highlight w:val="none"/>
        </w:rPr>
        <w:t>3、合同为固定总价合同，不受市场价变化的影响。</w:t>
      </w:r>
    </w:p>
    <w:p w14:paraId="1DD45ED9">
      <w:pPr>
        <w:adjustRightInd w:val="0"/>
        <w:snapToGrid w:val="0"/>
        <w:spacing w:line="360" w:lineRule="auto"/>
        <w:ind w:firstLine="480" w:firstLineChars="200"/>
        <w:rPr>
          <w:rFonts w:eastAsia="仿宋_GB2312"/>
          <w:sz w:val="24"/>
          <w:highlight w:val="none"/>
        </w:rPr>
      </w:pPr>
      <w:bookmarkStart w:id="2" w:name="_Toc19515386"/>
      <w:r>
        <w:rPr>
          <w:rFonts w:eastAsia="仿宋_GB2312"/>
          <w:sz w:val="24"/>
          <w:highlight w:val="none"/>
        </w:rPr>
        <w:t>三、合同结算</w:t>
      </w:r>
      <w:bookmarkEnd w:id="2"/>
    </w:p>
    <w:p w14:paraId="08CC2D63">
      <w:pPr>
        <w:adjustRightInd w:val="0"/>
        <w:snapToGrid w:val="0"/>
        <w:spacing w:line="360" w:lineRule="auto"/>
        <w:ind w:firstLine="480" w:firstLineChars="200"/>
        <w:rPr>
          <w:rFonts w:eastAsia="仿宋_GB2312"/>
          <w:sz w:val="24"/>
          <w:highlight w:val="none"/>
        </w:rPr>
      </w:pPr>
      <w:bookmarkStart w:id="3" w:name="_Toc19515387"/>
      <w:r>
        <w:rPr>
          <w:rFonts w:eastAsia="仿宋_GB2312"/>
          <w:sz w:val="24"/>
          <w:highlight w:val="none"/>
        </w:rPr>
        <w:t>1、付款比例：</w:t>
      </w:r>
      <w:r>
        <w:rPr>
          <w:rFonts w:hint="eastAsia" w:eastAsia="仿宋_GB2312"/>
          <w:sz w:val="24"/>
          <w:highlight w:val="none"/>
        </w:rPr>
        <w:t>合同签订后，乙方根据甲方需求为健康服务用户开通服务。服务开通后甲方按照合同总价款的40</w:t>
      </w:r>
      <w:r>
        <w:rPr>
          <w:rFonts w:hint="eastAsia" w:eastAsia="仿宋_GB2312"/>
          <w:sz w:val="24"/>
          <w:highlight w:val="none"/>
          <w:lang w:val="en-US" w:eastAsia="zh-CN"/>
        </w:rPr>
        <w:t xml:space="preserve"> </w:t>
      </w:r>
      <w:r>
        <w:rPr>
          <w:rFonts w:hint="eastAsia" w:eastAsia="仿宋_GB2312"/>
          <w:sz w:val="24"/>
          <w:highlight w:val="none"/>
        </w:rPr>
        <w:t>%支付第一次款项，乙方向甲方开具等额的增值税普通发票，甲方在收到增值税普通发票后十五个工作日内完成第一次付款，乙方提供服务达到半年后，由甲方组织验收，验收合格后向乙方支付合同总价款的30 %，全部服务完成后由甲方组织验收，验收合格后向乙方支付合同总价款的30 %。，若乙方开具的增值税普通发票不符合甲方要求或乙方拒绝开具等额的增值税普通发票的，甲方有权拒绝支付相应合同价款，且不承担逾期付款的责任。</w:t>
      </w:r>
    </w:p>
    <w:p w14:paraId="42420E94">
      <w:pPr>
        <w:adjustRightInd w:val="0"/>
        <w:snapToGrid w:val="0"/>
        <w:spacing w:line="360" w:lineRule="auto"/>
        <w:ind w:firstLine="480" w:firstLineChars="200"/>
        <w:rPr>
          <w:rFonts w:eastAsia="仿宋_GB2312"/>
          <w:sz w:val="24"/>
          <w:highlight w:val="none"/>
        </w:rPr>
      </w:pPr>
      <w:r>
        <w:rPr>
          <w:rFonts w:eastAsia="仿宋_GB2312"/>
          <w:sz w:val="24"/>
          <w:highlight w:val="none"/>
        </w:rPr>
        <w:t>2、结算方式：银行转账。</w:t>
      </w:r>
    </w:p>
    <w:p w14:paraId="29ABCC0B">
      <w:pPr>
        <w:adjustRightInd w:val="0"/>
        <w:snapToGrid w:val="0"/>
        <w:spacing w:line="360" w:lineRule="auto"/>
        <w:ind w:firstLine="480" w:firstLineChars="200"/>
        <w:rPr>
          <w:rFonts w:eastAsia="仿宋_GB2312"/>
          <w:sz w:val="24"/>
          <w:highlight w:val="none"/>
        </w:rPr>
      </w:pPr>
      <w:r>
        <w:rPr>
          <w:rFonts w:eastAsia="仿宋_GB2312"/>
          <w:sz w:val="24"/>
          <w:highlight w:val="none"/>
        </w:rPr>
        <w:t>3、结算单位：由</w:t>
      </w:r>
      <w:r>
        <w:rPr>
          <w:rFonts w:eastAsia="仿宋_GB2312"/>
          <w:sz w:val="24"/>
          <w:highlight w:val="none"/>
          <w:u w:val="single"/>
        </w:rPr>
        <w:t xml:space="preserve">  </w:t>
      </w:r>
      <w:r>
        <w:rPr>
          <w:rFonts w:hint="eastAsia" w:eastAsia="仿宋_GB2312"/>
          <w:sz w:val="24"/>
          <w:highlight w:val="none"/>
          <w:u w:val="single"/>
        </w:rPr>
        <w:t>甲方</w:t>
      </w:r>
      <w:r>
        <w:rPr>
          <w:rFonts w:eastAsia="仿宋_GB2312"/>
          <w:sz w:val="24"/>
          <w:highlight w:val="none"/>
          <w:u w:val="single"/>
        </w:rPr>
        <w:t xml:space="preserve">  </w:t>
      </w:r>
      <w:r>
        <w:rPr>
          <w:rFonts w:eastAsia="仿宋_GB2312"/>
          <w:sz w:val="24"/>
          <w:highlight w:val="none"/>
        </w:rPr>
        <w:t>负责结算，乙方开具合同总价数的全额发票交采购人。</w:t>
      </w:r>
    </w:p>
    <w:p w14:paraId="62347B80">
      <w:pPr>
        <w:adjustRightInd w:val="0"/>
        <w:snapToGrid w:val="0"/>
        <w:spacing w:line="360" w:lineRule="auto"/>
        <w:ind w:firstLine="480" w:firstLineChars="200"/>
        <w:rPr>
          <w:rFonts w:eastAsia="仿宋_GB2312"/>
          <w:sz w:val="24"/>
          <w:highlight w:val="none"/>
        </w:rPr>
      </w:pPr>
      <w:r>
        <w:rPr>
          <w:rFonts w:eastAsia="仿宋_GB2312"/>
          <w:sz w:val="24"/>
          <w:highlight w:val="none"/>
        </w:rPr>
        <w:t>四、履行期限、地点及方式</w:t>
      </w:r>
      <w:bookmarkEnd w:id="3"/>
      <w:r>
        <w:rPr>
          <w:rFonts w:hint="eastAsia" w:eastAsia="仿宋_GB2312"/>
          <w:sz w:val="24"/>
          <w:highlight w:val="none"/>
        </w:rPr>
        <w:t>：</w:t>
      </w:r>
    </w:p>
    <w:p w14:paraId="45456662">
      <w:pPr>
        <w:adjustRightInd w:val="0"/>
        <w:snapToGrid w:val="0"/>
        <w:spacing w:line="360" w:lineRule="auto"/>
        <w:ind w:firstLine="480" w:firstLineChars="200"/>
        <w:rPr>
          <w:rFonts w:eastAsia="仿宋_GB2312"/>
          <w:sz w:val="24"/>
          <w:highlight w:val="none"/>
        </w:rPr>
      </w:pPr>
      <w:r>
        <w:rPr>
          <w:rFonts w:eastAsia="仿宋_GB2312"/>
          <w:sz w:val="24"/>
          <w:highlight w:val="none"/>
        </w:rPr>
        <w:t>1、履行期限：</w:t>
      </w:r>
      <w:r>
        <w:rPr>
          <w:rFonts w:hint="eastAsia" w:eastAsia="仿宋_GB2312"/>
          <w:sz w:val="24"/>
          <w:highlight w:val="none"/>
        </w:rPr>
        <w:t>服务使用有效期为自服务开通之日起12个月。</w:t>
      </w:r>
    </w:p>
    <w:p w14:paraId="7A859A48">
      <w:pPr>
        <w:adjustRightInd w:val="0"/>
        <w:snapToGrid w:val="0"/>
        <w:spacing w:line="360" w:lineRule="auto"/>
        <w:ind w:firstLine="480" w:firstLineChars="200"/>
        <w:rPr>
          <w:rFonts w:eastAsia="仿宋_GB2312"/>
          <w:sz w:val="24"/>
          <w:highlight w:val="none"/>
        </w:rPr>
      </w:pPr>
      <w:r>
        <w:rPr>
          <w:rFonts w:eastAsia="仿宋_GB2312"/>
          <w:sz w:val="24"/>
          <w:highlight w:val="none"/>
        </w:rPr>
        <w:t>2、地点：</w:t>
      </w:r>
      <w:r>
        <w:rPr>
          <w:rFonts w:hint="eastAsia" w:eastAsia="仿宋_GB2312"/>
          <w:sz w:val="24"/>
          <w:highlight w:val="none"/>
        </w:rPr>
        <w:t>甲方指定地点。</w:t>
      </w:r>
    </w:p>
    <w:p w14:paraId="59416979">
      <w:pPr>
        <w:adjustRightInd w:val="0"/>
        <w:snapToGrid w:val="0"/>
        <w:spacing w:line="360" w:lineRule="auto"/>
        <w:ind w:firstLine="480" w:firstLineChars="200"/>
        <w:rPr>
          <w:rFonts w:eastAsia="仿宋_GB2312"/>
          <w:sz w:val="24"/>
          <w:highlight w:val="none"/>
        </w:rPr>
      </w:pPr>
      <w:bookmarkStart w:id="4" w:name="_Toc19515390"/>
      <w:r>
        <w:rPr>
          <w:rFonts w:eastAsia="仿宋_GB2312"/>
          <w:sz w:val="24"/>
          <w:highlight w:val="none"/>
        </w:rPr>
        <w:t>五、技术服务</w:t>
      </w:r>
      <w:bookmarkEnd w:id="4"/>
    </w:p>
    <w:p w14:paraId="3D8AC576">
      <w:pPr>
        <w:adjustRightInd w:val="0"/>
        <w:snapToGrid w:val="0"/>
        <w:spacing w:line="360" w:lineRule="auto"/>
        <w:ind w:firstLine="480" w:firstLineChars="200"/>
        <w:rPr>
          <w:rFonts w:eastAsia="仿宋_GB2312"/>
          <w:sz w:val="24"/>
          <w:highlight w:val="none"/>
        </w:rPr>
      </w:pPr>
      <w:r>
        <w:rPr>
          <w:rFonts w:eastAsia="仿宋_GB2312"/>
          <w:sz w:val="24"/>
          <w:highlight w:val="none"/>
        </w:rPr>
        <w:t>1、对技术服务的要求：</w:t>
      </w:r>
    </w:p>
    <w:p w14:paraId="1A05CB1E">
      <w:pPr>
        <w:adjustRightInd w:val="0"/>
        <w:snapToGrid w:val="0"/>
        <w:spacing w:line="360" w:lineRule="auto"/>
        <w:ind w:firstLine="480" w:firstLineChars="200"/>
        <w:rPr>
          <w:rFonts w:eastAsia="仿宋_GB2312"/>
          <w:sz w:val="24"/>
          <w:highlight w:val="none"/>
        </w:rPr>
      </w:pPr>
      <w:r>
        <w:rPr>
          <w:rFonts w:eastAsia="仿宋_GB2312"/>
          <w:sz w:val="24"/>
          <w:highlight w:val="none"/>
        </w:rPr>
        <w:t>2、技术资料：</w:t>
      </w:r>
    </w:p>
    <w:p w14:paraId="225D503B">
      <w:pPr>
        <w:adjustRightInd w:val="0"/>
        <w:snapToGrid w:val="0"/>
        <w:spacing w:line="360" w:lineRule="auto"/>
        <w:ind w:firstLine="480" w:firstLineChars="200"/>
        <w:rPr>
          <w:rFonts w:eastAsia="仿宋_GB2312"/>
          <w:sz w:val="24"/>
          <w:highlight w:val="none"/>
        </w:rPr>
      </w:pPr>
      <w:r>
        <w:rPr>
          <w:rFonts w:eastAsia="仿宋_GB2312"/>
          <w:sz w:val="24"/>
          <w:highlight w:val="none"/>
        </w:rPr>
        <w:t>3、技术培训：</w:t>
      </w:r>
    </w:p>
    <w:p w14:paraId="4E71A806">
      <w:pPr>
        <w:adjustRightInd w:val="0"/>
        <w:snapToGrid w:val="0"/>
        <w:spacing w:line="360" w:lineRule="auto"/>
        <w:ind w:firstLine="480" w:firstLineChars="200"/>
        <w:rPr>
          <w:rFonts w:eastAsia="仿宋_GB2312"/>
          <w:sz w:val="24"/>
          <w:highlight w:val="none"/>
        </w:rPr>
      </w:pPr>
      <w:r>
        <w:rPr>
          <w:rFonts w:eastAsia="仿宋_GB2312"/>
          <w:sz w:val="24"/>
          <w:highlight w:val="none"/>
        </w:rPr>
        <w:t>3-1、培训内容：</w:t>
      </w:r>
    </w:p>
    <w:p w14:paraId="470BFFB5">
      <w:pPr>
        <w:adjustRightInd w:val="0"/>
        <w:snapToGrid w:val="0"/>
        <w:spacing w:line="360" w:lineRule="auto"/>
        <w:ind w:firstLine="480" w:firstLineChars="200"/>
        <w:rPr>
          <w:rFonts w:eastAsia="仿宋_GB2312"/>
          <w:sz w:val="24"/>
          <w:highlight w:val="none"/>
        </w:rPr>
      </w:pPr>
      <w:r>
        <w:rPr>
          <w:rFonts w:eastAsia="仿宋_GB2312"/>
          <w:sz w:val="24"/>
          <w:highlight w:val="none"/>
        </w:rPr>
        <w:t>3-2、培训地点：</w:t>
      </w:r>
    </w:p>
    <w:p w14:paraId="5A791879">
      <w:pPr>
        <w:adjustRightInd w:val="0"/>
        <w:snapToGrid w:val="0"/>
        <w:spacing w:line="360" w:lineRule="auto"/>
        <w:ind w:firstLine="480" w:firstLineChars="200"/>
        <w:rPr>
          <w:rFonts w:eastAsia="仿宋_GB2312"/>
          <w:sz w:val="24"/>
          <w:highlight w:val="none"/>
        </w:rPr>
      </w:pPr>
      <w:r>
        <w:rPr>
          <w:rFonts w:eastAsia="仿宋_GB2312"/>
          <w:sz w:val="24"/>
          <w:highlight w:val="none"/>
        </w:rPr>
        <w:t>3-3、培训时间：</w:t>
      </w:r>
    </w:p>
    <w:p w14:paraId="707614F5">
      <w:pPr>
        <w:adjustRightInd w:val="0"/>
        <w:snapToGrid w:val="0"/>
        <w:spacing w:line="360" w:lineRule="auto"/>
        <w:ind w:firstLine="480" w:firstLineChars="200"/>
        <w:rPr>
          <w:rFonts w:eastAsia="仿宋_GB2312"/>
          <w:sz w:val="24"/>
          <w:highlight w:val="none"/>
        </w:rPr>
      </w:pPr>
      <w:r>
        <w:rPr>
          <w:rFonts w:eastAsia="仿宋_GB2312"/>
          <w:sz w:val="24"/>
          <w:highlight w:val="none"/>
        </w:rPr>
        <w:t>3-4、培训人数：</w:t>
      </w:r>
    </w:p>
    <w:p w14:paraId="64458096">
      <w:pPr>
        <w:adjustRightInd w:val="0"/>
        <w:snapToGrid w:val="0"/>
        <w:spacing w:line="360" w:lineRule="auto"/>
        <w:ind w:firstLine="480" w:firstLineChars="200"/>
        <w:rPr>
          <w:rFonts w:eastAsia="仿宋_GB2312"/>
          <w:sz w:val="24"/>
          <w:highlight w:val="none"/>
        </w:rPr>
      </w:pPr>
      <w:r>
        <w:rPr>
          <w:rFonts w:eastAsia="仿宋_GB2312"/>
          <w:sz w:val="24"/>
          <w:highlight w:val="none"/>
        </w:rPr>
        <w:t>3-5、培训费用：受训人员的食宿费、资料费、培训场地费、耗材（包括水电费等）费等已包含在合同总价中，甲方不再另行支付。</w:t>
      </w:r>
    </w:p>
    <w:p w14:paraId="354951AA">
      <w:pPr>
        <w:adjustRightInd w:val="0"/>
        <w:snapToGrid w:val="0"/>
        <w:spacing w:line="360" w:lineRule="auto"/>
        <w:ind w:firstLine="480" w:firstLineChars="200"/>
        <w:rPr>
          <w:rFonts w:eastAsia="仿宋_GB2312"/>
          <w:sz w:val="24"/>
          <w:highlight w:val="none"/>
        </w:rPr>
      </w:pPr>
      <w:r>
        <w:rPr>
          <w:rFonts w:eastAsia="仿宋_GB2312"/>
          <w:sz w:val="24"/>
          <w:highlight w:val="none"/>
        </w:rPr>
        <w:t>4、售后服务</w:t>
      </w:r>
    </w:p>
    <w:p w14:paraId="63E2C961">
      <w:pPr>
        <w:adjustRightInd w:val="0"/>
        <w:snapToGrid w:val="0"/>
        <w:spacing w:line="360" w:lineRule="auto"/>
        <w:ind w:firstLine="480" w:firstLineChars="200"/>
        <w:rPr>
          <w:rFonts w:eastAsia="仿宋_GB2312"/>
          <w:sz w:val="24"/>
          <w:highlight w:val="none"/>
        </w:rPr>
      </w:pPr>
      <w:r>
        <w:rPr>
          <w:rFonts w:eastAsia="仿宋_GB2312"/>
          <w:sz w:val="24"/>
          <w:highlight w:val="none"/>
        </w:rPr>
        <w:t>4-1、乙方在接到甲方电话通知后在</w:t>
      </w:r>
      <w:r>
        <w:rPr>
          <w:rFonts w:eastAsia="仿宋_GB2312"/>
          <w:sz w:val="24"/>
          <w:highlight w:val="none"/>
          <w:u w:val="single"/>
        </w:rPr>
        <w:t xml:space="preserve">   </w:t>
      </w:r>
      <w:r>
        <w:rPr>
          <w:rFonts w:eastAsia="仿宋_GB2312"/>
          <w:sz w:val="24"/>
          <w:highlight w:val="none"/>
        </w:rPr>
        <w:t>小时内派出合格的服务人员到达现场进行服务，承担相应费用。</w:t>
      </w:r>
    </w:p>
    <w:p w14:paraId="140A1021">
      <w:pPr>
        <w:adjustRightInd w:val="0"/>
        <w:snapToGrid w:val="0"/>
        <w:spacing w:line="360" w:lineRule="auto"/>
        <w:ind w:firstLine="480" w:firstLineChars="200"/>
        <w:rPr>
          <w:rFonts w:eastAsia="仿宋_GB2312"/>
          <w:sz w:val="24"/>
          <w:highlight w:val="none"/>
        </w:rPr>
      </w:pPr>
      <w:r>
        <w:rPr>
          <w:rFonts w:eastAsia="仿宋_GB2312"/>
          <w:sz w:val="24"/>
          <w:highlight w:val="none"/>
        </w:rPr>
        <w:t>4-2、如果乙方在收到通知后两天内没有弥补缺陷，甲方可采取必要的补救措施，但其风险和费用将由乙方承担，甲方根据合同规定对乙方行使的其它权力不受影响。</w:t>
      </w:r>
    </w:p>
    <w:p w14:paraId="3FF183E5">
      <w:pPr>
        <w:adjustRightInd w:val="0"/>
        <w:snapToGrid w:val="0"/>
        <w:spacing w:line="360" w:lineRule="auto"/>
        <w:ind w:firstLine="480" w:firstLineChars="200"/>
        <w:rPr>
          <w:rFonts w:eastAsia="仿宋_GB2312"/>
          <w:sz w:val="24"/>
          <w:highlight w:val="none"/>
        </w:rPr>
      </w:pPr>
      <w:bookmarkStart w:id="5" w:name="_Toc19515391"/>
      <w:r>
        <w:rPr>
          <w:rFonts w:eastAsia="仿宋_GB2312"/>
          <w:sz w:val="24"/>
          <w:highlight w:val="none"/>
        </w:rPr>
        <w:t>六、验收</w:t>
      </w:r>
      <w:bookmarkEnd w:id="5"/>
    </w:p>
    <w:p w14:paraId="64A5BEEF">
      <w:pPr>
        <w:adjustRightInd w:val="0"/>
        <w:snapToGrid w:val="0"/>
        <w:spacing w:line="360" w:lineRule="auto"/>
        <w:ind w:firstLine="480" w:firstLineChars="200"/>
        <w:rPr>
          <w:rFonts w:eastAsia="仿宋_GB2312"/>
          <w:sz w:val="24"/>
          <w:highlight w:val="none"/>
        </w:rPr>
      </w:pPr>
      <w:r>
        <w:rPr>
          <w:rFonts w:eastAsia="仿宋_GB2312"/>
          <w:sz w:val="24"/>
          <w:highlight w:val="none"/>
        </w:rPr>
        <w:t>1、</w:t>
      </w:r>
      <w:r>
        <w:rPr>
          <w:rFonts w:hint="eastAsia" w:eastAsia="仿宋_GB2312"/>
          <w:sz w:val="24"/>
          <w:highlight w:val="none"/>
        </w:rPr>
        <w:t>履约验收标准：</w:t>
      </w:r>
      <w:r>
        <w:rPr>
          <w:rFonts w:hint="eastAsia" w:ascii="仿宋" w:hAnsi="仿宋" w:eastAsia="仿宋" w:cs="仿宋"/>
          <w:kern w:val="0"/>
          <w:sz w:val="24"/>
          <w:highlight w:val="none"/>
          <w:lang w:bidi="ar"/>
        </w:rPr>
        <w:t>合同签订后</w:t>
      </w:r>
      <w:r>
        <w:rPr>
          <w:rFonts w:ascii="仿宋" w:hAnsi="仿宋" w:eastAsia="仿宋" w:cs="仿宋"/>
          <w:kern w:val="0"/>
          <w:sz w:val="24"/>
          <w:highlight w:val="none"/>
          <w:lang w:bidi="ar"/>
        </w:rPr>
        <w:t>30</w:t>
      </w:r>
      <w:r>
        <w:rPr>
          <w:rFonts w:hint="eastAsia" w:ascii="仿宋" w:hAnsi="仿宋" w:eastAsia="仿宋" w:cs="仿宋"/>
          <w:kern w:val="0"/>
          <w:sz w:val="24"/>
          <w:highlight w:val="none"/>
          <w:lang w:bidi="ar"/>
        </w:rPr>
        <w:t>个工作日后实施第一期验收，主要验收标准为健康服务用户交付数量及技术参数达标情况；</w:t>
      </w:r>
      <w:r>
        <w:rPr>
          <w:rFonts w:hint="eastAsia" w:eastAsia="仿宋_GB2312"/>
          <w:sz w:val="24"/>
          <w:highlight w:val="none"/>
        </w:rPr>
        <w:t>提供服务半年后实施第二期验收，主要验收服务满意度；服务完成后实施第三期验收，主要验收服务满意度。第二、三期满意度验收标准为服务投诉率低于</w:t>
      </w:r>
      <w:r>
        <w:rPr>
          <w:rFonts w:eastAsia="仿宋_GB2312"/>
          <w:sz w:val="24"/>
          <w:highlight w:val="none"/>
        </w:rPr>
        <w:t>3%</w:t>
      </w:r>
      <w:r>
        <w:rPr>
          <w:rFonts w:hint="eastAsia" w:eastAsia="仿宋_GB2312"/>
          <w:sz w:val="24"/>
          <w:highlight w:val="none"/>
        </w:rPr>
        <w:t>。</w:t>
      </w:r>
    </w:p>
    <w:p w14:paraId="0B95B49D">
      <w:pPr>
        <w:adjustRightInd w:val="0"/>
        <w:snapToGrid w:val="0"/>
        <w:spacing w:line="360" w:lineRule="auto"/>
        <w:ind w:firstLine="480" w:firstLineChars="200"/>
        <w:rPr>
          <w:rFonts w:eastAsia="仿宋_GB2312"/>
          <w:sz w:val="24"/>
          <w:highlight w:val="none"/>
        </w:rPr>
      </w:pPr>
      <w:r>
        <w:rPr>
          <w:rFonts w:eastAsia="仿宋_GB2312"/>
          <w:sz w:val="24"/>
          <w:highlight w:val="none"/>
        </w:rPr>
        <w:t>乙方完成服务内容后，向甲方提出验收申请，甲方接到乙方验收申请后组织验收（必要时可聘请相应专家或委托相应部门验收），验收合格后，出具使用验收合格证明。</w:t>
      </w:r>
    </w:p>
    <w:p w14:paraId="6826C19E">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2</w:t>
      </w:r>
      <w:r>
        <w:rPr>
          <w:rFonts w:eastAsia="仿宋_GB2312"/>
          <w:sz w:val="24"/>
          <w:highlight w:val="none"/>
        </w:rPr>
        <w:t>、最终验收：最终验收结果作为付款依据，乙方填写验收单，并向甲方提交实施过程中的所有资料，以便甲方日后管理和维护。</w:t>
      </w:r>
    </w:p>
    <w:p w14:paraId="3FB45CFC">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3</w:t>
      </w:r>
      <w:r>
        <w:rPr>
          <w:rFonts w:eastAsia="仿宋_GB2312"/>
          <w:sz w:val="24"/>
          <w:highlight w:val="none"/>
        </w:rPr>
        <w:t>、质保期满后：由乙方出具质保期运行质量报告，若存在质量问题，应按相应规定协商处理。</w:t>
      </w:r>
    </w:p>
    <w:p w14:paraId="71F56F2A">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4</w:t>
      </w:r>
      <w:r>
        <w:rPr>
          <w:rFonts w:eastAsia="仿宋_GB2312"/>
          <w:sz w:val="24"/>
          <w:highlight w:val="none"/>
        </w:rPr>
        <w:t>、验收依据：</w:t>
      </w:r>
    </w:p>
    <w:p w14:paraId="2B7CE31C">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4</w:t>
      </w:r>
      <w:r>
        <w:rPr>
          <w:rFonts w:eastAsia="仿宋_GB2312"/>
          <w:sz w:val="24"/>
          <w:highlight w:val="none"/>
        </w:rPr>
        <w:t>-1、合同文本、合同附件、</w:t>
      </w:r>
      <w:r>
        <w:rPr>
          <w:rFonts w:hint="eastAsia" w:eastAsia="仿宋_GB2312"/>
          <w:sz w:val="24"/>
          <w:highlight w:val="none"/>
        </w:rPr>
        <w:t>竞争性磋商文件</w:t>
      </w:r>
      <w:r>
        <w:rPr>
          <w:rFonts w:eastAsia="仿宋_GB2312"/>
          <w:sz w:val="24"/>
          <w:highlight w:val="none"/>
        </w:rPr>
        <w:t>、</w:t>
      </w:r>
      <w:r>
        <w:rPr>
          <w:rFonts w:hint="eastAsia" w:eastAsia="仿宋_GB2312"/>
          <w:sz w:val="24"/>
          <w:highlight w:val="none"/>
        </w:rPr>
        <w:t>成交供应商的响应文件</w:t>
      </w:r>
      <w:r>
        <w:rPr>
          <w:rFonts w:eastAsia="仿宋_GB2312"/>
          <w:sz w:val="24"/>
          <w:highlight w:val="none"/>
        </w:rPr>
        <w:t>。</w:t>
      </w:r>
    </w:p>
    <w:p w14:paraId="2607332A">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4</w:t>
      </w:r>
      <w:r>
        <w:rPr>
          <w:rFonts w:eastAsia="仿宋_GB2312"/>
          <w:sz w:val="24"/>
          <w:highlight w:val="none"/>
        </w:rPr>
        <w:t>-2、国内相应的标准、规范。</w:t>
      </w:r>
    </w:p>
    <w:p w14:paraId="5F157AAC">
      <w:pPr>
        <w:adjustRightInd w:val="0"/>
        <w:snapToGrid w:val="0"/>
        <w:spacing w:line="360" w:lineRule="auto"/>
        <w:ind w:firstLine="480" w:firstLineChars="200"/>
        <w:rPr>
          <w:rFonts w:eastAsia="仿宋_GB2312"/>
          <w:sz w:val="24"/>
          <w:highlight w:val="none"/>
        </w:rPr>
      </w:pPr>
      <w:bookmarkStart w:id="6" w:name="_Toc19515392"/>
      <w:r>
        <w:rPr>
          <w:rFonts w:hint="eastAsia" w:eastAsia="仿宋_GB2312"/>
          <w:sz w:val="24"/>
          <w:highlight w:val="none"/>
        </w:rPr>
        <w:t>七、</w:t>
      </w:r>
      <w:r>
        <w:rPr>
          <w:rFonts w:eastAsia="仿宋_GB2312"/>
          <w:sz w:val="24"/>
          <w:highlight w:val="none"/>
        </w:rPr>
        <w:t>违约责任</w:t>
      </w:r>
      <w:bookmarkEnd w:id="6"/>
    </w:p>
    <w:p w14:paraId="500198AF">
      <w:pPr>
        <w:adjustRightInd w:val="0"/>
        <w:snapToGrid w:val="0"/>
        <w:spacing w:line="360" w:lineRule="auto"/>
        <w:ind w:firstLine="480" w:firstLineChars="200"/>
        <w:rPr>
          <w:rFonts w:eastAsia="仿宋_GB2312"/>
          <w:sz w:val="24"/>
          <w:highlight w:val="none"/>
        </w:rPr>
      </w:pPr>
      <w:r>
        <w:rPr>
          <w:rFonts w:eastAsia="仿宋_GB2312"/>
          <w:sz w:val="24"/>
          <w:highlight w:val="none"/>
        </w:rPr>
        <w:t>1、按《中华人民共和国民法典》中的相关条款执行。</w:t>
      </w:r>
    </w:p>
    <w:p w14:paraId="00D0058C">
      <w:pPr>
        <w:adjustRightInd w:val="0"/>
        <w:snapToGrid w:val="0"/>
        <w:spacing w:line="360" w:lineRule="auto"/>
        <w:ind w:firstLine="480" w:firstLineChars="200"/>
        <w:rPr>
          <w:rFonts w:eastAsia="仿宋_GB2312"/>
          <w:sz w:val="24"/>
          <w:highlight w:val="none"/>
        </w:rPr>
      </w:pPr>
      <w:r>
        <w:rPr>
          <w:rFonts w:eastAsia="仿宋_GB2312"/>
          <w:sz w:val="24"/>
          <w:highlight w:val="none"/>
        </w:rPr>
        <w:t>2、乙方履约延误</w:t>
      </w:r>
    </w:p>
    <w:p w14:paraId="48543AED">
      <w:pPr>
        <w:adjustRightInd w:val="0"/>
        <w:snapToGrid w:val="0"/>
        <w:spacing w:line="360" w:lineRule="auto"/>
        <w:ind w:firstLine="480" w:firstLineChars="200"/>
        <w:rPr>
          <w:rFonts w:eastAsia="仿宋_GB2312"/>
          <w:sz w:val="24"/>
          <w:highlight w:val="none"/>
        </w:rPr>
      </w:pPr>
      <w:r>
        <w:rPr>
          <w:rFonts w:eastAsia="仿宋_GB2312"/>
          <w:sz w:val="24"/>
          <w:highlight w:val="none"/>
        </w:rPr>
        <w:t>2-1、如乙方事先未征得甲方同意并得到甲方的谅解而单方面延迟执行合同，将按违约终止合同。</w:t>
      </w:r>
    </w:p>
    <w:p w14:paraId="4D71F8A2">
      <w:pPr>
        <w:adjustRightInd w:val="0"/>
        <w:snapToGrid w:val="0"/>
        <w:spacing w:line="360" w:lineRule="auto"/>
        <w:ind w:firstLine="480" w:firstLineChars="200"/>
        <w:rPr>
          <w:rFonts w:eastAsia="仿宋_GB2312"/>
          <w:sz w:val="24"/>
          <w:highlight w:val="none"/>
        </w:rPr>
      </w:pPr>
      <w:r>
        <w:rPr>
          <w:rFonts w:eastAsia="仿宋_GB2312"/>
          <w:sz w:val="24"/>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0CA14EEE">
      <w:pPr>
        <w:adjustRightInd w:val="0"/>
        <w:snapToGrid w:val="0"/>
        <w:spacing w:line="360" w:lineRule="auto"/>
        <w:ind w:firstLine="480" w:firstLineChars="200"/>
        <w:rPr>
          <w:rFonts w:eastAsia="仿宋_GB2312"/>
          <w:sz w:val="24"/>
          <w:highlight w:val="none"/>
        </w:rPr>
      </w:pPr>
      <w:r>
        <w:rPr>
          <w:rFonts w:eastAsia="仿宋_GB2312"/>
          <w:sz w:val="24"/>
          <w:highlight w:val="none"/>
        </w:rPr>
        <w:t>3、违约终止合同：未按合同要求提供服务或不能满足技术要求，甲方会同监督机构有权终止合同，对乙方违约行为进行追究，同时按政府采购法的有关规定进行相应的处罚。</w:t>
      </w:r>
    </w:p>
    <w:p w14:paraId="6D8B981C">
      <w:pPr>
        <w:adjustRightInd w:val="0"/>
        <w:snapToGrid w:val="0"/>
        <w:spacing w:line="360" w:lineRule="auto"/>
        <w:ind w:firstLine="480" w:firstLineChars="200"/>
        <w:rPr>
          <w:rFonts w:eastAsia="仿宋_GB2312"/>
          <w:sz w:val="24"/>
          <w:highlight w:val="none"/>
        </w:rPr>
      </w:pPr>
      <w:bookmarkStart w:id="7" w:name="_Toc19515393"/>
      <w:r>
        <w:rPr>
          <w:rFonts w:hint="eastAsia" w:eastAsia="仿宋_GB2312"/>
          <w:sz w:val="24"/>
          <w:highlight w:val="none"/>
        </w:rPr>
        <w:t>九</w:t>
      </w:r>
      <w:r>
        <w:rPr>
          <w:rFonts w:eastAsia="仿宋_GB2312"/>
          <w:sz w:val="24"/>
          <w:highlight w:val="none"/>
        </w:rPr>
        <w:t>、合同组成</w:t>
      </w:r>
      <w:bookmarkEnd w:id="7"/>
    </w:p>
    <w:p w14:paraId="52BBE198">
      <w:pPr>
        <w:adjustRightInd w:val="0"/>
        <w:snapToGrid w:val="0"/>
        <w:spacing w:line="360" w:lineRule="auto"/>
        <w:ind w:firstLine="480" w:firstLineChars="200"/>
        <w:rPr>
          <w:rFonts w:eastAsia="仿宋_GB2312"/>
          <w:sz w:val="24"/>
          <w:highlight w:val="none"/>
        </w:rPr>
      </w:pPr>
      <w:r>
        <w:rPr>
          <w:rFonts w:eastAsia="仿宋_GB2312"/>
          <w:sz w:val="24"/>
          <w:highlight w:val="none"/>
        </w:rPr>
        <w:t>1、</w:t>
      </w:r>
      <w:r>
        <w:rPr>
          <w:rFonts w:hint="eastAsia" w:eastAsia="仿宋_GB2312"/>
          <w:sz w:val="24"/>
          <w:highlight w:val="none"/>
        </w:rPr>
        <w:t>成交</w:t>
      </w:r>
      <w:r>
        <w:rPr>
          <w:rFonts w:eastAsia="仿宋_GB2312"/>
          <w:sz w:val="24"/>
          <w:highlight w:val="none"/>
        </w:rPr>
        <w:t>通知书</w:t>
      </w:r>
    </w:p>
    <w:p w14:paraId="7E5CBAE4">
      <w:pPr>
        <w:adjustRightInd w:val="0"/>
        <w:snapToGrid w:val="0"/>
        <w:spacing w:line="360" w:lineRule="auto"/>
        <w:ind w:firstLine="480" w:firstLineChars="200"/>
        <w:rPr>
          <w:rFonts w:eastAsia="仿宋_GB2312"/>
          <w:sz w:val="24"/>
          <w:highlight w:val="none"/>
        </w:rPr>
      </w:pPr>
      <w:r>
        <w:rPr>
          <w:rFonts w:eastAsia="仿宋_GB2312"/>
          <w:sz w:val="24"/>
          <w:highlight w:val="none"/>
        </w:rPr>
        <w:t>2、合同文件</w:t>
      </w:r>
    </w:p>
    <w:p w14:paraId="71BB8307">
      <w:pPr>
        <w:adjustRightInd w:val="0"/>
        <w:snapToGrid w:val="0"/>
        <w:spacing w:line="360" w:lineRule="auto"/>
        <w:ind w:firstLine="480" w:firstLineChars="200"/>
        <w:rPr>
          <w:rFonts w:eastAsia="仿宋_GB2312"/>
          <w:sz w:val="24"/>
          <w:highlight w:val="none"/>
        </w:rPr>
      </w:pPr>
      <w:r>
        <w:rPr>
          <w:rFonts w:eastAsia="仿宋_GB2312"/>
          <w:sz w:val="24"/>
          <w:highlight w:val="none"/>
        </w:rPr>
        <w:t>3、国家相关规范及标准</w:t>
      </w:r>
    </w:p>
    <w:p w14:paraId="1A837971">
      <w:pPr>
        <w:adjustRightInd w:val="0"/>
        <w:snapToGrid w:val="0"/>
        <w:spacing w:line="360" w:lineRule="auto"/>
        <w:ind w:firstLine="480" w:firstLineChars="200"/>
        <w:rPr>
          <w:rFonts w:eastAsia="仿宋_GB2312"/>
          <w:sz w:val="24"/>
          <w:highlight w:val="none"/>
        </w:rPr>
      </w:pPr>
      <w:r>
        <w:rPr>
          <w:rFonts w:eastAsia="仿宋_GB2312"/>
          <w:sz w:val="24"/>
          <w:highlight w:val="none"/>
        </w:rPr>
        <w:t>4、</w:t>
      </w:r>
      <w:r>
        <w:rPr>
          <w:rFonts w:hint="eastAsia" w:eastAsia="仿宋_GB2312"/>
          <w:sz w:val="24"/>
          <w:highlight w:val="none"/>
        </w:rPr>
        <w:t>竞争性磋商文件</w:t>
      </w:r>
    </w:p>
    <w:p w14:paraId="368BB0B4">
      <w:pPr>
        <w:adjustRightInd w:val="0"/>
        <w:snapToGrid w:val="0"/>
        <w:spacing w:line="360" w:lineRule="auto"/>
        <w:ind w:firstLine="480" w:firstLineChars="200"/>
        <w:rPr>
          <w:rFonts w:eastAsia="仿宋_GB2312"/>
          <w:sz w:val="24"/>
          <w:highlight w:val="none"/>
        </w:rPr>
      </w:pPr>
      <w:r>
        <w:rPr>
          <w:rFonts w:eastAsia="仿宋_GB2312"/>
          <w:sz w:val="24"/>
          <w:highlight w:val="none"/>
        </w:rPr>
        <w:t>5、</w:t>
      </w:r>
      <w:r>
        <w:rPr>
          <w:rFonts w:hint="eastAsia" w:eastAsia="仿宋_GB2312"/>
          <w:sz w:val="24"/>
          <w:highlight w:val="none"/>
        </w:rPr>
        <w:t>成交供应商的响应</w:t>
      </w:r>
      <w:r>
        <w:rPr>
          <w:rFonts w:eastAsia="仿宋_GB2312"/>
          <w:sz w:val="24"/>
          <w:highlight w:val="none"/>
        </w:rPr>
        <w:t>文件</w:t>
      </w:r>
    </w:p>
    <w:p w14:paraId="6A15F442">
      <w:pPr>
        <w:adjustRightInd w:val="0"/>
        <w:snapToGrid w:val="0"/>
        <w:spacing w:line="360" w:lineRule="auto"/>
        <w:ind w:firstLine="480" w:firstLineChars="200"/>
        <w:rPr>
          <w:rFonts w:eastAsia="仿宋_GB2312"/>
          <w:sz w:val="24"/>
          <w:highlight w:val="none"/>
        </w:rPr>
      </w:pPr>
      <w:bookmarkStart w:id="8" w:name="_Toc19515394"/>
      <w:r>
        <w:rPr>
          <w:rFonts w:hint="eastAsia" w:eastAsia="仿宋_GB2312"/>
          <w:sz w:val="24"/>
          <w:highlight w:val="none"/>
        </w:rPr>
        <w:t>十</w:t>
      </w:r>
      <w:r>
        <w:rPr>
          <w:rFonts w:eastAsia="仿宋_GB2312"/>
          <w:sz w:val="24"/>
          <w:highlight w:val="none"/>
        </w:rPr>
        <w:t>、解决争议的方法</w:t>
      </w:r>
      <w:bookmarkEnd w:id="8"/>
    </w:p>
    <w:p w14:paraId="2C281B5E">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eastAsia="仿宋_GB2312"/>
          <w:kern w:val="0"/>
          <w:sz w:val="24"/>
          <w:highlight w:val="none"/>
        </w:rPr>
        <w:t>凡因本合同引起的或与本合同有关的争议，双方应友好协商解决。协商不成时，双方均同意采用以下第（  ）种争议解决方式：</w:t>
      </w:r>
    </w:p>
    <w:p w14:paraId="7FADD3A9">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hint="eastAsia" w:eastAsia="仿宋_GB2312"/>
          <w:kern w:val="0"/>
          <w:sz w:val="24"/>
          <w:highlight w:val="none"/>
        </w:rPr>
        <w:t>1</w:t>
      </w:r>
      <w:r>
        <w:rPr>
          <w:rFonts w:eastAsia="仿宋_GB2312"/>
          <w:kern w:val="0"/>
          <w:sz w:val="24"/>
          <w:highlight w:val="none"/>
        </w:rPr>
        <w:t>、甲、乙双方均同意向（甲方所在地人民法院）提起诉讼。</w:t>
      </w:r>
    </w:p>
    <w:p w14:paraId="229A7361">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hint="eastAsia" w:eastAsia="仿宋_GB2312"/>
          <w:kern w:val="0"/>
          <w:sz w:val="24"/>
          <w:highlight w:val="none"/>
        </w:rPr>
        <w:t>2</w:t>
      </w:r>
      <w:r>
        <w:rPr>
          <w:rFonts w:eastAsia="仿宋_GB2312"/>
          <w:kern w:val="0"/>
          <w:sz w:val="24"/>
          <w:highlight w:val="none"/>
        </w:rPr>
        <w:t>、甲、乙双方均同意向（</w:t>
      </w:r>
      <w:r>
        <w:rPr>
          <w:highlight w:val="none"/>
        </w:rPr>
        <w:fldChar w:fldCharType="begin"/>
      </w:r>
      <w:r>
        <w:rPr>
          <w:highlight w:val="none"/>
        </w:rPr>
        <w:instrText xml:space="preserve"> HYPERLINK "http://www.baidu.com/s?wd=%E4%BB%B2%E8%A3%81%E5%A7%94%E5%91%98%E4%BC%9A&amp;tn=SE_PcZhidaonwhc_ngpagmjz&amp;rsv_dl=gh_pc_zhidao" \t "_blank" </w:instrText>
      </w:r>
      <w:r>
        <w:rPr>
          <w:highlight w:val="none"/>
        </w:rPr>
        <w:fldChar w:fldCharType="separate"/>
      </w:r>
      <w:r>
        <w:rPr>
          <w:rFonts w:eastAsia="仿宋_GB2312"/>
          <w:kern w:val="0"/>
          <w:sz w:val="24"/>
          <w:highlight w:val="none"/>
        </w:rPr>
        <w:t>仲裁委员会</w:t>
      </w:r>
      <w:r>
        <w:rPr>
          <w:rFonts w:eastAsia="仿宋_GB2312"/>
          <w:kern w:val="0"/>
          <w:sz w:val="24"/>
          <w:highlight w:val="none"/>
        </w:rPr>
        <w:fldChar w:fldCharType="end"/>
      </w:r>
      <w:r>
        <w:rPr>
          <w:rFonts w:eastAsia="仿宋_GB2312"/>
          <w:kern w:val="0"/>
          <w:sz w:val="24"/>
          <w:highlight w:val="none"/>
        </w:rPr>
        <w:t>）提起仲裁。</w:t>
      </w:r>
    </w:p>
    <w:p w14:paraId="2F34BBDD">
      <w:pPr>
        <w:adjustRightInd w:val="0"/>
        <w:snapToGrid w:val="0"/>
        <w:spacing w:line="360" w:lineRule="auto"/>
        <w:ind w:firstLine="480" w:firstLineChars="200"/>
        <w:rPr>
          <w:rFonts w:eastAsia="仿宋_GB2312"/>
          <w:sz w:val="24"/>
          <w:highlight w:val="none"/>
        </w:rPr>
      </w:pPr>
      <w:bookmarkStart w:id="9" w:name="_Toc19515395"/>
      <w:r>
        <w:rPr>
          <w:rFonts w:eastAsia="仿宋_GB2312"/>
          <w:sz w:val="24"/>
          <w:highlight w:val="none"/>
        </w:rPr>
        <w:t>十</w:t>
      </w:r>
      <w:r>
        <w:rPr>
          <w:rFonts w:hint="eastAsia" w:eastAsia="仿宋_GB2312"/>
          <w:sz w:val="24"/>
          <w:highlight w:val="none"/>
        </w:rPr>
        <w:t>一</w:t>
      </w:r>
      <w:r>
        <w:rPr>
          <w:rFonts w:eastAsia="仿宋_GB2312"/>
          <w:sz w:val="24"/>
          <w:highlight w:val="none"/>
        </w:rPr>
        <w:t>、合同生效及其它</w:t>
      </w:r>
      <w:bookmarkEnd w:id="9"/>
    </w:p>
    <w:p w14:paraId="15FF7090">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eastAsia="仿宋_GB2312"/>
          <w:kern w:val="0"/>
          <w:sz w:val="24"/>
          <w:highlight w:val="none"/>
        </w:rPr>
        <w:t>1、合同未尽事宜、由甲、乙双方协商，作为合同补充，与原合同具有同等法律效力。</w:t>
      </w:r>
    </w:p>
    <w:p w14:paraId="0CB48DEF">
      <w:pPr>
        <w:widowControl/>
        <w:tabs>
          <w:tab w:val="left" w:pos="8391"/>
        </w:tabs>
        <w:autoSpaceDE w:val="0"/>
        <w:autoSpaceDN w:val="0"/>
        <w:snapToGrid w:val="0"/>
        <w:spacing w:line="360" w:lineRule="auto"/>
        <w:ind w:right="-69" w:firstLine="480" w:firstLineChars="200"/>
        <w:textAlignment w:val="bottom"/>
        <w:rPr>
          <w:rFonts w:eastAsia="仿宋_GB2312"/>
          <w:kern w:val="0"/>
          <w:sz w:val="24"/>
          <w:highlight w:val="none"/>
        </w:rPr>
      </w:pPr>
      <w:r>
        <w:rPr>
          <w:rFonts w:eastAsia="仿宋_GB2312"/>
          <w:kern w:val="0"/>
          <w:sz w:val="24"/>
          <w:highlight w:val="none"/>
        </w:rPr>
        <w:t>2、 本合同正本一式</w:t>
      </w:r>
      <w:r>
        <w:rPr>
          <w:rFonts w:eastAsia="仿宋_GB2312"/>
          <w:kern w:val="0"/>
          <w:sz w:val="24"/>
          <w:highlight w:val="none"/>
          <w:u w:val="single"/>
        </w:rPr>
        <w:t xml:space="preserve">  </w:t>
      </w:r>
      <w:r>
        <w:rPr>
          <w:rFonts w:eastAsia="仿宋_GB2312"/>
          <w:kern w:val="0"/>
          <w:sz w:val="24"/>
          <w:highlight w:val="none"/>
        </w:rPr>
        <w:t>份，甲方、乙方双方分别执</w:t>
      </w:r>
      <w:r>
        <w:rPr>
          <w:rFonts w:eastAsia="仿宋_GB2312"/>
          <w:kern w:val="0"/>
          <w:sz w:val="24"/>
          <w:highlight w:val="none"/>
          <w:u w:val="single"/>
        </w:rPr>
        <w:t xml:space="preserve">  </w:t>
      </w:r>
      <w:r>
        <w:rPr>
          <w:rFonts w:eastAsia="仿宋_GB2312"/>
          <w:kern w:val="0"/>
          <w:sz w:val="24"/>
          <w:highlight w:val="none"/>
        </w:rPr>
        <w:t>份，</w:t>
      </w:r>
      <w:r>
        <w:rPr>
          <w:rFonts w:eastAsia="仿宋_GB2312"/>
          <w:kern w:val="0"/>
          <w:sz w:val="24"/>
          <w:highlight w:val="none"/>
          <w:u w:val="single"/>
        </w:rPr>
        <w:t xml:space="preserve">       </w:t>
      </w:r>
      <w:r>
        <w:rPr>
          <w:rFonts w:eastAsia="仿宋_GB2312"/>
          <w:kern w:val="0"/>
          <w:sz w:val="24"/>
          <w:highlight w:val="none"/>
        </w:rPr>
        <w:t>备案</w:t>
      </w:r>
      <w:r>
        <w:rPr>
          <w:rFonts w:eastAsia="仿宋_GB2312"/>
          <w:kern w:val="0"/>
          <w:sz w:val="24"/>
          <w:highlight w:val="none"/>
          <w:u w:val="single"/>
        </w:rPr>
        <w:t xml:space="preserve">  </w:t>
      </w:r>
      <w:r>
        <w:rPr>
          <w:rFonts w:eastAsia="仿宋_GB2312"/>
          <w:kern w:val="0"/>
          <w:sz w:val="24"/>
          <w:highlight w:val="none"/>
        </w:rPr>
        <w:t>份。</w:t>
      </w:r>
    </w:p>
    <w:p w14:paraId="77907A1E">
      <w:pPr>
        <w:widowControl/>
        <w:tabs>
          <w:tab w:val="left" w:pos="8391"/>
        </w:tabs>
        <w:autoSpaceDE w:val="0"/>
        <w:autoSpaceDN w:val="0"/>
        <w:snapToGrid w:val="0"/>
        <w:spacing w:line="360" w:lineRule="auto"/>
        <w:ind w:right="-69" w:firstLine="480" w:firstLineChars="200"/>
        <w:textAlignment w:val="bottom"/>
        <w:rPr>
          <w:rFonts w:eastAsia="仿宋_GB2312"/>
          <w:kern w:val="0"/>
          <w:sz w:val="24"/>
          <w:highlight w:val="none"/>
        </w:rPr>
      </w:pPr>
      <w:r>
        <w:rPr>
          <w:rFonts w:eastAsia="仿宋_GB2312"/>
          <w:kern w:val="0"/>
          <w:sz w:val="24"/>
          <w:highlight w:val="none"/>
        </w:rPr>
        <w:t>3、合同经甲乙双方盖章、签字后生效，合同签订地点为</w:t>
      </w:r>
      <w:r>
        <w:rPr>
          <w:rFonts w:eastAsia="仿宋_GB2312"/>
          <w:kern w:val="0"/>
          <w:sz w:val="24"/>
          <w:highlight w:val="none"/>
          <w:u w:val="single"/>
        </w:rPr>
        <w:t xml:space="preserve">   </w:t>
      </w:r>
      <w:r>
        <w:rPr>
          <w:rFonts w:eastAsia="仿宋_GB2312"/>
          <w:kern w:val="0"/>
          <w:sz w:val="24"/>
          <w:highlight w:val="none"/>
        </w:rPr>
        <w:t>。</w:t>
      </w:r>
    </w:p>
    <w:p w14:paraId="2979D2E8">
      <w:pPr>
        <w:widowControl/>
        <w:tabs>
          <w:tab w:val="left" w:pos="8391"/>
        </w:tabs>
        <w:autoSpaceDE w:val="0"/>
        <w:autoSpaceDN w:val="0"/>
        <w:snapToGrid w:val="0"/>
        <w:spacing w:line="360" w:lineRule="auto"/>
        <w:ind w:right="-69" w:firstLine="480" w:firstLineChars="200"/>
        <w:textAlignment w:val="bottom"/>
        <w:rPr>
          <w:rFonts w:eastAsia="仿宋_GB2312"/>
          <w:kern w:val="0"/>
          <w:sz w:val="24"/>
          <w:highlight w:val="none"/>
        </w:rPr>
      </w:pPr>
      <w:r>
        <w:rPr>
          <w:rFonts w:eastAsia="仿宋_GB2312"/>
          <w:kern w:val="0"/>
          <w:sz w:val="24"/>
          <w:highlight w:val="none"/>
        </w:rPr>
        <w:t>4、生效时间：</w:t>
      </w:r>
      <w:r>
        <w:rPr>
          <w:rFonts w:eastAsia="仿宋_GB2312"/>
          <w:kern w:val="0"/>
          <w:sz w:val="24"/>
          <w:highlight w:val="none"/>
          <w:u w:val="single"/>
        </w:rPr>
        <w:t xml:space="preserve">   </w:t>
      </w:r>
      <w:r>
        <w:rPr>
          <w:rFonts w:eastAsia="仿宋_GB2312"/>
          <w:kern w:val="0"/>
          <w:sz w:val="24"/>
          <w:highlight w:val="none"/>
        </w:rPr>
        <w:t>年</w:t>
      </w:r>
      <w:r>
        <w:rPr>
          <w:rFonts w:eastAsia="仿宋_GB2312"/>
          <w:kern w:val="0"/>
          <w:sz w:val="24"/>
          <w:highlight w:val="none"/>
          <w:u w:val="single"/>
        </w:rPr>
        <w:t xml:space="preserve">  </w:t>
      </w:r>
      <w:r>
        <w:rPr>
          <w:rFonts w:eastAsia="仿宋_GB2312"/>
          <w:kern w:val="0"/>
          <w:sz w:val="24"/>
          <w:highlight w:val="none"/>
        </w:rPr>
        <w:t>月</w:t>
      </w:r>
      <w:r>
        <w:rPr>
          <w:rFonts w:eastAsia="仿宋_GB2312"/>
          <w:kern w:val="0"/>
          <w:sz w:val="24"/>
          <w:highlight w:val="none"/>
          <w:u w:val="single"/>
        </w:rPr>
        <w:t xml:space="preserve">  </w:t>
      </w:r>
      <w:r>
        <w:rPr>
          <w:rFonts w:eastAsia="仿宋_GB2312"/>
          <w:kern w:val="0"/>
          <w:sz w:val="24"/>
          <w:highlight w:val="none"/>
        </w:rPr>
        <w:t>日</w:t>
      </w:r>
    </w:p>
    <w:p w14:paraId="31971448">
      <w:pPr>
        <w:widowControl/>
        <w:tabs>
          <w:tab w:val="left" w:pos="8391"/>
        </w:tabs>
        <w:autoSpaceDE w:val="0"/>
        <w:autoSpaceDN w:val="0"/>
        <w:snapToGrid w:val="0"/>
        <w:spacing w:line="360" w:lineRule="auto"/>
        <w:ind w:right="-69" w:firstLine="840" w:firstLineChars="350"/>
        <w:textAlignment w:val="bottom"/>
        <w:rPr>
          <w:rFonts w:eastAsia="仿宋_GB2312"/>
          <w:kern w:val="0"/>
          <w:sz w:val="24"/>
          <w:highlight w:val="none"/>
        </w:rPr>
      </w:pPr>
    </w:p>
    <w:tbl>
      <w:tblPr>
        <w:tblStyle w:val="5"/>
        <w:tblW w:w="0" w:type="auto"/>
        <w:jc w:val="center"/>
        <w:tblLayout w:type="fixed"/>
        <w:tblCellMar>
          <w:top w:w="0" w:type="dxa"/>
          <w:left w:w="108" w:type="dxa"/>
          <w:bottom w:w="0" w:type="dxa"/>
          <w:right w:w="108" w:type="dxa"/>
        </w:tblCellMar>
      </w:tblPr>
      <w:tblGrid>
        <w:gridCol w:w="4643"/>
        <w:gridCol w:w="4643"/>
      </w:tblGrid>
      <w:tr w14:paraId="33F471BE">
        <w:tblPrEx>
          <w:tblCellMar>
            <w:top w:w="0" w:type="dxa"/>
            <w:left w:w="108" w:type="dxa"/>
            <w:bottom w:w="0" w:type="dxa"/>
            <w:right w:w="108" w:type="dxa"/>
          </w:tblCellMar>
        </w:tblPrEx>
        <w:trPr>
          <w:jc w:val="center"/>
        </w:trPr>
        <w:tc>
          <w:tcPr>
            <w:tcW w:w="4643" w:type="dxa"/>
          </w:tcPr>
          <w:p w14:paraId="5C0E4C86">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甲方名称</w:t>
            </w:r>
            <w:r>
              <w:rPr>
                <w:rFonts w:eastAsia="仿宋_GB2312"/>
                <w:spacing w:val="-20"/>
                <w:kern w:val="0"/>
                <w:sz w:val="24"/>
                <w:highlight w:val="none"/>
              </w:rPr>
              <w:t>（盖章）</w:t>
            </w:r>
            <w:r>
              <w:rPr>
                <w:rFonts w:hint="eastAsia" w:eastAsia="仿宋_GB2312"/>
                <w:kern w:val="0"/>
                <w:sz w:val="24"/>
                <w:highlight w:val="none"/>
              </w:rPr>
              <w:t>：</w:t>
            </w:r>
          </w:p>
          <w:p w14:paraId="349DFFD4">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地址：</w:t>
            </w:r>
          </w:p>
          <w:p w14:paraId="7E49DCEC">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代表人（签字）：</w:t>
            </w:r>
          </w:p>
          <w:p w14:paraId="2E71CDBE">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电话：</w:t>
            </w:r>
          </w:p>
          <w:p w14:paraId="6CD3A909">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开户银行：</w:t>
            </w:r>
          </w:p>
          <w:p w14:paraId="256206B0">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账号：</w:t>
            </w:r>
          </w:p>
        </w:tc>
        <w:tc>
          <w:tcPr>
            <w:tcW w:w="4643" w:type="dxa"/>
          </w:tcPr>
          <w:p w14:paraId="2B159862">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乙方名称</w:t>
            </w:r>
            <w:r>
              <w:rPr>
                <w:rFonts w:eastAsia="仿宋_GB2312"/>
                <w:spacing w:val="-20"/>
                <w:kern w:val="0"/>
                <w:sz w:val="24"/>
                <w:highlight w:val="none"/>
              </w:rPr>
              <w:t>（盖章）</w:t>
            </w:r>
            <w:r>
              <w:rPr>
                <w:rFonts w:hint="eastAsia" w:eastAsia="仿宋_GB2312"/>
                <w:kern w:val="0"/>
                <w:sz w:val="24"/>
                <w:highlight w:val="none"/>
              </w:rPr>
              <w:t>：</w:t>
            </w:r>
          </w:p>
          <w:p w14:paraId="672FEAF5">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地址：</w:t>
            </w:r>
          </w:p>
          <w:p w14:paraId="5CA9267A">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代表人（签字）：</w:t>
            </w:r>
          </w:p>
          <w:p w14:paraId="526804F7">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电话：</w:t>
            </w:r>
          </w:p>
          <w:p w14:paraId="70C59BA1">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开户银行：</w:t>
            </w:r>
          </w:p>
          <w:p w14:paraId="0BA27B0F">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账号：</w:t>
            </w:r>
          </w:p>
        </w:tc>
      </w:tr>
    </w:tbl>
    <w:p w14:paraId="5312825E">
      <w:pPr>
        <w:rPr>
          <w:rFonts w:eastAsia="仿宋_GB2312"/>
          <w:sz w:val="24"/>
          <w:highlight w:val="none"/>
        </w:rPr>
      </w:pPr>
    </w:p>
    <w:p w14:paraId="0B80DA57">
      <w:pPr>
        <w:spacing w:line="360" w:lineRule="auto"/>
        <w:ind w:firstLine="480" w:firstLineChars="200"/>
        <w:rPr>
          <w:rFonts w:eastAsia="仿宋_GB2312"/>
          <w:sz w:val="24"/>
          <w:highlight w:val="none"/>
        </w:rPr>
      </w:pPr>
      <w:r>
        <w:rPr>
          <w:rFonts w:eastAsia="仿宋_GB2312"/>
          <w:sz w:val="24"/>
          <w:highlight w:val="none"/>
        </w:rPr>
        <w:t>合同附件1：</w:t>
      </w:r>
    </w:p>
    <w:tbl>
      <w:tblPr>
        <w:tblStyle w:val="5"/>
        <w:tblW w:w="5000" w:type="pct"/>
        <w:tblInd w:w="0" w:type="dxa"/>
        <w:tblLayout w:type="autofit"/>
        <w:tblCellMar>
          <w:top w:w="0" w:type="dxa"/>
          <w:left w:w="108" w:type="dxa"/>
          <w:bottom w:w="0" w:type="dxa"/>
          <w:right w:w="108" w:type="dxa"/>
        </w:tblCellMar>
      </w:tblPr>
      <w:tblGrid>
        <w:gridCol w:w="1571"/>
        <w:gridCol w:w="2299"/>
        <w:gridCol w:w="2524"/>
        <w:gridCol w:w="2128"/>
      </w:tblGrid>
      <w:tr w14:paraId="1B6E6CC1">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366BB960">
            <w:pPr>
              <w:widowControl/>
              <w:jc w:val="center"/>
              <w:rPr>
                <w:rFonts w:eastAsia="仿宋_GB2312"/>
                <w:b/>
                <w:bCs/>
                <w:kern w:val="0"/>
                <w:sz w:val="32"/>
                <w:szCs w:val="32"/>
                <w:highlight w:val="none"/>
              </w:rPr>
            </w:pPr>
            <w:r>
              <w:rPr>
                <w:rFonts w:eastAsia="仿宋_GB2312"/>
                <w:b/>
                <w:bCs/>
                <w:kern w:val="0"/>
                <w:sz w:val="32"/>
                <w:szCs w:val="32"/>
                <w:highlight w:val="none"/>
              </w:rPr>
              <w:t>政府采购项目货物（服务）验收入库报告单</w:t>
            </w:r>
          </w:p>
        </w:tc>
      </w:tr>
      <w:tr w14:paraId="5702DDAF">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5E9449C7">
            <w:pPr>
              <w:widowControl/>
              <w:jc w:val="center"/>
              <w:rPr>
                <w:rFonts w:eastAsia="仿宋_GB2312"/>
                <w:b/>
                <w:bCs/>
                <w:kern w:val="0"/>
                <w:sz w:val="24"/>
                <w:highlight w:val="none"/>
              </w:rPr>
            </w:pPr>
            <w:r>
              <w:rPr>
                <w:rFonts w:eastAsia="仿宋_GB2312"/>
                <w:b/>
                <w:bCs/>
                <w:kern w:val="0"/>
                <w:sz w:val="24"/>
                <w:highlight w:val="none"/>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523DBCC2">
            <w:pPr>
              <w:widowControl/>
              <w:jc w:val="center"/>
              <w:rPr>
                <w:rFonts w:eastAsia="仿宋_GB2312"/>
                <w:kern w:val="0"/>
                <w:sz w:val="24"/>
                <w:highlight w:val="none"/>
              </w:rPr>
            </w:pPr>
            <w:r>
              <w:rPr>
                <w:rFonts w:eastAsia="仿宋_GB2312"/>
                <w:kern w:val="0"/>
                <w:sz w:val="24"/>
                <w:highlight w:val="none"/>
              </w:rPr>
              <w:t>　</w:t>
            </w:r>
          </w:p>
        </w:tc>
      </w:tr>
      <w:tr w14:paraId="265C3CAA">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54EE0276">
            <w:pPr>
              <w:widowControl/>
              <w:jc w:val="center"/>
              <w:rPr>
                <w:rFonts w:eastAsia="仿宋_GB2312"/>
                <w:b/>
                <w:bCs/>
                <w:kern w:val="0"/>
                <w:sz w:val="24"/>
                <w:highlight w:val="none"/>
              </w:rPr>
            </w:pPr>
            <w:r>
              <w:rPr>
                <w:rFonts w:eastAsia="仿宋_GB2312"/>
                <w:b/>
                <w:bCs/>
                <w:kern w:val="0"/>
                <w:sz w:val="24"/>
                <w:highlight w:val="none"/>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0BD107D8">
            <w:pPr>
              <w:widowControl/>
              <w:jc w:val="center"/>
              <w:rPr>
                <w:rFonts w:eastAsia="仿宋_GB2312"/>
                <w:kern w:val="0"/>
                <w:sz w:val="24"/>
                <w:highlight w:val="none"/>
              </w:rPr>
            </w:pPr>
            <w:r>
              <w:rPr>
                <w:rFonts w:eastAsia="仿宋_GB2312"/>
                <w:kern w:val="0"/>
                <w:sz w:val="24"/>
                <w:highlight w:val="none"/>
              </w:rPr>
              <w:t>　</w:t>
            </w:r>
          </w:p>
        </w:tc>
      </w:tr>
      <w:tr w14:paraId="0DEFC945">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7CC889C4">
            <w:pPr>
              <w:widowControl/>
              <w:jc w:val="center"/>
              <w:rPr>
                <w:rFonts w:eastAsia="仿宋_GB2312"/>
                <w:b/>
                <w:bCs/>
                <w:kern w:val="0"/>
                <w:sz w:val="24"/>
                <w:highlight w:val="none"/>
              </w:rPr>
            </w:pPr>
            <w:r>
              <w:rPr>
                <w:rFonts w:eastAsia="仿宋_GB2312"/>
                <w:b/>
                <w:bCs/>
                <w:kern w:val="0"/>
                <w:sz w:val="24"/>
                <w:highlight w:val="none"/>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47E38571">
            <w:pPr>
              <w:widowControl/>
              <w:jc w:val="center"/>
              <w:rPr>
                <w:rFonts w:eastAsia="仿宋_GB2312"/>
                <w:kern w:val="0"/>
                <w:sz w:val="24"/>
                <w:highlight w:val="none"/>
              </w:rPr>
            </w:pPr>
            <w:r>
              <w:rPr>
                <w:rFonts w:eastAsia="仿宋_GB2312"/>
                <w:kern w:val="0"/>
                <w:sz w:val="24"/>
                <w:highlight w:val="none"/>
              </w:rPr>
              <w:t>　</w:t>
            </w:r>
          </w:p>
        </w:tc>
        <w:tc>
          <w:tcPr>
            <w:tcW w:w="1481" w:type="pct"/>
            <w:tcBorders>
              <w:top w:val="nil"/>
              <w:left w:val="nil"/>
              <w:bottom w:val="single" w:color="auto" w:sz="4" w:space="0"/>
              <w:right w:val="single" w:color="auto" w:sz="4" w:space="0"/>
            </w:tcBorders>
            <w:noWrap/>
            <w:vAlign w:val="center"/>
          </w:tcPr>
          <w:p w14:paraId="778B8494">
            <w:pPr>
              <w:widowControl/>
              <w:jc w:val="center"/>
              <w:rPr>
                <w:rFonts w:eastAsia="仿宋_GB2312"/>
                <w:b/>
                <w:bCs/>
                <w:kern w:val="0"/>
                <w:sz w:val="24"/>
                <w:highlight w:val="none"/>
              </w:rPr>
            </w:pPr>
            <w:r>
              <w:rPr>
                <w:rFonts w:eastAsia="仿宋_GB2312"/>
                <w:b/>
                <w:bCs/>
                <w:kern w:val="0"/>
                <w:sz w:val="24"/>
                <w:highlight w:val="none"/>
              </w:rPr>
              <w:t>合同金额</w:t>
            </w:r>
          </w:p>
        </w:tc>
        <w:tc>
          <w:tcPr>
            <w:tcW w:w="1248" w:type="pct"/>
            <w:tcBorders>
              <w:top w:val="nil"/>
              <w:left w:val="nil"/>
              <w:bottom w:val="single" w:color="auto" w:sz="4" w:space="0"/>
              <w:right w:val="single" w:color="auto" w:sz="8" w:space="0"/>
            </w:tcBorders>
            <w:noWrap/>
            <w:vAlign w:val="center"/>
          </w:tcPr>
          <w:p w14:paraId="78579A19">
            <w:pPr>
              <w:widowControl/>
              <w:jc w:val="left"/>
              <w:rPr>
                <w:rFonts w:eastAsia="仿宋_GB2312"/>
                <w:b/>
                <w:bCs/>
                <w:kern w:val="0"/>
                <w:sz w:val="24"/>
                <w:highlight w:val="none"/>
              </w:rPr>
            </w:pPr>
            <w:r>
              <w:rPr>
                <w:rFonts w:eastAsia="仿宋_GB2312"/>
                <w:b/>
                <w:bCs/>
                <w:kern w:val="0"/>
                <w:sz w:val="24"/>
                <w:highlight w:val="none"/>
              </w:rPr>
              <w:t>¥</w:t>
            </w:r>
            <w:r>
              <w:rPr>
                <w:rFonts w:hint="eastAsia" w:eastAsia="仿宋_GB2312"/>
                <w:b/>
                <w:bCs/>
                <w:kern w:val="0"/>
                <w:sz w:val="24"/>
                <w:highlight w:val="none"/>
              </w:rPr>
              <w:t>：</w:t>
            </w:r>
          </w:p>
        </w:tc>
      </w:tr>
      <w:tr w14:paraId="47FED9CC">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vAlign w:val="center"/>
          </w:tcPr>
          <w:p w14:paraId="68EDC777">
            <w:pPr>
              <w:widowControl/>
              <w:jc w:val="left"/>
              <w:rPr>
                <w:rFonts w:eastAsia="仿宋_GB2312"/>
                <w:b/>
                <w:bCs/>
                <w:kern w:val="0"/>
                <w:sz w:val="24"/>
                <w:highlight w:val="none"/>
              </w:rPr>
            </w:pPr>
          </w:p>
        </w:tc>
        <w:tc>
          <w:tcPr>
            <w:tcW w:w="1349" w:type="pct"/>
            <w:vMerge w:val="continue"/>
            <w:tcBorders>
              <w:top w:val="nil"/>
              <w:left w:val="single" w:color="auto" w:sz="4" w:space="0"/>
              <w:bottom w:val="single" w:color="auto" w:sz="4" w:space="0"/>
              <w:right w:val="single" w:color="auto" w:sz="4" w:space="0"/>
            </w:tcBorders>
            <w:vAlign w:val="center"/>
          </w:tcPr>
          <w:p w14:paraId="5317A5E4">
            <w:pPr>
              <w:widowControl/>
              <w:jc w:val="left"/>
              <w:rPr>
                <w:rFonts w:eastAsia="仿宋_GB2312"/>
                <w:kern w:val="0"/>
                <w:sz w:val="24"/>
                <w:highlight w:val="none"/>
              </w:rPr>
            </w:pPr>
          </w:p>
        </w:tc>
        <w:tc>
          <w:tcPr>
            <w:tcW w:w="1481" w:type="pct"/>
            <w:tcBorders>
              <w:top w:val="nil"/>
              <w:left w:val="nil"/>
              <w:bottom w:val="single" w:color="auto" w:sz="4" w:space="0"/>
              <w:right w:val="single" w:color="auto" w:sz="4" w:space="0"/>
            </w:tcBorders>
            <w:noWrap/>
            <w:vAlign w:val="center"/>
          </w:tcPr>
          <w:p w14:paraId="49FBBF72">
            <w:pPr>
              <w:widowControl/>
              <w:jc w:val="center"/>
              <w:rPr>
                <w:rFonts w:eastAsia="仿宋_GB2312"/>
                <w:b/>
                <w:bCs/>
                <w:kern w:val="0"/>
                <w:sz w:val="24"/>
                <w:highlight w:val="none"/>
              </w:rPr>
            </w:pPr>
            <w:r>
              <w:rPr>
                <w:rFonts w:eastAsia="仿宋_GB2312"/>
                <w:b/>
                <w:bCs/>
                <w:kern w:val="0"/>
                <w:sz w:val="24"/>
                <w:highlight w:val="none"/>
              </w:rPr>
              <w:t>验收时间/地点</w:t>
            </w:r>
          </w:p>
        </w:tc>
        <w:tc>
          <w:tcPr>
            <w:tcW w:w="1248" w:type="pct"/>
            <w:tcBorders>
              <w:top w:val="nil"/>
              <w:left w:val="nil"/>
              <w:bottom w:val="single" w:color="auto" w:sz="4" w:space="0"/>
              <w:right w:val="single" w:color="auto" w:sz="8" w:space="0"/>
            </w:tcBorders>
            <w:noWrap/>
            <w:vAlign w:val="center"/>
          </w:tcPr>
          <w:p w14:paraId="4A0BE4B9">
            <w:pPr>
              <w:widowControl/>
              <w:jc w:val="center"/>
              <w:rPr>
                <w:rFonts w:eastAsia="仿宋_GB2312"/>
                <w:kern w:val="0"/>
                <w:sz w:val="24"/>
                <w:highlight w:val="none"/>
              </w:rPr>
            </w:pPr>
            <w:r>
              <w:rPr>
                <w:rFonts w:eastAsia="仿宋_GB2312"/>
                <w:kern w:val="0"/>
                <w:sz w:val="24"/>
                <w:highlight w:val="none"/>
              </w:rPr>
              <w:t>　</w:t>
            </w:r>
          </w:p>
        </w:tc>
      </w:tr>
      <w:tr w14:paraId="5089707B">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1803A1DA">
            <w:pPr>
              <w:widowControl/>
              <w:jc w:val="center"/>
              <w:rPr>
                <w:rFonts w:eastAsia="仿宋_GB2312"/>
                <w:b/>
                <w:bCs/>
                <w:kern w:val="0"/>
                <w:sz w:val="24"/>
                <w:highlight w:val="none"/>
              </w:rPr>
            </w:pPr>
            <w:r>
              <w:rPr>
                <w:rFonts w:eastAsia="仿宋_GB2312"/>
                <w:b/>
                <w:bCs/>
                <w:kern w:val="0"/>
                <w:sz w:val="24"/>
                <w:highlight w:val="none"/>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731EFBF9">
            <w:pPr>
              <w:widowControl/>
              <w:jc w:val="center"/>
              <w:rPr>
                <w:rFonts w:eastAsia="仿宋_GB2312"/>
                <w:kern w:val="0"/>
                <w:sz w:val="24"/>
                <w:highlight w:val="none"/>
              </w:rPr>
            </w:pPr>
            <w:r>
              <w:rPr>
                <w:rFonts w:eastAsia="仿宋_GB2312"/>
                <w:kern w:val="0"/>
                <w:sz w:val="24"/>
                <w:highlight w:val="none"/>
              </w:rPr>
              <w:t>　</w:t>
            </w:r>
          </w:p>
        </w:tc>
      </w:tr>
      <w:tr w14:paraId="4BDE35E0">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6B28135E">
            <w:pPr>
              <w:widowControl/>
              <w:jc w:val="center"/>
              <w:rPr>
                <w:rFonts w:eastAsia="仿宋_GB2312"/>
                <w:b/>
                <w:bCs/>
                <w:kern w:val="0"/>
                <w:sz w:val="24"/>
                <w:highlight w:val="none"/>
              </w:rPr>
            </w:pPr>
            <w:r>
              <w:rPr>
                <w:rFonts w:eastAsia="仿宋_GB2312"/>
                <w:b/>
                <w:bCs/>
                <w:kern w:val="0"/>
                <w:sz w:val="24"/>
                <w:highlight w:val="none"/>
              </w:rPr>
              <w:t>开户行</w:t>
            </w:r>
          </w:p>
        </w:tc>
        <w:tc>
          <w:tcPr>
            <w:tcW w:w="1349" w:type="pct"/>
            <w:tcBorders>
              <w:top w:val="nil"/>
              <w:left w:val="nil"/>
              <w:bottom w:val="single" w:color="auto" w:sz="4" w:space="0"/>
              <w:right w:val="single" w:color="auto" w:sz="4" w:space="0"/>
            </w:tcBorders>
            <w:noWrap/>
            <w:vAlign w:val="center"/>
          </w:tcPr>
          <w:p w14:paraId="5E735ECA">
            <w:pPr>
              <w:widowControl/>
              <w:jc w:val="center"/>
              <w:rPr>
                <w:rFonts w:eastAsia="仿宋_GB2312"/>
                <w:kern w:val="0"/>
                <w:sz w:val="24"/>
                <w:highlight w:val="none"/>
              </w:rPr>
            </w:pPr>
            <w:r>
              <w:rPr>
                <w:rFonts w:eastAsia="仿宋_GB2312"/>
                <w:kern w:val="0"/>
                <w:sz w:val="24"/>
                <w:highlight w:val="none"/>
              </w:rPr>
              <w:t>　</w:t>
            </w:r>
          </w:p>
        </w:tc>
        <w:tc>
          <w:tcPr>
            <w:tcW w:w="1481" w:type="pct"/>
            <w:tcBorders>
              <w:top w:val="nil"/>
              <w:left w:val="nil"/>
              <w:bottom w:val="single" w:color="auto" w:sz="4" w:space="0"/>
              <w:right w:val="single" w:color="auto" w:sz="4" w:space="0"/>
            </w:tcBorders>
            <w:noWrap/>
            <w:vAlign w:val="center"/>
          </w:tcPr>
          <w:p w14:paraId="3F1EC679">
            <w:pPr>
              <w:widowControl/>
              <w:jc w:val="center"/>
              <w:rPr>
                <w:rFonts w:eastAsia="仿宋_GB2312"/>
                <w:b/>
                <w:bCs/>
                <w:kern w:val="0"/>
                <w:sz w:val="24"/>
                <w:highlight w:val="none"/>
              </w:rPr>
            </w:pPr>
            <w:r>
              <w:rPr>
                <w:rFonts w:eastAsia="仿宋_GB2312"/>
                <w:b/>
                <w:bCs/>
                <w:kern w:val="0"/>
                <w:sz w:val="24"/>
                <w:highlight w:val="none"/>
              </w:rPr>
              <w:t>账号</w:t>
            </w:r>
          </w:p>
        </w:tc>
        <w:tc>
          <w:tcPr>
            <w:tcW w:w="1248" w:type="pct"/>
            <w:tcBorders>
              <w:top w:val="nil"/>
              <w:left w:val="nil"/>
              <w:bottom w:val="single" w:color="auto" w:sz="4" w:space="0"/>
              <w:right w:val="single" w:color="auto" w:sz="8" w:space="0"/>
            </w:tcBorders>
            <w:noWrap/>
            <w:vAlign w:val="center"/>
          </w:tcPr>
          <w:p w14:paraId="2C16C1EE">
            <w:pPr>
              <w:widowControl/>
              <w:jc w:val="center"/>
              <w:rPr>
                <w:rFonts w:eastAsia="仿宋_GB2312"/>
                <w:kern w:val="0"/>
                <w:sz w:val="24"/>
                <w:highlight w:val="none"/>
              </w:rPr>
            </w:pPr>
            <w:r>
              <w:rPr>
                <w:rFonts w:eastAsia="仿宋_GB2312"/>
                <w:kern w:val="0"/>
                <w:sz w:val="24"/>
                <w:highlight w:val="none"/>
              </w:rPr>
              <w:t>　</w:t>
            </w:r>
          </w:p>
        </w:tc>
      </w:tr>
      <w:tr w14:paraId="2ACB4351">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3C6A063D">
            <w:pPr>
              <w:widowControl/>
              <w:jc w:val="center"/>
              <w:rPr>
                <w:rFonts w:eastAsia="仿宋_GB2312"/>
                <w:b/>
                <w:bCs/>
                <w:kern w:val="0"/>
                <w:sz w:val="24"/>
                <w:highlight w:val="none"/>
              </w:rPr>
            </w:pPr>
            <w:r>
              <w:rPr>
                <w:rFonts w:eastAsia="仿宋_GB2312"/>
                <w:b/>
                <w:bCs/>
                <w:kern w:val="0"/>
                <w:sz w:val="24"/>
                <w:highlight w:val="none"/>
              </w:rPr>
              <w:t>联系人</w:t>
            </w:r>
          </w:p>
        </w:tc>
        <w:tc>
          <w:tcPr>
            <w:tcW w:w="1349" w:type="pct"/>
            <w:tcBorders>
              <w:top w:val="nil"/>
              <w:left w:val="nil"/>
              <w:bottom w:val="nil"/>
              <w:right w:val="single" w:color="auto" w:sz="4" w:space="0"/>
            </w:tcBorders>
            <w:noWrap/>
            <w:vAlign w:val="center"/>
          </w:tcPr>
          <w:p w14:paraId="574BD558">
            <w:pPr>
              <w:widowControl/>
              <w:jc w:val="center"/>
              <w:rPr>
                <w:rFonts w:eastAsia="仿宋_GB2312"/>
                <w:kern w:val="0"/>
                <w:sz w:val="24"/>
                <w:highlight w:val="none"/>
              </w:rPr>
            </w:pPr>
            <w:r>
              <w:rPr>
                <w:rFonts w:eastAsia="仿宋_GB2312"/>
                <w:kern w:val="0"/>
                <w:sz w:val="24"/>
                <w:highlight w:val="none"/>
              </w:rPr>
              <w:t>　</w:t>
            </w:r>
          </w:p>
        </w:tc>
        <w:tc>
          <w:tcPr>
            <w:tcW w:w="1481" w:type="pct"/>
            <w:tcBorders>
              <w:top w:val="nil"/>
              <w:left w:val="nil"/>
              <w:bottom w:val="nil"/>
              <w:right w:val="single" w:color="auto" w:sz="4" w:space="0"/>
            </w:tcBorders>
            <w:noWrap/>
            <w:vAlign w:val="center"/>
          </w:tcPr>
          <w:p w14:paraId="32C1091D">
            <w:pPr>
              <w:widowControl/>
              <w:jc w:val="center"/>
              <w:rPr>
                <w:rFonts w:eastAsia="仿宋_GB2312"/>
                <w:b/>
                <w:bCs/>
                <w:kern w:val="0"/>
                <w:sz w:val="24"/>
                <w:highlight w:val="none"/>
              </w:rPr>
            </w:pPr>
            <w:r>
              <w:rPr>
                <w:rFonts w:eastAsia="仿宋_GB2312"/>
                <w:b/>
                <w:bCs/>
                <w:kern w:val="0"/>
                <w:sz w:val="24"/>
                <w:highlight w:val="none"/>
              </w:rPr>
              <w:t>电话</w:t>
            </w:r>
          </w:p>
        </w:tc>
        <w:tc>
          <w:tcPr>
            <w:tcW w:w="1248" w:type="pct"/>
            <w:tcBorders>
              <w:top w:val="nil"/>
              <w:left w:val="nil"/>
              <w:bottom w:val="nil"/>
              <w:right w:val="single" w:color="auto" w:sz="8" w:space="0"/>
            </w:tcBorders>
            <w:noWrap/>
            <w:vAlign w:val="center"/>
          </w:tcPr>
          <w:p w14:paraId="24E40B5C">
            <w:pPr>
              <w:widowControl/>
              <w:jc w:val="center"/>
              <w:rPr>
                <w:rFonts w:eastAsia="仿宋_GB2312"/>
                <w:kern w:val="0"/>
                <w:sz w:val="24"/>
                <w:highlight w:val="none"/>
              </w:rPr>
            </w:pPr>
            <w:r>
              <w:rPr>
                <w:rFonts w:eastAsia="仿宋_GB2312"/>
                <w:kern w:val="0"/>
                <w:sz w:val="24"/>
                <w:highlight w:val="none"/>
              </w:rPr>
              <w:t>　</w:t>
            </w:r>
          </w:p>
        </w:tc>
      </w:tr>
      <w:tr w14:paraId="064B1BAF">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tcPr>
          <w:p w14:paraId="66621E61">
            <w:pPr>
              <w:widowControl/>
              <w:jc w:val="left"/>
              <w:rPr>
                <w:rFonts w:eastAsia="仿宋_GB2312"/>
                <w:b/>
                <w:bCs/>
                <w:kern w:val="0"/>
                <w:sz w:val="24"/>
                <w:highlight w:val="none"/>
              </w:rPr>
            </w:pPr>
            <w:r>
              <w:rPr>
                <w:rFonts w:eastAsia="仿宋_GB2312"/>
                <w:b/>
                <w:bCs/>
                <w:kern w:val="0"/>
                <w:sz w:val="24"/>
                <w:highlight w:val="none"/>
              </w:rPr>
              <w:t xml:space="preserve">  供货单位：（盖章）</w:t>
            </w:r>
          </w:p>
        </w:tc>
        <w:tc>
          <w:tcPr>
            <w:tcW w:w="2729" w:type="pct"/>
            <w:gridSpan w:val="2"/>
            <w:tcBorders>
              <w:top w:val="single" w:color="auto" w:sz="4" w:space="0"/>
              <w:left w:val="single" w:color="auto" w:sz="4" w:space="0"/>
              <w:bottom w:val="nil"/>
              <w:right w:val="single" w:color="000000" w:sz="8" w:space="0"/>
            </w:tcBorders>
          </w:tcPr>
          <w:p w14:paraId="26A1930B">
            <w:pPr>
              <w:widowControl/>
              <w:jc w:val="left"/>
              <w:rPr>
                <w:rFonts w:eastAsia="仿宋_GB2312"/>
                <w:b/>
                <w:bCs/>
                <w:kern w:val="0"/>
                <w:sz w:val="24"/>
                <w:highlight w:val="none"/>
              </w:rPr>
            </w:pPr>
            <w:r>
              <w:rPr>
                <w:rFonts w:eastAsia="仿宋_GB2312"/>
                <w:b/>
                <w:bCs/>
                <w:kern w:val="0"/>
                <w:sz w:val="24"/>
                <w:highlight w:val="none"/>
              </w:rPr>
              <w:t xml:space="preserve">   使用单位验收意见：（盖章）</w:t>
            </w:r>
          </w:p>
          <w:p w14:paraId="689F0115">
            <w:pPr>
              <w:rPr>
                <w:rFonts w:eastAsia="仿宋_GB2312"/>
                <w:sz w:val="24"/>
                <w:highlight w:val="none"/>
              </w:rPr>
            </w:pPr>
          </w:p>
        </w:tc>
      </w:tr>
      <w:tr w14:paraId="132000CD">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0E2912F7">
            <w:pPr>
              <w:widowControl/>
              <w:jc w:val="center"/>
              <w:rPr>
                <w:rFonts w:eastAsia="仿宋_GB2312"/>
                <w:b/>
                <w:bCs/>
                <w:kern w:val="0"/>
                <w:sz w:val="24"/>
                <w:highlight w:val="none"/>
              </w:rPr>
            </w:pPr>
            <w:r>
              <w:rPr>
                <w:rFonts w:eastAsia="仿宋_GB2312"/>
                <w:b/>
                <w:bCs/>
                <w:kern w:val="0"/>
                <w:sz w:val="24"/>
                <w:highlight w:val="none"/>
              </w:rPr>
              <w:t xml:space="preserve"> 签字：</w:t>
            </w:r>
          </w:p>
        </w:tc>
        <w:tc>
          <w:tcPr>
            <w:tcW w:w="1349" w:type="pct"/>
            <w:tcBorders>
              <w:top w:val="nil"/>
              <w:left w:val="nil"/>
              <w:bottom w:val="nil"/>
              <w:right w:val="nil"/>
            </w:tcBorders>
            <w:noWrap/>
            <w:vAlign w:val="center"/>
          </w:tcPr>
          <w:p w14:paraId="47B56F4A">
            <w:pPr>
              <w:widowControl/>
              <w:jc w:val="center"/>
              <w:rPr>
                <w:rFonts w:eastAsia="仿宋_GB2312"/>
                <w:b/>
                <w:bCs/>
                <w:kern w:val="0"/>
                <w:sz w:val="24"/>
                <w:highlight w:val="none"/>
              </w:rPr>
            </w:pPr>
          </w:p>
        </w:tc>
        <w:tc>
          <w:tcPr>
            <w:tcW w:w="1481" w:type="pct"/>
            <w:tcBorders>
              <w:top w:val="nil"/>
              <w:left w:val="single" w:color="auto" w:sz="4" w:space="0"/>
              <w:bottom w:val="nil"/>
              <w:right w:val="nil"/>
            </w:tcBorders>
            <w:noWrap/>
            <w:vAlign w:val="center"/>
          </w:tcPr>
          <w:p w14:paraId="6845A733">
            <w:pPr>
              <w:widowControl/>
              <w:jc w:val="center"/>
              <w:rPr>
                <w:rFonts w:eastAsia="仿宋_GB2312"/>
                <w:b/>
                <w:bCs/>
                <w:kern w:val="0"/>
                <w:sz w:val="24"/>
                <w:highlight w:val="none"/>
              </w:rPr>
            </w:pPr>
            <w:r>
              <w:rPr>
                <w:rFonts w:eastAsia="仿宋_GB2312"/>
                <w:b/>
                <w:bCs/>
                <w:kern w:val="0"/>
                <w:sz w:val="24"/>
                <w:highlight w:val="none"/>
              </w:rPr>
              <w:t>签字：</w:t>
            </w:r>
          </w:p>
        </w:tc>
        <w:tc>
          <w:tcPr>
            <w:tcW w:w="1248" w:type="pct"/>
            <w:tcBorders>
              <w:top w:val="nil"/>
              <w:left w:val="nil"/>
              <w:bottom w:val="nil"/>
              <w:right w:val="single" w:color="auto" w:sz="8" w:space="0"/>
            </w:tcBorders>
          </w:tcPr>
          <w:p w14:paraId="60401FAD">
            <w:pPr>
              <w:widowControl/>
              <w:jc w:val="left"/>
              <w:rPr>
                <w:rFonts w:eastAsia="仿宋_GB2312"/>
                <w:b/>
                <w:bCs/>
                <w:kern w:val="0"/>
                <w:sz w:val="24"/>
                <w:highlight w:val="none"/>
              </w:rPr>
            </w:pPr>
            <w:r>
              <w:rPr>
                <w:rFonts w:eastAsia="仿宋_GB2312"/>
                <w:b/>
                <w:bCs/>
                <w:kern w:val="0"/>
                <w:sz w:val="24"/>
                <w:highlight w:val="none"/>
              </w:rPr>
              <w:t>　</w:t>
            </w:r>
          </w:p>
        </w:tc>
      </w:tr>
      <w:tr w14:paraId="59486D02">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090F94A4">
            <w:pPr>
              <w:widowControl/>
              <w:jc w:val="left"/>
              <w:rPr>
                <w:rFonts w:eastAsia="仿宋_GB2312"/>
                <w:kern w:val="0"/>
                <w:sz w:val="22"/>
                <w:szCs w:val="22"/>
                <w:highlight w:val="none"/>
              </w:rPr>
            </w:pPr>
            <w:r>
              <w:rPr>
                <w:rFonts w:eastAsia="仿宋_GB2312"/>
                <w:kern w:val="0"/>
                <w:sz w:val="22"/>
                <w:szCs w:val="22"/>
                <w:highlight w:val="none"/>
              </w:rPr>
              <w:t>　</w:t>
            </w:r>
          </w:p>
        </w:tc>
        <w:tc>
          <w:tcPr>
            <w:tcW w:w="1349" w:type="pct"/>
            <w:tcBorders>
              <w:top w:val="nil"/>
              <w:left w:val="nil"/>
              <w:bottom w:val="single" w:color="auto" w:sz="4" w:space="0"/>
              <w:right w:val="nil"/>
            </w:tcBorders>
            <w:vAlign w:val="bottom"/>
          </w:tcPr>
          <w:p w14:paraId="367FB70C">
            <w:pPr>
              <w:widowControl/>
              <w:jc w:val="right"/>
              <w:rPr>
                <w:rFonts w:eastAsia="仿宋_GB2312"/>
                <w:kern w:val="0"/>
                <w:sz w:val="22"/>
                <w:szCs w:val="22"/>
                <w:highlight w:val="none"/>
              </w:rPr>
            </w:pPr>
            <w:r>
              <w:rPr>
                <w:rFonts w:eastAsia="仿宋_GB2312"/>
                <w:kern w:val="0"/>
                <w:sz w:val="22"/>
                <w:szCs w:val="22"/>
                <w:highlight w:val="none"/>
              </w:rPr>
              <w:t>年     月   日</w:t>
            </w:r>
          </w:p>
        </w:tc>
        <w:tc>
          <w:tcPr>
            <w:tcW w:w="1481" w:type="pct"/>
            <w:tcBorders>
              <w:top w:val="nil"/>
              <w:left w:val="single" w:color="auto" w:sz="4" w:space="0"/>
              <w:bottom w:val="single" w:color="auto" w:sz="4" w:space="0"/>
              <w:right w:val="nil"/>
            </w:tcBorders>
            <w:noWrap/>
            <w:vAlign w:val="center"/>
          </w:tcPr>
          <w:p w14:paraId="7B0CD91F">
            <w:pPr>
              <w:widowControl/>
              <w:jc w:val="left"/>
              <w:rPr>
                <w:rFonts w:eastAsia="仿宋_GB2312"/>
                <w:kern w:val="0"/>
                <w:sz w:val="22"/>
                <w:szCs w:val="22"/>
                <w:highlight w:val="none"/>
              </w:rPr>
            </w:pPr>
            <w:r>
              <w:rPr>
                <w:rFonts w:eastAsia="仿宋_GB2312"/>
                <w:kern w:val="0"/>
                <w:sz w:val="22"/>
                <w:szCs w:val="22"/>
                <w:highlight w:val="none"/>
              </w:rPr>
              <w:t>　</w:t>
            </w:r>
          </w:p>
        </w:tc>
        <w:tc>
          <w:tcPr>
            <w:tcW w:w="1248" w:type="pct"/>
            <w:tcBorders>
              <w:top w:val="nil"/>
              <w:left w:val="nil"/>
              <w:bottom w:val="single" w:color="auto" w:sz="4" w:space="0"/>
              <w:right w:val="single" w:color="auto" w:sz="8" w:space="0"/>
            </w:tcBorders>
            <w:vAlign w:val="bottom"/>
          </w:tcPr>
          <w:p w14:paraId="12ECFDC7">
            <w:pPr>
              <w:widowControl/>
              <w:jc w:val="right"/>
              <w:rPr>
                <w:rFonts w:eastAsia="仿宋_GB2312"/>
                <w:kern w:val="0"/>
                <w:sz w:val="22"/>
                <w:szCs w:val="22"/>
                <w:highlight w:val="none"/>
              </w:rPr>
            </w:pPr>
            <w:r>
              <w:rPr>
                <w:rFonts w:eastAsia="仿宋_GB2312"/>
                <w:kern w:val="0"/>
                <w:sz w:val="22"/>
                <w:szCs w:val="22"/>
                <w:highlight w:val="none"/>
              </w:rPr>
              <w:t>年   月   日</w:t>
            </w:r>
          </w:p>
        </w:tc>
      </w:tr>
      <w:tr w14:paraId="411FBFEC">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100C5BE1">
            <w:pPr>
              <w:widowControl/>
              <w:jc w:val="center"/>
              <w:rPr>
                <w:rFonts w:eastAsia="仿宋_GB2312"/>
                <w:b/>
                <w:bCs/>
                <w:kern w:val="0"/>
                <w:sz w:val="22"/>
                <w:szCs w:val="22"/>
                <w:highlight w:val="none"/>
              </w:rPr>
            </w:pPr>
            <w:r>
              <w:rPr>
                <w:rFonts w:eastAsia="仿宋_GB2312"/>
                <w:b/>
                <w:bCs/>
                <w:kern w:val="0"/>
                <w:sz w:val="22"/>
                <w:szCs w:val="22"/>
                <w:highlight w:val="none"/>
              </w:rPr>
              <w:t>采购内容</w:t>
            </w:r>
          </w:p>
        </w:tc>
      </w:tr>
      <w:tr w14:paraId="076B0638">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tcPr>
          <w:p w14:paraId="0C0C5BDA">
            <w:pPr>
              <w:widowControl/>
              <w:jc w:val="center"/>
              <w:rPr>
                <w:rFonts w:eastAsia="仿宋_GB2312"/>
                <w:b/>
                <w:bCs/>
                <w:kern w:val="0"/>
                <w:sz w:val="28"/>
                <w:szCs w:val="28"/>
                <w:highlight w:val="none"/>
              </w:rPr>
            </w:pPr>
            <w:r>
              <w:rPr>
                <w:rFonts w:eastAsia="仿宋_GB2312"/>
                <w:b/>
                <w:bCs/>
                <w:kern w:val="0"/>
                <w:sz w:val="28"/>
                <w:szCs w:val="28"/>
                <w:highlight w:val="none"/>
              </w:rPr>
              <w:t>采购内容请列明品目、规格、型号、数量、单价、总价</w:t>
            </w:r>
          </w:p>
        </w:tc>
      </w:tr>
    </w:tbl>
    <w:p w14:paraId="66D66116">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4D14B8"/>
    <w:rsid w:val="604D14B8"/>
    <w:rsid w:val="713F6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
    <w:name w:val="Title"/>
    <w:basedOn w:val="1"/>
    <w:next w:val="1"/>
    <w:qFormat/>
    <w:uiPriority w:val="0"/>
    <w:pPr>
      <w:spacing w:before="240" w:after="60" w:line="440" w:lineRule="exact"/>
      <w:jc w:val="center"/>
      <w:outlineLvl w:val="0"/>
    </w:pPr>
    <w:rPr>
      <w:rFonts w:ascii="Cambria" w:hAnsi="Cambria"/>
      <w:b/>
      <w:bCs/>
      <w:sz w:val="32"/>
      <w:szCs w:val="32"/>
    </w:rPr>
  </w:style>
  <w:style w:type="character" w:customStyle="1" w:styleId="7">
    <w:name w:val="标题 1 Char1"/>
    <w:autoRedefine/>
    <w:qFormat/>
    <w:uiPriority w:val="99"/>
    <w:rPr>
      <w:rFonts w:ascii="黑体" w:eastAsia="黑体"/>
      <w:sz w:val="52"/>
      <w:lang w:bidi="ar-SA"/>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Table Text"/>
    <w:basedOn w:val="1"/>
    <w:autoRedefine/>
    <w:semiHidden/>
    <w:qFormat/>
    <w:uiPriority w:val="0"/>
    <w:rPr>
      <w:rFonts w:ascii="宋体" w:hAnsi="宋体" w:eastAsia="宋体" w:cs="宋体"/>
      <w:sz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2025-10-17T13:21:00Z</dcterms:created>
  <dc:creator>胡梦阳</dc:creator>
  <cp:lastModifiedBy>胡梦阳</cp:lastModifiedBy>
  <dcterms:modified xsi:type="dcterms:W3CDTF">2025-10-17T13:25:01Z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196C55DB4B2F46B7B9F55C008D89BF03_11</vt:lpwstr>
  </property>
  <property fmtid="{D5CDD505-2E9C-101B-9397-08002B2CF9AE}" pid="4" name="KSOTemplateDocerSaveRecord">
    <vt:lpwstr>eyJoZGlkIjoiYWRmNjk4OWM0ZmUyYWMzMjcxNzU1N2MzM2E4N2U1MDYiLCJ1c2VySWQiOiIyNDEwNjE3OTEifQ==</vt:lpwstr>
  </property>
</Properties>
</file>