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8A4F4A">
      <w:pPr>
        <w:jc w:val="center"/>
        <w:rPr>
          <w:rFonts w:ascii="宋体" w:hAnsi="宋体"/>
          <w:b/>
          <w:bCs/>
          <w:color w:val="auto"/>
        </w:rPr>
      </w:pPr>
      <w:r>
        <w:rPr>
          <w:rFonts w:hint="eastAsia" w:ascii="宋体" w:hAnsi="宋体"/>
          <w:b/>
          <w:bCs/>
          <w:color w:val="auto"/>
          <w:sz w:val="44"/>
          <w:szCs w:val="44"/>
          <w:lang w:val="en-US" w:eastAsia="zh-CN"/>
        </w:rPr>
        <w:t>滇西应用技术大学普洱茶学院数智化校园建设项目</w:t>
      </w:r>
    </w:p>
    <w:p w14:paraId="47BC4CCC">
      <w:pPr>
        <w:rPr>
          <w:rFonts w:ascii="宋体" w:hAnsi="宋体"/>
          <w:color w:val="auto"/>
        </w:rPr>
      </w:pPr>
    </w:p>
    <w:p w14:paraId="64580175">
      <w:pPr>
        <w:pStyle w:val="9"/>
        <w:rPr>
          <w:rFonts w:ascii="宋体" w:hAnsi="宋体" w:cs="宋体"/>
          <w:color w:val="auto"/>
        </w:rPr>
      </w:pPr>
    </w:p>
    <w:p w14:paraId="4D90CE8D">
      <w:pPr>
        <w:rPr>
          <w:color w:val="auto"/>
        </w:rPr>
      </w:pPr>
    </w:p>
    <w:p w14:paraId="21C797BB">
      <w:pPr>
        <w:pStyle w:val="9"/>
        <w:rPr>
          <w:rFonts w:ascii="宋体" w:hAnsi="宋体" w:cs="宋体"/>
          <w:color w:val="auto"/>
        </w:rPr>
      </w:pPr>
    </w:p>
    <w:p w14:paraId="142DF029">
      <w:pPr>
        <w:rPr>
          <w:rFonts w:ascii="宋体" w:hAnsi="宋体"/>
          <w:color w:val="auto"/>
        </w:rPr>
      </w:pPr>
    </w:p>
    <w:p w14:paraId="3A6363A2">
      <w:pPr>
        <w:pStyle w:val="13"/>
      </w:pPr>
    </w:p>
    <w:p w14:paraId="4A2302C6"/>
    <w:p w14:paraId="675D3D89"/>
    <w:p w14:paraId="3A93DB33"/>
    <w:p w14:paraId="1F363BDE">
      <w:pPr>
        <w:pStyle w:val="3"/>
        <w:outlineLvl w:val="9"/>
        <w:rPr>
          <w:color w:val="auto"/>
        </w:rPr>
      </w:pPr>
    </w:p>
    <w:p w14:paraId="2E152A2A">
      <w:pPr>
        <w:rPr>
          <w:color w:val="auto"/>
        </w:rPr>
      </w:pPr>
    </w:p>
    <w:p w14:paraId="1443B85B">
      <w:pPr>
        <w:spacing w:before="624" w:beforeLines="200" w:line="360" w:lineRule="auto"/>
        <w:jc w:val="center"/>
        <w:rPr>
          <w:rFonts w:ascii="宋体" w:hAnsi="宋体"/>
          <w:color w:val="auto"/>
          <w:kern w:val="0"/>
          <w:sz w:val="72"/>
          <w:szCs w:val="72"/>
        </w:rPr>
      </w:pPr>
      <w:r>
        <w:rPr>
          <w:rFonts w:hint="eastAsia" w:ascii="宋体" w:hAnsi="宋体"/>
          <w:color w:val="auto"/>
          <w:kern w:val="0"/>
          <w:sz w:val="72"/>
          <w:szCs w:val="72"/>
        </w:rPr>
        <w:t>招 标 文 件</w:t>
      </w:r>
    </w:p>
    <w:p w14:paraId="3100F73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360" w:rightChars="0" w:firstLine="1285" w:firstLineChars="400"/>
        <w:rPr>
          <w:rFonts w:hint="eastAsia" w:ascii="宋体" w:hAnsi="宋体" w:eastAsia="宋体" w:cs="宋体"/>
          <w:sz w:val="32"/>
          <w:szCs w:val="32"/>
          <w:highlight w:val="red"/>
          <w:lang w:eastAsia="zh-CN"/>
        </w:rPr>
      </w:pPr>
      <w:r>
        <w:rPr>
          <w:rFonts w:hint="eastAsia" w:ascii="宋体" w:hAnsi="宋体" w:eastAsia="宋体" w:cs="宋体"/>
          <w:color w:val="auto"/>
          <w:kern w:val="0"/>
          <w:sz w:val="32"/>
          <w:szCs w:val="32"/>
          <w:highlight w:val="none"/>
          <w:lang w:val="en-US" w:eastAsia="zh-CN"/>
        </w:rPr>
        <w:t xml:space="preserve">    </w:t>
      </w:r>
      <w:r>
        <w:rPr>
          <w:rFonts w:hint="eastAsia" w:ascii="宋体" w:hAnsi="宋体" w:eastAsia="宋体" w:cs="宋体"/>
          <w:color w:val="auto"/>
          <w:kern w:val="0"/>
          <w:sz w:val="32"/>
          <w:szCs w:val="32"/>
          <w:highlight w:val="none"/>
        </w:rPr>
        <w:t>项目编号：</w:t>
      </w:r>
      <w:r>
        <w:rPr>
          <w:rFonts w:hint="eastAsia" w:ascii="宋体" w:hAnsi="宋体" w:cs="宋体"/>
          <w:i w:val="0"/>
          <w:iCs w:val="0"/>
          <w:caps w:val="0"/>
          <w:spacing w:val="0"/>
          <w:sz w:val="32"/>
          <w:szCs w:val="32"/>
          <w:highlight w:val="none"/>
          <w:shd w:val="clear" w:fill="FFFFFF"/>
          <w:lang w:eastAsia="zh-CN"/>
        </w:rPr>
        <w:t>PEZC2025-G1-00882-YNAZ-0033</w:t>
      </w:r>
    </w:p>
    <w:p w14:paraId="04124565">
      <w:pPr>
        <w:spacing w:before="624" w:beforeLines="200" w:line="360" w:lineRule="auto"/>
        <w:jc w:val="center"/>
        <w:outlineLvl w:val="0"/>
        <w:rPr>
          <w:rFonts w:hint="default" w:ascii="宋体" w:hAnsi="宋体" w:eastAsia="宋体"/>
          <w:color w:val="auto"/>
          <w:kern w:val="0"/>
          <w:sz w:val="32"/>
          <w:szCs w:val="32"/>
          <w:highlight w:val="red"/>
          <w:lang w:val="en-US" w:eastAsia="zh-CN"/>
        </w:rPr>
      </w:pPr>
    </w:p>
    <w:p w14:paraId="0CB78029">
      <w:pPr>
        <w:spacing w:before="624" w:beforeLines="200" w:line="360" w:lineRule="auto"/>
        <w:jc w:val="center"/>
        <w:rPr>
          <w:rFonts w:ascii="宋体" w:hAnsi="宋体"/>
          <w:color w:val="auto"/>
          <w:kern w:val="0"/>
          <w:sz w:val="52"/>
          <w:szCs w:val="52"/>
        </w:rPr>
      </w:pPr>
    </w:p>
    <w:p w14:paraId="3D9820C9">
      <w:pPr>
        <w:rPr>
          <w:rFonts w:ascii="宋体" w:hAnsi="宋体"/>
          <w:color w:val="auto"/>
        </w:rPr>
      </w:pPr>
    </w:p>
    <w:p w14:paraId="30E1A42E">
      <w:pPr>
        <w:pStyle w:val="13"/>
        <w:rPr>
          <w:rFonts w:hAnsi="宋体"/>
          <w:bCs/>
          <w:color w:val="auto"/>
          <w:sz w:val="36"/>
          <w:szCs w:val="36"/>
        </w:rPr>
      </w:pPr>
      <w:bookmarkStart w:id="0" w:name="_Toc25875"/>
    </w:p>
    <w:p w14:paraId="47B0C01F">
      <w:pPr>
        <w:spacing w:after="240" w:line="360" w:lineRule="auto"/>
        <w:rPr>
          <w:rFonts w:hAnsi="宋体"/>
          <w:bCs/>
          <w:color w:val="auto"/>
          <w:sz w:val="36"/>
          <w:szCs w:val="36"/>
        </w:rPr>
      </w:pPr>
    </w:p>
    <w:p w14:paraId="21D51224">
      <w:pPr>
        <w:spacing w:after="240" w:line="360" w:lineRule="auto"/>
        <w:ind w:firstLine="2168" w:firstLineChars="600"/>
        <w:outlineLvl w:val="0"/>
        <w:rPr>
          <w:rFonts w:hint="eastAsia" w:hAnsi="宋体"/>
          <w:bCs/>
          <w:color w:val="auto"/>
          <w:sz w:val="36"/>
          <w:szCs w:val="36"/>
          <w:lang w:eastAsia="zh-CN"/>
        </w:rPr>
      </w:pPr>
      <w:r>
        <w:rPr>
          <w:rFonts w:hint="eastAsia" w:hAnsi="宋体"/>
          <w:bCs/>
          <w:color w:val="auto"/>
          <w:sz w:val="36"/>
          <w:szCs w:val="36"/>
          <w:lang w:eastAsia="zh-CN"/>
        </w:rPr>
        <w:t>采购人</w:t>
      </w:r>
      <w:r>
        <w:rPr>
          <w:rFonts w:hint="eastAsia" w:hAnsi="宋体"/>
          <w:bCs/>
          <w:color w:val="auto"/>
          <w:sz w:val="36"/>
          <w:szCs w:val="36"/>
        </w:rPr>
        <w:t>：</w:t>
      </w:r>
      <w:r>
        <w:rPr>
          <w:rFonts w:hint="eastAsia" w:hAnsi="宋体"/>
          <w:bCs/>
          <w:color w:val="auto"/>
          <w:sz w:val="36"/>
          <w:szCs w:val="36"/>
          <w:lang w:eastAsia="zh-CN"/>
        </w:rPr>
        <w:t>滇西应用技术大学普洱茶学院</w:t>
      </w:r>
    </w:p>
    <w:p w14:paraId="3135898F">
      <w:pPr>
        <w:pStyle w:val="13"/>
        <w:jc w:val="center"/>
        <w:rPr>
          <w:rFonts w:hint="eastAsia" w:hAnsi="宋体"/>
          <w:bCs/>
          <w:color w:val="auto"/>
          <w:sz w:val="36"/>
          <w:szCs w:val="36"/>
          <w:lang w:eastAsia="zh-CN"/>
        </w:rPr>
      </w:pPr>
      <w:r>
        <w:rPr>
          <w:rFonts w:hint="eastAsia" w:hAnsi="宋体"/>
          <w:bCs/>
          <w:color w:val="auto"/>
          <w:sz w:val="36"/>
          <w:szCs w:val="36"/>
          <w:lang w:eastAsia="zh-CN"/>
        </w:rPr>
        <w:t>招标代理</w:t>
      </w:r>
      <w:r>
        <w:rPr>
          <w:rFonts w:hint="eastAsia" w:hAnsi="宋体"/>
          <w:bCs/>
          <w:color w:val="auto"/>
          <w:sz w:val="36"/>
          <w:szCs w:val="36"/>
        </w:rPr>
        <w:t>机构：</w:t>
      </w:r>
      <w:r>
        <w:rPr>
          <w:rFonts w:hint="eastAsia" w:hAnsi="宋体"/>
          <w:bCs/>
          <w:color w:val="auto"/>
          <w:sz w:val="36"/>
          <w:szCs w:val="36"/>
          <w:lang w:eastAsia="zh-CN"/>
        </w:rPr>
        <w:t>云南傲真工程咨询有限公司</w:t>
      </w:r>
    </w:p>
    <w:p w14:paraId="37D17FC7">
      <w:pPr>
        <w:pStyle w:val="13"/>
        <w:jc w:val="center"/>
        <w:rPr>
          <w:rFonts w:hAnsi="宋体" w:cs="宋体"/>
          <w:color w:val="auto"/>
          <w:kern w:val="11"/>
          <w:sz w:val="32"/>
          <w:szCs w:val="32"/>
        </w:rPr>
        <w:sectPr>
          <w:headerReference r:id="rId4" w:type="first"/>
          <w:headerReference r:id="rId3" w:type="default"/>
          <w:pgSz w:w="11906" w:h="16838"/>
          <w:pgMar w:top="1440" w:right="1026" w:bottom="1383" w:left="1140" w:header="851" w:footer="992" w:gutter="0"/>
          <w:cols w:space="720" w:num="1"/>
          <w:titlePg/>
          <w:docGrid w:type="lines" w:linePitch="312" w:charSpace="0"/>
        </w:sectPr>
      </w:pPr>
      <w:r>
        <w:rPr>
          <w:rFonts w:hint="eastAsia" w:hAnsi="宋体" w:cs="宋体"/>
          <w:color w:val="auto"/>
          <w:kern w:val="11"/>
          <w:sz w:val="32"/>
          <w:szCs w:val="32"/>
          <w:lang w:val="en-US" w:eastAsia="zh-CN"/>
        </w:rPr>
        <w:t>2025</w:t>
      </w:r>
      <w:r>
        <w:rPr>
          <w:rFonts w:hint="eastAsia" w:hAnsi="宋体" w:cs="宋体"/>
          <w:color w:val="auto"/>
          <w:kern w:val="11"/>
          <w:sz w:val="32"/>
          <w:szCs w:val="32"/>
        </w:rPr>
        <w:t>年</w:t>
      </w:r>
      <w:r>
        <w:rPr>
          <w:rFonts w:hint="eastAsia" w:hAnsi="宋体" w:cs="宋体"/>
          <w:color w:val="auto"/>
          <w:kern w:val="11"/>
          <w:sz w:val="32"/>
          <w:szCs w:val="32"/>
          <w:lang w:val="en-US" w:eastAsia="zh-CN"/>
        </w:rPr>
        <w:t>7</w:t>
      </w:r>
      <w:r>
        <w:rPr>
          <w:rFonts w:hint="eastAsia" w:hAnsi="宋体" w:cs="宋体"/>
          <w:color w:val="auto"/>
          <w:kern w:val="11"/>
          <w:sz w:val="32"/>
          <w:szCs w:val="32"/>
        </w:rPr>
        <w:t>月</w:t>
      </w:r>
    </w:p>
    <w:bookmarkEnd w:id="0"/>
    <w:p w14:paraId="24E42596">
      <w:pPr>
        <w:spacing w:line="600" w:lineRule="exact"/>
        <w:jc w:val="center"/>
        <w:rPr>
          <w:rFonts w:ascii="宋体" w:hAnsi="宋体"/>
          <w:color w:val="auto"/>
          <w:sz w:val="36"/>
          <w:szCs w:val="36"/>
        </w:rPr>
      </w:pPr>
      <w:bookmarkStart w:id="1" w:name="_Toc19192"/>
      <w:bookmarkStart w:id="2" w:name="_Toc480817641"/>
      <w:bookmarkStart w:id="3" w:name="_Toc26061"/>
      <w:bookmarkStart w:id="4" w:name="_Toc489145701"/>
      <w:bookmarkStart w:id="5" w:name="_Toc378239348"/>
      <w:bookmarkStart w:id="6" w:name="_Toc29379732"/>
      <w:bookmarkStart w:id="7" w:name="_Toc213908411"/>
      <w:r>
        <w:rPr>
          <w:rFonts w:hint="eastAsia" w:ascii="宋体" w:hAnsi="宋体"/>
          <w:color w:val="auto"/>
          <w:sz w:val="36"/>
          <w:szCs w:val="36"/>
          <w:lang w:val="zh-CN"/>
        </w:rPr>
        <w:t>目录</w:t>
      </w:r>
    </w:p>
    <w:p w14:paraId="182E3D4E">
      <w:pPr>
        <w:pStyle w:val="24"/>
        <w:rPr>
          <w:rFonts w:ascii="宋体" w:hAnsi="宋体" w:cs="宋体"/>
          <w:color w:val="auto"/>
        </w:rPr>
      </w:pPr>
      <w:r>
        <w:rPr>
          <w:rFonts w:hint="eastAsia" w:ascii="宋体" w:hAnsi="宋体" w:cs="宋体"/>
          <w:color w:val="auto"/>
        </w:rPr>
        <w:fldChar w:fldCharType="begin"/>
      </w:r>
      <w:r>
        <w:rPr>
          <w:rFonts w:hint="eastAsia" w:ascii="宋体" w:hAnsi="宋体" w:cs="宋体"/>
          <w:color w:val="auto"/>
        </w:rPr>
        <w:instrText xml:space="preserve"> TOC \o "1-3" \h \z \u </w:instrText>
      </w:r>
      <w:r>
        <w:rPr>
          <w:rFonts w:hint="eastAsia" w:ascii="宋体" w:hAnsi="宋体" w:cs="宋体"/>
          <w:color w:val="auto"/>
        </w:rPr>
        <w:fldChar w:fldCharType="separate"/>
      </w:r>
    </w:p>
    <w:p w14:paraId="153BD059">
      <w:pPr>
        <w:pStyle w:val="24"/>
        <w:keepNext w:val="0"/>
        <w:keepLines w:val="0"/>
        <w:pageBreakBefore w:val="0"/>
        <w:widowControl w:val="0"/>
        <w:kinsoku/>
        <w:wordWrap/>
        <w:overflowPunct/>
        <w:topLinePunct w:val="0"/>
        <w:autoSpaceDE/>
        <w:autoSpaceDN/>
        <w:bidi w:val="0"/>
        <w:adjustRightInd/>
        <w:snapToGrid/>
        <w:spacing w:line="720" w:lineRule="auto"/>
        <w:textAlignment w:val="auto"/>
        <w:rPr>
          <w:rFonts w:hint="eastAsia" w:ascii="宋体" w:hAnsi="宋体" w:cs="宋体"/>
          <w:color w:val="auto"/>
          <w:sz w:val="30"/>
          <w:szCs w:val="30"/>
        </w:rPr>
      </w:pPr>
      <w:r>
        <w:rPr>
          <w:color w:val="auto"/>
          <w:sz w:val="30"/>
          <w:szCs w:val="30"/>
        </w:rPr>
        <w:fldChar w:fldCharType="begin"/>
      </w:r>
      <w:r>
        <w:rPr>
          <w:color w:val="auto"/>
          <w:sz w:val="30"/>
          <w:szCs w:val="30"/>
        </w:rPr>
        <w:instrText xml:space="preserve"> HYPERLINK \l "_Toc19192" </w:instrText>
      </w:r>
      <w:r>
        <w:rPr>
          <w:color w:val="auto"/>
          <w:sz w:val="30"/>
          <w:szCs w:val="30"/>
        </w:rPr>
        <w:fldChar w:fldCharType="separate"/>
      </w:r>
      <w:r>
        <w:rPr>
          <w:rFonts w:hint="eastAsia" w:ascii="宋体" w:hAnsi="宋体" w:cs="宋体"/>
          <w:color w:val="auto"/>
          <w:sz w:val="30"/>
          <w:szCs w:val="30"/>
        </w:rPr>
        <w:t>第一章 招标公告</w:t>
      </w:r>
      <w:r>
        <w:rPr>
          <w:rFonts w:hint="eastAsia" w:ascii="宋体" w:hAnsi="宋体" w:cs="宋体"/>
          <w:color w:val="auto"/>
          <w:sz w:val="30"/>
          <w:szCs w:val="30"/>
        </w:rPr>
        <w:tab/>
      </w:r>
      <w:r>
        <w:rPr>
          <w:rFonts w:hint="eastAsia" w:ascii="宋体" w:hAnsi="宋体" w:cs="宋体"/>
          <w:color w:val="auto"/>
          <w:sz w:val="30"/>
          <w:szCs w:val="30"/>
        </w:rPr>
        <w:fldChar w:fldCharType="begin"/>
      </w:r>
      <w:r>
        <w:rPr>
          <w:rFonts w:hint="eastAsia" w:ascii="宋体" w:hAnsi="宋体" w:cs="宋体"/>
          <w:color w:val="auto"/>
          <w:sz w:val="30"/>
          <w:szCs w:val="30"/>
        </w:rPr>
        <w:instrText xml:space="preserve"> PAGEREF _Toc19192 </w:instrText>
      </w:r>
      <w:r>
        <w:rPr>
          <w:rFonts w:hint="eastAsia" w:ascii="宋体" w:hAnsi="宋体" w:cs="宋体"/>
          <w:color w:val="auto"/>
          <w:sz w:val="30"/>
          <w:szCs w:val="30"/>
        </w:rPr>
        <w:fldChar w:fldCharType="separate"/>
      </w:r>
      <w:r>
        <w:rPr>
          <w:rFonts w:hint="eastAsia" w:ascii="宋体" w:hAnsi="宋体" w:cs="宋体"/>
          <w:color w:val="auto"/>
          <w:sz w:val="30"/>
          <w:szCs w:val="30"/>
        </w:rPr>
        <w:t>1</w:t>
      </w:r>
      <w:r>
        <w:rPr>
          <w:rFonts w:hint="eastAsia" w:ascii="宋体" w:hAnsi="宋体" w:cs="宋体"/>
          <w:color w:val="auto"/>
          <w:sz w:val="30"/>
          <w:szCs w:val="30"/>
        </w:rPr>
        <w:fldChar w:fldCharType="end"/>
      </w:r>
      <w:r>
        <w:rPr>
          <w:rFonts w:hint="eastAsia" w:ascii="宋体" w:hAnsi="宋体" w:cs="宋体"/>
          <w:color w:val="auto"/>
          <w:sz w:val="30"/>
          <w:szCs w:val="30"/>
        </w:rPr>
        <w:fldChar w:fldCharType="end"/>
      </w:r>
    </w:p>
    <w:p w14:paraId="454A5378">
      <w:pPr>
        <w:pStyle w:val="24"/>
        <w:keepNext w:val="0"/>
        <w:keepLines w:val="0"/>
        <w:pageBreakBefore w:val="0"/>
        <w:widowControl w:val="0"/>
        <w:kinsoku/>
        <w:wordWrap/>
        <w:overflowPunct/>
        <w:topLinePunct w:val="0"/>
        <w:autoSpaceDE/>
        <w:autoSpaceDN/>
        <w:bidi w:val="0"/>
        <w:adjustRightInd/>
        <w:snapToGrid/>
        <w:spacing w:line="720" w:lineRule="auto"/>
        <w:textAlignment w:val="auto"/>
        <w:rPr>
          <w:sz w:val="30"/>
          <w:szCs w:val="30"/>
        </w:rPr>
      </w:pPr>
      <w:r>
        <w:rPr>
          <w:color w:val="auto"/>
          <w:sz w:val="30"/>
          <w:szCs w:val="30"/>
        </w:rPr>
        <w:fldChar w:fldCharType="begin"/>
      </w:r>
      <w:r>
        <w:rPr>
          <w:color w:val="auto"/>
          <w:sz w:val="30"/>
          <w:szCs w:val="30"/>
        </w:rPr>
        <w:instrText xml:space="preserve"> HYPERLINK \l "_Toc31074" </w:instrText>
      </w:r>
      <w:r>
        <w:rPr>
          <w:color w:val="auto"/>
          <w:sz w:val="30"/>
          <w:szCs w:val="30"/>
        </w:rPr>
        <w:fldChar w:fldCharType="separate"/>
      </w:r>
      <w:r>
        <w:rPr>
          <w:rFonts w:hint="eastAsia" w:ascii="宋体" w:hAnsi="宋体" w:cs="宋体"/>
          <w:color w:val="auto"/>
          <w:sz w:val="30"/>
          <w:szCs w:val="30"/>
        </w:rPr>
        <w:t>第二章 投标人须知</w:t>
      </w:r>
      <w:r>
        <w:rPr>
          <w:rFonts w:hint="eastAsia" w:ascii="宋体" w:hAnsi="宋体" w:cs="宋体"/>
          <w:color w:val="auto"/>
          <w:sz w:val="30"/>
          <w:szCs w:val="30"/>
        </w:rPr>
        <w:tab/>
      </w:r>
      <w:r>
        <w:rPr>
          <w:rFonts w:hint="eastAsia" w:ascii="宋体" w:hAnsi="宋体" w:cs="宋体"/>
          <w:color w:val="auto"/>
          <w:sz w:val="30"/>
          <w:szCs w:val="30"/>
        </w:rPr>
        <w:fldChar w:fldCharType="begin"/>
      </w:r>
      <w:r>
        <w:rPr>
          <w:rFonts w:hint="eastAsia" w:ascii="宋体" w:hAnsi="宋体" w:cs="宋体"/>
          <w:color w:val="auto"/>
          <w:sz w:val="30"/>
          <w:szCs w:val="30"/>
        </w:rPr>
        <w:instrText xml:space="preserve"> PAGEREF _Toc31074 </w:instrText>
      </w:r>
      <w:r>
        <w:rPr>
          <w:rFonts w:hint="eastAsia" w:ascii="宋体" w:hAnsi="宋体" w:cs="宋体"/>
          <w:color w:val="auto"/>
          <w:sz w:val="30"/>
          <w:szCs w:val="30"/>
        </w:rPr>
        <w:fldChar w:fldCharType="separate"/>
      </w:r>
      <w:r>
        <w:rPr>
          <w:rFonts w:hint="eastAsia" w:ascii="宋体" w:hAnsi="宋体" w:cs="宋体"/>
          <w:color w:val="auto"/>
          <w:sz w:val="30"/>
          <w:szCs w:val="30"/>
        </w:rPr>
        <w:t>5</w:t>
      </w:r>
      <w:r>
        <w:rPr>
          <w:rFonts w:hint="eastAsia" w:ascii="宋体" w:hAnsi="宋体" w:cs="宋体"/>
          <w:color w:val="auto"/>
          <w:sz w:val="30"/>
          <w:szCs w:val="30"/>
        </w:rPr>
        <w:fldChar w:fldCharType="end"/>
      </w:r>
      <w:r>
        <w:rPr>
          <w:rFonts w:hint="eastAsia" w:ascii="宋体" w:hAnsi="宋体" w:cs="宋体"/>
          <w:color w:val="auto"/>
          <w:sz w:val="30"/>
          <w:szCs w:val="30"/>
        </w:rPr>
        <w:fldChar w:fldCharType="end"/>
      </w:r>
    </w:p>
    <w:p w14:paraId="4B4AF065">
      <w:pPr>
        <w:pStyle w:val="24"/>
        <w:keepNext w:val="0"/>
        <w:keepLines w:val="0"/>
        <w:pageBreakBefore w:val="0"/>
        <w:widowControl w:val="0"/>
        <w:kinsoku/>
        <w:wordWrap/>
        <w:overflowPunct/>
        <w:topLinePunct w:val="0"/>
        <w:autoSpaceDE/>
        <w:autoSpaceDN/>
        <w:bidi w:val="0"/>
        <w:adjustRightInd/>
        <w:snapToGrid/>
        <w:spacing w:line="720" w:lineRule="auto"/>
        <w:textAlignment w:val="auto"/>
        <w:rPr>
          <w:sz w:val="30"/>
          <w:szCs w:val="30"/>
        </w:rPr>
      </w:pPr>
      <w:r>
        <w:rPr>
          <w:color w:val="auto"/>
          <w:sz w:val="30"/>
          <w:szCs w:val="30"/>
        </w:rPr>
        <w:fldChar w:fldCharType="begin"/>
      </w:r>
      <w:r>
        <w:rPr>
          <w:color w:val="auto"/>
          <w:sz w:val="30"/>
          <w:szCs w:val="30"/>
        </w:rPr>
        <w:instrText xml:space="preserve"> HYPERLINK \l "_Toc18204" </w:instrText>
      </w:r>
      <w:r>
        <w:rPr>
          <w:color w:val="auto"/>
          <w:sz w:val="30"/>
          <w:szCs w:val="30"/>
        </w:rPr>
        <w:fldChar w:fldCharType="separate"/>
      </w:r>
      <w:r>
        <w:rPr>
          <w:rFonts w:hint="eastAsia" w:ascii="宋体" w:hAnsi="宋体" w:cs="宋体"/>
          <w:color w:val="auto"/>
          <w:sz w:val="30"/>
          <w:szCs w:val="30"/>
        </w:rPr>
        <w:t>第三章 合同书样式及主要条款</w:t>
      </w:r>
      <w:r>
        <w:rPr>
          <w:rFonts w:hint="eastAsia" w:ascii="宋体" w:hAnsi="宋体" w:cs="宋体"/>
          <w:color w:val="auto"/>
          <w:sz w:val="30"/>
          <w:szCs w:val="30"/>
        </w:rPr>
        <w:tab/>
      </w:r>
      <w:r>
        <w:rPr>
          <w:rFonts w:hint="eastAsia" w:ascii="宋体" w:hAnsi="宋体" w:cs="宋体"/>
          <w:color w:val="auto"/>
          <w:sz w:val="30"/>
          <w:szCs w:val="30"/>
        </w:rPr>
        <w:fldChar w:fldCharType="begin"/>
      </w:r>
      <w:r>
        <w:rPr>
          <w:rFonts w:hint="eastAsia" w:ascii="宋体" w:hAnsi="宋体" w:cs="宋体"/>
          <w:color w:val="auto"/>
          <w:sz w:val="30"/>
          <w:szCs w:val="30"/>
        </w:rPr>
        <w:instrText xml:space="preserve"> PAGEREF _Toc18204 </w:instrText>
      </w:r>
      <w:r>
        <w:rPr>
          <w:rFonts w:hint="eastAsia" w:ascii="宋体" w:hAnsi="宋体" w:cs="宋体"/>
          <w:color w:val="auto"/>
          <w:sz w:val="30"/>
          <w:szCs w:val="30"/>
        </w:rPr>
        <w:fldChar w:fldCharType="separate"/>
      </w:r>
      <w:r>
        <w:rPr>
          <w:rFonts w:hint="eastAsia" w:ascii="宋体" w:hAnsi="宋体" w:cs="宋体"/>
          <w:color w:val="auto"/>
          <w:sz w:val="30"/>
          <w:szCs w:val="30"/>
        </w:rPr>
        <w:t>21</w:t>
      </w:r>
      <w:r>
        <w:rPr>
          <w:rFonts w:hint="eastAsia" w:ascii="宋体" w:hAnsi="宋体" w:cs="宋体"/>
          <w:color w:val="auto"/>
          <w:sz w:val="30"/>
          <w:szCs w:val="30"/>
        </w:rPr>
        <w:fldChar w:fldCharType="end"/>
      </w:r>
      <w:r>
        <w:rPr>
          <w:rFonts w:hint="eastAsia" w:ascii="宋体" w:hAnsi="宋体" w:cs="宋体"/>
          <w:color w:val="auto"/>
          <w:sz w:val="30"/>
          <w:szCs w:val="30"/>
        </w:rPr>
        <w:fldChar w:fldCharType="end"/>
      </w:r>
    </w:p>
    <w:p w14:paraId="31A8509D">
      <w:pPr>
        <w:pStyle w:val="24"/>
        <w:keepNext w:val="0"/>
        <w:keepLines w:val="0"/>
        <w:pageBreakBefore w:val="0"/>
        <w:widowControl w:val="0"/>
        <w:kinsoku/>
        <w:wordWrap/>
        <w:overflowPunct/>
        <w:topLinePunct w:val="0"/>
        <w:autoSpaceDE/>
        <w:autoSpaceDN/>
        <w:bidi w:val="0"/>
        <w:adjustRightInd/>
        <w:snapToGrid/>
        <w:spacing w:line="720" w:lineRule="auto"/>
        <w:textAlignment w:val="auto"/>
        <w:rPr>
          <w:sz w:val="30"/>
          <w:szCs w:val="30"/>
        </w:rPr>
      </w:pPr>
      <w:r>
        <w:rPr>
          <w:color w:val="auto"/>
          <w:sz w:val="30"/>
          <w:szCs w:val="30"/>
        </w:rPr>
        <w:fldChar w:fldCharType="begin"/>
      </w:r>
      <w:r>
        <w:rPr>
          <w:color w:val="auto"/>
          <w:sz w:val="30"/>
          <w:szCs w:val="30"/>
        </w:rPr>
        <w:instrText xml:space="preserve"> HYPERLINK \l "_Toc5393" </w:instrText>
      </w:r>
      <w:r>
        <w:rPr>
          <w:color w:val="auto"/>
          <w:sz w:val="30"/>
          <w:szCs w:val="30"/>
        </w:rPr>
        <w:fldChar w:fldCharType="separate"/>
      </w:r>
      <w:r>
        <w:rPr>
          <w:rFonts w:hint="eastAsia" w:ascii="宋体" w:hAnsi="宋体" w:cs="宋体"/>
          <w:color w:val="auto"/>
          <w:sz w:val="30"/>
          <w:szCs w:val="30"/>
        </w:rPr>
        <w:t>第四章 投标文件格式</w:t>
      </w:r>
      <w:r>
        <w:rPr>
          <w:rFonts w:hint="eastAsia" w:ascii="宋体" w:hAnsi="宋体" w:cs="宋体"/>
          <w:color w:val="auto"/>
          <w:sz w:val="30"/>
          <w:szCs w:val="30"/>
        </w:rPr>
        <w:tab/>
      </w:r>
      <w:r>
        <w:rPr>
          <w:rFonts w:hint="eastAsia" w:ascii="宋体" w:hAnsi="宋体" w:cs="宋体"/>
          <w:color w:val="auto"/>
          <w:sz w:val="30"/>
          <w:szCs w:val="30"/>
        </w:rPr>
        <w:fldChar w:fldCharType="begin"/>
      </w:r>
      <w:r>
        <w:rPr>
          <w:rFonts w:hint="eastAsia" w:ascii="宋体" w:hAnsi="宋体" w:cs="宋体"/>
          <w:color w:val="auto"/>
          <w:sz w:val="30"/>
          <w:szCs w:val="30"/>
        </w:rPr>
        <w:instrText xml:space="preserve"> PAGEREF _Toc5393 </w:instrText>
      </w:r>
      <w:r>
        <w:rPr>
          <w:rFonts w:hint="eastAsia" w:ascii="宋体" w:hAnsi="宋体" w:cs="宋体"/>
          <w:color w:val="auto"/>
          <w:sz w:val="30"/>
          <w:szCs w:val="30"/>
        </w:rPr>
        <w:fldChar w:fldCharType="separate"/>
      </w:r>
      <w:r>
        <w:rPr>
          <w:rFonts w:hint="eastAsia" w:ascii="宋体" w:hAnsi="宋体" w:cs="宋体"/>
          <w:color w:val="auto"/>
          <w:sz w:val="30"/>
          <w:szCs w:val="30"/>
        </w:rPr>
        <w:t>28</w:t>
      </w:r>
      <w:r>
        <w:rPr>
          <w:rFonts w:hint="eastAsia" w:ascii="宋体" w:hAnsi="宋体" w:cs="宋体"/>
          <w:color w:val="auto"/>
          <w:sz w:val="30"/>
          <w:szCs w:val="30"/>
        </w:rPr>
        <w:fldChar w:fldCharType="end"/>
      </w:r>
      <w:r>
        <w:rPr>
          <w:rFonts w:hint="eastAsia" w:ascii="宋体" w:hAnsi="宋体" w:cs="宋体"/>
          <w:color w:val="auto"/>
          <w:sz w:val="30"/>
          <w:szCs w:val="30"/>
        </w:rPr>
        <w:fldChar w:fldCharType="end"/>
      </w:r>
    </w:p>
    <w:p w14:paraId="66E81C99">
      <w:pPr>
        <w:pStyle w:val="24"/>
        <w:keepNext w:val="0"/>
        <w:keepLines w:val="0"/>
        <w:pageBreakBefore w:val="0"/>
        <w:widowControl w:val="0"/>
        <w:kinsoku/>
        <w:wordWrap/>
        <w:overflowPunct/>
        <w:topLinePunct w:val="0"/>
        <w:autoSpaceDE/>
        <w:autoSpaceDN/>
        <w:bidi w:val="0"/>
        <w:adjustRightInd/>
        <w:snapToGrid/>
        <w:spacing w:line="720" w:lineRule="auto"/>
        <w:textAlignment w:val="auto"/>
        <w:rPr>
          <w:rFonts w:hint="default" w:eastAsia="宋体"/>
          <w:color w:val="auto"/>
          <w:sz w:val="30"/>
          <w:szCs w:val="30"/>
          <w:lang w:val="en-US" w:eastAsia="zh-CN"/>
        </w:rPr>
      </w:pPr>
      <w:r>
        <w:rPr>
          <w:color w:val="auto"/>
          <w:sz w:val="30"/>
          <w:szCs w:val="30"/>
        </w:rPr>
        <w:fldChar w:fldCharType="begin"/>
      </w:r>
      <w:r>
        <w:rPr>
          <w:color w:val="auto"/>
          <w:sz w:val="30"/>
          <w:szCs w:val="30"/>
        </w:rPr>
        <w:instrText xml:space="preserve"> HYPERLINK \l "_Toc14273" </w:instrText>
      </w:r>
      <w:r>
        <w:rPr>
          <w:color w:val="auto"/>
          <w:sz w:val="30"/>
          <w:szCs w:val="30"/>
        </w:rPr>
        <w:fldChar w:fldCharType="separate"/>
      </w:r>
      <w:r>
        <w:rPr>
          <w:rFonts w:hint="eastAsia" w:ascii="宋体" w:hAnsi="宋体" w:cs="宋体"/>
          <w:color w:val="auto"/>
          <w:sz w:val="30"/>
          <w:szCs w:val="30"/>
        </w:rPr>
        <w:t>第五章 评标方法</w:t>
      </w:r>
      <w:r>
        <w:rPr>
          <w:rFonts w:hint="eastAsia" w:ascii="宋体" w:hAnsi="宋体" w:cs="宋体"/>
          <w:color w:val="auto"/>
          <w:sz w:val="30"/>
          <w:szCs w:val="30"/>
        </w:rPr>
        <w:tab/>
      </w:r>
      <w:r>
        <w:rPr>
          <w:rFonts w:hint="eastAsia" w:ascii="宋体" w:hAnsi="宋体" w:cs="宋体"/>
          <w:color w:val="auto"/>
          <w:sz w:val="30"/>
          <w:szCs w:val="30"/>
        </w:rPr>
        <w:fldChar w:fldCharType="end"/>
      </w:r>
      <w:r>
        <w:rPr>
          <w:rFonts w:hint="eastAsia" w:ascii="宋体" w:hAnsi="宋体" w:cs="宋体"/>
          <w:color w:val="auto"/>
          <w:sz w:val="30"/>
          <w:szCs w:val="30"/>
          <w:lang w:val="en-US" w:eastAsia="zh-CN"/>
        </w:rPr>
        <w:t>59</w:t>
      </w:r>
    </w:p>
    <w:p w14:paraId="637027EA">
      <w:pPr>
        <w:pStyle w:val="24"/>
        <w:keepNext w:val="0"/>
        <w:keepLines w:val="0"/>
        <w:pageBreakBefore w:val="0"/>
        <w:widowControl w:val="0"/>
        <w:kinsoku/>
        <w:wordWrap/>
        <w:overflowPunct/>
        <w:topLinePunct w:val="0"/>
        <w:autoSpaceDE/>
        <w:autoSpaceDN/>
        <w:bidi w:val="0"/>
        <w:adjustRightInd/>
        <w:snapToGrid/>
        <w:spacing w:line="720" w:lineRule="auto"/>
        <w:textAlignment w:val="auto"/>
        <w:rPr>
          <w:rFonts w:hint="default" w:ascii="宋体" w:hAnsi="宋体" w:eastAsia="宋体" w:cs="宋体"/>
          <w:color w:val="auto"/>
          <w:sz w:val="30"/>
          <w:szCs w:val="30"/>
          <w:lang w:val="en-US" w:eastAsia="zh-CN"/>
        </w:rPr>
      </w:pPr>
      <w:r>
        <w:rPr>
          <w:color w:val="auto"/>
          <w:sz w:val="30"/>
          <w:szCs w:val="30"/>
        </w:rPr>
        <w:fldChar w:fldCharType="begin"/>
      </w:r>
      <w:r>
        <w:rPr>
          <w:color w:val="auto"/>
          <w:sz w:val="30"/>
          <w:szCs w:val="30"/>
        </w:rPr>
        <w:instrText xml:space="preserve"> HYPERLINK \l "_Toc21446" </w:instrText>
      </w:r>
      <w:r>
        <w:rPr>
          <w:color w:val="auto"/>
          <w:sz w:val="30"/>
          <w:szCs w:val="30"/>
        </w:rPr>
        <w:fldChar w:fldCharType="separate"/>
      </w:r>
      <w:r>
        <w:rPr>
          <w:rFonts w:hint="eastAsia" w:ascii="宋体" w:hAnsi="宋体" w:cs="宋体"/>
          <w:color w:val="auto"/>
          <w:sz w:val="30"/>
          <w:szCs w:val="30"/>
        </w:rPr>
        <w:t>第六章 采购内容</w:t>
      </w:r>
      <w:r>
        <w:rPr>
          <w:rFonts w:hint="eastAsia" w:ascii="宋体" w:hAnsi="宋体" w:cs="宋体"/>
          <w:color w:val="auto"/>
          <w:sz w:val="30"/>
          <w:szCs w:val="30"/>
        </w:rPr>
        <w:tab/>
      </w:r>
      <w:r>
        <w:rPr>
          <w:rFonts w:hint="eastAsia" w:ascii="宋体" w:hAnsi="宋体" w:cs="宋体"/>
          <w:color w:val="auto"/>
          <w:sz w:val="30"/>
          <w:szCs w:val="30"/>
        </w:rPr>
        <w:fldChar w:fldCharType="end"/>
      </w:r>
      <w:r>
        <w:rPr>
          <w:rFonts w:hint="eastAsia" w:ascii="宋体" w:hAnsi="宋体" w:cs="宋体"/>
          <w:color w:val="auto"/>
          <w:sz w:val="30"/>
          <w:szCs w:val="30"/>
          <w:lang w:val="en-US" w:eastAsia="zh-CN"/>
        </w:rPr>
        <w:t>68</w:t>
      </w:r>
    </w:p>
    <w:p w14:paraId="59DC1B4E">
      <w:pPr>
        <w:pStyle w:val="29"/>
        <w:tabs>
          <w:tab w:val="right" w:leader="dot" w:pos="8640"/>
        </w:tabs>
        <w:rPr>
          <w:color w:val="auto"/>
        </w:rPr>
      </w:pPr>
    </w:p>
    <w:p w14:paraId="3EFBE63B">
      <w:pPr>
        <w:pStyle w:val="2"/>
        <w:outlineLvl w:val="9"/>
        <w:rPr>
          <w:rFonts w:ascii="宋体" w:hAnsi="宋体" w:cs="宋体"/>
          <w:color w:val="auto"/>
          <w:sz w:val="44"/>
          <w:szCs w:val="44"/>
        </w:rPr>
        <w:sectPr>
          <w:headerReference r:id="rId6" w:type="first"/>
          <w:footerReference r:id="rId8" w:type="first"/>
          <w:headerReference r:id="rId5" w:type="default"/>
          <w:footerReference r:id="rId7" w:type="default"/>
          <w:pgSz w:w="11906" w:h="16838"/>
          <w:pgMar w:top="1440" w:right="1253" w:bottom="1440" w:left="1080" w:header="851" w:footer="992" w:gutter="0"/>
          <w:pgNumType w:start="1"/>
          <w:cols w:space="720" w:num="1"/>
          <w:titlePg/>
          <w:docGrid w:type="lines" w:linePitch="312" w:charSpace="0"/>
        </w:sectPr>
      </w:pPr>
      <w:r>
        <w:rPr>
          <w:rFonts w:hint="eastAsia" w:ascii="宋体" w:hAnsi="宋体"/>
          <w:color w:val="auto"/>
          <w:szCs w:val="28"/>
        </w:rPr>
        <w:fldChar w:fldCharType="end"/>
      </w:r>
    </w:p>
    <w:p w14:paraId="74381AAF">
      <w:pPr>
        <w:pStyle w:val="2"/>
        <w:rPr>
          <w:rFonts w:ascii="宋体" w:hAnsi="宋体" w:cs="宋体"/>
          <w:color w:val="auto"/>
          <w:sz w:val="44"/>
          <w:szCs w:val="44"/>
        </w:rPr>
      </w:pPr>
      <w:r>
        <w:rPr>
          <w:rFonts w:hint="eastAsia" w:ascii="宋体" w:hAnsi="宋体" w:cs="宋体"/>
          <w:color w:val="auto"/>
          <w:sz w:val="44"/>
          <w:szCs w:val="44"/>
        </w:rPr>
        <w:t>第一章</w:t>
      </w:r>
      <w:bookmarkStart w:id="8" w:name="_Toc35393789"/>
      <w:bookmarkStart w:id="9" w:name="_Toc28359001"/>
      <w:r>
        <w:rPr>
          <w:rFonts w:hint="eastAsia" w:ascii="宋体" w:hAnsi="宋体" w:cs="宋体"/>
          <w:color w:val="auto"/>
          <w:sz w:val="44"/>
          <w:szCs w:val="44"/>
        </w:rPr>
        <w:t xml:space="preserve">  招标公告</w:t>
      </w:r>
      <w:bookmarkEnd w:id="1"/>
      <w:bookmarkEnd w:id="8"/>
      <w:bookmarkEnd w:id="9"/>
    </w:p>
    <w:p w14:paraId="68C16253">
      <w:pPr>
        <w:keepNext w:val="0"/>
        <w:keepLines w:val="0"/>
        <w:pageBreakBefore w:val="0"/>
        <w:kinsoku/>
        <w:wordWrap/>
        <w:overflowPunct/>
        <w:topLinePunct w:val="0"/>
        <w:bidi w:val="0"/>
        <w:spacing w:line="360" w:lineRule="auto"/>
        <w:jc w:val="center"/>
        <w:outlineLvl w:val="1"/>
        <w:rPr>
          <w:rFonts w:ascii="宋体" w:hAnsi="宋体"/>
          <w:color w:val="auto"/>
          <w:sz w:val="36"/>
          <w:szCs w:val="36"/>
        </w:rPr>
      </w:pPr>
      <w:r>
        <w:rPr>
          <w:rFonts w:hint="eastAsia" w:ascii="宋体" w:hAnsi="宋体"/>
          <w:color w:val="auto"/>
          <w:sz w:val="36"/>
          <w:szCs w:val="36"/>
          <w:lang w:eastAsia="zh-CN"/>
        </w:rPr>
        <w:t>滇西应用技术大学普洱茶学院数智化校园建设项目</w:t>
      </w:r>
      <w:r>
        <w:rPr>
          <w:rFonts w:hint="eastAsia" w:ascii="宋体" w:hAnsi="宋体"/>
          <w:color w:val="auto"/>
          <w:sz w:val="36"/>
          <w:szCs w:val="36"/>
        </w:rPr>
        <w:t>招标公告</w:t>
      </w:r>
    </w:p>
    <w:p w14:paraId="761A0CEA">
      <w:pPr>
        <w:pStyle w:val="13"/>
        <w:keepNext w:val="0"/>
        <w:keepLines w:val="0"/>
        <w:pageBreakBefore w:val="0"/>
        <w:kinsoku/>
        <w:wordWrap/>
        <w:overflowPunct/>
        <w:topLinePunct w:val="0"/>
        <w:bidi w:val="0"/>
        <w:spacing w:line="360" w:lineRule="auto"/>
        <w:jc w:val="left"/>
        <w:rPr>
          <w:rFonts w:ascii="Times New Roman" w:hAnsi="宋体" w:cs="宋体"/>
          <w:bCs/>
          <w:color w:val="auto"/>
          <w:sz w:val="28"/>
          <w:szCs w:val="28"/>
        </w:rPr>
      </w:pPr>
      <w:r>
        <w:rPr>
          <w:rFonts w:hint="eastAsia" w:ascii="Times New Roman" w:hAnsi="宋体" w:cs="宋体"/>
          <w:bCs/>
          <w:color w:val="auto"/>
          <w:sz w:val="28"/>
          <w:szCs w:val="28"/>
        </w:rPr>
        <w:t>项目概况</w:t>
      </w:r>
    </w:p>
    <w:p w14:paraId="18756480">
      <w:pPr>
        <w:pStyle w:val="13"/>
        <w:keepNext w:val="0"/>
        <w:keepLines w:val="0"/>
        <w:pageBreakBefore w:val="0"/>
        <w:kinsoku/>
        <w:wordWrap/>
        <w:overflowPunct/>
        <w:topLinePunct w:val="0"/>
        <w:bidi w:val="0"/>
        <w:spacing w:line="360" w:lineRule="auto"/>
        <w:ind w:firstLine="420" w:firstLineChars="200"/>
        <w:outlineLvl w:val="0"/>
        <w:rPr>
          <w:rFonts w:hAnsi="宋体" w:cs="宋体"/>
          <w:b w:val="0"/>
          <w:color w:val="auto"/>
          <w:sz w:val="21"/>
          <w:szCs w:val="21"/>
        </w:rPr>
      </w:pPr>
      <w:r>
        <w:rPr>
          <w:rFonts w:hint="eastAsia" w:hAnsi="宋体" w:cs="宋体"/>
          <w:b w:val="0"/>
          <w:color w:val="auto"/>
          <w:sz w:val="21"/>
          <w:szCs w:val="21"/>
          <w:u w:val="single"/>
          <w:lang w:eastAsia="zh-CN"/>
        </w:rPr>
        <w:t>滇西应用技术大学普洱茶学院数智化校园建设项目</w:t>
      </w:r>
      <w:r>
        <w:rPr>
          <w:rFonts w:hAnsi="宋体" w:cs="宋体"/>
          <w:b w:val="0"/>
          <w:color w:val="auto"/>
          <w:sz w:val="21"/>
          <w:szCs w:val="21"/>
        </w:rPr>
        <w:t>的</w:t>
      </w:r>
      <w:r>
        <w:rPr>
          <w:rFonts w:hint="eastAsia" w:ascii="宋体" w:hAnsi="宋体" w:eastAsia="宋体"/>
          <w:sz w:val="21"/>
          <w:szCs w:val="21"/>
        </w:rPr>
        <w:t>潜在</w:t>
      </w:r>
      <w:r>
        <w:rPr>
          <w:rFonts w:hint="eastAsia" w:ascii="宋体" w:hAnsi="宋体" w:eastAsia="宋体"/>
          <w:sz w:val="21"/>
          <w:szCs w:val="21"/>
          <w:lang w:val="en-US" w:eastAsia="zh-CN"/>
        </w:rPr>
        <w:t>供应商</w:t>
      </w:r>
      <w:r>
        <w:rPr>
          <w:rFonts w:hint="eastAsia" w:ascii="宋体" w:hAnsi="宋体" w:eastAsia="宋体"/>
          <w:sz w:val="21"/>
          <w:szCs w:val="21"/>
        </w:rPr>
        <w:t>应</w:t>
      </w:r>
      <w:r>
        <w:rPr>
          <w:rFonts w:hint="eastAsia" w:ascii="宋体" w:hAnsi="宋体" w:cs="Times New Roman"/>
          <w:bCs/>
          <w:sz w:val="21"/>
          <w:szCs w:val="21"/>
          <w:highlight w:val="none"/>
          <w:u w:val="single"/>
          <w:lang w:val="en-US" w:eastAsia="zh-CN"/>
        </w:rPr>
        <w:t>在“政采云”平台（http：//www.zcygov.cn）（操作路径：登录“政采云”平台-项目采购-获取采购文件-找到本项目-点击“申请获取采购文件”）获取采购文件</w:t>
      </w:r>
      <w:r>
        <w:rPr>
          <w:rFonts w:hAnsi="宋体" w:cs="宋体"/>
          <w:b w:val="0"/>
          <w:color w:val="auto"/>
          <w:sz w:val="21"/>
          <w:szCs w:val="21"/>
        </w:rPr>
        <w:t>，并于</w:t>
      </w:r>
      <w:r>
        <w:rPr>
          <w:rFonts w:hAnsi="宋体" w:cs="宋体"/>
          <w:b w:val="0"/>
          <w:color w:val="auto"/>
          <w:sz w:val="21"/>
          <w:szCs w:val="21"/>
          <w:u w:val="single"/>
        </w:rPr>
        <w:t>202</w:t>
      </w:r>
      <w:r>
        <w:rPr>
          <w:rFonts w:hint="eastAsia" w:hAnsi="宋体" w:cs="宋体"/>
          <w:b w:val="0"/>
          <w:color w:val="auto"/>
          <w:sz w:val="21"/>
          <w:szCs w:val="21"/>
          <w:u w:val="single"/>
          <w:lang w:val="en-US" w:eastAsia="zh-CN"/>
        </w:rPr>
        <w:t>5</w:t>
      </w:r>
      <w:r>
        <w:rPr>
          <w:rFonts w:hAnsi="宋体" w:cs="宋体"/>
          <w:b w:val="0"/>
          <w:color w:val="auto"/>
          <w:sz w:val="21"/>
          <w:szCs w:val="21"/>
        </w:rPr>
        <w:t>年</w:t>
      </w:r>
      <w:r>
        <w:rPr>
          <w:rFonts w:hint="eastAsia" w:hAnsi="宋体" w:cs="宋体"/>
          <w:b w:val="0"/>
          <w:color w:val="auto"/>
          <w:sz w:val="21"/>
          <w:szCs w:val="21"/>
          <w:u w:val="single"/>
          <w:lang w:val="en-US" w:eastAsia="zh-CN"/>
        </w:rPr>
        <w:t>08</w:t>
      </w:r>
      <w:r>
        <w:rPr>
          <w:rFonts w:hAnsi="宋体" w:cs="宋体"/>
          <w:b w:val="0"/>
          <w:color w:val="auto"/>
          <w:sz w:val="21"/>
          <w:szCs w:val="21"/>
        </w:rPr>
        <w:t>月</w:t>
      </w:r>
      <w:r>
        <w:rPr>
          <w:rFonts w:hint="eastAsia" w:hAnsi="宋体" w:cs="宋体"/>
          <w:b w:val="0"/>
          <w:color w:val="auto"/>
          <w:sz w:val="21"/>
          <w:szCs w:val="21"/>
          <w:u w:val="single"/>
          <w:lang w:val="en-US" w:eastAsia="zh-CN"/>
        </w:rPr>
        <w:t>20</w:t>
      </w:r>
      <w:r>
        <w:rPr>
          <w:rFonts w:hAnsi="宋体" w:cs="宋体"/>
          <w:b w:val="0"/>
          <w:color w:val="auto"/>
          <w:sz w:val="21"/>
          <w:szCs w:val="21"/>
        </w:rPr>
        <w:t>日</w:t>
      </w:r>
      <w:r>
        <w:rPr>
          <w:rFonts w:hint="eastAsia" w:hAnsi="宋体" w:cs="宋体"/>
          <w:b w:val="0"/>
          <w:color w:val="auto"/>
          <w:sz w:val="21"/>
          <w:szCs w:val="21"/>
          <w:u w:val="single"/>
        </w:rPr>
        <w:t>09</w:t>
      </w:r>
      <w:r>
        <w:rPr>
          <w:rFonts w:hint="eastAsia" w:hAnsi="宋体" w:cs="宋体"/>
          <w:b w:val="0"/>
          <w:color w:val="auto"/>
          <w:sz w:val="21"/>
          <w:szCs w:val="21"/>
        </w:rPr>
        <w:t>时</w:t>
      </w:r>
      <w:r>
        <w:rPr>
          <w:rFonts w:hAnsi="宋体" w:cs="宋体"/>
          <w:b w:val="0"/>
          <w:color w:val="auto"/>
          <w:sz w:val="21"/>
          <w:szCs w:val="21"/>
          <w:u w:val="single"/>
        </w:rPr>
        <w:t>00</w:t>
      </w:r>
      <w:r>
        <w:rPr>
          <w:rFonts w:hAnsi="宋体" w:cs="宋体"/>
          <w:b w:val="0"/>
          <w:color w:val="auto"/>
          <w:sz w:val="21"/>
          <w:szCs w:val="21"/>
        </w:rPr>
        <w:t>分（北京时间）前提交投标文件。</w:t>
      </w:r>
    </w:p>
    <w:p w14:paraId="0252165D">
      <w:pPr>
        <w:keepNext w:val="0"/>
        <w:keepLines w:val="0"/>
        <w:pageBreakBefore w:val="0"/>
        <w:kinsoku/>
        <w:wordWrap/>
        <w:overflowPunct/>
        <w:topLinePunct w:val="0"/>
        <w:bidi w:val="0"/>
        <w:spacing w:before="156" w:beforeLines="50" w:line="360" w:lineRule="auto"/>
        <w:jc w:val="left"/>
        <w:outlineLvl w:val="1"/>
        <w:rPr>
          <w:rFonts w:hAnsi="宋体"/>
          <w:bCs/>
          <w:color w:val="auto"/>
          <w:sz w:val="28"/>
          <w:szCs w:val="28"/>
        </w:rPr>
      </w:pPr>
      <w:bookmarkStart w:id="10" w:name="_Toc35393629"/>
      <w:bookmarkStart w:id="11" w:name="_Toc28359089"/>
      <w:bookmarkStart w:id="12" w:name="_Toc46924526"/>
      <w:bookmarkStart w:id="13" w:name="_Toc35393798"/>
      <w:bookmarkStart w:id="14" w:name="_Toc28359012"/>
      <w:bookmarkStart w:id="15" w:name="_Toc35393791"/>
      <w:bookmarkStart w:id="16" w:name="_Toc28359080"/>
      <w:bookmarkStart w:id="17" w:name="_Toc35393622"/>
      <w:bookmarkStart w:id="18" w:name="_Toc28359003"/>
      <w:r>
        <w:rPr>
          <w:rFonts w:hint="eastAsia" w:hAnsi="宋体"/>
          <w:bCs/>
          <w:color w:val="auto"/>
          <w:sz w:val="28"/>
          <w:szCs w:val="28"/>
        </w:rPr>
        <w:t>一、项目基本情况</w:t>
      </w:r>
      <w:bookmarkEnd w:id="10"/>
      <w:bookmarkEnd w:id="11"/>
      <w:bookmarkEnd w:id="12"/>
      <w:bookmarkEnd w:id="13"/>
      <w:bookmarkEnd w:id="14"/>
    </w:p>
    <w:p w14:paraId="700B555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360" w:rightChars="0" w:firstLine="420" w:firstLineChars="200"/>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rPr>
        <w:t>1.1 项目编号：</w:t>
      </w:r>
      <w:r>
        <w:rPr>
          <w:rFonts w:hint="eastAsia" w:ascii="宋体" w:hAnsi="宋体" w:cs="宋体"/>
          <w:b w:val="0"/>
          <w:bCs w:val="0"/>
          <w:i w:val="0"/>
          <w:iCs w:val="0"/>
          <w:caps w:val="0"/>
          <w:spacing w:val="0"/>
          <w:sz w:val="21"/>
          <w:szCs w:val="21"/>
          <w:highlight w:val="none"/>
          <w:shd w:val="clear" w:fill="FFFFFF"/>
          <w:lang w:eastAsia="zh-CN"/>
        </w:rPr>
        <w:t>PEZC2025-G1-00882-YNAZ-0033</w:t>
      </w:r>
    </w:p>
    <w:p w14:paraId="555AB49C">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b w:val="0"/>
          <w:color w:val="auto"/>
          <w:sz w:val="21"/>
          <w:szCs w:val="21"/>
          <w:lang w:eastAsia="zh-CN"/>
        </w:rPr>
      </w:pPr>
      <w:r>
        <w:rPr>
          <w:rFonts w:hint="eastAsia" w:ascii="宋体" w:hAnsi="宋体"/>
          <w:b w:val="0"/>
          <w:color w:val="auto"/>
          <w:sz w:val="21"/>
          <w:szCs w:val="21"/>
        </w:rPr>
        <w:t>1.2 项目名称：</w:t>
      </w:r>
      <w:r>
        <w:rPr>
          <w:rFonts w:hint="eastAsia" w:ascii="宋体" w:hAnsi="宋体"/>
          <w:b w:val="0"/>
          <w:color w:val="auto"/>
          <w:sz w:val="21"/>
          <w:szCs w:val="21"/>
          <w:lang w:eastAsia="zh-CN"/>
        </w:rPr>
        <w:t>滇西应用技术大学普洱茶学院数智化校园建设项目</w:t>
      </w:r>
    </w:p>
    <w:p w14:paraId="0C7D1BF9">
      <w:pPr>
        <w:keepNext w:val="0"/>
        <w:keepLines w:val="0"/>
        <w:pageBreakBefore w:val="0"/>
        <w:widowControl w:val="0"/>
        <w:tabs>
          <w:tab w:val="left" w:pos="437"/>
        </w:tabs>
        <w:kinsoku/>
        <w:wordWrap/>
        <w:overflowPunct/>
        <w:topLinePunct w:val="0"/>
        <w:autoSpaceDE/>
        <w:autoSpaceDN/>
        <w:bidi w:val="0"/>
        <w:adjustRightInd/>
        <w:snapToGrid/>
        <w:spacing w:line="480" w:lineRule="auto"/>
        <w:textAlignment w:val="auto"/>
        <w:rPr>
          <w:rFonts w:hint="eastAsia" w:ascii="宋体" w:hAnsi="宋体" w:eastAsia="宋体"/>
          <w:b w:val="0"/>
          <w:color w:val="auto"/>
          <w:sz w:val="21"/>
          <w:szCs w:val="21"/>
          <w:lang w:val="en-US" w:eastAsia="zh-CN"/>
        </w:rPr>
      </w:pPr>
      <w:r>
        <w:rPr>
          <w:rFonts w:hint="eastAsia" w:ascii="宋体" w:hAnsi="宋体"/>
          <w:b w:val="0"/>
          <w:color w:val="auto"/>
          <w:sz w:val="21"/>
          <w:szCs w:val="21"/>
          <w:lang w:eastAsia="zh-CN"/>
        </w:rPr>
        <w:tab/>
      </w:r>
      <w:r>
        <w:rPr>
          <w:rFonts w:hint="eastAsia" w:ascii="宋体" w:hAnsi="宋体"/>
          <w:b w:val="0"/>
          <w:color w:val="auto"/>
          <w:sz w:val="21"/>
          <w:szCs w:val="21"/>
          <w:lang w:val="en-US" w:eastAsia="zh-CN"/>
        </w:rPr>
        <w:t>1.3</w:t>
      </w:r>
      <w:r>
        <w:rPr>
          <w:rFonts w:hint="eastAsia" w:ascii="宋体" w:hAnsi="宋体"/>
          <w:b w:val="0"/>
          <w:color w:val="auto"/>
          <w:sz w:val="21"/>
          <w:szCs w:val="21"/>
        </w:rPr>
        <w:t>最高限价：6394966.00</w:t>
      </w:r>
      <w:r>
        <w:rPr>
          <w:rFonts w:hint="eastAsia" w:ascii="宋体" w:hAnsi="宋体"/>
          <w:b w:val="0"/>
          <w:color w:val="auto"/>
          <w:sz w:val="21"/>
          <w:szCs w:val="21"/>
          <w:lang w:val="en-US" w:eastAsia="zh-CN"/>
        </w:rPr>
        <w:t>元</w:t>
      </w:r>
    </w:p>
    <w:p w14:paraId="5FC7DCD1">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ascii="宋体" w:hAnsi="宋体"/>
          <w:b w:val="0"/>
          <w:color w:val="auto"/>
          <w:sz w:val="21"/>
          <w:szCs w:val="21"/>
        </w:rPr>
      </w:pPr>
      <w:r>
        <w:rPr>
          <w:rFonts w:hint="eastAsia" w:ascii="宋体" w:hAnsi="宋体"/>
          <w:b w:val="0"/>
          <w:color w:val="auto"/>
          <w:sz w:val="21"/>
          <w:szCs w:val="21"/>
        </w:rPr>
        <w:t>1.</w:t>
      </w:r>
      <w:r>
        <w:rPr>
          <w:rFonts w:hint="eastAsia" w:ascii="宋体" w:hAnsi="宋体"/>
          <w:b w:val="0"/>
          <w:color w:val="auto"/>
          <w:sz w:val="21"/>
          <w:szCs w:val="21"/>
          <w:lang w:val="en-US" w:eastAsia="zh-CN"/>
        </w:rPr>
        <w:t>4</w:t>
      </w:r>
      <w:r>
        <w:rPr>
          <w:rFonts w:hint="eastAsia" w:ascii="宋体" w:hAnsi="宋体"/>
          <w:b w:val="0"/>
          <w:color w:val="auto"/>
          <w:sz w:val="21"/>
          <w:szCs w:val="21"/>
        </w:rPr>
        <w:t xml:space="preserve"> 采购方式：公开招标</w:t>
      </w:r>
    </w:p>
    <w:p w14:paraId="4E79A56F">
      <w:pPr>
        <w:pStyle w:val="13"/>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default"/>
          <w:sz w:val="21"/>
          <w:szCs w:val="21"/>
          <w:lang w:val="en-US" w:eastAsia="zh-CN"/>
        </w:rPr>
      </w:pPr>
      <w:r>
        <w:rPr>
          <w:rFonts w:hint="eastAsia" w:ascii="宋体" w:hAnsi="宋体"/>
          <w:b w:val="0"/>
          <w:color w:val="auto"/>
          <w:sz w:val="21"/>
          <w:szCs w:val="21"/>
        </w:rPr>
        <w:t>1.</w:t>
      </w:r>
      <w:r>
        <w:rPr>
          <w:rFonts w:hint="eastAsia" w:hAnsi="宋体"/>
          <w:b w:val="0"/>
          <w:color w:val="auto"/>
          <w:sz w:val="21"/>
          <w:szCs w:val="21"/>
          <w:lang w:val="en-US" w:eastAsia="zh-CN"/>
        </w:rPr>
        <w:t>5</w:t>
      </w:r>
      <w:r>
        <w:rPr>
          <w:rFonts w:hint="eastAsia" w:ascii="宋体" w:hAnsi="宋体"/>
          <w:b w:val="0"/>
          <w:color w:val="auto"/>
          <w:sz w:val="21"/>
          <w:szCs w:val="21"/>
        </w:rPr>
        <w:t xml:space="preserve"> 采购内容：</w:t>
      </w:r>
    </w:p>
    <w:tbl>
      <w:tblPr>
        <w:tblStyle w:val="35"/>
        <w:tblW w:w="502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65"/>
        <w:gridCol w:w="3563"/>
        <w:gridCol w:w="1501"/>
        <w:gridCol w:w="1963"/>
        <w:gridCol w:w="1840"/>
      </w:tblGrid>
      <w:tr w14:paraId="2374C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jc w:val="center"/>
        </w:trPr>
        <w:tc>
          <w:tcPr>
            <w:tcW w:w="624" w:type="pct"/>
            <w:tcBorders>
              <w:top w:val="single" w:color="000000" w:sz="4" w:space="0"/>
              <w:left w:val="single" w:color="000000" w:sz="4" w:space="0"/>
              <w:bottom w:val="single" w:color="auto" w:sz="4" w:space="0"/>
              <w:right w:val="single" w:color="000000" w:sz="4" w:space="0"/>
            </w:tcBorders>
            <w:shd w:val="clear" w:color="auto" w:fill="auto"/>
            <w:vAlign w:val="center"/>
          </w:tcPr>
          <w:p w14:paraId="658D60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序号</w:t>
            </w:r>
          </w:p>
        </w:tc>
        <w:tc>
          <w:tcPr>
            <w:tcW w:w="1758" w:type="pct"/>
            <w:tcBorders>
              <w:top w:val="single" w:color="000000" w:sz="4" w:space="0"/>
              <w:left w:val="single" w:color="000000" w:sz="4" w:space="0"/>
              <w:bottom w:val="single" w:color="auto" w:sz="4" w:space="0"/>
              <w:right w:val="single" w:color="auto" w:sz="4" w:space="0"/>
            </w:tcBorders>
            <w:shd w:val="clear" w:color="auto" w:fill="auto"/>
            <w:vAlign w:val="center"/>
          </w:tcPr>
          <w:p w14:paraId="1C6F01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产品（项目）名称</w:t>
            </w:r>
          </w:p>
        </w:tc>
        <w:tc>
          <w:tcPr>
            <w:tcW w:w="740" w:type="pct"/>
            <w:tcBorders>
              <w:top w:val="single" w:color="auto" w:sz="4" w:space="0"/>
              <w:left w:val="single" w:color="auto" w:sz="4" w:space="0"/>
              <w:bottom w:val="single" w:color="auto" w:sz="4" w:space="0"/>
              <w:right w:val="single" w:color="000000" w:sz="4" w:space="0"/>
            </w:tcBorders>
            <w:shd w:val="clear" w:color="auto" w:fill="auto"/>
            <w:vAlign w:val="center"/>
          </w:tcPr>
          <w:p w14:paraId="54B5028A">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数量（</w:t>
            </w:r>
            <w:r>
              <w:rPr>
                <w:rFonts w:hint="eastAsia" w:ascii="宋体" w:hAnsi="宋体" w:eastAsia="宋体" w:cs="宋体"/>
                <w:b w:val="0"/>
                <w:bCs w:val="0"/>
                <w:i w:val="0"/>
                <w:iCs w:val="0"/>
                <w:color w:val="000000"/>
                <w:kern w:val="0"/>
                <w:sz w:val="21"/>
                <w:szCs w:val="21"/>
                <w:u w:val="none"/>
                <w:lang w:val="en-US" w:eastAsia="zh-CN" w:bidi="ar"/>
              </w:rPr>
              <w:t>/项）</w:t>
            </w:r>
          </w:p>
        </w:tc>
        <w:tc>
          <w:tcPr>
            <w:tcW w:w="968" w:type="pct"/>
            <w:tcBorders>
              <w:top w:val="single" w:color="auto" w:sz="4" w:space="0"/>
              <w:left w:val="single" w:color="000000" w:sz="4" w:space="0"/>
              <w:bottom w:val="single" w:color="auto" w:sz="4" w:space="0"/>
              <w:right w:val="single" w:color="auto" w:sz="4" w:space="0"/>
            </w:tcBorders>
            <w:shd w:val="clear" w:color="auto" w:fill="auto"/>
            <w:vAlign w:val="center"/>
          </w:tcPr>
          <w:p w14:paraId="5D3C778E">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总价</w:t>
            </w:r>
          </w:p>
        </w:tc>
        <w:tc>
          <w:tcPr>
            <w:tcW w:w="907" w:type="pct"/>
            <w:tcBorders>
              <w:top w:val="single" w:color="auto" w:sz="4" w:space="0"/>
              <w:left w:val="single" w:color="000000" w:sz="4" w:space="0"/>
              <w:bottom w:val="single" w:color="auto" w:sz="4" w:space="0"/>
              <w:right w:val="single" w:color="auto" w:sz="4" w:space="0"/>
            </w:tcBorders>
            <w:shd w:val="clear" w:color="auto" w:fill="auto"/>
            <w:vAlign w:val="center"/>
          </w:tcPr>
          <w:p w14:paraId="7E09E30F">
            <w:pPr>
              <w:keepNext w:val="0"/>
              <w:keepLines w:val="0"/>
              <w:pageBreakBefore w:val="0"/>
              <w:widowControl/>
              <w:suppressLineNumbers w:val="0"/>
              <w:kinsoku/>
              <w:wordWrap/>
              <w:overflowPunct/>
              <w:topLinePunct w:val="0"/>
              <w:bidi w:val="0"/>
              <w:spacing w:line="360" w:lineRule="auto"/>
              <w:jc w:val="center"/>
              <w:textAlignment w:val="center"/>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产品说明及</w:t>
            </w:r>
          </w:p>
          <w:p w14:paraId="7DA49D03">
            <w:pPr>
              <w:keepNext w:val="0"/>
              <w:keepLines w:val="0"/>
              <w:widowControl/>
              <w:suppressLineNumbers w:val="0"/>
              <w:jc w:val="center"/>
              <w:textAlignment w:val="center"/>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参数要求</w:t>
            </w:r>
          </w:p>
        </w:tc>
      </w:tr>
      <w:tr w14:paraId="6807A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jc w:val="center"/>
        </w:trPr>
        <w:tc>
          <w:tcPr>
            <w:tcW w:w="624" w:type="pct"/>
            <w:tcBorders>
              <w:top w:val="single" w:color="auto" w:sz="4" w:space="0"/>
              <w:left w:val="single" w:color="auto" w:sz="4" w:space="0"/>
              <w:bottom w:val="single" w:color="000000" w:sz="4" w:space="0"/>
              <w:right w:val="single" w:color="auto" w:sz="4" w:space="0"/>
            </w:tcBorders>
            <w:shd w:val="clear" w:color="auto" w:fill="auto"/>
            <w:vAlign w:val="center"/>
          </w:tcPr>
          <w:p w14:paraId="5D617C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1758" w:type="pct"/>
            <w:tcBorders>
              <w:top w:val="single" w:color="auto" w:sz="4" w:space="0"/>
              <w:left w:val="single" w:color="auto" w:sz="4" w:space="0"/>
              <w:bottom w:val="single" w:color="000000" w:sz="4" w:space="0"/>
              <w:right w:val="single" w:color="auto" w:sz="4" w:space="0"/>
            </w:tcBorders>
            <w:shd w:val="clear" w:color="auto" w:fill="auto"/>
            <w:vAlign w:val="center"/>
          </w:tcPr>
          <w:p w14:paraId="00587D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网络设备</w:t>
            </w:r>
          </w:p>
        </w:tc>
        <w:tc>
          <w:tcPr>
            <w:tcW w:w="740" w:type="pct"/>
            <w:tcBorders>
              <w:top w:val="single" w:color="auto" w:sz="4" w:space="0"/>
              <w:left w:val="single" w:color="auto" w:sz="4" w:space="0"/>
              <w:bottom w:val="single" w:color="auto" w:sz="4" w:space="0"/>
              <w:right w:val="single" w:color="auto" w:sz="4" w:space="0"/>
            </w:tcBorders>
            <w:shd w:val="clear" w:color="auto" w:fill="auto"/>
            <w:vAlign w:val="center"/>
          </w:tcPr>
          <w:p w14:paraId="0EA518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14:paraId="07EB7C51">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2776342</w:t>
            </w:r>
            <w:r>
              <w:rPr>
                <w:rFonts w:hint="eastAsia" w:ascii="宋体" w:hAnsi="宋体" w:cs="宋体"/>
                <w:b w:val="0"/>
                <w:bCs w:val="0"/>
                <w:i w:val="0"/>
                <w:iCs w:val="0"/>
                <w:color w:val="000000"/>
                <w:kern w:val="0"/>
                <w:sz w:val="21"/>
                <w:szCs w:val="21"/>
                <w:u w:val="none"/>
                <w:lang w:val="en-US" w:eastAsia="zh-CN" w:bidi="ar"/>
              </w:rPr>
              <w:t>.00</w:t>
            </w:r>
            <w:r>
              <w:rPr>
                <w:rFonts w:hint="eastAsia" w:ascii="宋体" w:hAnsi="宋体" w:eastAsia="宋体" w:cs="宋体"/>
                <w:b w:val="0"/>
                <w:bCs w:val="0"/>
                <w:i w:val="0"/>
                <w:iCs w:val="0"/>
                <w:color w:val="000000"/>
                <w:kern w:val="0"/>
                <w:sz w:val="21"/>
                <w:szCs w:val="21"/>
                <w:u w:val="none"/>
                <w:lang w:val="en-US" w:eastAsia="zh-CN" w:bidi="ar"/>
              </w:rPr>
              <w:t xml:space="preserve"> </w:t>
            </w:r>
          </w:p>
        </w:tc>
        <w:tc>
          <w:tcPr>
            <w:tcW w:w="907" w:type="pct"/>
            <w:vMerge w:val="restart"/>
            <w:tcBorders>
              <w:top w:val="single" w:color="auto" w:sz="4" w:space="0"/>
              <w:left w:val="single" w:color="000000" w:sz="4" w:space="0"/>
              <w:right w:val="single" w:color="auto" w:sz="4" w:space="0"/>
            </w:tcBorders>
            <w:shd w:val="clear" w:color="auto" w:fill="auto"/>
            <w:vAlign w:val="center"/>
          </w:tcPr>
          <w:p w14:paraId="4C5EB9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p>
          <w:p w14:paraId="4EECBE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p>
          <w:p w14:paraId="0AC2C9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p>
          <w:p w14:paraId="48CB18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p>
          <w:p w14:paraId="46BC9150">
            <w:pPr>
              <w:keepNext w:val="0"/>
              <w:keepLines w:val="0"/>
              <w:widowControl/>
              <w:suppressLineNumbers w:val="0"/>
              <w:jc w:val="center"/>
              <w:textAlignment w:val="center"/>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详见第六章采购内容</w:t>
            </w:r>
          </w:p>
        </w:tc>
      </w:tr>
      <w:tr w14:paraId="05B33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jc w:val="center"/>
        </w:trPr>
        <w:tc>
          <w:tcPr>
            <w:tcW w:w="624" w:type="pct"/>
            <w:tcBorders>
              <w:top w:val="single" w:color="000000" w:sz="4" w:space="0"/>
              <w:left w:val="single" w:color="auto" w:sz="4" w:space="0"/>
              <w:bottom w:val="single" w:color="000000" w:sz="4" w:space="0"/>
              <w:right w:val="single" w:color="auto" w:sz="4" w:space="0"/>
            </w:tcBorders>
            <w:shd w:val="clear" w:color="auto" w:fill="auto"/>
            <w:vAlign w:val="center"/>
          </w:tcPr>
          <w:p w14:paraId="05C92B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2</w:t>
            </w:r>
          </w:p>
        </w:tc>
        <w:tc>
          <w:tcPr>
            <w:tcW w:w="1758" w:type="pct"/>
            <w:tcBorders>
              <w:top w:val="single" w:color="000000" w:sz="4" w:space="0"/>
              <w:left w:val="single" w:color="auto" w:sz="4" w:space="0"/>
              <w:bottom w:val="single" w:color="000000" w:sz="4" w:space="0"/>
              <w:right w:val="single" w:color="auto" w:sz="4" w:space="0"/>
            </w:tcBorders>
            <w:shd w:val="clear" w:color="auto" w:fill="auto"/>
            <w:vAlign w:val="center"/>
          </w:tcPr>
          <w:p w14:paraId="5EE1E6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安全等保</w:t>
            </w:r>
          </w:p>
        </w:tc>
        <w:tc>
          <w:tcPr>
            <w:tcW w:w="740" w:type="pct"/>
            <w:tcBorders>
              <w:top w:val="single" w:color="auto" w:sz="4" w:space="0"/>
              <w:left w:val="single" w:color="auto" w:sz="4" w:space="0"/>
              <w:bottom w:val="single" w:color="auto" w:sz="4" w:space="0"/>
              <w:right w:val="single" w:color="auto" w:sz="4" w:space="0"/>
            </w:tcBorders>
            <w:shd w:val="clear" w:color="auto" w:fill="auto"/>
            <w:vAlign w:val="center"/>
          </w:tcPr>
          <w:p w14:paraId="2F8530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14:paraId="71E2A7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1009947</w:t>
            </w:r>
            <w:r>
              <w:rPr>
                <w:rFonts w:hint="eastAsia" w:ascii="宋体" w:hAnsi="宋体" w:cs="宋体"/>
                <w:b w:val="0"/>
                <w:bCs w:val="0"/>
                <w:i w:val="0"/>
                <w:iCs w:val="0"/>
                <w:color w:val="000000"/>
                <w:kern w:val="0"/>
                <w:sz w:val="21"/>
                <w:szCs w:val="21"/>
                <w:u w:val="none"/>
                <w:lang w:val="en-US" w:eastAsia="zh-CN" w:bidi="ar"/>
              </w:rPr>
              <w:t>.00</w:t>
            </w:r>
            <w:r>
              <w:rPr>
                <w:rFonts w:hint="eastAsia" w:ascii="宋体" w:hAnsi="宋体" w:eastAsia="宋体" w:cs="宋体"/>
                <w:b w:val="0"/>
                <w:bCs w:val="0"/>
                <w:i w:val="0"/>
                <w:iCs w:val="0"/>
                <w:color w:val="000000"/>
                <w:kern w:val="0"/>
                <w:sz w:val="21"/>
                <w:szCs w:val="21"/>
                <w:u w:val="none"/>
                <w:lang w:val="en-US" w:eastAsia="zh-CN" w:bidi="ar"/>
              </w:rPr>
              <w:t xml:space="preserve"> </w:t>
            </w:r>
          </w:p>
        </w:tc>
        <w:tc>
          <w:tcPr>
            <w:tcW w:w="907" w:type="pct"/>
            <w:vMerge w:val="continue"/>
            <w:tcBorders>
              <w:left w:val="single" w:color="000000" w:sz="4" w:space="0"/>
              <w:right w:val="single" w:color="auto" w:sz="4" w:space="0"/>
            </w:tcBorders>
            <w:shd w:val="clear" w:color="auto" w:fill="auto"/>
            <w:vAlign w:val="center"/>
          </w:tcPr>
          <w:p w14:paraId="03810F2F">
            <w:pPr>
              <w:keepNext w:val="0"/>
              <w:keepLines w:val="0"/>
              <w:widowControl/>
              <w:suppressLineNumbers w:val="0"/>
              <w:jc w:val="center"/>
              <w:textAlignment w:val="center"/>
              <w:rPr>
                <w:rFonts w:hint="eastAsia" w:ascii="宋体" w:hAnsi="宋体" w:eastAsia="宋体" w:cs="宋体"/>
                <w:b w:val="0"/>
                <w:bCs w:val="0"/>
                <w:color w:val="000000"/>
                <w:kern w:val="0"/>
                <w:sz w:val="21"/>
                <w:szCs w:val="21"/>
                <w:lang w:val="en-US" w:eastAsia="zh-CN" w:bidi="ar"/>
              </w:rPr>
            </w:pPr>
          </w:p>
        </w:tc>
      </w:tr>
      <w:tr w14:paraId="33C3F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jc w:val="center"/>
        </w:trPr>
        <w:tc>
          <w:tcPr>
            <w:tcW w:w="624" w:type="pct"/>
            <w:tcBorders>
              <w:top w:val="single" w:color="000000" w:sz="4" w:space="0"/>
              <w:left w:val="single" w:color="auto" w:sz="4" w:space="0"/>
              <w:bottom w:val="single" w:color="000000" w:sz="4" w:space="0"/>
              <w:right w:val="single" w:color="auto" w:sz="4" w:space="0"/>
            </w:tcBorders>
            <w:shd w:val="clear" w:color="auto" w:fill="auto"/>
            <w:vAlign w:val="center"/>
          </w:tcPr>
          <w:p w14:paraId="113F2E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3</w:t>
            </w:r>
          </w:p>
        </w:tc>
        <w:tc>
          <w:tcPr>
            <w:tcW w:w="1758" w:type="pct"/>
            <w:tcBorders>
              <w:top w:val="single" w:color="000000" w:sz="4" w:space="0"/>
              <w:left w:val="single" w:color="auto" w:sz="4" w:space="0"/>
              <w:bottom w:val="single" w:color="auto" w:sz="4" w:space="0"/>
              <w:right w:val="single" w:color="auto" w:sz="4" w:space="0"/>
            </w:tcBorders>
            <w:shd w:val="clear" w:color="auto" w:fill="auto"/>
            <w:vAlign w:val="center"/>
          </w:tcPr>
          <w:p w14:paraId="634E73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智慧校园百事通</w:t>
            </w:r>
          </w:p>
        </w:tc>
        <w:tc>
          <w:tcPr>
            <w:tcW w:w="740" w:type="pct"/>
            <w:tcBorders>
              <w:top w:val="single" w:color="auto" w:sz="4" w:space="0"/>
              <w:left w:val="single" w:color="auto" w:sz="4" w:space="0"/>
              <w:bottom w:val="single" w:color="auto" w:sz="4" w:space="0"/>
              <w:right w:val="single" w:color="auto" w:sz="4" w:space="0"/>
            </w:tcBorders>
            <w:shd w:val="clear" w:color="auto" w:fill="auto"/>
            <w:vAlign w:val="center"/>
          </w:tcPr>
          <w:p w14:paraId="17024F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14:paraId="497700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498960</w:t>
            </w:r>
            <w:r>
              <w:rPr>
                <w:rFonts w:hint="eastAsia" w:ascii="宋体" w:hAnsi="宋体" w:cs="宋体"/>
                <w:b w:val="0"/>
                <w:bCs w:val="0"/>
                <w:i w:val="0"/>
                <w:iCs w:val="0"/>
                <w:color w:val="000000"/>
                <w:kern w:val="0"/>
                <w:sz w:val="21"/>
                <w:szCs w:val="21"/>
                <w:u w:val="none"/>
                <w:lang w:val="en-US" w:eastAsia="zh-CN" w:bidi="ar"/>
              </w:rPr>
              <w:t>.00</w:t>
            </w:r>
            <w:r>
              <w:rPr>
                <w:rFonts w:hint="eastAsia" w:ascii="宋体" w:hAnsi="宋体" w:eastAsia="宋体" w:cs="宋体"/>
                <w:b w:val="0"/>
                <w:bCs w:val="0"/>
                <w:i w:val="0"/>
                <w:iCs w:val="0"/>
                <w:color w:val="000000"/>
                <w:kern w:val="0"/>
                <w:sz w:val="21"/>
                <w:szCs w:val="21"/>
                <w:u w:val="none"/>
                <w:lang w:val="en-US" w:eastAsia="zh-CN" w:bidi="ar"/>
              </w:rPr>
              <w:t xml:space="preserve"> </w:t>
            </w:r>
          </w:p>
        </w:tc>
        <w:tc>
          <w:tcPr>
            <w:tcW w:w="907" w:type="pct"/>
            <w:vMerge w:val="continue"/>
            <w:tcBorders>
              <w:left w:val="single" w:color="000000" w:sz="4" w:space="0"/>
              <w:right w:val="single" w:color="auto" w:sz="4" w:space="0"/>
            </w:tcBorders>
            <w:shd w:val="clear" w:color="auto" w:fill="auto"/>
            <w:vAlign w:val="center"/>
          </w:tcPr>
          <w:p w14:paraId="72A1EA9F">
            <w:pPr>
              <w:keepNext w:val="0"/>
              <w:keepLines w:val="0"/>
              <w:widowControl/>
              <w:suppressLineNumbers w:val="0"/>
              <w:jc w:val="center"/>
              <w:textAlignment w:val="center"/>
              <w:rPr>
                <w:rFonts w:hint="eastAsia" w:ascii="宋体" w:hAnsi="宋体" w:eastAsia="宋体" w:cs="宋体"/>
                <w:b w:val="0"/>
                <w:bCs w:val="0"/>
                <w:color w:val="000000"/>
                <w:kern w:val="0"/>
                <w:sz w:val="21"/>
                <w:szCs w:val="21"/>
                <w:lang w:val="en-US" w:eastAsia="zh-CN" w:bidi="ar"/>
              </w:rPr>
            </w:pPr>
          </w:p>
        </w:tc>
      </w:tr>
      <w:tr w14:paraId="27EF6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9" w:hRule="atLeast"/>
          <w:jc w:val="center"/>
        </w:trPr>
        <w:tc>
          <w:tcPr>
            <w:tcW w:w="624" w:type="pct"/>
            <w:tcBorders>
              <w:top w:val="single" w:color="000000" w:sz="4" w:space="0"/>
              <w:left w:val="single" w:color="auto" w:sz="4" w:space="0"/>
              <w:bottom w:val="single" w:color="000000" w:sz="4" w:space="0"/>
              <w:right w:val="single" w:color="000000" w:sz="4" w:space="0"/>
            </w:tcBorders>
            <w:shd w:val="clear" w:color="auto" w:fill="auto"/>
            <w:vAlign w:val="center"/>
          </w:tcPr>
          <w:p w14:paraId="28D92F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4</w:t>
            </w:r>
          </w:p>
        </w:tc>
        <w:tc>
          <w:tcPr>
            <w:tcW w:w="1758" w:type="pct"/>
            <w:tcBorders>
              <w:top w:val="single" w:color="auto" w:sz="4" w:space="0"/>
              <w:left w:val="single" w:color="000000" w:sz="4" w:space="0"/>
              <w:bottom w:val="single" w:color="000000" w:sz="4" w:space="0"/>
              <w:right w:val="single" w:color="auto" w:sz="4" w:space="0"/>
            </w:tcBorders>
            <w:shd w:val="clear" w:color="auto" w:fill="auto"/>
            <w:vAlign w:val="center"/>
          </w:tcPr>
          <w:p w14:paraId="756EC5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5G双域专网</w:t>
            </w:r>
          </w:p>
        </w:tc>
        <w:tc>
          <w:tcPr>
            <w:tcW w:w="740" w:type="pct"/>
            <w:tcBorders>
              <w:top w:val="single" w:color="auto" w:sz="4" w:space="0"/>
              <w:left w:val="single" w:color="auto" w:sz="4" w:space="0"/>
              <w:bottom w:val="single" w:color="auto" w:sz="4" w:space="0"/>
              <w:right w:val="single" w:color="auto" w:sz="4" w:space="0"/>
            </w:tcBorders>
            <w:shd w:val="clear" w:color="auto" w:fill="auto"/>
            <w:vAlign w:val="center"/>
          </w:tcPr>
          <w:p w14:paraId="7AB6CF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14:paraId="53114F8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322110</w:t>
            </w:r>
            <w:r>
              <w:rPr>
                <w:rFonts w:hint="eastAsia" w:ascii="宋体" w:hAnsi="宋体" w:cs="宋体"/>
                <w:b w:val="0"/>
                <w:bCs w:val="0"/>
                <w:i w:val="0"/>
                <w:iCs w:val="0"/>
                <w:color w:val="000000"/>
                <w:kern w:val="0"/>
                <w:sz w:val="21"/>
                <w:szCs w:val="21"/>
                <w:u w:val="none"/>
                <w:lang w:val="en-US" w:eastAsia="zh-CN" w:bidi="ar"/>
              </w:rPr>
              <w:t>.00</w:t>
            </w:r>
            <w:r>
              <w:rPr>
                <w:rFonts w:hint="eastAsia" w:ascii="宋体" w:hAnsi="宋体" w:eastAsia="宋体" w:cs="宋体"/>
                <w:b w:val="0"/>
                <w:bCs w:val="0"/>
                <w:i w:val="0"/>
                <w:iCs w:val="0"/>
                <w:color w:val="000000"/>
                <w:kern w:val="0"/>
                <w:sz w:val="21"/>
                <w:szCs w:val="21"/>
                <w:u w:val="none"/>
                <w:lang w:val="en-US" w:eastAsia="zh-CN" w:bidi="ar"/>
              </w:rPr>
              <w:t xml:space="preserve"> </w:t>
            </w:r>
          </w:p>
        </w:tc>
        <w:tc>
          <w:tcPr>
            <w:tcW w:w="907" w:type="pct"/>
            <w:vMerge w:val="continue"/>
            <w:tcBorders>
              <w:left w:val="single" w:color="000000" w:sz="4" w:space="0"/>
              <w:right w:val="single" w:color="auto" w:sz="4" w:space="0"/>
            </w:tcBorders>
            <w:shd w:val="clear" w:color="auto" w:fill="auto"/>
            <w:vAlign w:val="center"/>
          </w:tcPr>
          <w:p w14:paraId="000F7E5A">
            <w:pPr>
              <w:keepNext w:val="0"/>
              <w:keepLines w:val="0"/>
              <w:widowControl/>
              <w:suppressLineNumbers w:val="0"/>
              <w:jc w:val="center"/>
              <w:textAlignment w:val="center"/>
              <w:rPr>
                <w:rFonts w:hint="eastAsia" w:ascii="宋体" w:hAnsi="宋体" w:eastAsia="宋体" w:cs="宋体"/>
                <w:b w:val="0"/>
                <w:bCs w:val="0"/>
                <w:color w:val="000000"/>
                <w:kern w:val="0"/>
                <w:sz w:val="21"/>
                <w:szCs w:val="21"/>
                <w:lang w:val="en-US" w:eastAsia="zh-CN" w:bidi="ar"/>
              </w:rPr>
            </w:pPr>
          </w:p>
        </w:tc>
      </w:tr>
      <w:tr w14:paraId="25519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jc w:val="center"/>
        </w:trPr>
        <w:tc>
          <w:tcPr>
            <w:tcW w:w="624" w:type="pct"/>
            <w:tcBorders>
              <w:top w:val="single" w:color="000000" w:sz="4" w:space="0"/>
              <w:left w:val="single" w:color="auto" w:sz="4" w:space="0"/>
              <w:bottom w:val="single" w:color="000000" w:sz="4" w:space="0"/>
              <w:right w:val="single" w:color="000000" w:sz="4" w:space="0"/>
            </w:tcBorders>
            <w:shd w:val="clear" w:color="auto" w:fill="auto"/>
            <w:vAlign w:val="center"/>
          </w:tcPr>
          <w:p w14:paraId="60C890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5</w:t>
            </w:r>
          </w:p>
        </w:tc>
        <w:tc>
          <w:tcPr>
            <w:tcW w:w="1758" w:type="pct"/>
            <w:tcBorders>
              <w:top w:val="single" w:color="000000" w:sz="4" w:space="0"/>
              <w:left w:val="single" w:color="000000" w:sz="4" w:space="0"/>
              <w:bottom w:val="single" w:color="000000" w:sz="4" w:space="0"/>
              <w:right w:val="single" w:color="auto" w:sz="4" w:space="0"/>
            </w:tcBorders>
            <w:shd w:val="clear" w:color="auto" w:fill="auto"/>
            <w:vAlign w:val="center"/>
          </w:tcPr>
          <w:p w14:paraId="3D4E91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虚拟化系统</w:t>
            </w:r>
          </w:p>
        </w:tc>
        <w:tc>
          <w:tcPr>
            <w:tcW w:w="740" w:type="pct"/>
            <w:tcBorders>
              <w:top w:val="single" w:color="auto" w:sz="4" w:space="0"/>
              <w:left w:val="single" w:color="auto" w:sz="4" w:space="0"/>
              <w:bottom w:val="single" w:color="auto" w:sz="4" w:space="0"/>
              <w:right w:val="single" w:color="auto" w:sz="4" w:space="0"/>
            </w:tcBorders>
            <w:shd w:val="clear" w:color="auto" w:fill="auto"/>
            <w:vAlign w:val="center"/>
          </w:tcPr>
          <w:p w14:paraId="4B4BC2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14:paraId="7A6AE28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403061</w:t>
            </w:r>
            <w:r>
              <w:rPr>
                <w:rFonts w:hint="eastAsia" w:ascii="宋体" w:hAnsi="宋体" w:cs="宋体"/>
                <w:b w:val="0"/>
                <w:bCs w:val="0"/>
                <w:i w:val="0"/>
                <w:iCs w:val="0"/>
                <w:color w:val="000000"/>
                <w:kern w:val="0"/>
                <w:sz w:val="21"/>
                <w:szCs w:val="21"/>
                <w:u w:val="none"/>
                <w:lang w:val="en-US" w:eastAsia="zh-CN" w:bidi="ar"/>
              </w:rPr>
              <w:t>.00</w:t>
            </w:r>
            <w:r>
              <w:rPr>
                <w:rFonts w:hint="eastAsia" w:ascii="宋体" w:hAnsi="宋体" w:eastAsia="宋体" w:cs="宋体"/>
                <w:b w:val="0"/>
                <w:bCs w:val="0"/>
                <w:i w:val="0"/>
                <w:iCs w:val="0"/>
                <w:color w:val="000000"/>
                <w:kern w:val="0"/>
                <w:sz w:val="21"/>
                <w:szCs w:val="21"/>
                <w:u w:val="none"/>
                <w:lang w:val="en-US" w:eastAsia="zh-CN" w:bidi="ar"/>
              </w:rPr>
              <w:t xml:space="preserve"> </w:t>
            </w:r>
          </w:p>
        </w:tc>
        <w:tc>
          <w:tcPr>
            <w:tcW w:w="907" w:type="pct"/>
            <w:vMerge w:val="continue"/>
            <w:tcBorders>
              <w:left w:val="single" w:color="000000" w:sz="4" w:space="0"/>
              <w:right w:val="single" w:color="auto" w:sz="4" w:space="0"/>
            </w:tcBorders>
            <w:shd w:val="clear" w:color="auto" w:fill="auto"/>
            <w:vAlign w:val="center"/>
          </w:tcPr>
          <w:p w14:paraId="7B266E58">
            <w:pPr>
              <w:keepNext w:val="0"/>
              <w:keepLines w:val="0"/>
              <w:widowControl/>
              <w:suppressLineNumbers w:val="0"/>
              <w:jc w:val="center"/>
              <w:textAlignment w:val="center"/>
              <w:rPr>
                <w:rFonts w:hint="eastAsia" w:ascii="宋体" w:hAnsi="宋体" w:eastAsia="宋体" w:cs="宋体"/>
                <w:b w:val="0"/>
                <w:bCs w:val="0"/>
                <w:color w:val="000000"/>
                <w:kern w:val="0"/>
                <w:sz w:val="21"/>
                <w:szCs w:val="21"/>
                <w:lang w:val="en-US" w:eastAsia="zh-CN" w:bidi="ar"/>
              </w:rPr>
            </w:pPr>
          </w:p>
        </w:tc>
      </w:tr>
      <w:tr w14:paraId="31981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jc w:val="center"/>
        </w:trPr>
        <w:tc>
          <w:tcPr>
            <w:tcW w:w="624" w:type="pct"/>
            <w:tcBorders>
              <w:top w:val="single" w:color="000000" w:sz="4" w:space="0"/>
              <w:left w:val="single" w:color="auto" w:sz="4" w:space="0"/>
              <w:bottom w:val="single" w:color="000000" w:sz="4" w:space="0"/>
              <w:right w:val="single" w:color="000000" w:sz="4" w:space="0"/>
            </w:tcBorders>
            <w:shd w:val="clear" w:color="auto" w:fill="auto"/>
            <w:vAlign w:val="center"/>
          </w:tcPr>
          <w:p w14:paraId="4D3C8E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6</w:t>
            </w:r>
          </w:p>
        </w:tc>
        <w:tc>
          <w:tcPr>
            <w:tcW w:w="1758" w:type="pct"/>
            <w:tcBorders>
              <w:top w:val="single" w:color="000000" w:sz="4" w:space="0"/>
              <w:left w:val="single" w:color="000000" w:sz="4" w:space="0"/>
              <w:bottom w:val="single" w:color="000000" w:sz="4" w:space="0"/>
              <w:right w:val="single" w:color="auto" w:sz="4" w:space="0"/>
            </w:tcBorders>
            <w:shd w:val="clear" w:color="auto" w:fill="auto"/>
            <w:vAlign w:val="center"/>
          </w:tcPr>
          <w:p w14:paraId="563AAB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机房综合布线</w:t>
            </w:r>
          </w:p>
        </w:tc>
        <w:tc>
          <w:tcPr>
            <w:tcW w:w="740" w:type="pct"/>
            <w:tcBorders>
              <w:top w:val="single" w:color="auto" w:sz="4" w:space="0"/>
              <w:left w:val="single" w:color="auto" w:sz="4" w:space="0"/>
              <w:bottom w:val="single" w:color="auto" w:sz="4" w:space="0"/>
              <w:right w:val="single" w:color="auto" w:sz="4" w:space="0"/>
            </w:tcBorders>
            <w:shd w:val="clear" w:color="auto" w:fill="auto"/>
            <w:vAlign w:val="center"/>
          </w:tcPr>
          <w:p w14:paraId="3AE5AB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14:paraId="4E5814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743753</w:t>
            </w:r>
            <w:r>
              <w:rPr>
                <w:rFonts w:hint="eastAsia" w:ascii="宋体" w:hAnsi="宋体" w:cs="宋体"/>
                <w:b w:val="0"/>
                <w:bCs w:val="0"/>
                <w:i w:val="0"/>
                <w:iCs w:val="0"/>
                <w:color w:val="000000"/>
                <w:kern w:val="0"/>
                <w:sz w:val="21"/>
                <w:szCs w:val="21"/>
                <w:u w:val="none"/>
                <w:lang w:val="en-US" w:eastAsia="zh-CN" w:bidi="ar"/>
              </w:rPr>
              <w:t>.00</w:t>
            </w:r>
            <w:r>
              <w:rPr>
                <w:rFonts w:hint="eastAsia" w:ascii="宋体" w:hAnsi="宋体" w:eastAsia="宋体" w:cs="宋体"/>
                <w:b w:val="0"/>
                <w:bCs w:val="0"/>
                <w:i w:val="0"/>
                <w:iCs w:val="0"/>
                <w:color w:val="000000"/>
                <w:kern w:val="0"/>
                <w:sz w:val="21"/>
                <w:szCs w:val="21"/>
                <w:u w:val="none"/>
                <w:lang w:val="en-US" w:eastAsia="zh-CN" w:bidi="ar"/>
              </w:rPr>
              <w:t xml:space="preserve"> </w:t>
            </w:r>
          </w:p>
        </w:tc>
        <w:tc>
          <w:tcPr>
            <w:tcW w:w="907" w:type="pct"/>
            <w:tcBorders>
              <w:left w:val="single" w:color="000000" w:sz="4" w:space="0"/>
              <w:right w:val="single" w:color="auto" w:sz="4" w:space="0"/>
            </w:tcBorders>
            <w:shd w:val="clear" w:color="auto" w:fill="auto"/>
            <w:vAlign w:val="center"/>
          </w:tcPr>
          <w:p w14:paraId="5E83C3AE">
            <w:pPr>
              <w:keepNext w:val="0"/>
              <w:keepLines w:val="0"/>
              <w:widowControl/>
              <w:suppressLineNumbers w:val="0"/>
              <w:jc w:val="center"/>
              <w:textAlignment w:val="center"/>
              <w:rPr>
                <w:rFonts w:hint="eastAsia" w:ascii="宋体" w:hAnsi="宋体" w:eastAsia="宋体" w:cs="宋体"/>
                <w:b w:val="0"/>
                <w:bCs w:val="0"/>
                <w:color w:val="000000"/>
                <w:kern w:val="0"/>
                <w:sz w:val="21"/>
                <w:szCs w:val="21"/>
                <w:lang w:val="en-US" w:eastAsia="zh-CN" w:bidi="ar"/>
              </w:rPr>
            </w:pPr>
          </w:p>
        </w:tc>
      </w:tr>
      <w:tr w14:paraId="321C1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9" w:hRule="atLeast"/>
          <w:jc w:val="center"/>
        </w:trPr>
        <w:tc>
          <w:tcPr>
            <w:tcW w:w="624" w:type="pct"/>
            <w:tcBorders>
              <w:top w:val="single" w:color="000000" w:sz="4" w:space="0"/>
              <w:left w:val="single" w:color="auto" w:sz="4" w:space="0"/>
              <w:bottom w:val="single" w:color="000000" w:sz="4" w:space="0"/>
              <w:right w:val="single" w:color="000000" w:sz="4" w:space="0"/>
            </w:tcBorders>
            <w:shd w:val="clear" w:color="auto" w:fill="auto"/>
            <w:vAlign w:val="center"/>
          </w:tcPr>
          <w:p w14:paraId="1A56A8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7</w:t>
            </w:r>
          </w:p>
        </w:tc>
        <w:tc>
          <w:tcPr>
            <w:tcW w:w="1758" w:type="pct"/>
            <w:tcBorders>
              <w:top w:val="single" w:color="000000" w:sz="4" w:space="0"/>
              <w:left w:val="single" w:color="000000" w:sz="4" w:space="0"/>
              <w:bottom w:val="single" w:color="000000" w:sz="4" w:space="0"/>
              <w:right w:val="single" w:color="auto" w:sz="4" w:space="0"/>
            </w:tcBorders>
            <w:shd w:val="clear" w:color="auto" w:fill="auto"/>
            <w:vAlign w:val="center"/>
          </w:tcPr>
          <w:p w14:paraId="3CD363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微模块数据中心</w:t>
            </w:r>
          </w:p>
        </w:tc>
        <w:tc>
          <w:tcPr>
            <w:tcW w:w="740" w:type="pct"/>
            <w:tcBorders>
              <w:top w:val="single" w:color="auto" w:sz="4" w:space="0"/>
              <w:left w:val="single" w:color="auto" w:sz="4" w:space="0"/>
              <w:bottom w:val="single" w:color="auto" w:sz="4" w:space="0"/>
              <w:right w:val="single" w:color="auto" w:sz="4" w:space="0"/>
            </w:tcBorders>
            <w:shd w:val="clear" w:color="auto" w:fill="auto"/>
            <w:vAlign w:val="center"/>
          </w:tcPr>
          <w:p w14:paraId="496586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14:paraId="3CB57A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464441</w:t>
            </w:r>
            <w:r>
              <w:rPr>
                <w:rFonts w:hint="eastAsia" w:ascii="宋体" w:hAnsi="宋体" w:cs="宋体"/>
                <w:b w:val="0"/>
                <w:bCs w:val="0"/>
                <w:i w:val="0"/>
                <w:iCs w:val="0"/>
                <w:color w:val="000000"/>
                <w:kern w:val="0"/>
                <w:sz w:val="21"/>
                <w:szCs w:val="21"/>
                <w:u w:val="none"/>
                <w:lang w:val="en-US" w:eastAsia="zh-CN" w:bidi="ar"/>
              </w:rPr>
              <w:t>.00</w:t>
            </w:r>
            <w:r>
              <w:rPr>
                <w:rFonts w:hint="eastAsia" w:ascii="宋体" w:hAnsi="宋体" w:eastAsia="宋体" w:cs="宋体"/>
                <w:b w:val="0"/>
                <w:bCs w:val="0"/>
                <w:i w:val="0"/>
                <w:iCs w:val="0"/>
                <w:color w:val="000000"/>
                <w:kern w:val="0"/>
                <w:sz w:val="21"/>
                <w:szCs w:val="21"/>
                <w:u w:val="none"/>
                <w:lang w:val="en-US" w:eastAsia="zh-CN" w:bidi="ar"/>
              </w:rPr>
              <w:t xml:space="preserve"> </w:t>
            </w:r>
          </w:p>
        </w:tc>
        <w:tc>
          <w:tcPr>
            <w:tcW w:w="907" w:type="pct"/>
            <w:vMerge w:val="restart"/>
            <w:tcBorders>
              <w:left w:val="single" w:color="000000" w:sz="4" w:space="0"/>
              <w:right w:val="single" w:color="auto" w:sz="4" w:space="0"/>
            </w:tcBorders>
            <w:shd w:val="clear" w:color="auto" w:fill="auto"/>
            <w:vAlign w:val="center"/>
          </w:tcPr>
          <w:p w14:paraId="25E53EFA">
            <w:pPr>
              <w:keepNext w:val="0"/>
              <w:keepLines w:val="0"/>
              <w:widowControl/>
              <w:suppressLineNumbers w:val="0"/>
              <w:jc w:val="both"/>
              <w:textAlignment w:val="center"/>
              <w:rPr>
                <w:rFonts w:hint="eastAsia" w:ascii="宋体" w:hAnsi="宋体" w:eastAsia="宋体" w:cs="宋体"/>
                <w:b w:val="0"/>
                <w:bCs w:val="0"/>
                <w:color w:val="000000"/>
                <w:kern w:val="0"/>
                <w:sz w:val="21"/>
                <w:szCs w:val="21"/>
                <w:lang w:val="en-US" w:eastAsia="zh-CN" w:bidi="ar"/>
              </w:rPr>
            </w:pPr>
          </w:p>
        </w:tc>
      </w:tr>
      <w:tr w14:paraId="349AF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9" w:hRule="atLeast"/>
          <w:jc w:val="center"/>
        </w:trPr>
        <w:tc>
          <w:tcPr>
            <w:tcW w:w="624" w:type="pct"/>
            <w:tcBorders>
              <w:top w:val="single" w:color="000000" w:sz="4" w:space="0"/>
              <w:left w:val="single" w:color="auto" w:sz="4" w:space="0"/>
              <w:bottom w:val="single" w:color="000000" w:sz="4" w:space="0"/>
              <w:right w:val="single" w:color="000000" w:sz="4" w:space="0"/>
            </w:tcBorders>
            <w:shd w:val="clear" w:color="auto" w:fill="auto"/>
            <w:vAlign w:val="center"/>
          </w:tcPr>
          <w:p w14:paraId="60C8EF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8</w:t>
            </w:r>
          </w:p>
        </w:tc>
        <w:tc>
          <w:tcPr>
            <w:tcW w:w="1758" w:type="pct"/>
            <w:tcBorders>
              <w:top w:val="single" w:color="000000" w:sz="4" w:space="0"/>
              <w:left w:val="single" w:color="000000" w:sz="4" w:space="0"/>
              <w:bottom w:val="single" w:color="000000" w:sz="4" w:space="0"/>
              <w:right w:val="single" w:color="auto" w:sz="4" w:space="0"/>
            </w:tcBorders>
            <w:shd w:val="clear" w:color="auto" w:fill="auto"/>
            <w:vAlign w:val="center"/>
          </w:tcPr>
          <w:p w14:paraId="560F2E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数据中心基础设施</w:t>
            </w:r>
          </w:p>
        </w:tc>
        <w:tc>
          <w:tcPr>
            <w:tcW w:w="740" w:type="pct"/>
            <w:tcBorders>
              <w:top w:val="single" w:color="auto" w:sz="4" w:space="0"/>
              <w:left w:val="single" w:color="auto" w:sz="4" w:space="0"/>
              <w:bottom w:val="single" w:color="auto" w:sz="4" w:space="0"/>
              <w:right w:val="single" w:color="auto" w:sz="4" w:space="0"/>
            </w:tcBorders>
            <w:shd w:val="clear" w:color="auto" w:fill="auto"/>
            <w:vAlign w:val="center"/>
          </w:tcPr>
          <w:p w14:paraId="61CD59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14:paraId="2EF8C1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111047</w:t>
            </w:r>
            <w:r>
              <w:rPr>
                <w:rFonts w:hint="eastAsia" w:ascii="宋体" w:hAnsi="宋体" w:cs="宋体"/>
                <w:b w:val="0"/>
                <w:bCs w:val="0"/>
                <w:i w:val="0"/>
                <w:iCs w:val="0"/>
                <w:color w:val="000000"/>
                <w:kern w:val="0"/>
                <w:sz w:val="21"/>
                <w:szCs w:val="21"/>
                <w:u w:val="none"/>
                <w:lang w:val="en-US" w:eastAsia="zh-CN" w:bidi="ar"/>
              </w:rPr>
              <w:t>.00</w:t>
            </w:r>
            <w:r>
              <w:rPr>
                <w:rFonts w:hint="eastAsia" w:ascii="宋体" w:hAnsi="宋体" w:eastAsia="宋体" w:cs="宋体"/>
                <w:b w:val="0"/>
                <w:bCs w:val="0"/>
                <w:i w:val="0"/>
                <w:iCs w:val="0"/>
                <w:color w:val="000000"/>
                <w:kern w:val="0"/>
                <w:sz w:val="21"/>
                <w:szCs w:val="21"/>
                <w:u w:val="none"/>
                <w:lang w:val="en-US" w:eastAsia="zh-CN" w:bidi="ar"/>
              </w:rPr>
              <w:t xml:space="preserve"> </w:t>
            </w:r>
          </w:p>
        </w:tc>
        <w:tc>
          <w:tcPr>
            <w:tcW w:w="907" w:type="pct"/>
            <w:vMerge w:val="continue"/>
            <w:tcBorders>
              <w:left w:val="single" w:color="000000" w:sz="4" w:space="0"/>
              <w:right w:val="single" w:color="auto" w:sz="4" w:space="0"/>
            </w:tcBorders>
            <w:shd w:val="clear" w:color="auto" w:fill="auto"/>
            <w:vAlign w:val="center"/>
          </w:tcPr>
          <w:p w14:paraId="2B527956">
            <w:pPr>
              <w:keepNext w:val="0"/>
              <w:keepLines w:val="0"/>
              <w:widowControl/>
              <w:suppressLineNumbers w:val="0"/>
              <w:jc w:val="center"/>
              <w:textAlignment w:val="center"/>
              <w:rPr>
                <w:rFonts w:hint="eastAsia" w:ascii="宋体" w:hAnsi="宋体" w:eastAsia="宋体" w:cs="宋体"/>
                <w:b w:val="0"/>
                <w:bCs w:val="0"/>
                <w:color w:val="000000"/>
                <w:kern w:val="0"/>
                <w:sz w:val="21"/>
                <w:szCs w:val="21"/>
                <w:lang w:val="en-US" w:eastAsia="zh-CN" w:bidi="ar"/>
              </w:rPr>
            </w:pPr>
          </w:p>
        </w:tc>
      </w:tr>
      <w:tr w14:paraId="0F44D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jc w:val="center"/>
        </w:trPr>
        <w:tc>
          <w:tcPr>
            <w:tcW w:w="624" w:type="pct"/>
            <w:tcBorders>
              <w:top w:val="single" w:color="000000" w:sz="4" w:space="0"/>
              <w:left w:val="single" w:color="auto" w:sz="4" w:space="0"/>
              <w:bottom w:val="single" w:color="000000" w:sz="4" w:space="0"/>
              <w:right w:val="single" w:color="000000" w:sz="4" w:space="0"/>
            </w:tcBorders>
            <w:shd w:val="clear" w:color="auto" w:fill="auto"/>
            <w:vAlign w:val="center"/>
          </w:tcPr>
          <w:p w14:paraId="0FDB5D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9</w:t>
            </w:r>
          </w:p>
        </w:tc>
        <w:tc>
          <w:tcPr>
            <w:tcW w:w="1758" w:type="pct"/>
            <w:tcBorders>
              <w:top w:val="single" w:color="000000" w:sz="4" w:space="0"/>
              <w:left w:val="single" w:color="000000" w:sz="4" w:space="0"/>
              <w:bottom w:val="single" w:color="000000" w:sz="4" w:space="0"/>
              <w:right w:val="single" w:color="auto" w:sz="4" w:space="0"/>
            </w:tcBorders>
            <w:shd w:val="clear" w:color="auto" w:fill="auto"/>
            <w:vAlign w:val="center"/>
          </w:tcPr>
          <w:p w14:paraId="78F1AB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数据中心新风消防</w:t>
            </w:r>
          </w:p>
        </w:tc>
        <w:tc>
          <w:tcPr>
            <w:tcW w:w="740" w:type="pct"/>
            <w:tcBorders>
              <w:top w:val="single" w:color="auto" w:sz="4" w:space="0"/>
              <w:left w:val="single" w:color="auto" w:sz="4" w:space="0"/>
              <w:bottom w:val="single" w:color="auto" w:sz="4" w:space="0"/>
              <w:right w:val="single" w:color="auto" w:sz="4" w:space="0"/>
            </w:tcBorders>
            <w:shd w:val="clear" w:color="auto" w:fill="auto"/>
            <w:vAlign w:val="center"/>
          </w:tcPr>
          <w:p w14:paraId="4399ED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14:paraId="344179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58789</w:t>
            </w:r>
            <w:r>
              <w:rPr>
                <w:rFonts w:hint="eastAsia" w:ascii="宋体" w:hAnsi="宋体" w:cs="宋体"/>
                <w:b w:val="0"/>
                <w:bCs w:val="0"/>
                <w:i w:val="0"/>
                <w:iCs w:val="0"/>
                <w:color w:val="000000"/>
                <w:kern w:val="0"/>
                <w:sz w:val="21"/>
                <w:szCs w:val="21"/>
                <w:u w:val="none"/>
                <w:lang w:val="en-US" w:eastAsia="zh-CN" w:bidi="ar"/>
              </w:rPr>
              <w:t>.00</w:t>
            </w:r>
            <w:r>
              <w:rPr>
                <w:rFonts w:hint="eastAsia" w:ascii="宋体" w:hAnsi="宋体" w:eastAsia="宋体" w:cs="宋体"/>
                <w:b w:val="0"/>
                <w:bCs w:val="0"/>
                <w:i w:val="0"/>
                <w:iCs w:val="0"/>
                <w:color w:val="000000"/>
                <w:kern w:val="0"/>
                <w:sz w:val="21"/>
                <w:szCs w:val="21"/>
                <w:u w:val="none"/>
                <w:lang w:val="en-US" w:eastAsia="zh-CN" w:bidi="ar"/>
              </w:rPr>
              <w:t xml:space="preserve"> </w:t>
            </w:r>
          </w:p>
        </w:tc>
        <w:tc>
          <w:tcPr>
            <w:tcW w:w="907" w:type="pct"/>
            <w:vMerge w:val="restart"/>
            <w:tcBorders>
              <w:left w:val="single" w:color="auto" w:sz="4" w:space="0"/>
              <w:right w:val="single" w:color="auto" w:sz="4" w:space="0"/>
            </w:tcBorders>
            <w:shd w:val="clear" w:color="auto" w:fill="auto"/>
            <w:vAlign w:val="center"/>
          </w:tcPr>
          <w:p w14:paraId="44D6EE53">
            <w:pPr>
              <w:keepNext w:val="0"/>
              <w:keepLines w:val="0"/>
              <w:widowControl/>
              <w:suppressLineNumbers w:val="0"/>
              <w:jc w:val="both"/>
              <w:textAlignment w:val="center"/>
              <w:rPr>
                <w:rFonts w:hint="eastAsia" w:ascii="宋体" w:hAnsi="宋体" w:eastAsia="宋体" w:cs="宋体"/>
                <w:b w:val="0"/>
                <w:bCs w:val="0"/>
                <w:color w:val="000000"/>
                <w:kern w:val="0"/>
                <w:sz w:val="21"/>
                <w:szCs w:val="21"/>
                <w:lang w:val="en-US" w:eastAsia="zh-CN" w:bidi="ar"/>
              </w:rPr>
            </w:pPr>
          </w:p>
        </w:tc>
      </w:tr>
      <w:tr w14:paraId="77684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jc w:val="center"/>
        </w:trPr>
        <w:tc>
          <w:tcPr>
            <w:tcW w:w="624" w:type="pct"/>
            <w:tcBorders>
              <w:top w:val="single" w:color="000000" w:sz="4" w:space="0"/>
              <w:left w:val="single" w:color="auto" w:sz="4" w:space="0"/>
              <w:bottom w:val="single" w:color="auto" w:sz="4" w:space="0"/>
              <w:right w:val="single" w:color="000000" w:sz="4" w:space="0"/>
            </w:tcBorders>
            <w:shd w:val="clear" w:color="auto" w:fill="auto"/>
            <w:vAlign w:val="center"/>
          </w:tcPr>
          <w:p w14:paraId="43AC08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10</w:t>
            </w:r>
          </w:p>
        </w:tc>
        <w:tc>
          <w:tcPr>
            <w:tcW w:w="1758" w:type="pct"/>
            <w:tcBorders>
              <w:top w:val="single" w:color="000000" w:sz="4" w:space="0"/>
              <w:left w:val="single" w:color="000000" w:sz="4" w:space="0"/>
              <w:bottom w:val="single" w:color="auto" w:sz="4" w:space="0"/>
              <w:right w:val="single" w:color="auto" w:sz="4" w:space="0"/>
            </w:tcBorders>
            <w:shd w:val="clear" w:color="auto" w:fill="auto"/>
            <w:vAlign w:val="center"/>
          </w:tcPr>
          <w:p w14:paraId="2E03D6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数据中心门禁监控</w:t>
            </w:r>
          </w:p>
        </w:tc>
        <w:tc>
          <w:tcPr>
            <w:tcW w:w="740" w:type="pct"/>
            <w:tcBorders>
              <w:top w:val="single" w:color="auto" w:sz="4" w:space="0"/>
              <w:left w:val="single" w:color="auto" w:sz="4" w:space="0"/>
              <w:bottom w:val="single" w:color="auto" w:sz="4" w:space="0"/>
              <w:right w:val="single" w:color="auto" w:sz="4" w:space="0"/>
            </w:tcBorders>
            <w:shd w:val="clear" w:color="auto" w:fill="auto"/>
            <w:vAlign w:val="center"/>
          </w:tcPr>
          <w:p w14:paraId="0C8495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14:paraId="16FD4A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6516</w:t>
            </w:r>
            <w:r>
              <w:rPr>
                <w:rFonts w:hint="eastAsia" w:ascii="宋体" w:hAnsi="宋体" w:cs="宋体"/>
                <w:b w:val="0"/>
                <w:bCs w:val="0"/>
                <w:i w:val="0"/>
                <w:iCs w:val="0"/>
                <w:color w:val="000000"/>
                <w:kern w:val="0"/>
                <w:sz w:val="21"/>
                <w:szCs w:val="21"/>
                <w:u w:val="none"/>
                <w:lang w:val="en-US" w:eastAsia="zh-CN" w:bidi="ar"/>
              </w:rPr>
              <w:t>.00</w:t>
            </w:r>
            <w:r>
              <w:rPr>
                <w:rFonts w:hint="eastAsia" w:ascii="宋体" w:hAnsi="宋体" w:eastAsia="宋体" w:cs="宋体"/>
                <w:b w:val="0"/>
                <w:bCs w:val="0"/>
                <w:i w:val="0"/>
                <w:iCs w:val="0"/>
                <w:color w:val="000000"/>
                <w:kern w:val="0"/>
                <w:sz w:val="21"/>
                <w:szCs w:val="21"/>
                <w:u w:val="none"/>
                <w:lang w:val="en-US" w:eastAsia="zh-CN" w:bidi="ar"/>
              </w:rPr>
              <w:t xml:space="preserve"> </w:t>
            </w:r>
          </w:p>
        </w:tc>
        <w:tc>
          <w:tcPr>
            <w:tcW w:w="907" w:type="pct"/>
            <w:vMerge w:val="continue"/>
            <w:tcBorders>
              <w:left w:val="single" w:color="auto" w:sz="4" w:space="0"/>
              <w:bottom w:val="single" w:color="auto" w:sz="4" w:space="0"/>
              <w:right w:val="single" w:color="auto" w:sz="4" w:space="0"/>
            </w:tcBorders>
            <w:shd w:val="clear" w:color="auto" w:fill="auto"/>
            <w:vAlign w:val="center"/>
          </w:tcPr>
          <w:p w14:paraId="69975046">
            <w:pPr>
              <w:keepNext w:val="0"/>
              <w:keepLines w:val="0"/>
              <w:widowControl/>
              <w:suppressLineNumbers w:val="0"/>
              <w:jc w:val="center"/>
              <w:textAlignment w:val="center"/>
              <w:rPr>
                <w:rFonts w:hint="eastAsia" w:ascii="宋体" w:hAnsi="宋体" w:eastAsia="宋体" w:cs="宋体"/>
                <w:b w:val="0"/>
                <w:bCs w:val="0"/>
                <w:color w:val="000000"/>
                <w:kern w:val="0"/>
                <w:sz w:val="21"/>
                <w:szCs w:val="21"/>
                <w:lang w:val="en-US" w:eastAsia="zh-CN" w:bidi="ar"/>
              </w:rPr>
            </w:pPr>
          </w:p>
        </w:tc>
      </w:tr>
      <w:bookmarkEnd w:id="15"/>
      <w:bookmarkEnd w:id="16"/>
      <w:bookmarkEnd w:id="17"/>
      <w:bookmarkEnd w:id="18"/>
    </w:tbl>
    <w:p w14:paraId="087B74EA">
      <w:pPr>
        <w:keepNext w:val="0"/>
        <w:keepLines w:val="0"/>
        <w:pageBreakBefore w:val="0"/>
        <w:kinsoku/>
        <w:wordWrap/>
        <w:overflowPunct/>
        <w:topLinePunct w:val="0"/>
        <w:autoSpaceDE/>
        <w:autoSpaceDN/>
        <w:bidi w:val="0"/>
        <w:spacing w:line="480" w:lineRule="auto"/>
        <w:ind w:firstLine="211" w:firstLineChars="100"/>
        <w:textAlignment w:val="auto"/>
        <w:rPr>
          <w:rFonts w:ascii="宋体" w:hAnsi="宋体"/>
          <w:bCs/>
          <w:color w:val="auto"/>
          <w:sz w:val="21"/>
          <w:szCs w:val="21"/>
        </w:rPr>
      </w:pPr>
      <w:r>
        <w:rPr>
          <w:rFonts w:hint="eastAsia" w:ascii="宋体" w:hAnsi="宋体"/>
          <w:bCs/>
          <w:color w:val="auto"/>
          <w:sz w:val="21"/>
          <w:szCs w:val="21"/>
        </w:rPr>
        <w:t>1.</w:t>
      </w:r>
      <w:r>
        <w:rPr>
          <w:rFonts w:hint="eastAsia" w:ascii="宋体" w:hAnsi="宋体"/>
          <w:bCs/>
          <w:color w:val="auto"/>
          <w:sz w:val="21"/>
          <w:szCs w:val="21"/>
          <w:lang w:val="en-US" w:eastAsia="zh-CN"/>
        </w:rPr>
        <w:t>6</w:t>
      </w:r>
      <w:r>
        <w:rPr>
          <w:rFonts w:hint="eastAsia" w:ascii="宋体" w:hAnsi="宋体"/>
          <w:bCs/>
          <w:color w:val="auto"/>
          <w:sz w:val="21"/>
          <w:szCs w:val="21"/>
        </w:rPr>
        <w:t xml:space="preserve"> 投标人需对所有项目内容进行总价报价及分项报价，不得缺项漏项，否则作废标处理。</w:t>
      </w:r>
    </w:p>
    <w:p w14:paraId="6103A001">
      <w:pPr>
        <w:keepNext w:val="0"/>
        <w:keepLines w:val="0"/>
        <w:pageBreakBefore w:val="0"/>
        <w:kinsoku/>
        <w:wordWrap/>
        <w:overflowPunct/>
        <w:topLinePunct w:val="0"/>
        <w:autoSpaceDE/>
        <w:autoSpaceDN/>
        <w:bidi w:val="0"/>
        <w:spacing w:line="480" w:lineRule="auto"/>
        <w:ind w:firstLine="210" w:firstLineChars="100"/>
        <w:textAlignment w:val="auto"/>
        <w:rPr>
          <w:rFonts w:hint="eastAsia" w:ascii="宋体" w:hAnsi="宋体" w:eastAsia="宋体"/>
          <w:b w:val="0"/>
          <w:color w:val="auto"/>
          <w:sz w:val="21"/>
          <w:szCs w:val="21"/>
          <w:lang w:eastAsia="zh-CN"/>
        </w:rPr>
      </w:pPr>
      <w:r>
        <w:rPr>
          <w:rFonts w:hint="eastAsia" w:ascii="宋体" w:hAnsi="宋体"/>
          <w:b w:val="0"/>
          <w:color w:val="auto"/>
          <w:sz w:val="21"/>
          <w:szCs w:val="21"/>
        </w:rPr>
        <w:t>1.</w:t>
      </w:r>
      <w:r>
        <w:rPr>
          <w:rFonts w:hint="eastAsia" w:ascii="宋体" w:hAnsi="宋体"/>
          <w:b w:val="0"/>
          <w:color w:val="auto"/>
          <w:sz w:val="21"/>
          <w:szCs w:val="21"/>
          <w:lang w:val="en-US" w:eastAsia="zh-CN"/>
        </w:rPr>
        <w:t>7建设</w:t>
      </w:r>
      <w:r>
        <w:rPr>
          <w:rFonts w:hint="eastAsia" w:ascii="宋体" w:hAnsi="宋体"/>
          <w:b w:val="0"/>
          <w:color w:val="auto"/>
          <w:sz w:val="21"/>
          <w:szCs w:val="21"/>
        </w:rPr>
        <w:t>地点：</w:t>
      </w:r>
      <w:r>
        <w:rPr>
          <w:rFonts w:hint="eastAsia" w:ascii="宋体" w:hAnsi="宋体"/>
          <w:b w:val="0"/>
          <w:color w:val="auto"/>
          <w:sz w:val="21"/>
          <w:szCs w:val="21"/>
          <w:lang w:eastAsia="zh-CN"/>
        </w:rPr>
        <w:t>采购</w:t>
      </w:r>
      <w:r>
        <w:rPr>
          <w:rFonts w:hint="eastAsia" w:ascii="宋体" w:hAnsi="宋体"/>
          <w:b w:val="0"/>
          <w:color w:val="auto"/>
          <w:sz w:val="21"/>
          <w:szCs w:val="21"/>
        </w:rPr>
        <w:t>人指定地点</w:t>
      </w:r>
      <w:r>
        <w:rPr>
          <w:rFonts w:hint="eastAsia" w:ascii="宋体" w:hAnsi="宋体"/>
          <w:b w:val="0"/>
          <w:color w:val="auto"/>
          <w:sz w:val="21"/>
          <w:szCs w:val="21"/>
          <w:lang w:eastAsia="zh-CN"/>
        </w:rPr>
        <w:t>。</w:t>
      </w:r>
    </w:p>
    <w:p w14:paraId="2E444173">
      <w:pPr>
        <w:keepNext w:val="0"/>
        <w:keepLines w:val="0"/>
        <w:pageBreakBefore w:val="0"/>
        <w:kinsoku/>
        <w:wordWrap/>
        <w:overflowPunct/>
        <w:topLinePunct w:val="0"/>
        <w:autoSpaceDE/>
        <w:autoSpaceDN/>
        <w:bidi w:val="0"/>
        <w:spacing w:line="480" w:lineRule="auto"/>
        <w:ind w:firstLine="210" w:firstLineChars="100"/>
        <w:textAlignment w:val="auto"/>
        <w:rPr>
          <w:rFonts w:hint="default"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1.</w:t>
      </w:r>
      <w:r>
        <w:rPr>
          <w:rFonts w:hint="eastAsia" w:ascii="宋体" w:hAnsi="宋体" w:cs="宋体"/>
          <w:b w:val="0"/>
          <w:color w:val="auto"/>
          <w:sz w:val="21"/>
          <w:szCs w:val="21"/>
          <w:highlight w:val="none"/>
          <w:lang w:val="en-US" w:eastAsia="zh-CN"/>
        </w:rPr>
        <w:t>8建设周期</w:t>
      </w:r>
      <w:r>
        <w:rPr>
          <w:rFonts w:hint="eastAsia" w:ascii="宋体" w:hAnsi="宋体" w:eastAsia="宋体" w:cs="宋体"/>
          <w:b w:val="0"/>
          <w:color w:val="auto"/>
          <w:sz w:val="21"/>
          <w:szCs w:val="21"/>
          <w:highlight w:val="none"/>
          <w:lang w:val="en-US" w:eastAsia="zh-CN"/>
        </w:rPr>
        <w:t>：</w:t>
      </w:r>
      <w:r>
        <w:rPr>
          <w:rFonts w:hint="eastAsia" w:ascii="宋体" w:hAnsi="宋体" w:cs="宋体"/>
          <w:b w:val="0"/>
          <w:color w:val="auto"/>
          <w:sz w:val="21"/>
          <w:szCs w:val="21"/>
          <w:highlight w:val="none"/>
          <w:lang w:val="en-US" w:eastAsia="zh-CN"/>
        </w:rPr>
        <w:t>合同签订后60日历天内完成项目安装及调试</w:t>
      </w:r>
    </w:p>
    <w:p w14:paraId="1EB8FBDF">
      <w:pPr>
        <w:keepNext w:val="0"/>
        <w:keepLines w:val="0"/>
        <w:pageBreakBefore w:val="0"/>
        <w:kinsoku/>
        <w:wordWrap/>
        <w:overflowPunct/>
        <w:topLinePunct w:val="0"/>
        <w:autoSpaceDE/>
        <w:autoSpaceDN/>
        <w:bidi w:val="0"/>
        <w:spacing w:line="480" w:lineRule="auto"/>
        <w:ind w:firstLine="210" w:firstLineChars="100"/>
        <w:textAlignment w:val="auto"/>
        <w:rPr>
          <w:rFonts w:hint="default" w:ascii="宋体" w:hAnsi="宋体" w:eastAsia="宋体"/>
          <w:b w:val="0"/>
          <w:color w:val="auto"/>
          <w:sz w:val="21"/>
          <w:szCs w:val="21"/>
          <w:highlight w:val="none"/>
          <w:lang w:val="en-US" w:eastAsia="zh-CN"/>
        </w:rPr>
      </w:pPr>
      <w:r>
        <w:rPr>
          <w:rFonts w:hint="eastAsia" w:ascii="宋体" w:hAnsi="宋体"/>
          <w:b w:val="0"/>
          <w:color w:val="auto"/>
          <w:sz w:val="21"/>
          <w:szCs w:val="21"/>
          <w:highlight w:val="none"/>
          <w:lang w:val="en-US" w:eastAsia="zh-CN"/>
        </w:rPr>
        <w:t>1.9质保期：3年。《招标文件》技术参数对质保期有要求的，以技术参数要求的质保期为准</w:t>
      </w:r>
    </w:p>
    <w:p w14:paraId="53B33525">
      <w:pPr>
        <w:keepNext w:val="0"/>
        <w:keepLines w:val="0"/>
        <w:pageBreakBefore w:val="0"/>
        <w:kinsoku/>
        <w:wordWrap/>
        <w:overflowPunct/>
        <w:topLinePunct w:val="0"/>
        <w:autoSpaceDE/>
        <w:autoSpaceDN/>
        <w:bidi w:val="0"/>
        <w:spacing w:line="480" w:lineRule="auto"/>
        <w:ind w:firstLine="210" w:firstLineChars="100"/>
        <w:textAlignment w:val="auto"/>
        <w:rPr>
          <w:rFonts w:hint="eastAsia" w:ascii="宋体" w:hAnsi="宋体"/>
          <w:b w:val="0"/>
          <w:color w:val="auto"/>
          <w:sz w:val="21"/>
          <w:szCs w:val="21"/>
          <w:highlight w:val="none"/>
        </w:rPr>
      </w:pPr>
      <w:r>
        <w:rPr>
          <w:rFonts w:hint="eastAsia" w:ascii="宋体" w:hAnsi="宋体"/>
          <w:b w:val="0"/>
          <w:color w:val="auto"/>
          <w:sz w:val="21"/>
          <w:szCs w:val="21"/>
          <w:highlight w:val="none"/>
        </w:rPr>
        <w:t>1.</w:t>
      </w:r>
      <w:r>
        <w:rPr>
          <w:rFonts w:hint="eastAsia" w:ascii="宋体" w:hAnsi="宋体"/>
          <w:b w:val="0"/>
          <w:color w:val="auto"/>
          <w:sz w:val="21"/>
          <w:szCs w:val="21"/>
          <w:highlight w:val="none"/>
          <w:lang w:val="en-US" w:eastAsia="zh-CN"/>
        </w:rPr>
        <w:t>10</w:t>
      </w:r>
      <w:r>
        <w:rPr>
          <w:rFonts w:hint="eastAsia" w:ascii="宋体" w:hAnsi="宋体"/>
          <w:b w:val="0"/>
          <w:color w:val="auto"/>
          <w:sz w:val="21"/>
          <w:szCs w:val="21"/>
          <w:highlight w:val="none"/>
        </w:rPr>
        <w:t>质量</w:t>
      </w:r>
      <w:r>
        <w:rPr>
          <w:rFonts w:hint="eastAsia" w:ascii="宋体" w:hAnsi="宋体"/>
          <w:b w:val="0"/>
          <w:color w:val="auto"/>
          <w:sz w:val="21"/>
          <w:szCs w:val="21"/>
          <w:highlight w:val="none"/>
          <w:lang w:val="en-US" w:eastAsia="zh-CN"/>
        </w:rPr>
        <w:t>标准</w:t>
      </w:r>
      <w:r>
        <w:rPr>
          <w:rFonts w:hint="eastAsia" w:ascii="宋体" w:hAnsi="宋体"/>
          <w:b w:val="0"/>
          <w:color w:val="auto"/>
          <w:sz w:val="21"/>
          <w:szCs w:val="21"/>
          <w:highlight w:val="none"/>
        </w:rPr>
        <w:t>：</w:t>
      </w:r>
      <w:r>
        <w:rPr>
          <w:rFonts w:hint="eastAsia" w:ascii="宋体" w:hAnsi="宋体"/>
          <w:b w:val="0"/>
          <w:color w:val="auto"/>
          <w:sz w:val="21"/>
          <w:szCs w:val="21"/>
          <w:highlight w:val="none"/>
          <w:lang w:val="en-US" w:eastAsia="zh-CN"/>
        </w:rPr>
        <w:t>符合国家、行业及地方现行相关标准及规范一次性验收合格</w:t>
      </w:r>
    </w:p>
    <w:p w14:paraId="03799F73">
      <w:pPr>
        <w:keepNext w:val="0"/>
        <w:keepLines w:val="0"/>
        <w:pageBreakBefore w:val="0"/>
        <w:kinsoku/>
        <w:wordWrap/>
        <w:overflowPunct/>
        <w:topLinePunct w:val="0"/>
        <w:autoSpaceDE/>
        <w:autoSpaceDN/>
        <w:bidi w:val="0"/>
        <w:spacing w:line="480" w:lineRule="auto"/>
        <w:ind w:firstLine="210" w:firstLineChars="100"/>
        <w:textAlignment w:val="auto"/>
        <w:rPr>
          <w:rFonts w:hint="default" w:ascii="宋体" w:hAnsi="宋体" w:eastAsia="宋体"/>
          <w:b w:val="0"/>
          <w:color w:val="auto"/>
          <w:sz w:val="21"/>
          <w:szCs w:val="21"/>
          <w:highlight w:val="none"/>
          <w:lang w:val="en-US" w:eastAsia="zh-CN"/>
        </w:rPr>
      </w:pPr>
      <w:r>
        <w:rPr>
          <w:rFonts w:hint="eastAsia" w:ascii="宋体" w:hAnsi="宋体"/>
          <w:b w:val="0"/>
          <w:color w:val="auto"/>
          <w:sz w:val="21"/>
          <w:szCs w:val="21"/>
          <w:highlight w:val="none"/>
          <w:lang w:val="en-US" w:eastAsia="zh-CN"/>
        </w:rPr>
        <w:t>1.11供货要求：</w:t>
      </w:r>
      <w:r>
        <w:rPr>
          <w:rFonts w:hint="eastAsia" w:ascii="宋体" w:hAnsi="宋体"/>
          <w:b w:val="0"/>
          <w:color w:val="auto"/>
          <w:sz w:val="21"/>
          <w:szCs w:val="21"/>
        </w:rPr>
        <w:t>保证提供的是全新设备（包括零部件），满足售后服务要求、规定的技术参数和使用要求，符合文件规定、具有国家有关部门注册并符合国家质量检测标准和产品出厂标准。</w:t>
      </w:r>
    </w:p>
    <w:p w14:paraId="6750BC40">
      <w:pPr>
        <w:keepNext w:val="0"/>
        <w:keepLines w:val="0"/>
        <w:pageBreakBefore w:val="0"/>
        <w:kinsoku/>
        <w:wordWrap/>
        <w:overflowPunct/>
        <w:topLinePunct w:val="0"/>
        <w:autoSpaceDE/>
        <w:autoSpaceDN/>
        <w:bidi w:val="0"/>
        <w:spacing w:line="480" w:lineRule="auto"/>
        <w:ind w:firstLine="210" w:firstLineChars="100"/>
        <w:textAlignment w:val="auto"/>
        <w:outlineLvl w:val="2"/>
        <w:rPr>
          <w:rFonts w:ascii="宋体" w:hAnsi="宋体"/>
          <w:b w:val="0"/>
          <w:color w:val="auto"/>
          <w:sz w:val="21"/>
          <w:szCs w:val="21"/>
          <w:highlight w:val="none"/>
        </w:rPr>
      </w:pPr>
      <w:r>
        <w:rPr>
          <w:rFonts w:hint="eastAsia" w:ascii="宋体" w:hAnsi="宋体"/>
          <w:b w:val="0"/>
          <w:color w:val="auto"/>
          <w:sz w:val="21"/>
          <w:szCs w:val="21"/>
          <w:highlight w:val="none"/>
        </w:rPr>
        <w:t>1.</w:t>
      </w:r>
      <w:r>
        <w:rPr>
          <w:rFonts w:hint="eastAsia" w:ascii="宋体" w:hAnsi="宋体"/>
          <w:b w:val="0"/>
          <w:color w:val="auto"/>
          <w:sz w:val="21"/>
          <w:szCs w:val="21"/>
          <w:highlight w:val="none"/>
          <w:lang w:val="en-US" w:eastAsia="zh-CN"/>
        </w:rPr>
        <w:t>12</w:t>
      </w:r>
      <w:r>
        <w:rPr>
          <w:rFonts w:hint="eastAsia" w:ascii="宋体" w:hAnsi="宋体"/>
          <w:b w:val="0"/>
          <w:color w:val="auto"/>
          <w:sz w:val="21"/>
          <w:szCs w:val="21"/>
          <w:highlight w:val="none"/>
        </w:rPr>
        <w:t xml:space="preserve"> 本项目不接受联合体投标。</w:t>
      </w:r>
    </w:p>
    <w:p w14:paraId="3C4D4079">
      <w:pPr>
        <w:keepNext w:val="0"/>
        <w:keepLines w:val="0"/>
        <w:pageBreakBefore w:val="0"/>
        <w:kinsoku/>
        <w:wordWrap/>
        <w:overflowPunct/>
        <w:topLinePunct w:val="0"/>
        <w:autoSpaceDE/>
        <w:autoSpaceDN/>
        <w:bidi w:val="0"/>
        <w:adjustRightInd w:val="0"/>
        <w:snapToGrid w:val="0"/>
        <w:spacing w:line="480" w:lineRule="auto"/>
        <w:textAlignment w:val="auto"/>
        <w:outlineLvl w:val="1"/>
        <w:rPr>
          <w:rFonts w:ascii="宋体" w:hAnsi="宋体"/>
          <w:b w:val="0"/>
          <w:color w:val="auto"/>
          <w:sz w:val="21"/>
          <w:szCs w:val="21"/>
        </w:rPr>
      </w:pPr>
      <w:r>
        <w:rPr>
          <w:rFonts w:hint="eastAsia" w:hAnsi="宋体"/>
          <w:bCs/>
          <w:color w:val="auto"/>
          <w:sz w:val="28"/>
          <w:szCs w:val="28"/>
        </w:rPr>
        <w:t>二、申请人的资格要求：</w:t>
      </w:r>
      <w:bookmarkStart w:id="19" w:name="_Toc35393792"/>
      <w:bookmarkStart w:id="20" w:name="_Toc35393623"/>
      <w:bookmarkStart w:id="21" w:name="_Toc8298"/>
    </w:p>
    <w:p w14:paraId="68E29256">
      <w:pPr>
        <w:keepNext w:val="0"/>
        <w:keepLines w:val="0"/>
        <w:pageBreakBefore w:val="0"/>
        <w:kinsoku/>
        <w:wordWrap/>
        <w:overflowPunct/>
        <w:topLinePunct w:val="0"/>
        <w:autoSpaceDE/>
        <w:autoSpaceDN/>
        <w:bidi w:val="0"/>
        <w:adjustRightInd w:val="0"/>
        <w:snapToGrid w:val="0"/>
        <w:spacing w:line="480" w:lineRule="auto"/>
        <w:ind w:firstLine="630" w:firstLineChars="300"/>
        <w:textAlignment w:val="auto"/>
        <w:outlineLvl w:val="2"/>
        <w:rPr>
          <w:rFonts w:ascii="宋体" w:hAnsi="宋体"/>
          <w:b w:val="0"/>
          <w:color w:val="auto"/>
          <w:sz w:val="21"/>
          <w:szCs w:val="21"/>
        </w:rPr>
      </w:pPr>
      <w:r>
        <w:rPr>
          <w:rFonts w:hint="eastAsia" w:ascii="宋体" w:hAnsi="宋体"/>
          <w:b w:val="0"/>
          <w:color w:val="auto"/>
          <w:sz w:val="21"/>
          <w:szCs w:val="21"/>
        </w:rPr>
        <w:t>2.1满足《中华人民共和国政府采购法》第二十二条规定：</w:t>
      </w:r>
    </w:p>
    <w:p w14:paraId="327C4603">
      <w:pPr>
        <w:keepNext w:val="0"/>
        <w:keepLines w:val="0"/>
        <w:pageBreakBefore w:val="0"/>
        <w:widowControl/>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（1）．具有独立承担民事责任的能力；</w:t>
      </w:r>
    </w:p>
    <w:p w14:paraId="1FEE052E">
      <w:pPr>
        <w:keepNext w:val="0"/>
        <w:keepLines w:val="0"/>
        <w:pageBreakBefore w:val="0"/>
        <w:widowControl/>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（2）．具有良好的商业信誉和健全的财务会计制度；</w:t>
      </w:r>
    </w:p>
    <w:p w14:paraId="433F8E45">
      <w:pPr>
        <w:keepNext w:val="0"/>
        <w:keepLines w:val="0"/>
        <w:pageBreakBefore w:val="0"/>
        <w:widowControl/>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（3）．有依法缴纳税收和社会保障资金的良好记录；</w:t>
      </w:r>
    </w:p>
    <w:p w14:paraId="38F08592">
      <w:pPr>
        <w:keepNext w:val="0"/>
        <w:keepLines w:val="0"/>
        <w:pageBreakBefore w:val="0"/>
        <w:widowControl/>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（4）．参加此采购活动前三年内，在经营活动中没有重大违法记录；</w:t>
      </w:r>
    </w:p>
    <w:p w14:paraId="157528B0">
      <w:pPr>
        <w:keepNext w:val="0"/>
        <w:keepLines w:val="0"/>
        <w:pageBreakBefore w:val="0"/>
        <w:widowControl/>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（5）．具备履行合同所必需的设备和专业技术能力的证明材料；</w:t>
      </w:r>
    </w:p>
    <w:p w14:paraId="7CEAF020">
      <w:pPr>
        <w:keepNext w:val="0"/>
        <w:keepLines w:val="0"/>
        <w:pageBreakBefore w:val="0"/>
        <w:widowControl/>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（6）．符合</w:t>
      </w:r>
      <w:r>
        <w:rPr>
          <w:rFonts w:hint="eastAsia" w:ascii="宋体" w:hAnsi="宋体" w:eastAsia="宋体" w:cs="宋体"/>
          <w:color w:val="auto"/>
          <w:sz w:val="21"/>
          <w:szCs w:val="21"/>
          <w:highlight w:val="none"/>
          <w:lang w:val="en-US" w:eastAsia="zh-CN"/>
        </w:rPr>
        <w:t>法律</w:t>
      </w:r>
      <w:r>
        <w:rPr>
          <w:rFonts w:hint="eastAsia" w:ascii="宋体" w:hAnsi="宋体" w:eastAsia="宋体" w:cs="宋体"/>
          <w:color w:val="auto"/>
          <w:sz w:val="21"/>
          <w:szCs w:val="21"/>
          <w:highlight w:val="none"/>
          <w:lang w:val="zh-CN" w:eastAsia="zh-CN"/>
        </w:rPr>
        <w:t>、法规规定的其他条件；</w:t>
      </w:r>
    </w:p>
    <w:p w14:paraId="54219385">
      <w:pPr>
        <w:keepNext w:val="0"/>
        <w:keepLines w:val="0"/>
        <w:pageBreakBefore w:val="0"/>
        <w:kinsoku/>
        <w:wordWrap/>
        <w:overflowPunct/>
        <w:topLinePunct w:val="0"/>
        <w:autoSpaceDE/>
        <w:autoSpaceDN/>
        <w:bidi w:val="0"/>
        <w:spacing w:line="480" w:lineRule="auto"/>
        <w:ind w:firstLine="420" w:firstLineChars="200"/>
        <w:jc w:val="left"/>
        <w:textAlignment w:val="auto"/>
        <w:outlineLvl w:val="1"/>
        <w:rPr>
          <w:rFonts w:ascii="宋体" w:hAnsi="宋体"/>
          <w:b w:val="0"/>
          <w:color w:val="auto"/>
          <w:sz w:val="21"/>
          <w:szCs w:val="21"/>
        </w:rPr>
      </w:pPr>
      <w:r>
        <w:rPr>
          <w:rFonts w:hint="eastAsia" w:ascii="宋体" w:hAnsi="宋体"/>
          <w:b w:val="0"/>
          <w:color w:val="auto"/>
          <w:sz w:val="21"/>
          <w:szCs w:val="21"/>
        </w:rPr>
        <w:t>2.</w:t>
      </w:r>
      <w:r>
        <w:rPr>
          <w:rFonts w:hint="eastAsia" w:ascii="宋体" w:hAnsi="宋体"/>
          <w:b w:val="0"/>
          <w:color w:val="auto"/>
          <w:sz w:val="21"/>
          <w:szCs w:val="21"/>
          <w:lang w:val="en-US" w:eastAsia="zh-CN"/>
        </w:rPr>
        <w:t>2</w:t>
      </w:r>
      <w:r>
        <w:rPr>
          <w:rFonts w:hint="eastAsia" w:ascii="宋体" w:hAnsi="宋体"/>
          <w:b w:val="0"/>
          <w:color w:val="auto"/>
          <w:sz w:val="21"/>
          <w:szCs w:val="21"/>
        </w:rPr>
        <w:t>单位负责人为同一人或者存在直接控股、管理关系的不同投标人，不得同时参加本项目的投标活动。</w:t>
      </w:r>
    </w:p>
    <w:p w14:paraId="693F3389">
      <w:pPr>
        <w:keepNext w:val="0"/>
        <w:keepLines w:val="0"/>
        <w:pageBreakBefore w:val="0"/>
        <w:kinsoku/>
        <w:wordWrap/>
        <w:overflowPunct/>
        <w:topLinePunct w:val="0"/>
        <w:autoSpaceDE/>
        <w:autoSpaceDN/>
        <w:bidi w:val="0"/>
        <w:spacing w:line="480" w:lineRule="auto"/>
        <w:ind w:firstLine="420" w:firstLineChars="200"/>
        <w:jc w:val="left"/>
        <w:textAlignment w:val="auto"/>
        <w:outlineLvl w:val="1"/>
        <w:rPr>
          <w:rFonts w:hint="eastAsia" w:ascii="宋体" w:hAnsi="宋体" w:eastAsia="宋体" w:cs="宋体"/>
          <w:b w:val="0"/>
          <w:color w:val="auto"/>
          <w:sz w:val="21"/>
          <w:szCs w:val="21"/>
          <w:lang w:eastAsia="zh-CN"/>
        </w:rPr>
      </w:pPr>
      <w:r>
        <w:rPr>
          <w:rFonts w:hint="eastAsia" w:ascii="宋体" w:hAnsi="宋体"/>
          <w:b w:val="0"/>
          <w:color w:val="auto"/>
          <w:sz w:val="21"/>
          <w:szCs w:val="21"/>
        </w:rPr>
        <w:t>2.</w:t>
      </w:r>
      <w:r>
        <w:rPr>
          <w:rFonts w:hint="eastAsia" w:ascii="宋体" w:hAnsi="宋体"/>
          <w:b w:val="0"/>
          <w:color w:val="auto"/>
          <w:sz w:val="21"/>
          <w:szCs w:val="21"/>
          <w:lang w:val="en-US" w:eastAsia="zh-CN"/>
        </w:rPr>
        <w:t>3</w:t>
      </w:r>
      <w:r>
        <w:rPr>
          <w:rFonts w:hint="eastAsia" w:ascii="宋体" w:hAnsi="宋体"/>
          <w:b w:val="0"/>
          <w:color w:val="auto"/>
          <w:sz w:val="21"/>
          <w:szCs w:val="21"/>
        </w:rPr>
        <w:t>落实政府采购政策需满足的资格要求：</w:t>
      </w:r>
      <w:r>
        <w:rPr>
          <w:rFonts w:hint="eastAsia" w:ascii="宋体" w:hAnsi="宋体"/>
          <w:b w:val="0"/>
          <w:color w:val="auto"/>
          <w:sz w:val="21"/>
          <w:szCs w:val="21"/>
          <w:lang w:eastAsia="zh-CN"/>
        </w:rPr>
        <w:t>（</w:t>
      </w:r>
      <w:r>
        <w:rPr>
          <w:rFonts w:hint="eastAsia" w:ascii="宋体" w:hAnsi="宋体"/>
          <w:b w:val="0"/>
          <w:color w:val="auto"/>
          <w:sz w:val="21"/>
          <w:szCs w:val="21"/>
          <w:lang w:val="en-US" w:eastAsia="zh-CN"/>
        </w:rPr>
        <w:t>1</w:t>
      </w:r>
      <w:r>
        <w:rPr>
          <w:rFonts w:hint="eastAsia" w:ascii="宋体" w:hAnsi="宋体"/>
          <w:b w:val="0"/>
          <w:color w:val="auto"/>
          <w:sz w:val="21"/>
          <w:szCs w:val="21"/>
          <w:lang w:eastAsia="zh-CN"/>
        </w:rPr>
        <w:t>）</w:t>
      </w:r>
      <w:r>
        <w:rPr>
          <w:rFonts w:hint="eastAsia" w:ascii="宋体" w:hAnsi="宋体" w:eastAsia="宋体" w:cs="宋体"/>
          <w:b w:val="0"/>
          <w:color w:val="auto"/>
          <w:sz w:val="21"/>
          <w:szCs w:val="21"/>
        </w:rPr>
        <w:t>根据《政府采购促进中小企业发展管理办法》（财库[2020]46号）、《财政部关于进一步加大政府采购支持中小企业力度的通知》（财库[2022]19号）、《财政部、司法部关于政府采购支持监狱企业发展有关问题的通知》(财库[2014]68号)、《关于促进残疾人就业政府采购政策的通知》（财库[2017]141号）的规定执行。本项目对小</w:t>
      </w:r>
      <w:r>
        <w:rPr>
          <w:rFonts w:hint="eastAsia" w:ascii="宋体" w:hAnsi="宋体" w:cs="宋体"/>
          <w:b w:val="0"/>
          <w:color w:val="auto"/>
          <w:sz w:val="21"/>
          <w:szCs w:val="21"/>
          <w:lang w:val="en-US" w:eastAsia="zh-CN"/>
        </w:rPr>
        <w:t>型和</w:t>
      </w:r>
      <w:r>
        <w:rPr>
          <w:rFonts w:hint="eastAsia" w:ascii="宋体" w:hAnsi="宋体" w:eastAsia="宋体" w:cs="宋体"/>
          <w:b w:val="0"/>
          <w:color w:val="auto"/>
          <w:sz w:val="21"/>
          <w:szCs w:val="21"/>
        </w:rPr>
        <w:t>微</w:t>
      </w:r>
      <w:r>
        <w:rPr>
          <w:rFonts w:hint="eastAsia" w:ascii="宋体" w:hAnsi="宋体" w:cs="宋体"/>
          <w:b w:val="0"/>
          <w:color w:val="auto"/>
          <w:sz w:val="21"/>
          <w:szCs w:val="21"/>
          <w:lang w:val="en-US" w:eastAsia="zh-CN"/>
        </w:rPr>
        <w:t>型</w:t>
      </w:r>
      <w:r>
        <w:rPr>
          <w:rFonts w:hint="eastAsia" w:ascii="宋体" w:hAnsi="宋体" w:eastAsia="宋体" w:cs="宋体"/>
          <w:b w:val="0"/>
          <w:color w:val="auto"/>
          <w:sz w:val="21"/>
          <w:szCs w:val="21"/>
        </w:rPr>
        <w:t>企业报价给予</w:t>
      </w:r>
      <w:r>
        <w:rPr>
          <w:rFonts w:hint="eastAsia" w:ascii="宋体" w:hAnsi="宋体" w:eastAsia="宋体" w:cs="宋体"/>
          <w:b w:val="0"/>
          <w:color w:val="auto"/>
          <w:sz w:val="21"/>
          <w:szCs w:val="21"/>
          <w:lang w:val="en-US" w:eastAsia="zh-CN"/>
        </w:rPr>
        <w:t>10</w:t>
      </w:r>
      <w:r>
        <w:rPr>
          <w:rFonts w:hint="eastAsia" w:ascii="宋体" w:hAnsi="宋体" w:eastAsia="宋体" w:cs="宋体"/>
          <w:b w:val="0"/>
          <w:color w:val="auto"/>
          <w:sz w:val="21"/>
          <w:szCs w:val="21"/>
        </w:rPr>
        <w:t>%的扣除，用扣除后的价格参加评审(即：参与价格评审的投标报价=投标人投标报价×[1-</w:t>
      </w:r>
      <w:r>
        <w:rPr>
          <w:rFonts w:hint="eastAsia" w:ascii="宋体" w:hAnsi="宋体" w:eastAsia="宋体" w:cs="宋体"/>
          <w:b w:val="0"/>
          <w:color w:val="auto"/>
          <w:sz w:val="21"/>
          <w:szCs w:val="21"/>
          <w:lang w:val="en-US" w:eastAsia="zh-CN"/>
        </w:rPr>
        <w:t>10</w:t>
      </w:r>
      <w:r>
        <w:rPr>
          <w:rFonts w:hint="eastAsia" w:ascii="宋体" w:hAnsi="宋体" w:eastAsia="宋体" w:cs="宋体"/>
          <w:b w:val="0"/>
          <w:color w:val="auto"/>
          <w:sz w:val="21"/>
          <w:szCs w:val="21"/>
        </w:rPr>
        <w:t>%])</w:t>
      </w:r>
      <w:r>
        <w:rPr>
          <w:rFonts w:hint="eastAsia" w:ascii="宋体" w:hAnsi="宋体" w:eastAsia="宋体" w:cs="宋体"/>
          <w:b w:val="0"/>
          <w:color w:val="auto"/>
          <w:sz w:val="21"/>
          <w:szCs w:val="21"/>
          <w:lang w:eastAsia="zh-CN"/>
        </w:rPr>
        <w:t>；</w:t>
      </w:r>
      <w:r>
        <w:rPr>
          <w:rFonts w:hint="eastAsia" w:ascii="宋体" w:hAnsi="宋体" w:eastAsia="宋体" w:cs="宋体"/>
          <w:b w:val="0"/>
          <w:color w:val="auto"/>
          <w:sz w:val="21"/>
          <w:szCs w:val="21"/>
        </w:rPr>
        <w:t>监狱企业、残疾人福利性单位视同小型、微型企业，享受同等价格扣</w:t>
      </w:r>
      <w:r>
        <w:rPr>
          <w:rFonts w:hint="eastAsia" w:ascii="宋体" w:hAnsi="宋体" w:eastAsia="宋体" w:cs="宋体"/>
          <w:b w:val="0"/>
          <w:color w:val="auto"/>
          <w:sz w:val="21"/>
          <w:szCs w:val="21"/>
          <w:lang w:eastAsia="zh-CN"/>
        </w:rPr>
        <w:t>，不重复享受价格扣除优惠政策。</w:t>
      </w:r>
    </w:p>
    <w:bookmarkEnd w:id="19"/>
    <w:bookmarkEnd w:id="20"/>
    <w:bookmarkEnd w:id="21"/>
    <w:p w14:paraId="2FFDD9C8">
      <w:pPr>
        <w:keepNext w:val="0"/>
        <w:keepLines w:val="0"/>
        <w:pageBreakBefore w:val="0"/>
        <w:numPr>
          <w:ilvl w:val="0"/>
          <w:numId w:val="1"/>
        </w:numPr>
        <w:kinsoku/>
        <w:wordWrap/>
        <w:overflowPunct/>
        <w:topLinePunct w:val="0"/>
        <w:autoSpaceDE/>
        <w:autoSpaceDN/>
        <w:bidi w:val="0"/>
        <w:spacing w:line="480" w:lineRule="auto"/>
        <w:ind w:firstLine="210" w:firstLineChars="100"/>
        <w:jc w:val="left"/>
        <w:textAlignment w:val="auto"/>
        <w:outlineLvl w:val="1"/>
        <w:rPr>
          <w:rFonts w:hint="eastAsia" w:ascii="宋体" w:hAnsi="宋体" w:eastAsia="宋体" w:cs="宋体"/>
          <w:b w:val="0"/>
          <w:color w:val="auto"/>
          <w:sz w:val="21"/>
          <w:szCs w:val="21"/>
        </w:rPr>
      </w:pPr>
      <w:bookmarkStart w:id="22" w:name="_Toc28359005"/>
      <w:bookmarkStart w:id="23" w:name="_Toc28359082"/>
      <w:bookmarkStart w:id="24" w:name="_Toc10419"/>
      <w:bookmarkStart w:id="25" w:name="_Toc35393793"/>
      <w:bookmarkStart w:id="26" w:name="_Toc35393624"/>
      <w:r>
        <w:rPr>
          <w:rFonts w:hint="eastAsia" w:ascii="宋体" w:hAnsi="宋体" w:eastAsia="宋体" w:cs="宋体"/>
          <w:b w:val="0"/>
          <w:color w:val="auto"/>
          <w:sz w:val="21"/>
          <w:szCs w:val="21"/>
        </w:rPr>
        <w:t>《财政部</w:t>
      </w:r>
      <w:r>
        <w:rPr>
          <w:rFonts w:hint="eastAsia" w:ascii="宋体" w:hAnsi="宋体" w:cs="宋体"/>
          <w:b w:val="0"/>
          <w:color w:val="auto"/>
          <w:sz w:val="21"/>
          <w:szCs w:val="21"/>
          <w:lang w:val="en-US" w:eastAsia="zh-CN"/>
        </w:rPr>
        <w:t xml:space="preserve"> </w:t>
      </w:r>
      <w:r>
        <w:rPr>
          <w:rFonts w:hint="eastAsia" w:ascii="宋体" w:hAnsi="宋体" w:eastAsia="宋体" w:cs="宋体"/>
          <w:b w:val="0"/>
          <w:color w:val="auto"/>
          <w:sz w:val="21"/>
          <w:szCs w:val="21"/>
        </w:rPr>
        <w:t>生态环境部关于印发环境标志产品政府采购品目清单的通知》（财库﹝2019﹞18号）和《财政部  发展改革委关于印发节能产品政府采购品目清单的通知》（财库﹝2019﹞19号）关于节能、</w:t>
      </w:r>
      <w:r>
        <w:rPr>
          <w:rFonts w:hint="eastAsia" w:ascii="宋体" w:hAnsi="宋体" w:cs="宋体"/>
          <w:b w:val="0"/>
          <w:color w:val="auto"/>
          <w:sz w:val="21"/>
          <w:szCs w:val="21"/>
          <w:lang w:eastAsia="zh-CN"/>
        </w:rPr>
        <w:t>环保</w:t>
      </w:r>
      <w:r>
        <w:rPr>
          <w:rFonts w:hint="eastAsia" w:ascii="宋体" w:hAnsi="宋体" w:eastAsia="宋体" w:cs="宋体"/>
          <w:b w:val="0"/>
          <w:color w:val="auto"/>
          <w:sz w:val="21"/>
          <w:szCs w:val="21"/>
        </w:rPr>
        <w:t>产品的规定：政府采购属于节能（</w:t>
      </w:r>
      <w:r>
        <w:rPr>
          <w:rFonts w:hint="eastAsia" w:ascii="宋体" w:hAnsi="宋体" w:cs="宋体"/>
          <w:b w:val="0"/>
          <w:color w:val="auto"/>
          <w:sz w:val="21"/>
          <w:szCs w:val="21"/>
          <w:lang w:eastAsia="zh-CN"/>
        </w:rPr>
        <w:t>环保</w:t>
      </w:r>
      <w:r>
        <w:rPr>
          <w:rFonts w:hint="eastAsia" w:ascii="宋体" w:hAnsi="宋体" w:eastAsia="宋体" w:cs="宋体"/>
          <w:b w:val="0"/>
          <w:color w:val="auto"/>
          <w:sz w:val="21"/>
          <w:szCs w:val="21"/>
        </w:rPr>
        <w:t>标志）清单中产品时，在技术、服务等指标同等条件下，应当优先采购节能（</w:t>
      </w:r>
      <w:r>
        <w:rPr>
          <w:rFonts w:hint="eastAsia" w:ascii="宋体" w:hAnsi="宋体" w:cs="宋体"/>
          <w:b w:val="0"/>
          <w:color w:val="auto"/>
          <w:sz w:val="21"/>
          <w:szCs w:val="21"/>
          <w:lang w:eastAsia="zh-CN"/>
        </w:rPr>
        <w:t>环保</w:t>
      </w:r>
      <w:r>
        <w:rPr>
          <w:rFonts w:hint="eastAsia" w:ascii="宋体" w:hAnsi="宋体" w:eastAsia="宋体" w:cs="宋体"/>
          <w:b w:val="0"/>
          <w:color w:val="auto"/>
          <w:sz w:val="21"/>
          <w:szCs w:val="21"/>
        </w:rPr>
        <w:t>标志）清单所列的节能（</w:t>
      </w:r>
      <w:r>
        <w:rPr>
          <w:rFonts w:hint="eastAsia" w:ascii="宋体" w:hAnsi="宋体" w:cs="宋体"/>
          <w:b w:val="0"/>
          <w:color w:val="auto"/>
          <w:sz w:val="21"/>
          <w:szCs w:val="21"/>
          <w:lang w:eastAsia="zh-CN"/>
        </w:rPr>
        <w:t>环保</w:t>
      </w:r>
      <w:r>
        <w:rPr>
          <w:rFonts w:hint="eastAsia" w:ascii="宋体" w:hAnsi="宋体" w:eastAsia="宋体" w:cs="宋体"/>
          <w:b w:val="0"/>
          <w:color w:val="auto"/>
          <w:sz w:val="21"/>
          <w:szCs w:val="21"/>
        </w:rPr>
        <w:t>标志）产品。</w:t>
      </w:r>
    </w:p>
    <w:p w14:paraId="482F4D43">
      <w:pPr>
        <w:keepNext w:val="0"/>
        <w:keepLines w:val="0"/>
        <w:pageBreakBefore w:val="0"/>
        <w:kinsoku/>
        <w:wordWrap/>
        <w:overflowPunct/>
        <w:topLinePunct w:val="0"/>
        <w:bidi w:val="0"/>
        <w:spacing w:before="156" w:beforeLines="50" w:line="360" w:lineRule="auto"/>
        <w:jc w:val="left"/>
        <w:outlineLvl w:val="1"/>
        <w:rPr>
          <w:rFonts w:hAnsi="宋体"/>
          <w:bCs/>
          <w:color w:val="auto"/>
          <w:sz w:val="28"/>
          <w:szCs w:val="28"/>
        </w:rPr>
      </w:pPr>
      <w:r>
        <w:rPr>
          <w:rFonts w:hint="eastAsia" w:hAnsi="宋体"/>
          <w:bCs/>
          <w:color w:val="auto"/>
          <w:sz w:val="28"/>
          <w:szCs w:val="28"/>
        </w:rPr>
        <w:t>三、获取招标文件的时间、地点、方式：</w:t>
      </w:r>
    </w:p>
    <w:p w14:paraId="63DF1CDD">
      <w:pPr>
        <w:keepNext w:val="0"/>
        <w:keepLines w:val="0"/>
        <w:pageBreakBefore w:val="0"/>
        <w:widowControl/>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1.时间：202</w:t>
      </w: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年</w:t>
      </w:r>
      <w:r>
        <w:rPr>
          <w:rFonts w:hint="eastAsia" w:ascii="宋体" w:hAnsi="宋体" w:cs="宋体"/>
          <w:b w:val="0"/>
          <w:bCs/>
          <w:color w:val="auto"/>
          <w:sz w:val="21"/>
          <w:szCs w:val="21"/>
          <w:highlight w:val="none"/>
          <w:lang w:val="en-US" w:eastAsia="zh-CN"/>
        </w:rPr>
        <w:t>07</w:t>
      </w:r>
      <w:r>
        <w:rPr>
          <w:rFonts w:hint="eastAsia" w:ascii="宋体" w:hAnsi="宋体" w:eastAsia="宋体" w:cs="宋体"/>
          <w:b w:val="0"/>
          <w:bCs/>
          <w:color w:val="auto"/>
          <w:sz w:val="21"/>
          <w:szCs w:val="21"/>
          <w:highlight w:val="none"/>
        </w:rPr>
        <w:t>月</w:t>
      </w:r>
      <w:r>
        <w:rPr>
          <w:rFonts w:hint="eastAsia" w:ascii="宋体" w:hAnsi="宋体" w:cs="宋体"/>
          <w:b w:val="0"/>
          <w:bCs/>
          <w:color w:val="auto"/>
          <w:sz w:val="21"/>
          <w:szCs w:val="21"/>
          <w:highlight w:val="none"/>
          <w:lang w:val="en-US" w:eastAsia="zh-CN"/>
        </w:rPr>
        <w:t>15</w:t>
      </w:r>
      <w:r>
        <w:rPr>
          <w:rFonts w:hint="eastAsia" w:ascii="宋体" w:hAnsi="宋体" w:eastAsia="宋体" w:cs="宋体"/>
          <w:b w:val="0"/>
          <w:bCs/>
          <w:color w:val="auto"/>
          <w:sz w:val="21"/>
          <w:szCs w:val="21"/>
          <w:highlight w:val="none"/>
        </w:rPr>
        <w:t>日至202</w:t>
      </w: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年</w:t>
      </w:r>
      <w:r>
        <w:rPr>
          <w:rFonts w:hint="eastAsia" w:ascii="宋体" w:hAnsi="宋体" w:cs="宋体"/>
          <w:b w:val="0"/>
          <w:bCs/>
          <w:color w:val="auto"/>
          <w:sz w:val="21"/>
          <w:szCs w:val="21"/>
          <w:highlight w:val="none"/>
          <w:lang w:val="en-US" w:eastAsia="zh-CN"/>
        </w:rPr>
        <w:t>07</w:t>
      </w:r>
      <w:r>
        <w:rPr>
          <w:rFonts w:hint="eastAsia" w:ascii="宋体" w:hAnsi="宋体" w:eastAsia="宋体" w:cs="宋体"/>
          <w:b w:val="0"/>
          <w:bCs/>
          <w:color w:val="auto"/>
          <w:sz w:val="21"/>
          <w:szCs w:val="21"/>
          <w:highlight w:val="none"/>
        </w:rPr>
        <w:t>月</w:t>
      </w:r>
      <w:r>
        <w:rPr>
          <w:rFonts w:hint="eastAsia" w:ascii="宋体" w:hAnsi="宋体" w:cs="宋体"/>
          <w:b w:val="0"/>
          <w:bCs/>
          <w:color w:val="auto"/>
          <w:sz w:val="21"/>
          <w:szCs w:val="21"/>
          <w:highlight w:val="none"/>
          <w:lang w:val="en-US" w:eastAsia="zh-CN"/>
        </w:rPr>
        <w:t xml:space="preserve">22 </w:t>
      </w:r>
      <w:r>
        <w:rPr>
          <w:rFonts w:hint="eastAsia" w:ascii="宋体" w:hAnsi="宋体" w:eastAsia="宋体" w:cs="宋体"/>
          <w:b w:val="0"/>
          <w:bCs/>
          <w:color w:val="auto"/>
          <w:sz w:val="21"/>
          <w:szCs w:val="21"/>
          <w:highlight w:val="none"/>
        </w:rPr>
        <w:t>日，每天上午0</w:t>
      </w:r>
      <w:r>
        <w:rPr>
          <w:rFonts w:hint="eastAsia" w:ascii="宋体" w:hAnsi="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rPr>
        <w:t>：00至</w:t>
      </w:r>
      <w:r>
        <w:rPr>
          <w:rFonts w:hint="eastAsia" w:ascii="宋体" w:hAnsi="宋体" w:eastAsia="宋体" w:cs="宋体"/>
          <w:b w:val="0"/>
          <w:bCs/>
          <w:color w:val="auto"/>
          <w:sz w:val="21"/>
          <w:szCs w:val="21"/>
          <w:highlight w:val="none"/>
          <w:lang w:val="en-US" w:eastAsia="zh-CN"/>
        </w:rPr>
        <w:t>12:00，下午1</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val="en-US" w:eastAsia="zh-CN"/>
        </w:rPr>
        <w:t>:00至</w:t>
      </w:r>
      <w:r>
        <w:rPr>
          <w:rFonts w:hint="eastAsia" w:ascii="宋体" w:hAnsi="宋体" w:cs="宋体"/>
          <w:b w:val="0"/>
          <w:bCs/>
          <w:color w:val="auto"/>
          <w:sz w:val="21"/>
          <w:szCs w:val="21"/>
          <w:highlight w:val="none"/>
          <w:lang w:val="en-US" w:eastAsia="zh-CN"/>
        </w:rPr>
        <w:t>23</w:t>
      </w:r>
      <w:r>
        <w:rPr>
          <w:rFonts w:hint="eastAsia" w:ascii="宋体" w:hAnsi="宋体" w:eastAsia="宋体" w:cs="宋体"/>
          <w:b w:val="0"/>
          <w:bCs/>
          <w:color w:val="auto"/>
          <w:sz w:val="21"/>
          <w:szCs w:val="21"/>
          <w:highlight w:val="none"/>
        </w:rPr>
        <w:t>：</w:t>
      </w:r>
      <w:r>
        <w:rPr>
          <w:rFonts w:hint="eastAsia" w:ascii="宋体" w:hAnsi="宋体" w:cs="宋体"/>
          <w:b w:val="0"/>
          <w:bCs/>
          <w:color w:val="auto"/>
          <w:sz w:val="21"/>
          <w:szCs w:val="21"/>
          <w:highlight w:val="none"/>
          <w:lang w:val="en-US" w:eastAsia="zh-CN"/>
        </w:rPr>
        <w:t>59</w:t>
      </w:r>
      <w:r>
        <w:rPr>
          <w:rFonts w:hint="eastAsia" w:ascii="宋体" w:hAnsi="宋体" w:eastAsia="宋体" w:cs="宋体"/>
          <w:b w:val="0"/>
          <w:bCs/>
          <w:color w:val="auto"/>
          <w:sz w:val="21"/>
          <w:szCs w:val="21"/>
          <w:highlight w:val="none"/>
        </w:rPr>
        <w:t>（北京时间，法定节假日除外）</w:t>
      </w:r>
    </w:p>
    <w:p w14:paraId="11BBFD69">
      <w:pPr>
        <w:keepNext w:val="0"/>
        <w:keepLines w:val="0"/>
        <w:pageBreakBefore w:val="0"/>
        <w:widowControl/>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2.地点：“政采云”平台（http：//www.zcygov.cn）（操作路径：登录“政采云”平台-</w:t>
      </w:r>
      <w:r>
        <w:rPr>
          <w:rFonts w:hint="eastAsia" w:ascii="宋体" w:hAnsi="宋体" w:eastAsia="宋体" w:cs="宋体"/>
          <w:b w:val="0"/>
          <w:bCs/>
          <w:color w:val="auto"/>
          <w:sz w:val="21"/>
          <w:szCs w:val="21"/>
          <w:highlight w:val="none"/>
          <w:lang w:val="en-US" w:eastAsia="zh-CN"/>
        </w:rPr>
        <w:t>项目采购-获取采购文件 -找到本项目-点击“申请获取采购文件”）。政采云电子交易：服务热线 95763</w:t>
      </w:r>
    </w:p>
    <w:p w14:paraId="40D57DBF">
      <w:pPr>
        <w:keepNext w:val="0"/>
        <w:keepLines w:val="0"/>
        <w:pageBreakBefore w:val="0"/>
        <w:widowControl/>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注:云南本地供应商如之前已在云南CA在线数字证书办理网进行过注册并办理过企业数字证书（CA），直接绑定即可。外省供应商在政采云平台办理的其他CA可直接使用，无需重复办理。</w:t>
      </w:r>
    </w:p>
    <w:p w14:paraId="23FF1888">
      <w:pPr>
        <w:keepNext w:val="0"/>
        <w:keepLines w:val="0"/>
        <w:pageBreakBefore w:val="0"/>
        <w:widowControl/>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如有问题可拨打政采云客户服务热线95763进行咨询。</w:t>
      </w:r>
    </w:p>
    <w:p w14:paraId="6D510553">
      <w:pPr>
        <w:keepNext w:val="0"/>
        <w:keepLines w:val="0"/>
        <w:pageBreakBefore w:val="0"/>
        <w:widowControl/>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4.方式：网络获取</w:t>
      </w:r>
    </w:p>
    <w:p w14:paraId="258C7CFF">
      <w:pPr>
        <w:keepNext w:val="0"/>
        <w:keepLines w:val="0"/>
        <w:pageBreakBefore w:val="0"/>
        <w:kinsoku/>
        <w:wordWrap/>
        <w:overflowPunct/>
        <w:topLinePunct w:val="0"/>
        <w:bidi w:val="0"/>
        <w:spacing w:before="156" w:beforeLines="50" w:line="360" w:lineRule="auto"/>
        <w:jc w:val="left"/>
        <w:outlineLvl w:val="1"/>
        <w:rPr>
          <w:rFonts w:hAnsi="宋体"/>
          <w:bCs/>
          <w:color w:val="auto"/>
          <w:sz w:val="28"/>
          <w:szCs w:val="28"/>
        </w:rPr>
      </w:pPr>
      <w:r>
        <w:rPr>
          <w:rFonts w:hint="eastAsia" w:hAnsi="宋体"/>
          <w:bCs/>
          <w:color w:val="auto"/>
          <w:sz w:val="28"/>
          <w:szCs w:val="28"/>
          <w:lang w:eastAsia="zh-CN"/>
        </w:rPr>
        <w:t>四</w:t>
      </w:r>
      <w:r>
        <w:rPr>
          <w:rFonts w:hint="eastAsia" w:hAnsi="宋体"/>
          <w:bCs/>
          <w:color w:val="auto"/>
          <w:sz w:val="28"/>
          <w:szCs w:val="28"/>
        </w:rPr>
        <w:t>、提交投标文件</w:t>
      </w:r>
      <w:bookmarkEnd w:id="22"/>
      <w:bookmarkEnd w:id="23"/>
      <w:r>
        <w:rPr>
          <w:rFonts w:hint="eastAsia" w:hAnsi="宋体"/>
          <w:bCs/>
          <w:color w:val="auto"/>
          <w:sz w:val="28"/>
          <w:szCs w:val="28"/>
        </w:rPr>
        <w:t>截止时间、开标时间和地点</w:t>
      </w:r>
      <w:bookmarkEnd w:id="24"/>
      <w:bookmarkEnd w:id="25"/>
      <w:bookmarkEnd w:id="26"/>
    </w:p>
    <w:p w14:paraId="1635BC8A">
      <w:pPr>
        <w:pageBreakBefore w:val="0"/>
        <w:kinsoku/>
        <w:wordWrap/>
        <w:overflowPunct/>
        <w:topLinePunct w:val="0"/>
        <w:autoSpaceDE/>
        <w:autoSpaceDN/>
        <w:bidi w:val="0"/>
        <w:spacing w:after="50" w:line="480" w:lineRule="auto"/>
        <w:ind w:firstLine="426" w:firstLineChars="203"/>
        <w:rPr>
          <w:rFonts w:hint="eastAsia" w:ascii="宋体" w:hAnsi="宋体" w:eastAsia="宋体" w:cs="宋体"/>
          <w:b w:val="0"/>
          <w:bCs/>
          <w:sz w:val="21"/>
          <w:szCs w:val="21"/>
          <w:highlight w:val="none"/>
          <w:lang w:val="en-US" w:eastAsia="zh-CN"/>
        </w:rPr>
      </w:pPr>
      <w:bookmarkStart w:id="27" w:name="_Toc28359007"/>
      <w:bookmarkStart w:id="28" w:name="_Toc35393794"/>
      <w:bookmarkStart w:id="29" w:name="_Toc4748"/>
      <w:bookmarkStart w:id="30" w:name="_Toc35393625"/>
      <w:bookmarkStart w:id="31" w:name="_Toc28359084"/>
      <w:r>
        <w:rPr>
          <w:rFonts w:hint="eastAsia" w:ascii="宋体" w:hAnsi="宋体" w:eastAsia="宋体" w:cs="宋体"/>
          <w:b w:val="0"/>
          <w:bCs/>
          <w:sz w:val="21"/>
          <w:szCs w:val="21"/>
          <w:highlight w:val="none"/>
          <w:lang w:val="en-US" w:eastAsia="zh-CN"/>
        </w:rPr>
        <w:t>截止时间：202</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年</w:t>
      </w:r>
      <w:r>
        <w:rPr>
          <w:rFonts w:hint="eastAsia" w:ascii="宋体" w:hAnsi="宋体" w:cs="宋体"/>
          <w:b w:val="0"/>
          <w:bCs/>
          <w:sz w:val="21"/>
          <w:szCs w:val="21"/>
          <w:highlight w:val="none"/>
          <w:lang w:val="en-US" w:eastAsia="zh-CN"/>
        </w:rPr>
        <w:t>08</w:t>
      </w:r>
      <w:r>
        <w:rPr>
          <w:rFonts w:hint="eastAsia" w:ascii="宋体" w:hAnsi="宋体" w:eastAsia="宋体" w:cs="宋体"/>
          <w:b w:val="0"/>
          <w:bCs/>
          <w:sz w:val="21"/>
          <w:szCs w:val="21"/>
          <w:highlight w:val="none"/>
          <w:lang w:val="en-US" w:eastAsia="zh-CN"/>
        </w:rPr>
        <w:t>月</w:t>
      </w:r>
      <w:r>
        <w:rPr>
          <w:rFonts w:hint="eastAsia" w:ascii="宋体" w:hAnsi="宋体" w:cs="宋体"/>
          <w:b w:val="0"/>
          <w:bCs/>
          <w:sz w:val="21"/>
          <w:szCs w:val="21"/>
          <w:highlight w:val="none"/>
          <w:lang w:val="en-US" w:eastAsia="zh-CN"/>
        </w:rPr>
        <w:t>20</w:t>
      </w:r>
      <w:r>
        <w:rPr>
          <w:rFonts w:hint="eastAsia" w:ascii="宋体" w:hAnsi="宋体" w:eastAsia="宋体" w:cs="宋体"/>
          <w:b w:val="0"/>
          <w:bCs/>
          <w:sz w:val="21"/>
          <w:szCs w:val="21"/>
          <w:highlight w:val="none"/>
          <w:lang w:val="en-US" w:eastAsia="zh-CN"/>
        </w:rPr>
        <w:t>日09点00分（北京时间）</w:t>
      </w:r>
    </w:p>
    <w:p w14:paraId="72B19666">
      <w:pPr>
        <w:pageBreakBefore w:val="0"/>
        <w:kinsoku/>
        <w:wordWrap/>
        <w:overflowPunct/>
        <w:topLinePunct w:val="0"/>
        <w:autoSpaceDE/>
        <w:autoSpaceDN/>
        <w:bidi w:val="0"/>
        <w:spacing w:after="50" w:line="480" w:lineRule="auto"/>
        <w:ind w:firstLine="426" w:firstLineChars="203"/>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地点：</w:t>
      </w:r>
      <w:r>
        <w:rPr>
          <w:rFonts w:hint="eastAsia" w:ascii="宋体" w:hAnsi="宋体" w:eastAsia="宋体" w:cs="宋体"/>
          <w:b w:val="0"/>
          <w:bCs/>
          <w:color w:val="000000"/>
          <w:sz w:val="21"/>
          <w:szCs w:val="21"/>
          <w:highlight w:val="none"/>
          <w:lang w:val="en-US" w:eastAsia="zh-CN"/>
        </w:rPr>
        <w:t>政采云平台</w:t>
      </w:r>
      <w:r>
        <w:rPr>
          <w:rFonts w:hint="eastAsia" w:ascii="宋体" w:hAnsi="宋体" w:eastAsia="宋体" w:cs="宋体"/>
          <w:b w:val="0"/>
          <w:bCs/>
          <w:color w:val="000000"/>
          <w:sz w:val="21"/>
          <w:szCs w:val="21"/>
          <w:highlight w:val="none"/>
        </w:rPr>
        <w:t>。</w:t>
      </w:r>
    </w:p>
    <w:p w14:paraId="43FBA154">
      <w:pPr>
        <w:keepNext w:val="0"/>
        <w:keepLines w:val="0"/>
        <w:pageBreakBefore w:val="0"/>
        <w:kinsoku/>
        <w:wordWrap/>
        <w:overflowPunct/>
        <w:topLinePunct w:val="0"/>
        <w:bidi w:val="0"/>
        <w:spacing w:before="156" w:beforeLines="50" w:line="360" w:lineRule="auto"/>
        <w:jc w:val="left"/>
        <w:outlineLvl w:val="1"/>
        <w:rPr>
          <w:rFonts w:hAnsi="宋体"/>
          <w:bCs/>
          <w:color w:val="auto"/>
          <w:sz w:val="28"/>
          <w:szCs w:val="28"/>
        </w:rPr>
      </w:pPr>
      <w:r>
        <w:rPr>
          <w:rFonts w:hint="eastAsia" w:hAnsi="宋体"/>
          <w:bCs/>
          <w:color w:val="auto"/>
          <w:sz w:val="28"/>
          <w:szCs w:val="28"/>
          <w:lang w:eastAsia="zh-CN"/>
        </w:rPr>
        <w:t>五</w:t>
      </w:r>
      <w:r>
        <w:rPr>
          <w:rFonts w:hint="eastAsia" w:hAnsi="宋体"/>
          <w:bCs/>
          <w:color w:val="auto"/>
          <w:sz w:val="28"/>
          <w:szCs w:val="28"/>
        </w:rPr>
        <w:t>、</w:t>
      </w:r>
      <w:bookmarkEnd w:id="27"/>
      <w:bookmarkEnd w:id="28"/>
      <w:bookmarkEnd w:id="29"/>
      <w:bookmarkEnd w:id="30"/>
      <w:bookmarkEnd w:id="31"/>
      <w:r>
        <w:rPr>
          <w:rFonts w:hint="eastAsia" w:hAnsi="宋体"/>
          <w:bCs/>
          <w:color w:val="auto"/>
          <w:sz w:val="28"/>
          <w:szCs w:val="28"/>
        </w:rPr>
        <w:t>发布公告的媒介</w:t>
      </w:r>
    </w:p>
    <w:p w14:paraId="73D625A7">
      <w:pPr>
        <w:pStyle w:val="54"/>
        <w:spacing w:line="360" w:lineRule="auto"/>
        <w:ind w:firstLine="48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本次招标公告在云南省政府采购网（http://www.yngp.com）</w:t>
      </w:r>
      <w:r>
        <w:rPr>
          <w:rFonts w:hint="eastAsia" w:ascii="宋体" w:hAnsi="宋体" w:eastAsia="宋体" w:cs="宋体"/>
          <w:b w:val="0"/>
          <w:bCs w:val="0"/>
          <w:sz w:val="21"/>
          <w:szCs w:val="21"/>
        </w:rPr>
        <w:t>和</w:t>
      </w:r>
      <w:r>
        <w:rPr>
          <w:rFonts w:hint="eastAsia" w:ascii="宋体" w:hAnsi="宋体" w:eastAsia="宋体" w:cs="宋体"/>
          <w:b w:val="0"/>
          <w:bCs w:val="0"/>
          <w:sz w:val="21"/>
          <w:szCs w:val="21"/>
          <w:lang w:val="en-US" w:eastAsia="zh-CN"/>
        </w:rPr>
        <w:t>政采云平台（https://www.zcygov.cn）</w:t>
      </w:r>
      <w:r>
        <w:rPr>
          <w:rFonts w:hint="eastAsia" w:ascii="宋体" w:hAnsi="宋体" w:eastAsia="宋体" w:cs="宋体"/>
          <w:b w:val="0"/>
          <w:bCs w:val="0"/>
          <w:sz w:val="21"/>
          <w:szCs w:val="21"/>
        </w:rPr>
        <w:t>上发布；</w:t>
      </w:r>
      <w:r>
        <w:rPr>
          <w:rFonts w:hint="eastAsia" w:ascii="宋体" w:hAnsi="宋体" w:eastAsia="宋体" w:cs="宋体"/>
          <w:b w:val="0"/>
          <w:bCs w:val="0"/>
          <w:color w:val="auto"/>
          <w:sz w:val="21"/>
          <w:szCs w:val="21"/>
        </w:rPr>
        <w:t>我公司对其它网站或媒体转载的公告及公告内容不承担任何责任。</w:t>
      </w:r>
    </w:p>
    <w:p w14:paraId="288A5395">
      <w:pPr>
        <w:keepNext w:val="0"/>
        <w:keepLines w:val="0"/>
        <w:pageBreakBefore w:val="0"/>
        <w:kinsoku/>
        <w:wordWrap/>
        <w:overflowPunct/>
        <w:topLinePunct w:val="0"/>
        <w:bidi w:val="0"/>
        <w:spacing w:before="156" w:beforeLines="50" w:line="360" w:lineRule="auto"/>
        <w:jc w:val="left"/>
        <w:outlineLvl w:val="1"/>
        <w:rPr>
          <w:rFonts w:hAnsi="宋体"/>
          <w:bCs/>
          <w:color w:val="auto"/>
          <w:sz w:val="28"/>
          <w:szCs w:val="28"/>
        </w:rPr>
      </w:pPr>
      <w:r>
        <w:rPr>
          <w:rFonts w:hint="eastAsia" w:hAnsi="宋体"/>
          <w:bCs/>
          <w:color w:val="auto"/>
          <w:sz w:val="28"/>
          <w:szCs w:val="28"/>
          <w:lang w:eastAsia="zh-CN"/>
        </w:rPr>
        <w:t>六</w:t>
      </w:r>
      <w:r>
        <w:rPr>
          <w:rFonts w:hint="eastAsia" w:hAnsi="宋体"/>
          <w:bCs/>
          <w:color w:val="auto"/>
          <w:sz w:val="28"/>
          <w:szCs w:val="28"/>
        </w:rPr>
        <w:t>、监督部门</w:t>
      </w:r>
    </w:p>
    <w:p w14:paraId="41F06BF2">
      <w:pPr>
        <w:keepNext w:val="0"/>
        <w:keepLines w:val="0"/>
        <w:pageBreakBefore w:val="0"/>
        <w:kinsoku/>
        <w:wordWrap/>
        <w:overflowPunct/>
        <w:topLinePunct w:val="0"/>
        <w:bidi w:val="0"/>
        <w:spacing w:before="156" w:beforeLines="50" w:line="360" w:lineRule="auto"/>
        <w:ind w:firstLine="210" w:firstLineChars="100"/>
        <w:jc w:val="left"/>
        <w:outlineLvl w:val="2"/>
        <w:rPr>
          <w:rFonts w:ascii="宋体" w:hAnsi="宋体"/>
          <w:b w:val="0"/>
          <w:color w:val="auto"/>
          <w:sz w:val="21"/>
          <w:szCs w:val="21"/>
        </w:rPr>
      </w:pPr>
      <w:r>
        <w:rPr>
          <w:rFonts w:hint="eastAsia" w:ascii="宋体" w:hAnsi="宋体"/>
          <w:b w:val="0"/>
          <w:color w:val="auto"/>
          <w:sz w:val="21"/>
          <w:szCs w:val="21"/>
        </w:rPr>
        <w:t>监  督  部  门：普洱市财政局</w:t>
      </w:r>
    </w:p>
    <w:p w14:paraId="575C9982">
      <w:pPr>
        <w:keepNext w:val="0"/>
        <w:keepLines w:val="0"/>
        <w:pageBreakBefore w:val="0"/>
        <w:kinsoku/>
        <w:wordWrap/>
        <w:overflowPunct/>
        <w:topLinePunct w:val="0"/>
        <w:bidi w:val="0"/>
        <w:spacing w:before="156" w:beforeLines="50" w:line="360" w:lineRule="auto"/>
        <w:ind w:firstLine="210" w:firstLineChars="100"/>
        <w:jc w:val="left"/>
        <w:outlineLvl w:val="1"/>
        <w:rPr>
          <w:rFonts w:hAnsi="宋体"/>
          <w:bCs/>
          <w:color w:val="auto"/>
          <w:sz w:val="28"/>
          <w:szCs w:val="28"/>
        </w:rPr>
      </w:pPr>
      <w:r>
        <w:rPr>
          <w:rFonts w:hint="eastAsia" w:ascii="宋体" w:hAnsi="宋体"/>
          <w:b w:val="0"/>
          <w:color w:val="auto"/>
          <w:sz w:val="21"/>
          <w:szCs w:val="21"/>
        </w:rPr>
        <w:t xml:space="preserve">监  督  电  话：0879-2165930    </w:t>
      </w:r>
      <w:r>
        <w:rPr>
          <w:rFonts w:hint="eastAsia" w:hAnsi="宋体"/>
          <w:bCs/>
          <w:color w:val="auto"/>
          <w:sz w:val="28"/>
          <w:szCs w:val="28"/>
        </w:rPr>
        <w:t xml:space="preserve"> </w:t>
      </w:r>
    </w:p>
    <w:p w14:paraId="3098B308">
      <w:pPr>
        <w:keepNext w:val="0"/>
        <w:keepLines w:val="0"/>
        <w:pageBreakBefore w:val="0"/>
        <w:kinsoku/>
        <w:wordWrap/>
        <w:overflowPunct/>
        <w:topLinePunct w:val="0"/>
        <w:bidi w:val="0"/>
        <w:spacing w:before="156" w:beforeLines="50" w:line="360" w:lineRule="auto"/>
        <w:jc w:val="left"/>
        <w:outlineLvl w:val="1"/>
        <w:rPr>
          <w:rFonts w:ascii="宋体" w:hAnsi="宋体"/>
          <w:b w:val="0"/>
          <w:color w:val="auto"/>
          <w:sz w:val="21"/>
          <w:szCs w:val="21"/>
        </w:rPr>
      </w:pPr>
      <w:r>
        <w:rPr>
          <w:rFonts w:hint="eastAsia" w:hAnsi="宋体"/>
          <w:bCs/>
          <w:color w:val="auto"/>
          <w:sz w:val="28"/>
          <w:szCs w:val="28"/>
          <w:lang w:eastAsia="zh-CN"/>
        </w:rPr>
        <w:t>七</w:t>
      </w:r>
      <w:r>
        <w:rPr>
          <w:rFonts w:hint="eastAsia" w:hAnsi="宋体"/>
          <w:bCs/>
          <w:color w:val="auto"/>
          <w:sz w:val="28"/>
          <w:szCs w:val="28"/>
        </w:rPr>
        <w:t>、 联系方式</w:t>
      </w:r>
    </w:p>
    <w:p w14:paraId="58BB1E57">
      <w:pPr>
        <w:keepNext w:val="0"/>
        <w:keepLines w:val="0"/>
        <w:pageBreakBefore w:val="0"/>
        <w:kinsoku/>
        <w:wordWrap/>
        <w:overflowPunct/>
        <w:topLinePunct w:val="0"/>
        <w:bidi w:val="0"/>
        <w:spacing w:before="156" w:beforeLines="50" w:line="360" w:lineRule="auto"/>
        <w:ind w:firstLine="210" w:firstLineChars="100"/>
        <w:jc w:val="left"/>
        <w:outlineLvl w:val="0"/>
        <w:rPr>
          <w:rFonts w:ascii="宋体" w:hAnsi="宋体"/>
          <w:b w:val="0"/>
          <w:color w:val="auto"/>
          <w:sz w:val="21"/>
          <w:szCs w:val="21"/>
        </w:rPr>
      </w:pPr>
      <w:r>
        <w:rPr>
          <w:rFonts w:hint="eastAsia" w:ascii="宋体" w:hAnsi="宋体"/>
          <w:b w:val="0"/>
          <w:color w:val="auto"/>
          <w:sz w:val="21"/>
          <w:szCs w:val="21"/>
          <w:lang w:eastAsia="zh-CN"/>
        </w:rPr>
        <w:t>采购人</w:t>
      </w:r>
      <w:r>
        <w:rPr>
          <w:rFonts w:hint="eastAsia" w:ascii="宋体" w:hAnsi="宋体"/>
          <w:b w:val="0"/>
          <w:color w:val="auto"/>
          <w:sz w:val="21"/>
          <w:szCs w:val="21"/>
        </w:rPr>
        <w:t xml:space="preserve">信息 </w:t>
      </w:r>
    </w:p>
    <w:p w14:paraId="16540783">
      <w:pPr>
        <w:keepNext w:val="0"/>
        <w:keepLines w:val="0"/>
        <w:pageBreakBefore w:val="0"/>
        <w:kinsoku/>
        <w:wordWrap/>
        <w:overflowPunct/>
        <w:topLinePunct w:val="0"/>
        <w:bidi w:val="0"/>
        <w:spacing w:before="156" w:beforeLines="50" w:line="360" w:lineRule="auto"/>
        <w:ind w:firstLine="210" w:firstLineChars="100"/>
        <w:jc w:val="left"/>
        <w:outlineLvl w:val="1"/>
        <w:rPr>
          <w:rFonts w:hint="eastAsia" w:ascii="宋体" w:hAnsi="宋体"/>
          <w:b w:val="0"/>
          <w:color w:val="auto"/>
          <w:sz w:val="21"/>
          <w:szCs w:val="21"/>
          <w:lang w:val="en-US" w:eastAsia="zh-CN"/>
        </w:rPr>
      </w:pPr>
      <w:r>
        <w:rPr>
          <w:rFonts w:hint="eastAsia" w:ascii="宋体" w:hAnsi="宋体"/>
          <w:b w:val="0"/>
          <w:color w:val="auto"/>
          <w:sz w:val="21"/>
          <w:szCs w:val="21"/>
        </w:rPr>
        <w:t>名称：</w:t>
      </w:r>
      <w:r>
        <w:rPr>
          <w:rFonts w:hint="eastAsia" w:ascii="宋体" w:hAnsi="宋体"/>
          <w:b w:val="0"/>
          <w:color w:val="auto"/>
          <w:sz w:val="21"/>
          <w:szCs w:val="21"/>
          <w:lang w:val="en-US" w:eastAsia="zh-CN"/>
        </w:rPr>
        <w:t>滇西应用技术大学普洱茶学院</w:t>
      </w:r>
    </w:p>
    <w:p w14:paraId="064832EE">
      <w:pPr>
        <w:keepNext w:val="0"/>
        <w:keepLines w:val="0"/>
        <w:pageBreakBefore w:val="0"/>
        <w:kinsoku/>
        <w:wordWrap/>
        <w:overflowPunct/>
        <w:topLinePunct w:val="0"/>
        <w:bidi w:val="0"/>
        <w:spacing w:before="156" w:beforeLines="50" w:line="360" w:lineRule="auto"/>
        <w:ind w:firstLine="210" w:firstLineChars="100"/>
        <w:jc w:val="left"/>
        <w:outlineLvl w:val="1"/>
        <w:rPr>
          <w:rFonts w:hint="eastAsia" w:ascii="宋体" w:hAnsi="宋体"/>
          <w:b w:val="0"/>
          <w:color w:val="auto"/>
          <w:sz w:val="21"/>
          <w:szCs w:val="21"/>
          <w:lang w:val="en-US" w:eastAsia="zh-CN"/>
        </w:rPr>
      </w:pPr>
      <w:r>
        <w:rPr>
          <w:rFonts w:hint="eastAsia" w:ascii="宋体" w:hAnsi="宋体"/>
          <w:b w:val="0"/>
          <w:color w:val="auto"/>
          <w:sz w:val="21"/>
          <w:szCs w:val="21"/>
        </w:rPr>
        <w:t>地址：</w:t>
      </w:r>
      <w:r>
        <w:rPr>
          <w:rFonts w:hint="eastAsia" w:ascii="宋体" w:hAnsi="宋体"/>
          <w:b w:val="0"/>
          <w:color w:val="auto"/>
          <w:sz w:val="21"/>
          <w:szCs w:val="21"/>
          <w:lang w:val="en-US" w:eastAsia="zh-CN"/>
        </w:rPr>
        <w:t>普洱市思茅区佛莲山路68号</w:t>
      </w:r>
    </w:p>
    <w:p w14:paraId="19197AC1">
      <w:pPr>
        <w:keepNext w:val="0"/>
        <w:keepLines w:val="0"/>
        <w:pageBreakBefore w:val="0"/>
        <w:kinsoku/>
        <w:wordWrap/>
        <w:overflowPunct/>
        <w:topLinePunct w:val="0"/>
        <w:bidi w:val="0"/>
        <w:spacing w:before="156" w:beforeLines="50" w:line="360" w:lineRule="auto"/>
        <w:ind w:firstLine="210" w:firstLineChars="100"/>
        <w:jc w:val="left"/>
        <w:outlineLvl w:val="1"/>
        <w:rPr>
          <w:rFonts w:hint="eastAsia" w:ascii="宋体" w:hAnsi="宋体"/>
          <w:b w:val="0"/>
          <w:color w:val="auto"/>
          <w:sz w:val="21"/>
          <w:szCs w:val="21"/>
          <w:lang w:val="en-US" w:eastAsia="zh-CN"/>
        </w:rPr>
      </w:pPr>
      <w:r>
        <w:rPr>
          <w:rFonts w:hint="eastAsia" w:ascii="宋体" w:hAnsi="宋体"/>
          <w:b w:val="0"/>
          <w:color w:val="auto"/>
          <w:sz w:val="21"/>
          <w:szCs w:val="21"/>
        </w:rPr>
        <w:t>联系人：</w:t>
      </w:r>
      <w:r>
        <w:rPr>
          <w:rFonts w:hint="eastAsia" w:ascii="宋体" w:hAnsi="宋体"/>
          <w:b w:val="0"/>
          <w:color w:val="auto"/>
          <w:sz w:val="21"/>
          <w:szCs w:val="21"/>
          <w:lang w:val="en-US" w:eastAsia="zh-CN"/>
        </w:rPr>
        <w:t>赵老师</w:t>
      </w:r>
    </w:p>
    <w:p w14:paraId="7D85D818">
      <w:pPr>
        <w:keepNext w:val="0"/>
        <w:keepLines w:val="0"/>
        <w:pageBreakBefore w:val="0"/>
        <w:kinsoku/>
        <w:wordWrap/>
        <w:overflowPunct/>
        <w:topLinePunct w:val="0"/>
        <w:bidi w:val="0"/>
        <w:spacing w:before="156" w:beforeLines="50" w:line="360" w:lineRule="auto"/>
        <w:ind w:firstLine="210" w:firstLineChars="100"/>
        <w:jc w:val="left"/>
        <w:outlineLvl w:val="1"/>
        <w:rPr>
          <w:rFonts w:hint="eastAsia" w:ascii="宋体" w:hAnsi="宋体"/>
          <w:b w:val="0"/>
          <w:color w:val="auto"/>
          <w:sz w:val="21"/>
          <w:szCs w:val="21"/>
          <w:lang w:eastAsia="zh-CN"/>
        </w:rPr>
      </w:pPr>
      <w:r>
        <w:rPr>
          <w:rFonts w:hint="eastAsia" w:ascii="宋体" w:hAnsi="宋体"/>
          <w:b w:val="0"/>
          <w:color w:val="auto"/>
          <w:sz w:val="21"/>
          <w:szCs w:val="21"/>
        </w:rPr>
        <w:t>联系电话：</w:t>
      </w:r>
      <w:r>
        <w:rPr>
          <w:rFonts w:hint="eastAsia" w:ascii="宋体" w:hAnsi="宋体"/>
          <w:b w:val="0"/>
          <w:color w:val="auto"/>
          <w:sz w:val="21"/>
          <w:szCs w:val="21"/>
          <w:lang w:val="en-US" w:eastAsia="zh-CN"/>
        </w:rPr>
        <w:t>0879-2209325</w:t>
      </w:r>
    </w:p>
    <w:p w14:paraId="07042CA1">
      <w:pPr>
        <w:keepNext w:val="0"/>
        <w:keepLines w:val="0"/>
        <w:pageBreakBefore w:val="0"/>
        <w:kinsoku/>
        <w:wordWrap/>
        <w:overflowPunct/>
        <w:topLinePunct w:val="0"/>
        <w:bidi w:val="0"/>
        <w:spacing w:before="156" w:beforeLines="50" w:line="360" w:lineRule="auto"/>
        <w:ind w:firstLine="210" w:firstLineChars="100"/>
        <w:jc w:val="left"/>
        <w:outlineLvl w:val="1"/>
        <w:rPr>
          <w:rFonts w:hint="eastAsia" w:ascii="宋体" w:hAnsi="宋体"/>
          <w:b w:val="0"/>
          <w:color w:val="auto"/>
          <w:sz w:val="21"/>
          <w:szCs w:val="21"/>
          <w:lang w:eastAsia="zh-CN"/>
        </w:rPr>
      </w:pPr>
    </w:p>
    <w:p w14:paraId="44B92C4A">
      <w:pPr>
        <w:keepNext w:val="0"/>
        <w:keepLines w:val="0"/>
        <w:pageBreakBefore w:val="0"/>
        <w:kinsoku/>
        <w:wordWrap/>
        <w:overflowPunct/>
        <w:topLinePunct w:val="0"/>
        <w:bidi w:val="0"/>
        <w:spacing w:before="156" w:beforeLines="50" w:line="360" w:lineRule="auto"/>
        <w:ind w:firstLine="210" w:firstLineChars="100"/>
        <w:jc w:val="left"/>
        <w:outlineLvl w:val="1"/>
        <w:rPr>
          <w:rFonts w:hint="eastAsia" w:ascii="宋体" w:hAnsi="宋体"/>
          <w:b w:val="0"/>
          <w:color w:val="auto"/>
          <w:sz w:val="21"/>
          <w:szCs w:val="21"/>
          <w:lang w:eastAsia="zh-CN"/>
        </w:rPr>
      </w:pPr>
    </w:p>
    <w:p w14:paraId="3C174C41">
      <w:pPr>
        <w:keepNext w:val="0"/>
        <w:keepLines w:val="0"/>
        <w:pageBreakBefore w:val="0"/>
        <w:kinsoku/>
        <w:wordWrap/>
        <w:overflowPunct/>
        <w:topLinePunct w:val="0"/>
        <w:bidi w:val="0"/>
        <w:spacing w:before="156" w:beforeLines="50" w:line="360" w:lineRule="auto"/>
        <w:ind w:firstLine="210" w:firstLineChars="100"/>
        <w:jc w:val="left"/>
        <w:outlineLvl w:val="1"/>
        <w:rPr>
          <w:rFonts w:ascii="宋体" w:hAnsi="宋体"/>
          <w:b w:val="0"/>
          <w:color w:val="auto"/>
          <w:sz w:val="21"/>
          <w:szCs w:val="21"/>
        </w:rPr>
      </w:pPr>
      <w:r>
        <w:rPr>
          <w:rFonts w:hint="eastAsia" w:ascii="宋体" w:hAnsi="宋体"/>
          <w:b w:val="0"/>
          <w:color w:val="auto"/>
          <w:sz w:val="21"/>
          <w:szCs w:val="21"/>
          <w:lang w:eastAsia="zh-CN"/>
        </w:rPr>
        <w:t>招标代理</w:t>
      </w:r>
      <w:r>
        <w:rPr>
          <w:rFonts w:hint="eastAsia" w:ascii="宋体" w:hAnsi="宋体"/>
          <w:b w:val="0"/>
          <w:color w:val="auto"/>
          <w:sz w:val="21"/>
          <w:szCs w:val="21"/>
        </w:rPr>
        <w:t>机构信息</w:t>
      </w:r>
    </w:p>
    <w:p w14:paraId="2B2DD74E">
      <w:pPr>
        <w:keepNext w:val="0"/>
        <w:keepLines w:val="0"/>
        <w:pageBreakBefore w:val="0"/>
        <w:kinsoku/>
        <w:wordWrap/>
        <w:overflowPunct/>
        <w:topLinePunct w:val="0"/>
        <w:bidi w:val="0"/>
        <w:spacing w:before="156" w:beforeLines="50" w:line="360" w:lineRule="auto"/>
        <w:ind w:firstLine="210" w:firstLineChars="100"/>
        <w:jc w:val="left"/>
        <w:outlineLvl w:val="1"/>
        <w:rPr>
          <w:rFonts w:hint="eastAsia" w:ascii="宋体" w:hAnsi="宋体"/>
          <w:b w:val="0"/>
          <w:color w:val="auto"/>
          <w:sz w:val="21"/>
          <w:szCs w:val="21"/>
          <w:lang w:eastAsia="zh-CN"/>
        </w:rPr>
      </w:pPr>
      <w:r>
        <w:rPr>
          <w:rFonts w:hint="eastAsia" w:ascii="宋体" w:hAnsi="宋体"/>
          <w:b w:val="0"/>
          <w:color w:val="auto"/>
          <w:sz w:val="21"/>
          <w:szCs w:val="21"/>
        </w:rPr>
        <w:t>名    称：</w:t>
      </w:r>
      <w:r>
        <w:rPr>
          <w:rFonts w:hint="eastAsia" w:ascii="宋体" w:hAnsi="宋体"/>
          <w:b w:val="0"/>
          <w:color w:val="auto"/>
          <w:sz w:val="21"/>
          <w:szCs w:val="21"/>
          <w:lang w:eastAsia="zh-CN"/>
        </w:rPr>
        <w:t>云南傲真工程咨询有限公司</w:t>
      </w:r>
    </w:p>
    <w:p w14:paraId="0350E721">
      <w:pPr>
        <w:keepNext w:val="0"/>
        <w:keepLines w:val="0"/>
        <w:pageBreakBefore w:val="0"/>
        <w:kinsoku/>
        <w:wordWrap/>
        <w:overflowPunct/>
        <w:topLinePunct w:val="0"/>
        <w:bidi w:val="0"/>
        <w:spacing w:before="156" w:beforeLines="50" w:line="360" w:lineRule="auto"/>
        <w:ind w:firstLine="210" w:firstLineChars="100"/>
        <w:jc w:val="left"/>
        <w:outlineLvl w:val="1"/>
        <w:rPr>
          <w:rFonts w:hint="eastAsia" w:ascii="宋体" w:hAnsi="宋体"/>
          <w:b w:val="0"/>
          <w:color w:val="auto"/>
          <w:sz w:val="21"/>
          <w:szCs w:val="21"/>
          <w:lang w:val="en-US" w:eastAsia="zh-CN"/>
        </w:rPr>
      </w:pPr>
      <w:r>
        <w:rPr>
          <w:rFonts w:hint="eastAsia" w:ascii="宋体" w:hAnsi="宋体"/>
          <w:b w:val="0"/>
          <w:color w:val="auto"/>
          <w:sz w:val="21"/>
          <w:szCs w:val="21"/>
        </w:rPr>
        <w:t>地    址：</w:t>
      </w:r>
      <w:r>
        <w:rPr>
          <w:rFonts w:hint="eastAsia" w:ascii="宋体" w:hAnsi="宋体"/>
          <w:b w:val="0"/>
          <w:color w:val="auto"/>
          <w:sz w:val="21"/>
          <w:szCs w:val="21"/>
          <w:lang w:val="en-US" w:eastAsia="zh-CN"/>
        </w:rPr>
        <w:t>普洱市龙生路65号</w:t>
      </w:r>
    </w:p>
    <w:p w14:paraId="725645BD">
      <w:pPr>
        <w:keepNext w:val="0"/>
        <w:keepLines w:val="0"/>
        <w:pageBreakBefore w:val="0"/>
        <w:kinsoku/>
        <w:wordWrap/>
        <w:overflowPunct/>
        <w:topLinePunct w:val="0"/>
        <w:bidi w:val="0"/>
        <w:spacing w:before="156" w:beforeLines="50" w:line="360" w:lineRule="auto"/>
        <w:ind w:firstLine="210" w:firstLineChars="100"/>
        <w:jc w:val="left"/>
        <w:outlineLvl w:val="1"/>
        <w:rPr>
          <w:rFonts w:hint="eastAsia" w:ascii="宋体" w:hAnsi="宋体" w:eastAsia="宋体"/>
          <w:b w:val="0"/>
          <w:color w:val="auto"/>
          <w:sz w:val="21"/>
          <w:szCs w:val="21"/>
          <w:lang w:val="en-US" w:eastAsia="zh-CN"/>
        </w:rPr>
      </w:pPr>
      <w:r>
        <w:rPr>
          <w:rFonts w:hint="eastAsia" w:ascii="宋体" w:hAnsi="宋体"/>
          <w:b w:val="0"/>
          <w:color w:val="auto"/>
          <w:sz w:val="21"/>
          <w:szCs w:val="21"/>
        </w:rPr>
        <w:t>联 系 人：</w:t>
      </w:r>
      <w:r>
        <w:rPr>
          <w:rFonts w:hint="eastAsia" w:ascii="宋体" w:hAnsi="宋体"/>
          <w:b w:val="0"/>
          <w:color w:val="auto"/>
          <w:sz w:val="21"/>
          <w:szCs w:val="21"/>
          <w:lang w:val="en-US" w:eastAsia="zh-CN"/>
        </w:rPr>
        <w:t>李工</w:t>
      </w:r>
    </w:p>
    <w:p w14:paraId="50CE0134">
      <w:pPr>
        <w:keepNext w:val="0"/>
        <w:keepLines w:val="0"/>
        <w:pageBreakBefore w:val="0"/>
        <w:kinsoku/>
        <w:wordWrap/>
        <w:overflowPunct/>
        <w:topLinePunct w:val="0"/>
        <w:bidi w:val="0"/>
        <w:spacing w:before="156" w:beforeLines="50" w:line="360" w:lineRule="auto"/>
        <w:ind w:firstLine="210" w:firstLineChars="100"/>
        <w:jc w:val="left"/>
        <w:outlineLvl w:val="1"/>
        <w:rPr>
          <w:rFonts w:hint="default" w:ascii="宋体" w:hAnsi="宋体" w:eastAsia="宋体"/>
          <w:b w:val="0"/>
          <w:color w:val="auto"/>
          <w:sz w:val="21"/>
          <w:szCs w:val="21"/>
          <w:lang w:val="en-US" w:eastAsia="zh-CN"/>
        </w:rPr>
        <w:sectPr>
          <w:footerReference r:id="rId10" w:type="first"/>
          <w:footerReference r:id="rId9" w:type="default"/>
          <w:pgSz w:w="11906" w:h="16838"/>
          <w:pgMar w:top="1440" w:right="969" w:bottom="1440" w:left="1080" w:header="851" w:footer="992" w:gutter="0"/>
          <w:pgNumType w:start="1"/>
          <w:cols w:space="720" w:num="1"/>
          <w:titlePg/>
          <w:docGrid w:type="lines" w:linePitch="312" w:charSpace="0"/>
        </w:sectPr>
      </w:pPr>
      <w:r>
        <w:rPr>
          <w:rFonts w:hint="eastAsia" w:ascii="宋体" w:hAnsi="宋体"/>
          <w:b w:val="0"/>
          <w:color w:val="auto"/>
          <w:sz w:val="21"/>
          <w:szCs w:val="21"/>
        </w:rPr>
        <w:t>联系电话：</w:t>
      </w:r>
      <w:r>
        <w:rPr>
          <w:rFonts w:hint="eastAsia" w:ascii="宋体" w:hAnsi="宋体"/>
          <w:b w:val="0"/>
          <w:color w:val="auto"/>
          <w:sz w:val="21"/>
          <w:szCs w:val="21"/>
          <w:lang w:val="en-US" w:eastAsia="zh-CN"/>
        </w:rPr>
        <w:t>0879-2828106</w:t>
      </w:r>
    </w:p>
    <w:bookmarkEnd w:id="2"/>
    <w:bookmarkEnd w:id="3"/>
    <w:bookmarkEnd w:id="4"/>
    <w:bookmarkEnd w:id="5"/>
    <w:p w14:paraId="3D5AF10E">
      <w:pPr>
        <w:pStyle w:val="2"/>
        <w:rPr>
          <w:rFonts w:ascii="宋体" w:hAnsi="宋体" w:cs="宋体"/>
          <w:color w:val="auto"/>
          <w:sz w:val="44"/>
          <w:szCs w:val="44"/>
        </w:rPr>
      </w:pPr>
      <w:bookmarkStart w:id="32" w:name="_Toc31074"/>
      <w:bookmarkStart w:id="33" w:name="_Toc489197807"/>
      <w:bookmarkStart w:id="34" w:name="_Toc378239170"/>
      <w:bookmarkStart w:id="35" w:name="_Toc179632546"/>
      <w:bookmarkStart w:id="36" w:name="_Toc17909"/>
      <w:bookmarkStart w:id="37" w:name="_Toc488633604"/>
      <w:bookmarkStart w:id="38" w:name="_Toc489145703"/>
      <w:bookmarkStart w:id="39" w:name="_Toc144974497"/>
      <w:bookmarkStart w:id="40" w:name="_Toc378239078"/>
      <w:bookmarkStart w:id="41" w:name="_Toc246996175"/>
      <w:bookmarkStart w:id="42" w:name="_Toc152045529"/>
      <w:bookmarkStart w:id="43" w:name="_Toc247085689"/>
      <w:bookmarkStart w:id="44" w:name="_Toc152042305"/>
      <w:bookmarkStart w:id="45" w:name="_Toc480817643"/>
      <w:bookmarkStart w:id="46" w:name="_Toc296602420"/>
      <w:bookmarkStart w:id="47" w:name="_Toc246996918"/>
      <w:bookmarkStart w:id="48" w:name="_Toc401342134"/>
      <w:bookmarkStart w:id="49" w:name="_Toc378239351"/>
      <w:r>
        <w:rPr>
          <w:rFonts w:hint="eastAsia" w:ascii="宋体" w:hAnsi="宋体" w:cs="宋体"/>
          <w:color w:val="auto"/>
          <w:sz w:val="44"/>
          <w:szCs w:val="44"/>
        </w:rPr>
        <w:t>第二章  投标人须知</w:t>
      </w:r>
      <w:bookmarkEnd w:id="32"/>
    </w:p>
    <w:p w14:paraId="414F2367">
      <w:pPr>
        <w:pStyle w:val="3"/>
        <w:jc w:val="center"/>
        <w:rPr>
          <w:rFonts w:ascii="宋体" w:hAnsi="宋体" w:cs="宋体"/>
          <w:color w:val="auto"/>
          <w:spacing w:val="0"/>
          <w:kern w:val="0"/>
          <w:sz w:val="28"/>
          <w:szCs w:val="28"/>
        </w:rPr>
      </w:pPr>
      <w:bookmarkStart w:id="50" w:name="_Toc378239168"/>
      <w:bookmarkStart w:id="51" w:name="_Toc22724"/>
      <w:bookmarkStart w:id="52" w:name="_Toc12595"/>
      <w:bookmarkStart w:id="53" w:name="_Toc378239076"/>
      <w:bookmarkStart w:id="54" w:name="_Toc401342132"/>
      <w:bookmarkStart w:id="55" w:name="_Toc378239349"/>
      <w:bookmarkStart w:id="56" w:name="_Toc480817642"/>
      <w:bookmarkStart w:id="57" w:name="_Toc488633603"/>
      <w:bookmarkStart w:id="58" w:name="_Toc489197806"/>
      <w:bookmarkStart w:id="59" w:name="_Toc489145702"/>
      <w:r>
        <w:rPr>
          <w:rFonts w:hint="eastAsia" w:ascii="宋体" w:hAnsi="宋体" w:cs="宋体"/>
          <w:color w:val="auto"/>
          <w:spacing w:val="0"/>
          <w:kern w:val="0"/>
          <w:sz w:val="28"/>
          <w:szCs w:val="28"/>
        </w:rPr>
        <w:t>投标人须知前附表</w:t>
      </w:r>
      <w:bookmarkEnd w:id="50"/>
      <w:bookmarkEnd w:id="51"/>
      <w:bookmarkEnd w:id="52"/>
      <w:bookmarkEnd w:id="53"/>
      <w:bookmarkEnd w:id="54"/>
      <w:bookmarkEnd w:id="55"/>
      <w:bookmarkEnd w:id="56"/>
      <w:bookmarkEnd w:id="57"/>
      <w:bookmarkEnd w:id="58"/>
      <w:bookmarkEnd w:id="59"/>
    </w:p>
    <w:tbl>
      <w:tblPr>
        <w:tblStyle w:val="35"/>
        <w:tblW w:w="10050" w:type="dxa"/>
        <w:tblInd w:w="0" w:type="dxa"/>
        <w:tblLayout w:type="fixed"/>
        <w:tblCellMar>
          <w:top w:w="0" w:type="dxa"/>
          <w:left w:w="108" w:type="dxa"/>
          <w:bottom w:w="0" w:type="dxa"/>
          <w:right w:w="108" w:type="dxa"/>
        </w:tblCellMar>
      </w:tblPr>
      <w:tblGrid>
        <w:gridCol w:w="949"/>
        <w:gridCol w:w="2389"/>
        <w:gridCol w:w="6712"/>
      </w:tblGrid>
      <w:tr w14:paraId="4C9FBB97">
        <w:tblPrEx>
          <w:tblCellMar>
            <w:top w:w="0" w:type="dxa"/>
            <w:left w:w="108" w:type="dxa"/>
            <w:bottom w:w="0" w:type="dxa"/>
            <w:right w:w="108" w:type="dxa"/>
          </w:tblCellMar>
        </w:tblPrEx>
        <w:trPr>
          <w:trHeight w:val="207" w:hRule="atLeast"/>
        </w:trPr>
        <w:tc>
          <w:tcPr>
            <w:tcW w:w="949" w:type="dxa"/>
            <w:tcBorders>
              <w:top w:val="single" w:color="auto" w:sz="4" w:space="0"/>
              <w:left w:val="single" w:color="auto" w:sz="4" w:space="0"/>
              <w:bottom w:val="single" w:color="auto" w:sz="4" w:space="0"/>
              <w:right w:val="single" w:color="auto" w:sz="4" w:space="0"/>
            </w:tcBorders>
            <w:vAlign w:val="center"/>
          </w:tcPr>
          <w:p w14:paraId="7A0FD4DF">
            <w:pPr>
              <w:spacing w:line="43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条款号</w:t>
            </w:r>
          </w:p>
        </w:tc>
        <w:tc>
          <w:tcPr>
            <w:tcW w:w="2389" w:type="dxa"/>
            <w:tcBorders>
              <w:top w:val="single" w:color="auto" w:sz="4" w:space="0"/>
              <w:left w:val="single" w:color="auto" w:sz="4" w:space="0"/>
              <w:bottom w:val="single" w:color="auto" w:sz="4" w:space="0"/>
              <w:right w:val="single" w:color="auto" w:sz="4" w:space="0"/>
            </w:tcBorders>
            <w:vAlign w:val="center"/>
          </w:tcPr>
          <w:p w14:paraId="13CCC0E1">
            <w:pPr>
              <w:spacing w:line="43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条款名称</w:t>
            </w:r>
          </w:p>
        </w:tc>
        <w:tc>
          <w:tcPr>
            <w:tcW w:w="6712" w:type="dxa"/>
            <w:tcBorders>
              <w:top w:val="single" w:color="auto" w:sz="4" w:space="0"/>
              <w:left w:val="single" w:color="auto" w:sz="4" w:space="0"/>
              <w:bottom w:val="single" w:color="auto" w:sz="4" w:space="0"/>
              <w:right w:val="single" w:color="auto" w:sz="4" w:space="0"/>
            </w:tcBorders>
            <w:vAlign w:val="center"/>
          </w:tcPr>
          <w:p w14:paraId="3EDE0FF4">
            <w:pPr>
              <w:spacing w:line="43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编列内容</w:t>
            </w:r>
          </w:p>
        </w:tc>
      </w:tr>
      <w:tr w14:paraId="3E2DE321">
        <w:tblPrEx>
          <w:tblCellMar>
            <w:top w:w="0" w:type="dxa"/>
            <w:left w:w="108" w:type="dxa"/>
            <w:bottom w:w="0" w:type="dxa"/>
            <w:right w:w="108" w:type="dxa"/>
          </w:tblCellMar>
        </w:tblPrEx>
        <w:trPr>
          <w:trHeight w:val="641" w:hRule="atLeast"/>
        </w:trPr>
        <w:tc>
          <w:tcPr>
            <w:tcW w:w="949" w:type="dxa"/>
            <w:tcBorders>
              <w:top w:val="single" w:color="auto" w:sz="4" w:space="0"/>
              <w:left w:val="single" w:color="auto" w:sz="4" w:space="0"/>
              <w:bottom w:val="single" w:color="auto" w:sz="4" w:space="0"/>
              <w:right w:val="single" w:color="auto" w:sz="4" w:space="0"/>
            </w:tcBorders>
            <w:vAlign w:val="center"/>
          </w:tcPr>
          <w:p w14:paraId="0CA118E1">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1.1</w:t>
            </w:r>
          </w:p>
        </w:tc>
        <w:tc>
          <w:tcPr>
            <w:tcW w:w="2389" w:type="dxa"/>
            <w:tcBorders>
              <w:top w:val="single" w:color="auto" w:sz="4" w:space="0"/>
              <w:left w:val="single" w:color="auto" w:sz="4" w:space="0"/>
              <w:bottom w:val="single" w:color="auto" w:sz="4" w:space="0"/>
              <w:right w:val="single" w:color="auto" w:sz="4" w:space="0"/>
            </w:tcBorders>
            <w:vAlign w:val="center"/>
          </w:tcPr>
          <w:p w14:paraId="564C8FB5">
            <w:pPr>
              <w:spacing w:line="430" w:lineRule="exact"/>
              <w:jc w:val="center"/>
              <w:rPr>
                <w:rFonts w:hint="eastAsia" w:ascii="宋体" w:hAnsi="宋体" w:eastAsia="宋体" w:cs="宋体"/>
                <w:b w:val="0"/>
                <w:bCs/>
                <w:color w:val="auto"/>
                <w:sz w:val="21"/>
                <w:szCs w:val="21"/>
                <w:lang w:eastAsia="zh-CN"/>
              </w:rPr>
            </w:pPr>
            <w:r>
              <w:rPr>
                <w:rFonts w:hint="eastAsia" w:ascii="宋体" w:hAnsi="宋体" w:cs="宋体"/>
                <w:b w:val="0"/>
                <w:bCs/>
                <w:color w:val="auto"/>
                <w:sz w:val="21"/>
                <w:szCs w:val="21"/>
                <w:lang w:eastAsia="zh-CN"/>
              </w:rPr>
              <w:t>采购人</w:t>
            </w:r>
          </w:p>
        </w:tc>
        <w:tc>
          <w:tcPr>
            <w:tcW w:w="6712" w:type="dxa"/>
            <w:tcBorders>
              <w:top w:val="single" w:color="auto" w:sz="4" w:space="0"/>
              <w:left w:val="single" w:color="auto" w:sz="4" w:space="0"/>
              <w:bottom w:val="single" w:color="auto" w:sz="4" w:space="0"/>
              <w:right w:val="single" w:color="auto" w:sz="4" w:space="0"/>
            </w:tcBorders>
            <w:vAlign w:val="center"/>
          </w:tcPr>
          <w:p w14:paraId="03F534AB">
            <w:pPr>
              <w:spacing w:line="430" w:lineRule="exact"/>
              <w:jc w:val="left"/>
              <w:rPr>
                <w:rFonts w:hint="eastAsia" w:ascii="宋体" w:hAnsi="宋体" w:eastAsia="宋体" w:cs="宋体"/>
                <w:b w:val="0"/>
                <w:bCs/>
                <w:color w:val="auto"/>
                <w:sz w:val="21"/>
                <w:szCs w:val="21"/>
                <w:lang w:eastAsia="zh-CN"/>
              </w:rPr>
            </w:pPr>
            <w:r>
              <w:rPr>
                <w:rFonts w:hint="eastAsia" w:ascii="宋体" w:hAnsi="宋体"/>
                <w:b w:val="0"/>
                <w:color w:val="auto"/>
                <w:sz w:val="21"/>
                <w:szCs w:val="21"/>
                <w:lang w:val="en-US" w:eastAsia="zh-CN"/>
              </w:rPr>
              <w:t>滇西应用技术大学普洱茶学院</w:t>
            </w:r>
          </w:p>
        </w:tc>
      </w:tr>
      <w:tr w14:paraId="27524901">
        <w:tblPrEx>
          <w:tblCellMar>
            <w:top w:w="0" w:type="dxa"/>
            <w:left w:w="108" w:type="dxa"/>
            <w:bottom w:w="0" w:type="dxa"/>
            <w:right w:w="108" w:type="dxa"/>
          </w:tblCellMar>
        </w:tblPrEx>
        <w:trPr>
          <w:trHeight w:val="63" w:hRule="atLeast"/>
        </w:trPr>
        <w:tc>
          <w:tcPr>
            <w:tcW w:w="949" w:type="dxa"/>
            <w:tcBorders>
              <w:top w:val="single" w:color="auto" w:sz="4" w:space="0"/>
              <w:left w:val="single" w:color="auto" w:sz="4" w:space="0"/>
              <w:bottom w:val="single" w:color="auto" w:sz="4" w:space="0"/>
              <w:right w:val="single" w:color="auto" w:sz="4" w:space="0"/>
            </w:tcBorders>
            <w:vAlign w:val="center"/>
          </w:tcPr>
          <w:p w14:paraId="0B88D346">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1.2</w:t>
            </w:r>
          </w:p>
        </w:tc>
        <w:tc>
          <w:tcPr>
            <w:tcW w:w="2389" w:type="dxa"/>
            <w:tcBorders>
              <w:top w:val="single" w:color="auto" w:sz="4" w:space="0"/>
              <w:left w:val="single" w:color="auto" w:sz="4" w:space="0"/>
              <w:bottom w:val="single" w:color="auto" w:sz="4" w:space="0"/>
              <w:right w:val="single" w:color="auto" w:sz="4" w:space="0"/>
            </w:tcBorders>
            <w:vAlign w:val="center"/>
          </w:tcPr>
          <w:p w14:paraId="608D5BD1">
            <w:pPr>
              <w:spacing w:line="430" w:lineRule="exact"/>
              <w:jc w:val="center"/>
              <w:rPr>
                <w:rFonts w:hint="eastAsia" w:ascii="宋体" w:hAnsi="宋体" w:eastAsia="宋体" w:cs="宋体"/>
                <w:b w:val="0"/>
                <w:bCs/>
                <w:color w:val="auto"/>
                <w:sz w:val="21"/>
                <w:szCs w:val="21"/>
              </w:rPr>
            </w:pPr>
            <w:r>
              <w:rPr>
                <w:rFonts w:hint="eastAsia" w:ascii="宋体" w:hAnsi="宋体" w:cs="宋体"/>
                <w:b w:val="0"/>
                <w:bCs/>
                <w:color w:val="auto"/>
                <w:sz w:val="21"/>
                <w:szCs w:val="21"/>
                <w:lang w:eastAsia="zh-CN"/>
              </w:rPr>
              <w:t>招标代理</w:t>
            </w:r>
            <w:r>
              <w:rPr>
                <w:rFonts w:hint="eastAsia" w:ascii="宋体" w:hAnsi="宋体" w:eastAsia="宋体" w:cs="宋体"/>
                <w:b w:val="0"/>
                <w:bCs/>
                <w:color w:val="auto"/>
                <w:sz w:val="21"/>
                <w:szCs w:val="21"/>
              </w:rPr>
              <w:t>机构</w:t>
            </w:r>
          </w:p>
        </w:tc>
        <w:tc>
          <w:tcPr>
            <w:tcW w:w="6712" w:type="dxa"/>
            <w:tcBorders>
              <w:top w:val="single" w:color="auto" w:sz="4" w:space="0"/>
              <w:left w:val="single" w:color="auto" w:sz="4" w:space="0"/>
              <w:bottom w:val="single" w:color="auto" w:sz="4" w:space="0"/>
              <w:right w:val="single" w:color="auto" w:sz="4" w:space="0"/>
            </w:tcBorders>
            <w:vAlign w:val="center"/>
          </w:tcPr>
          <w:p w14:paraId="4233AD55">
            <w:pPr>
              <w:spacing w:line="430" w:lineRule="exact"/>
              <w:jc w:val="left"/>
              <w:rPr>
                <w:rFonts w:hint="default" w:ascii="宋体" w:hAnsi="宋体" w:eastAsia="宋体" w:cs="宋体"/>
                <w:b w:val="0"/>
                <w:bCs/>
                <w:color w:val="auto"/>
                <w:sz w:val="21"/>
                <w:szCs w:val="21"/>
                <w:lang w:val="en-US" w:eastAsia="zh-CN"/>
              </w:rPr>
            </w:pPr>
            <w:r>
              <w:rPr>
                <w:rFonts w:hint="eastAsia" w:ascii="宋体" w:hAnsi="宋体" w:cs="宋体"/>
                <w:b w:val="0"/>
                <w:bCs/>
                <w:color w:val="auto"/>
                <w:sz w:val="21"/>
                <w:szCs w:val="21"/>
                <w:lang w:val="en-US" w:eastAsia="zh-CN"/>
              </w:rPr>
              <w:t>云南傲真工程咨询有限公司</w:t>
            </w:r>
          </w:p>
        </w:tc>
      </w:tr>
      <w:tr w14:paraId="44552509">
        <w:tblPrEx>
          <w:tblCellMar>
            <w:top w:w="0" w:type="dxa"/>
            <w:left w:w="108" w:type="dxa"/>
            <w:bottom w:w="0" w:type="dxa"/>
            <w:right w:w="108" w:type="dxa"/>
          </w:tblCellMar>
        </w:tblPrEx>
        <w:trPr>
          <w:trHeight w:val="540" w:hRule="atLeast"/>
        </w:trPr>
        <w:tc>
          <w:tcPr>
            <w:tcW w:w="949" w:type="dxa"/>
            <w:tcBorders>
              <w:top w:val="single" w:color="auto" w:sz="4" w:space="0"/>
              <w:left w:val="single" w:color="auto" w:sz="4" w:space="0"/>
              <w:bottom w:val="single" w:color="auto" w:sz="4" w:space="0"/>
              <w:right w:val="single" w:color="auto" w:sz="4" w:space="0"/>
            </w:tcBorders>
            <w:vAlign w:val="center"/>
          </w:tcPr>
          <w:p w14:paraId="47D300CE">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1.3</w:t>
            </w:r>
          </w:p>
        </w:tc>
        <w:tc>
          <w:tcPr>
            <w:tcW w:w="2389" w:type="dxa"/>
            <w:tcBorders>
              <w:top w:val="single" w:color="auto" w:sz="4" w:space="0"/>
              <w:left w:val="single" w:color="auto" w:sz="4" w:space="0"/>
              <w:bottom w:val="single" w:color="auto" w:sz="4" w:space="0"/>
              <w:right w:val="single" w:color="auto" w:sz="4" w:space="0"/>
            </w:tcBorders>
            <w:vAlign w:val="center"/>
          </w:tcPr>
          <w:p w14:paraId="626FFE3B">
            <w:pPr>
              <w:spacing w:line="430" w:lineRule="exact"/>
              <w:jc w:val="left"/>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rPr>
              <w:t>项目名称</w:t>
            </w:r>
            <w:r>
              <w:rPr>
                <w:rFonts w:hint="eastAsia" w:ascii="宋体" w:hAnsi="宋体" w:eastAsia="宋体" w:cs="宋体"/>
                <w:b w:val="0"/>
                <w:bCs/>
                <w:color w:val="auto"/>
                <w:sz w:val="21"/>
                <w:szCs w:val="21"/>
                <w:lang w:eastAsia="zh-CN"/>
              </w:rPr>
              <w:t>和项目编号</w:t>
            </w:r>
          </w:p>
        </w:tc>
        <w:tc>
          <w:tcPr>
            <w:tcW w:w="6712" w:type="dxa"/>
            <w:tcBorders>
              <w:top w:val="single" w:color="auto" w:sz="4" w:space="0"/>
              <w:left w:val="single" w:color="auto" w:sz="4" w:space="0"/>
              <w:bottom w:val="single" w:color="auto" w:sz="4" w:space="0"/>
              <w:right w:val="single" w:color="auto" w:sz="4" w:space="0"/>
            </w:tcBorders>
            <w:vAlign w:val="center"/>
          </w:tcPr>
          <w:p w14:paraId="6F6FDA47">
            <w:pPr>
              <w:spacing w:line="430" w:lineRule="exact"/>
              <w:jc w:val="left"/>
              <w:rPr>
                <w:rFonts w:hint="eastAsia" w:ascii="宋体" w:hAnsi="宋体" w:cs="宋体"/>
                <w:b w:val="0"/>
                <w:bCs/>
                <w:color w:val="auto"/>
                <w:sz w:val="21"/>
                <w:szCs w:val="21"/>
                <w:lang w:eastAsia="zh-CN"/>
              </w:rPr>
            </w:pPr>
            <w:r>
              <w:rPr>
                <w:rFonts w:hint="eastAsia" w:ascii="宋体" w:hAnsi="宋体" w:eastAsia="宋体" w:cs="宋体"/>
                <w:b w:val="0"/>
                <w:bCs/>
                <w:color w:val="auto"/>
                <w:sz w:val="21"/>
                <w:szCs w:val="21"/>
              </w:rPr>
              <w:t>项目名称：</w:t>
            </w:r>
            <w:r>
              <w:rPr>
                <w:rFonts w:hint="eastAsia" w:ascii="宋体" w:hAnsi="宋体" w:cs="宋体"/>
                <w:b w:val="0"/>
                <w:bCs/>
                <w:color w:val="auto"/>
                <w:sz w:val="21"/>
                <w:szCs w:val="21"/>
                <w:lang w:eastAsia="zh-CN"/>
              </w:rPr>
              <w:t>滇西应用技术大学普洱茶学院数智化校园建设项目</w:t>
            </w:r>
          </w:p>
          <w:p w14:paraId="73F71D27">
            <w:pPr>
              <w:spacing w:line="430" w:lineRule="exact"/>
              <w:jc w:val="left"/>
              <w:rPr>
                <w:rFonts w:hint="default" w:ascii="宋体" w:hAnsi="宋体" w:eastAsia="宋体" w:cs="宋体"/>
                <w:b w:val="0"/>
                <w:bCs/>
                <w:color w:val="auto"/>
                <w:sz w:val="21"/>
                <w:szCs w:val="21"/>
                <w:lang w:val="en-US"/>
              </w:rPr>
            </w:pPr>
            <w:r>
              <w:rPr>
                <w:rFonts w:hint="eastAsia" w:ascii="宋体" w:hAnsi="宋体" w:eastAsia="宋体" w:cs="宋体"/>
                <w:b w:val="0"/>
                <w:bCs/>
                <w:color w:val="auto"/>
                <w:sz w:val="21"/>
                <w:szCs w:val="21"/>
                <w:highlight w:val="none"/>
                <w:lang w:eastAsia="zh-CN"/>
              </w:rPr>
              <w:t>项目编号：</w:t>
            </w:r>
            <w:r>
              <w:rPr>
                <w:rFonts w:hint="eastAsia" w:ascii="宋体" w:hAnsi="宋体" w:cs="宋体"/>
                <w:b w:val="0"/>
                <w:bCs w:val="0"/>
                <w:i w:val="0"/>
                <w:iCs w:val="0"/>
                <w:caps w:val="0"/>
                <w:spacing w:val="0"/>
                <w:sz w:val="21"/>
                <w:szCs w:val="21"/>
                <w:highlight w:val="none"/>
                <w:shd w:val="clear" w:fill="FFFFFF"/>
                <w:lang w:eastAsia="zh-CN"/>
              </w:rPr>
              <w:t>PEZC2025-G1-00882-YNAZ-0033</w:t>
            </w:r>
          </w:p>
        </w:tc>
      </w:tr>
      <w:tr w14:paraId="173628E4">
        <w:tblPrEx>
          <w:tblCellMar>
            <w:top w:w="0" w:type="dxa"/>
            <w:left w:w="108" w:type="dxa"/>
            <w:bottom w:w="0" w:type="dxa"/>
            <w:right w:w="108" w:type="dxa"/>
          </w:tblCellMar>
        </w:tblPrEx>
        <w:trPr>
          <w:trHeight w:val="480" w:hRule="atLeast"/>
        </w:trPr>
        <w:tc>
          <w:tcPr>
            <w:tcW w:w="949" w:type="dxa"/>
            <w:tcBorders>
              <w:top w:val="single" w:color="auto" w:sz="4" w:space="0"/>
              <w:left w:val="single" w:color="auto" w:sz="4" w:space="0"/>
              <w:bottom w:val="single" w:color="auto" w:sz="4" w:space="0"/>
              <w:right w:val="single" w:color="auto" w:sz="4" w:space="0"/>
            </w:tcBorders>
            <w:vAlign w:val="center"/>
          </w:tcPr>
          <w:p w14:paraId="2464F7B4">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2.1</w:t>
            </w:r>
          </w:p>
        </w:tc>
        <w:tc>
          <w:tcPr>
            <w:tcW w:w="2389" w:type="dxa"/>
            <w:tcBorders>
              <w:top w:val="single" w:color="auto" w:sz="4" w:space="0"/>
              <w:left w:val="single" w:color="auto" w:sz="4" w:space="0"/>
              <w:bottom w:val="single" w:color="auto" w:sz="4" w:space="0"/>
              <w:right w:val="single" w:color="auto" w:sz="4" w:space="0"/>
            </w:tcBorders>
            <w:vAlign w:val="center"/>
          </w:tcPr>
          <w:p w14:paraId="11312B4C">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预算金额</w:t>
            </w:r>
          </w:p>
        </w:tc>
        <w:tc>
          <w:tcPr>
            <w:tcW w:w="6712" w:type="dxa"/>
            <w:tcBorders>
              <w:top w:val="single" w:color="auto" w:sz="4" w:space="0"/>
              <w:left w:val="single" w:color="auto" w:sz="4" w:space="0"/>
              <w:bottom w:val="single" w:color="auto" w:sz="4" w:space="0"/>
              <w:right w:val="single" w:color="auto" w:sz="4" w:space="0"/>
            </w:tcBorders>
            <w:vAlign w:val="center"/>
          </w:tcPr>
          <w:p w14:paraId="30C482B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rPr>
              <w:t>6394966.00</w:t>
            </w:r>
            <w:r>
              <w:rPr>
                <w:rFonts w:hint="eastAsia" w:ascii="宋体" w:hAnsi="宋体" w:cs="宋体"/>
                <w:b w:val="0"/>
                <w:bCs/>
                <w:color w:val="auto"/>
                <w:sz w:val="21"/>
                <w:szCs w:val="21"/>
                <w:lang w:val="en-US" w:eastAsia="zh-CN"/>
              </w:rPr>
              <w:t>元</w:t>
            </w:r>
          </w:p>
        </w:tc>
      </w:tr>
      <w:tr w14:paraId="02586050">
        <w:tblPrEx>
          <w:tblCellMar>
            <w:top w:w="0" w:type="dxa"/>
            <w:left w:w="108" w:type="dxa"/>
            <w:bottom w:w="0" w:type="dxa"/>
            <w:right w:w="108" w:type="dxa"/>
          </w:tblCellMar>
        </w:tblPrEx>
        <w:trPr>
          <w:trHeight w:val="959" w:hRule="atLeast"/>
        </w:trPr>
        <w:tc>
          <w:tcPr>
            <w:tcW w:w="949" w:type="dxa"/>
            <w:tcBorders>
              <w:top w:val="single" w:color="auto" w:sz="4" w:space="0"/>
              <w:left w:val="single" w:color="auto" w:sz="4" w:space="0"/>
              <w:bottom w:val="single" w:color="auto" w:sz="4" w:space="0"/>
              <w:right w:val="single" w:color="auto" w:sz="4" w:space="0"/>
            </w:tcBorders>
            <w:vAlign w:val="center"/>
          </w:tcPr>
          <w:p w14:paraId="3CDEA5E7">
            <w:pPr>
              <w:spacing w:line="430" w:lineRule="exact"/>
              <w:jc w:val="center"/>
              <w:rPr>
                <w:rFonts w:hint="eastAsia" w:ascii="宋体" w:hAnsi="宋体" w:eastAsia="宋体" w:cs="宋体"/>
                <w:b/>
                <w:bCs w:val="0"/>
                <w:color w:val="000000" w:themeColor="text1"/>
                <w:sz w:val="21"/>
                <w:szCs w:val="2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2.2</w:t>
            </w:r>
          </w:p>
        </w:tc>
        <w:tc>
          <w:tcPr>
            <w:tcW w:w="2389" w:type="dxa"/>
            <w:tcBorders>
              <w:top w:val="single" w:color="auto" w:sz="4" w:space="0"/>
              <w:left w:val="single" w:color="auto" w:sz="4" w:space="0"/>
              <w:bottom w:val="single" w:color="auto" w:sz="4" w:space="0"/>
              <w:right w:val="single" w:color="auto" w:sz="4" w:space="0"/>
            </w:tcBorders>
            <w:vAlign w:val="center"/>
          </w:tcPr>
          <w:p w14:paraId="4EBC7D2A">
            <w:pPr>
              <w:spacing w:line="430" w:lineRule="exact"/>
              <w:jc w:val="center"/>
              <w:rPr>
                <w:rFonts w:hint="eastAsia" w:ascii="宋体" w:hAnsi="宋体" w:eastAsia="宋体" w:cs="宋体"/>
                <w:b/>
                <w:bCs w:val="0"/>
                <w:color w:val="000000" w:themeColor="text1"/>
                <w:sz w:val="21"/>
                <w:szCs w:val="2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最高限价</w:t>
            </w:r>
          </w:p>
        </w:tc>
        <w:tc>
          <w:tcPr>
            <w:tcW w:w="6712" w:type="dxa"/>
            <w:tcBorders>
              <w:top w:val="single" w:color="auto" w:sz="4" w:space="0"/>
              <w:left w:val="single" w:color="auto" w:sz="4" w:space="0"/>
              <w:bottom w:val="single" w:color="auto" w:sz="4" w:space="0"/>
              <w:right w:val="single" w:color="auto" w:sz="4" w:space="0"/>
            </w:tcBorders>
            <w:vAlign w:val="center"/>
          </w:tcPr>
          <w:p w14:paraId="7C06FF7C">
            <w:pPr>
              <w:pStyle w:val="13"/>
              <w:spacing w:line="430" w:lineRule="exact"/>
              <w:rPr>
                <w:rFonts w:hint="eastAsia" w:ascii="宋体" w:hAnsi="宋体" w:eastAsia="宋体" w:cs="宋体"/>
                <w:b/>
                <w:bCs w:val="0"/>
                <w:color w:val="000000" w:themeColor="text1"/>
                <w:sz w:val="21"/>
                <w:szCs w:val="21"/>
                <w:lang w:eastAsia="zh-CN"/>
                <w14:textFill>
                  <w14:solidFill>
                    <w14:schemeClr w14:val="tx1"/>
                  </w14:solidFill>
                </w14:textFill>
              </w:rPr>
            </w:pPr>
            <w:r>
              <w:rPr>
                <w:rFonts w:hint="eastAsia" w:ascii="宋体" w:hAnsi="宋体"/>
                <w:b/>
                <w:bCs w:val="0"/>
                <w:color w:val="000000" w:themeColor="text1"/>
                <w:sz w:val="21"/>
                <w:szCs w:val="21"/>
                <w:lang w:eastAsia="zh-CN"/>
                <w14:textFill>
                  <w14:solidFill>
                    <w14:schemeClr w14:val="tx1"/>
                  </w14:solidFill>
                </w14:textFill>
              </w:rPr>
              <w:t>投标总报价不得</w:t>
            </w:r>
            <w:r>
              <w:rPr>
                <w:rFonts w:hint="eastAsia" w:hAnsi="宋体"/>
                <w:b/>
                <w:bCs w:val="0"/>
                <w:color w:val="000000" w:themeColor="text1"/>
                <w:sz w:val="21"/>
                <w:szCs w:val="21"/>
                <w:lang w:val="en-US" w:eastAsia="zh-CN"/>
                <w14:textFill>
                  <w14:solidFill>
                    <w14:schemeClr w14:val="tx1"/>
                  </w14:solidFill>
                </w14:textFill>
              </w:rPr>
              <w:t>超过</w:t>
            </w:r>
            <w:r>
              <w:rPr>
                <w:rFonts w:hint="eastAsia" w:hAnsi="宋体"/>
                <w:b/>
                <w:bCs/>
                <w:color w:val="auto"/>
                <w:sz w:val="21"/>
                <w:szCs w:val="21"/>
                <w:lang w:val="en-US" w:eastAsia="zh-CN"/>
              </w:rPr>
              <w:t>6394966.00</w:t>
            </w:r>
            <w:r>
              <w:rPr>
                <w:rFonts w:hint="eastAsia" w:ascii="宋体" w:hAnsi="宋体"/>
                <w:b/>
                <w:bCs/>
                <w:color w:val="auto"/>
                <w:sz w:val="21"/>
                <w:szCs w:val="21"/>
                <w:lang w:val="en-US" w:eastAsia="zh-CN"/>
              </w:rPr>
              <w:t>元</w:t>
            </w:r>
            <w:r>
              <w:rPr>
                <w:rFonts w:hint="eastAsia" w:ascii="宋体" w:hAnsi="宋体"/>
                <w:b/>
                <w:bCs w:val="0"/>
                <w:color w:val="000000" w:themeColor="text1"/>
                <w:sz w:val="21"/>
                <w:szCs w:val="21"/>
                <w:lang w:eastAsia="zh-CN"/>
                <w14:textFill>
                  <w14:solidFill>
                    <w14:schemeClr w14:val="tx1"/>
                  </w14:solidFill>
                </w14:textFill>
              </w:rPr>
              <w:t>，</w:t>
            </w:r>
            <w:r>
              <w:rPr>
                <w:rFonts w:hint="eastAsia" w:hAnsi="宋体"/>
                <w:b/>
                <w:bCs w:val="0"/>
                <w:color w:val="000000" w:themeColor="text1"/>
                <w:sz w:val="21"/>
                <w:szCs w:val="21"/>
                <w:lang w:val="en-US" w:eastAsia="zh-CN"/>
                <w14:textFill>
                  <w14:solidFill>
                    <w14:schemeClr w14:val="tx1"/>
                  </w14:solidFill>
                </w14:textFill>
              </w:rPr>
              <w:t>所报的分项单价不得高于所公布的单价，</w:t>
            </w:r>
            <w:r>
              <w:rPr>
                <w:rFonts w:hint="eastAsia" w:ascii="宋体" w:hAnsi="宋体"/>
                <w:b/>
                <w:bCs w:val="0"/>
                <w:color w:val="000000" w:themeColor="text1"/>
                <w:sz w:val="21"/>
                <w:szCs w:val="21"/>
                <w:lang w:eastAsia="zh-CN"/>
                <w14:textFill>
                  <w14:solidFill>
                    <w14:schemeClr w14:val="tx1"/>
                  </w14:solidFill>
                </w14:textFill>
              </w:rPr>
              <w:t>否则作废标处理。</w:t>
            </w:r>
          </w:p>
        </w:tc>
      </w:tr>
      <w:tr w14:paraId="5CBE62C1">
        <w:tblPrEx>
          <w:tblCellMar>
            <w:top w:w="0" w:type="dxa"/>
            <w:left w:w="108" w:type="dxa"/>
            <w:bottom w:w="0" w:type="dxa"/>
            <w:right w:w="108" w:type="dxa"/>
          </w:tblCellMar>
        </w:tblPrEx>
        <w:trPr>
          <w:trHeight w:val="633" w:hRule="atLeast"/>
        </w:trPr>
        <w:tc>
          <w:tcPr>
            <w:tcW w:w="949" w:type="dxa"/>
            <w:tcBorders>
              <w:top w:val="single" w:color="auto" w:sz="4" w:space="0"/>
              <w:left w:val="single" w:color="auto" w:sz="4" w:space="0"/>
              <w:bottom w:val="single" w:color="auto" w:sz="4" w:space="0"/>
              <w:right w:val="single" w:color="auto" w:sz="4" w:space="0"/>
            </w:tcBorders>
            <w:vAlign w:val="center"/>
          </w:tcPr>
          <w:p w14:paraId="20E74ACF">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3.1</w:t>
            </w:r>
          </w:p>
        </w:tc>
        <w:tc>
          <w:tcPr>
            <w:tcW w:w="2389" w:type="dxa"/>
            <w:tcBorders>
              <w:top w:val="single" w:color="auto" w:sz="4" w:space="0"/>
              <w:left w:val="single" w:color="auto" w:sz="4" w:space="0"/>
              <w:bottom w:val="single" w:color="auto" w:sz="4" w:space="0"/>
              <w:right w:val="single" w:color="auto" w:sz="4" w:space="0"/>
            </w:tcBorders>
            <w:vAlign w:val="center"/>
          </w:tcPr>
          <w:p w14:paraId="2E829C73">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采购内容</w:t>
            </w:r>
          </w:p>
        </w:tc>
        <w:tc>
          <w:tcPr>
            <w:tcW w:w="6712" w:type="dxa"/>
            <w:tcBorders>
              <w:top w:val="single" w:color="auto" w:sz="4" w:space="0"/>
              <w:left w:val="single" w:color="auto" w:sz="4" w:space="0"/>
              <w:bottom w:val="single" w:color="auto" w:sz="4" w:space="0"/>
              <w:right w:val="single" w:color="auto" w:sz="4" w:space="0"/>
            </w:tcBorders>
            <w:vAlign w:val="center"/>
          </w:tcPr>
          <w:p w14:paraId="1D11B5E6">
            <w:pPr>
              <w:spacing w:line="43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详见招标文件第六章</w:t>
            </w:r>
          </w:p>
        </w:tc>
      </w:tr>
      <w:tr w14:paraId="278230EA">
        <w:tblPrEx>
          <w:tblCellMar>
            <w:top w:w="0" w:type="dxa"/>
            <w:left w:w="108" w:type="dxa"/>
            <w:bottom w:w="0" w:type="dxa"/>
            <w:right w:w="108" w:type="dxa"/>
          </w:tblCellMar>
        </w:tblPrEx>
        <w:trPr>
          <w:trHeight w:val="924" w:hRule="atLeast"/>
        </w:trPr>
        <w:tc>
          <w:tcPr>
            <w:tcW w:w="949" w:type="dxa"/>
            <w:tcBorders>
              <w:top w:val="single" w:color="auto" w:sz="4" w:space="0"/>
              <w:left w:val="single" w:color="auto" w:sz="4" w:space="0"/>
              <w:bottom w:val="single" w:color="auto" w:sz="4" w:space="0"/>
              <w:right w:val="single" w:color="auto" w:sz="4" w:space="0"/>
            </w:tcBorders>
            <w:vAlign w:val="center"/>
          </w:tcPr>
          <w:p w14:paraId="7E91C8E3">
            <w:pPr>
              <w:spacing w:line="430" w:lineRule="exact"/>
              <w:jc w:val="center"/>
              <w:rPr>
                <w:rFonts w:hint="eastAsia" w:ascii="宋体" w:hAnsi="宋体" w:eastAsia="宋体" w:cs="宋体"/>
                <w:b w:val="0"/>
                <w:color w:val="auto"/>
                <w:sz w:val="21"/>
                <w:szCs w:val="21"/>
              </w:rPr>
            </w:pPr>
            <w:r>
              <w:rPr>
                <w:rFonts w:hint="eastAsia" w:ascii="宋体" w:hAnsi="宋体" w:eastAsia="宋体" w:cs="宋体"/>
                <w:b w:val="0"/>
                <w:color w:val="auto"/>
                <w:sz w:val="21"/>
                <w:szCs w:val="21"/>
              </w:rPr>
              <w:t>3.2</w:t>
            </w:r>
          </w:p>
        </w:tc>
        <w:tc>
          <w:tcPr>
            <w:tcW w:w="2389" w:type="dxa"/>
            <w:tcBorders>
              <w:top w:val="single" w:color="auto" w:sz="4" w:space="0"/>
              <w:left w:val="single" w:color="auto" w:sz="4" w:space="0"/>
              <w:bottom w:val="single" w:color="auto" w:sz="4" w:space="0"/>
              <w:right w:val="single" w:color="auto" w:sz="4" w:space="0"/>
            </w:tcBorders>
            <w:vAlign w:val="center"/>
          </w:tcPr>
          <w:p w14:paraId="3C1800C8">
            <w:pPr>
              <w:spacing w:line="430" w:lineRule="exact"/>
              <w:jc w:val="center"/>
              <w:rPr>
                <w:rFonts w:hint="eastAsia" w:ascii="宋体" w:hAnsi="宋体" w:eastAsia="宋体" w:cs="宋体"/>
                <w:b w:val="0"/>
                <w:color w:val="auto"/>
                <w:sz w:val="21"/>
                <w:szCs w:val="21"/>
              </w:rPr>
            </w:pPr>
            <w:r>
              <w:rPr>
                <w:rFonts w:hint="eastAsia" w:ascii="宋体" w:hAnsi="宋体" w:cs="宋体"/>
                <w:b w:val="0"/>
                <w:color w:val="auto"/>
                <w:sz w:val="21"/>
                <w:szCs w:val="21"/>
                <w:highlight w:val="none"/>
                <w:lang w:val="en-US" w:eastAsia="zh-CN"/>
              </w:rPr>
              <w:t>建设周期</w:t>
            </w:r>
            <w:r>
              <w:rPr>
                <w:rFonts w:hint="eastAsia" w:ascii="宋体" w:hAnsi="宋体" w:cs="宋体"/>
                <w:b w:val="0"/>
                <w:color w:val="auto"/>
                <w:sz w:val="21"/>
                <w:szCs w:val="21"/>
                <w:highlight w:val="none"/>
                <w:lang w:eastAsia="zh-CN"/>
              </w:rPr>
              <w:t>和</w:t>
            </w:r>
            <w:r>
              <w:rPr>
                <w:rFonts w:hint="eastAsia" w:ascii="宋体" w:hAnsi="宋体" w:cs="宋体"/>
                <w:b w:val="0"/>
                <w:color w:val="auto"/>
                <w:sz w:val="21"/>
                <w:szCs w:val="21"/>
                <w:highlight w:val="none"/>
                <w:lang w:val="en-US" w:eastAsia="zh-CN"/>
              </w:rPr>
              <w:t>建设地</w:t>
            </w:r>
            <w:r>
              <w:rPr>
                <w:rFonts w:hint="eastAsia" w:ascii="宋体" w:hAnsi="宋体" w:eastAsia="宋体" w:cs="宋体"/>
                <w:b w:val="0"/>
                <w:color w:val="auto"/>
                <w:sz w:val="21"/>
                <w:szCs w:val="21"/>
                <w:highlight w:val="none"/>
              </w:rPr>
              <w:t>点</w:t>
            </w:r>
          </w:p>
        </w:tc>
        <w:tc>
          <w:tcPr>
            <w:tcW w:w="6712" w:type="dxa"/>
            <w:tcBorders>
              <w:top w:val="single" w:color="auto" w:sz="4" w:space="0"/>
              <w:left w:val="single" w:color="auto" w:sz="4" w:space="0"/>
              <w:bottom w:val="single" w:color="auto" w:sz="4" w:space="0"/>
              <w:right w:val="single" w:color="auto" w:sz="4" w:space="0"/>
            </w:tcBorders>
            <w:vAlign w:val="center"/>
          </w:tcPr>
          <w:p w14:paraId="692A6A98">
            <w:pPr>
              <w:keepNext w:val="0"/>
              <w:keepLines w:val="0"/>
              <w:pageBreakBefore w:val="0"/>
              <w:kinsoku/>
              <w:wordWrap/>
              <w:overflowPunct/>
              <w:topLinePunct w:val="0"/>
              <w:autoSpaceDE/>
              <w:autoSpaceDN/>
              <w:bidi w:val="0"/>
              <w:spacing w:line="480" w:lineRule="auto"/>
              <w:textAlignment w:val="auto"/>
              <w:rPr>
                <w:rFonts w:hint="eastAsia" w:ascii="宋体" w:hAnsi="宋体" w:eastAsia="宋体" w:cs="Times New Roman"/>
                <w:b w:val="0"/>
                <w:color w:val="000000" w:themeColor="text1"/>
                <w:kern w:val="2"/>
                <w:sz w:val="21"/>
                <w:szCs w:val="21"/>
                <w:highlight w:val="none"/>
                <w:lang w:val="en-US" w:eastAsia="zh-CN" w:bidi="ar-SA"/>
                <w14:textFill>
                  <w14:solidFill>
                    <w14:schemeClr w14:val="tx1"/>
                  </w14:solidFill>
                </w14:textFill>
              </w:rPr>
            </w:pPr>
          </w:p>
          <w:p w14:paraId="4B25D885">
            <w:pPr>
              <w:keepNext w:val="0"/>
              <w:keepLines w:val="0"/>
              <w:pageBreakBefore w:val="0"/>
              <w:kinsoku/>
              <w:wordWrap/>
              <w:overflowPunct/>
              <w:topLinePunct w:val="0"/>
              <w:autoSpaceDE/>
              <w:autoSpaceDN/>
              <w:bidi w:val="0"/>
              <w:spacing w:line="480" w:lineRule="auto"/>
              <w:textAlignment w:val="auto"/>
              <w:rPr>
                <w:rFonts w:hint="eastAsia" w:ascii="宋体" w:hAnsi="宋体" w:eastAsia="宋体" w:cs="Times New Roman"/>
                <w:b w:val="0"/>
                <w:color w:val="000000" w:themeColor="text1"/>
                <w:kern w:val="2"/>
                <w:sz w:val="21"/>
                <w:szCs w:val="21"/>
                <w:highlight w:val="none"/>
                <w:lang w:val="en-US" w:eastAsia="zh-CN" w:bidi="ar-SA"/>
                <w14:textFill>
                  <w14:solidFill>
                    <w14:schemeClr w14:val="tx1"/>
                  </w14:solidFill>
                </w14:textFill>
              </w:rPr>
            </w:pPr>
            <w:r>
              <w:rPr>
                <w:rFonts w:hint="eastAsia" w:ascii="宋体" w:hAnsi="宋体" w:cs="Times New Roman"/>
                <w:b w:val="0"/>
                <w:color w:val="000000" w:themeColor="text1"/>
                <w:kern w:val="2"/>
                <w:sz w:val="21"/>
                <w:szCs w:val="21"/>
                <w:highlight w:val="none"/>
                <w:lang w:val="en-US" w:eastAsia="zh-CN" w:bidi="ar-SA"/>
                <w14:textFill>
                  <w14:solidFill>
                    <w14:schemeClr w14:val="tx1"/>
                  </w14:solidFill>
                </w14:textFill>
              </w:rPr>
              <w:t>1</w:t>
            </w:r>
            <w:r>
              <w:rPr>
                <w:rFonts w:hint="eastAsia" w:ascii="宋体" w:hAnsi="宋体" w:eastAsia="宋体" w:cs="Times New Roman"/>
                <w:b w:val="0"/>
                <w:color w:val="000000" w:themeColor="text1"/>
                <w:kern w:val="2"/>
                <w:sz w:val="21"/>
                <w:szCs w:val="21"/>
                <w:highlight w:val="none"/>
                <w:lang w:val="en-US" w:eastAsia="zh-CN" w:bidi="ar-SA"/>
                <w14:textFill>
                  <w14:solidFill>
                    <w14:schemeClr w14:val="tx1"/>
                  </w14:solidFill>
                </w14:textFill>
              </w:rPr>
              <w:t>.</w:t>
            </w:r>
            <w:r>
              <w:rPr>
                <w:rFonts w:hint="eastAsia" w:ascii="宋体" w:hAnsi="宋体" w:cs="Times New Roman"/>
                <w:b w:val="0"/>
                <w:color w:val="000000" w:themeColor="text1"/>
                <w:kern w:val="2"/>
                <w:sz w:val="21"/>
                <w:szCs w:val="21"/>
                <w:highlight w:val="none"/>
                <w:lang w:val="en-US" w:eastAsia="zh-CN" w:bidi="ar-SA"/>
                <w14:textFill>
                  <w14:solidFill>
                    <w14:schemeClr w14:val="tx1"/>
                  </w14:solidFill>
                </w14:textFill>
              </w:rPr>
              <w:t>建设周期</w:t>
            </w:r>
            <w:r>
              <w:rPr>
                <w:rFonts w:hint="eastAsia" w:ascii="宋体" w:hAnsi="宋体" w:eastAsia="宋体" w:cs="Times New Roman"/>
                <w:b w:val="0"/>
                <w:color w:val="000000" w:themeColor="text1"/>
                <w:kern w:val="2"/>
                <w:sz w:val="21"/>
                <w:szCs w:val="21"/>
                <w:highlight w:val="none"/>
                <w:lang w:val="en-US" w:eastAsia="zh-CN" w:bidi="ar-SA"/>
                <w14:textFill>
                  <w14:solidFill>
                    <w14:schemeClr w14:val="tx1"/>
                  </w14:solidFill>
                </w14:textFill>
              </w:rPr>
              <w:t>：</w:t>
            </w:r>
            <w:r>
              <w:rPr>
                <w:rFonts w:hint="eastAsia" w:ascii="宋体" w:hAnsi="宋体" w:cs="宋体"/>
                <w:b w:val="0"/>
                <w:color w:val="auto"/>
                <w:sz w:val="21"/>
                <w:szCs w:val="21"/>
                <w:highlight w:val="none"/>
                <w:lang w:val="en-US" w:eastAsia="zh-CN"/>
              </w:rPr>
              <w:t>合同签订后60日历天内完成项目安装及调试</w:t>
            </w:r>
          </w:p>
          <w:p w14:paraId="3B03FE79">
            <w:pPr>
              <w:spacing w:line="440" w:lineRule="exact"/>
              <w:rPr>
                <w:rFonts w:hint="eastAsia" w:ascii="宋体" w:hAnsi="宋体" w:eastAsia="宋体" w:cs="宋体"/>
                <w:b w:val="0"/>
                <w:bCs/>
                <w:color w:val="auto"/>
                <w:sz w:val="21"/>
                <w:szCs w:val="21"/>
              </w:rPr>
            </w:pPr>
            <w:r>
              <w:rPr>
                <w:rFonts w:hint="eastAsia" w:ascii="宋体" w:hAnsi="宋体"/>
                <w:b w:val="0"/>
                <w:color w:val="auto"/>
                <w:sz w:val="21"/>
                <w:szCs w:val="21"/>
                <w:highlight w:val="none"/>
                <w:lang w:val="en-US" w:eastAsia="zh-CN"/>
              </w:rPr>
              <w:t>2.建设</w:t>
            </w:r>
            <w:r>
              <w:rPr>
                <w:rFonts w:hint="eastAsia" w:ascii="宋体" w:hAnsi="宋体"/>
                <w:b w:val="0"/>
                <w:color w:val="auto"/>
                <w:sz w:val="21"/>
                <w:szCs w:val="21"/>
                <w:highlight w:val="none"/>
              </w:rPr>
              <w:t>地点：</w:t>
            </w:r>
            <w:r>
              <w:rPr>
                <w:rFonts w:hint="eastAsia" w:ascii="宋体" w:hAnsi="宋体"/>
                <w:b w:val="0"/>
                <w:color w:val="auto"/>
                <w:sz w:val="21"/>
                <w:szCs w:val="21"/>
                <w:highlight w:val="none"/>
                <w:lang w:eastAsia="zh-CN"/>
              </w:rPr>
              <w:t>采购</w:t>
            </w:r>
            <w:r>
              <w:rPr>
                <w:rFonts w:hint="eastAsia" w:ascii="宋体" w:hAnsi="宋体"/>
                <w:b w:val="0"/>
                <w:color w:val="auto"/>
                <w:sz w:val="21"/>
                <w:szCs w:val="21"/>
                <w:highlight w:val="none"/>
              </w:rPr>
              <w:t>人指定地点</w:t>
            </w:r>
            <w:r>
              <w:rPr>
                <w:rFonts w:hint="eastAsia" w:ascii="宋体" w:hAnsi="宋体"/>
                <w:b w:val="0"/>
                <w:color w:val="auto"/>
                <w:sz w:val="21"/>
                <w:szCs w:val="21"/>
                <w:highlight w:val="none"/>
                <w:lang w:eastAsia="zh-CN"/>
              </w:rPr>
              <w:t>。</w:t>
            </w:r>
          </w:p>
        </w:tc>
      </w:tr>
      <w:tr w14:paraId="0418BD94">
        <w:tblPrEx>
          <w:tblCellMar>
            <w:top w:w="0" w:type="dxa"/>
            <w:left w:w="108" w:type="dxa"/>
            <w:bottom w:w="0" w:type="dxa"/>
            <w:right w:w="108" w:type="dxa"/>
          </w:tblCellMar>
        </w:tblPrEx>
        <w:trPr>
          <w:trHeight w:val="916" w:hRule="atLeast"/>
        </w:trPr>
        <w:tc>
          <w:tcPr>
            <w:tcW w:w="949" w:type="dxa"/>
            <w:tcBorders>
              <w:top w:val="single" w:color="auto" w:sz="4" w:space="0"/>
              <w:left w:val="single" w:color="auto" w:sz="4" w:space="0"/>
              <w:bottom w:val="single" w:color="auto" w:sz="4" w:space="0"/>
              <w:right w:val="single" w:color="auto" w:sz="4" w:space="0"/>
            </w:tcBorders>
            <w:vAlign w:val="center"/>
          </w:tcPr>
          <w:p w14:paraId="1611A8FE">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4.1</w:t>
            </w:r>
          </w:p>
        </w:tc>
        <w:tc>
          <w:tcPr>
            <w:tcW w:w="2389" w:type="dxa"/>
            <w:tcBorders>
              <w:top w:val="single" w:color="auto" w:sz="4" w:space="0"/>
              <w:left w:val="single" w:color="auto" w:sz="4" w:space="0"/>
              <w:bottom w:val="single" w:color="auto" w:sz="4" w:space="0"/>
              <w:right w:val="single" w:color="auto" w:sz="4" w:space="0"/>
            </w:tcBorders>
            <w:vAlign w:val="center"/>
          </w:tcPr>
          <w:p w14:paraId="2CE8C607">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highlight w:val="none"/>
              </w:rPr>
              <w:t>投标人资格要求</w:t>
            </w:r>
          </w:p>
        </w:tc>
        <w:tc>
          <w:tcPr>
            <w:tcW w:w="6712" w:type="dxa"/>
            <w:tcBorders>
              <w:top w:val="single" w:color="auto" w:sz="4" w:space="0"/>
              <w:left w:val="single" w:color="auto" w:sz="4" w:space="0"/>
              <w:bottom w:val="single" w:color="auto" w:sz="4" w:space="0"/>
              <w:right w:val="single" w:color="auto" w:sz="4" w:space="0"/>
            </w:tcBorders>
            <w:vAlign w:val="center"/>
          </w:tcPr>
          <w:p w14:paraId="0B8A38E0">
            <w:pPr>
              <w:keepNext w:val="0"/>
              <w:keepLines w:val="0"/>
              <w:pageBreakBefore w:val="0"/>
              <w:kinsoku/>
              <w:wordWrap/>
              <w:overflowPunct/>
              <w:topLinePunct w:val="0"/>
              <w:bidi w:val="0"/>
              <w:adjustRightInd w:val="0"/>
              <w:snapToGrid w:val="0"/>
              <w:spacing w:line="360" w:lineRule="auto"/>
              <w:ind w:firstLine="630" w:firstLineChars="300"/>
              <w:outlineLvl w:val="2"/>
              <w:rPr>
                <w:rFonts w:hint="eastAsia" w:ascii="宋体" w:hAnsi="宋体"/>
                <w:b w:val="0"/>
                <w:color w:val="auto"/>
                <w:sz w:val="21"/>
                <w:szCs w:val="21"/>
              </w:rPr>
            </w:pPr>
          </w:p>
          <w:p w14:paraId="05A7A929">
            <w:pPr>
              <w:keepNext w:val="0"/>
              <w:keepLines w:val="0"/>
              <w:pageBreakBefore w:val="0"/>
              <w:kinsoku/>
              <w:wordWrap/>
              <w:overflowPunct/>
              <w:topLinePunct w:val="0"/>
              <w:bidi w:val="0"/>
              <w:adjustRightInd w:val="0"/>
              <w:snapToGrid w:val="0"/>
              <w:spacing w:line="360" w:lineRule="auto"/>
              <w:outlineLvl w:val="2"/>
              <w:rPr>
                <w:rFonts w:ascii="宋体" w:hAnsi="宋体"/>
                <w:b w:val="0"/>
                <w:color w:val="auto"/>
                <w:sz w:val="21"/>
                <w:szCs w:val="21"/>
              </w:rPr>
            </w:pPr>
            <w:r>
              <w:rPr>
                <w:rFonts w:hint="eastAsia" w:ascii="宋体" w:hAnsi="宋体"/>
                <w:b w:val="0"/>
                <w:color w:val="auto"/>
                <w:sz w:val="21"/>
                <w:szCs w:val="21"/>
              </w:rPr>
              <w:t>2.1满足《中华人民共和国政府采购法》第二十二条规定：</w:t>
            </w:r>
          </w:p>
          <w:p w14:paraId="39CCDCB8">
            <w:pPr>
              <w:keepNext w:val="0"/>
              <w:keepLines w:val="0"/>
              <w:pageBreakBefore w:val="0"/>
              <w:widowControl/>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（1）．具有独立承担民事责任的能力；</w:t>
            </w:r>
          </w:p>
          <w:p w14:paraId="63EC3EAD">
            <w:pPr>
              <w:keepNext w:val="0"/>
              <w:keepLines w:val="0"/>
              <w:pageBreakBefore w:val="0"/>
              <w:widowControl/>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（2）．具有良好的商业信誉和健全的财务会计制度；</w:t>
            </w:r>
          </w:p>
          <w:p w14:paraId="25586DA6">
            <w:pPr>
              <w:keepNext w:val="0"/>
              <w:keepLines w:val="0"/>
              <w:pageBreakBefore w:val="0"/>
              <w:widowControl/>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（3）．有依法缴纳税收和社会保障资金的良好记录；</w:t>
            </w:r>
          </w:p>
          <w:p w14:paraId="60AE1E51">
            <w:pPr>
              <w:keepNext w:val="0"/>
              <w:keepLines w:val="0"/>
              <w:pageBreakBefore w:val="0"/>
              <w:widowControl/>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（4）．参加此采购活动前三年内，在经营活动中没有重大违法记录；</w:t>
            </w:r>
          </w:p>
          <w:p w14:paraId="1A600A75">
            <w:pPr>
              <w:keepNext w:val="0"/>
              <w:keepLines w:val="0"/>
              <w:pageBreakBefore w:val="0"/>
              <w:widowControl/>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（5）．具备履行合同所必需的设备和专业技术能力的证明材料；</w:t>
            </w:r>
          </w:p>
          <w:p w14:paraId="6F98B9FA">
            <w:pPr>
              <w:keepNext w:val="0"/>
              <w:keepLines w:val="0"/>
              <w:pageBreakBefore w:val="0"/>
              <w:widowControl/>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（6）．符合</w:t>
            </w:r>
            <w:r>
              <w:rPr>
                <w:rFonts w:hint="eastAsia" w:ascii="宋体" w:hAnsi="宋体" w:eastAsia="宋体" w:cs="宋体"/>
                <w:color w:val="auto"/>
                <w:sz w:val="21"/>
                <w:szCs w:val="21"/>
                <w:highlight w:val="none"/>
                <w:lang w:val="en-US" w:eastAsia="zh-CN"/>
              </w:rPr>
              <w:t>法律</w:t>
            </w:r>
            <w:r>
              <w:rPr>
                <w:rFonts w:hint="eastAsia" w:ascii="宋体" w:hAnsi="宋体" w:eastAsia="宋体" w:cs="宋体"/>
                <w:color w:val="auto"/>
                <w:sz w:val="21"/>
                <w:szCs w:val="21"/>
                <w:highlight w:val="none"/>
                <w:lang w:val="zh-CN" w:eastAsia="zh-CN"/>
              </w:rPr>
              <w:t>、法规规定的其他条件；</w:t>
            </w:r>
          </w:p>
          <w:p w14:paraId="17795307">
            <w:pPr>
              <w:keepNext w:val="0"/>
              <w:keepLines w:val="0"/>
              <w:pageBreakBefore w:val="0"/>
              <w:kinsoku/>
              <w:wordWrap/>
              <w:overflowPunct/>
              <w:topLinePunct w:val="0"/>
              <w:bidi w:val="0"/>
              <w:spacing w:line="360" w:lineRule="auto"/>
              <w:ind w:firstLine="420" w:firstLineChars="200"/>
              <w:jc w:val="left"/>
              <w:outlineLvl w:val="1"/>
              <w:rPr>
                <w:rFonts w:ascii="宋体" w:hAnsi="宋体"/>
                <w:b w:val="0"/>
                <w:color w:val="auto"/>
                <w:sz w:val="21"/>
                <w:szCs w:val="21"/>
              </w:rPr>
            </w:pPr>
            <w:r>
              <w:rPr>
                <w:rFonts w:hint="eastAsia" w:ascii="宋体" w:hAnsi="宋体"/>
                <w:b w:val="0"/>
                <w:color w:val="auto"/>
                <w:sz w:val="21"/>
                <w:szCs w:val="21"/>
              </w:rPr>
              <w:t>2.</w:t>
            </w:r>
            <w:r>
              <w:rPr>
                <w:rFonts w:hint="eastAsia" w:ascii="宋体" w:hAnsi="宋体"/>
                <w:b w:val="0"/>
                <w:color w:val="auto"/>
                <w:sz w:val="21"/>
                <w:szCs w:val="21"/>
                <w:lang w:val="en-US" w:eastAsia="zh-CN"/>
              </w:rPr>
              <w:t>2</w:t>
            </w:r>
            <w:r>
              <w:rPr>
                <w:rFonts w:hint="eastAsia" w:ascii="宋体" w:hAnsi="宋体"/>
                <w:b w:val="0"/>
                <w:color w:val="auto"/>
                <w:sz w:val="21"/>
                <w:szCs w:val="21"/>
              </w:rPr>
              <w:t>单位负责人为同一人或者存在直接控股、管理关系的不同投标人，不得同时参加本项目的投标活动。</w:t>
            </w:r>
          </w:p>
          <w:p w14:paraId="585E79C4">
            <w:pPr>
              <w:keepNext w:val="0"/>
              <w:keepLines w:val="0"/>
              <w:pageBreakBefore w:val="0"/>
              <w:kinsoku/>
              <w:wordWrap/>
              <w:overflowPunct/>
              <w:topLinePunct w:val="0"/>
              <w:bidi w:val="0"/>
              <w:spacing w:line="360" w:lineRule="auto"/>
              <w:ind w:firstLine="420" w:firstLineChars="200"/>
              <w:jc w:val="left"/>
              <w:outlineLvl w:val="1"/>
              <w:rPr>
                <w:rFonts w:hint="eastAsia" w:ascii="宋体" w:hAnsi="宋体" w:eastAsia="宋体" w:cs="宋体"/>
                <w:b w:val="0"/>
                <w:color w:val="auto"/>
                <w:sz w:val="21"/>
                <w:szCs w:val="21"/>
                <w:lang w:eastAsia="zh-CN"/>
              </w:rPr>
            </w:pPr>
            <w:r>
              <w:rPr>
                <w:rFonts w:hint="eastAsia" w:ascii="宋体" w:hAnsi="宋体"/>
                <w:b w:val="0"/>
                <w:color w:val="auto"/>
                <w:sz w:val="21"/>
                <w:szCs w:val="21"/>
              </w:rPr>
              <w:t>2.</w:t>
            </w:r>
            <w:r>
              <w:rPr>
                <w:rFonts w:hint="eastAsia" w:ascii="宋体" w:hAnsi="宋体"/>
                <w:b w:val="0"/>
                <w:color w:val="auto"/>
                <w:sz w:val="21"/>
                <w:szCs w:val="21"/>
                <w:lang w:val="en-US" w:eastAsia="zh-CN"/>
              </w:rPr>
              <w:t>3</w:t>
            </w:r>
            <w:r>
              <w:rPr>
                <w:rFonts w:hint="eastAsia" w:ascii="宋体" w:hAnsi="宋体"/>
                <w:b w:val="0"/>
                <w:color w:val="auto"/>
                <w:sz w:val="21"/>
                <w:szCs w:val="21"/>
              </w:rPr>
              <w:t>落实政府采购政策需满足的资格要求：</w:t>
            </w:r>
            <w:r>
              <w:rPr>
                <w:rFonts w:hint="eastAsia" w:ascii="宋体" w:hAnsi="宋体"/>
                <w:b w:val="0"/>
                <w:color w:val="auto"/>
                <w:sz w:val="21"/>
                <w:szCs w:val="21"/>
                <w:lang w:eastAsia="zh-CN"/>
              </w:rPr>
              <w:t>（</w:t>
            </w:r>
            <w:r>
              <w:rPr>
                <w:rFonts w:hint="eastAsia" w:ascii="宋体" w:hAnsi="宋体"/>
                <w:b w:val="0"/>
                <w:color w:val="auto"/>
                <w:sz w:val="21"/>
                <w:szCs w:val="21"/>
                <w:lang w:val="en-US" w:eastAsia="zh-CN"/>
              </w:rPr>
              <w:t>1</w:t>
            </w:r>
            <w:r>
              <w:rPr>
                <w:rFonts w:hint="eastAsia" w:ascii="宋体" w:hAnsi="宋体"/>
                <w:b w:val="0"/>
                <w:color w:val="auto"/>
                <w:sz w:val="21"/>
                <w:szCs w:val="21"/>
                <w:lang w:eastAsia="zh-CN"/>
              </w:rPr>
              <w:t>）</w:t>
            </w:r>
            <w:r>
              <w:rPr>
                <w:rFonts w:hint="eastAsia" w:ascii="宋体" w:hAnsi="宋体" w:eastAsia="宋体" w:cs="宋体"/>
                <w:b w:val="0"/>
                <w:color w:val="auto"/>
                <w:sz w:val="21"/>
                <w:szCs w:val="21"/>
              </w:rPr>
              <w:t>根据《政府采购促进中小企业发展管理办法》（财库[2020]46号）、《财政部关于进一步加大政府采购支持中小企业力度的通知》（财库[2022]19号）、《财政部、司法部关于政府采购支持监狱企业发展有关问题的通知》(财库[2014]68号)、《关于促进残疾人就业政府采购政策的通知》（财库[2017]141号）的规定执行。本项目对小</w:t>
            </w:r>
            <w:r>
              <w:rPr>
                <w:rFonts w:hint="eastAsia" w:ascii="宋体" w:hAnsi="宋体" w:cs="宋体"/>
                <w:b w:val="0"/>
                <w:color w:val="auto"/>
                <w:sz w:val="21"/>
                <w:szCs w:val="21"/>
                <w:lang w:val="en-US" w:eastAsia="zh-CN"/>
              </w:rPr>
              <w:t>型和</w:t>
            </w:r>
            <w:r>
              <w:rPr>
                <w:rFonts w:hint="eastAsia" w:ascii="宋体" w:hAnsi="宋体" w:eastAsia="宋体" w:cs="宋体"/>
                <w:b w:val="0"/>
                <w:color w:val="auto"/>
                <w:sz w:val="21"/>
                <w:szCs w:val="21"/>
              </w:rPr>
              <w:t>微</w:t>
            </w:r>
            <w:r>
              <w:rPr>
                <w:rFonts w:hint="eastAsia" w:ascii="宋体" w:hAnsi="宋体" w:cs="宋体"/>
                <w:b w:val="0"/>
                <w:color w:val="auto"/>
                <w:sz w:val="21"/>
                <w:szCs w:val="21"/>
                <w:lang w:val="en-US" w:eastAsia="zh-CN"/>
              </w:rPr>
              <w:t>型</w:t>
            </w:r>
            <w:r>
              <w:rPr>
                <w:rFonts w:hint="eastAsia" w:ascii="宋体" w:hAnsi="宋体" w:eastAsia="宋体" w:cs="宋体"/>
                <w:b w:val="0"/>
                <w:color w:val="auto"/>
                <w:sz w:val="21"/>
                <w:szCs w:val="21"/>
              </w:rPr>
              <w:t>企业报价给予</w:t>
            </w:r>
            <w:r>
              <w:rPr>
                <w:rFonts w:hint="eastAsia" w:ascii="宋体" w:hAnsi="宋体" w:eastAsia="宋体" w:cs="宋体"/>
                <w:b w:val="0"/>
                <w:color w:val="auto"/>
                <w:sz w:val="21"/>
                <w:szCs w:val="21"/>
                <w:lang w:val="en-US" w:eastAsia="zh-CN"/>
              </w:rPr>
              <w:t>10</w:t>
            </w:r>
            <w:r>
              <w:rPr>
                <w:rFonts w:hint="eastAsia" w:ascii="宋体" w:hAnsi="宋体" w:eastAsia="宋体" w:cs="宋体"/>
                <w:b w:val="0"/>
                <w:color w:val="auto"/>
                <w:sz w:val="21"/>
                <w:szCs w:val="21"/>
              </w:rPr>
              <w:t>%的扣除，用扣除后的价格参加评审(即：参与价格评审的投标报价=投标人投标报价×[1-</w:t>
            </w:r>
            <w:r>
              <w:rPr>
                <w:rFonts w:hint="eastAsia" w:ascii="宋体" w:hAnsi="宋体" w:eastAsia="宋体" w:cs="宋体"/>
                <w:b w:val="0"/>
                <w:color w:val="auto"/>
                <w:sz w:val="21"/>
                <w:szCs w:val="21"/>
                <w:lang w:val="en-US" w:eastAsia="zh-CN"/>
              </w:rPr>
              <w:t>10</w:t>
            </w:r>
            <w:r>
              <w:rPr>
                <w:rFonts w:hint="eastAsia" w:ascii="宋体" w:hAnsi="宋体" w:eastAsia="宋体" w:cs="宋体"/>
                <w:b w:val="0"/>
                <w:color w:val="auto"/>
                <w:sz w:val="21"/>
                <w:szCs w:val="21"/>
              </w:rPr>
              <w:t>%])</w:t>
            </w:r>
            <w:r>
              <w:rPr>
                <w:rFonts w:hint="eastAsia" w:ascii="宋体" w:hAnsi="宋体" w:eastAsia="宋体" w:cs="宋体"/>
                <w:b w:val="0"/>
                <w:color w:val="auto"/>
                <w:sz w:val="21"/>
                <w:szCs w:val="21"/>
                <w:lang w:eastAsia="zh-CN"/>
              </w:rPr>
              <w:t>；</w:t>
            </w:r>
            <w:r>
              <w:rPr>
                <w:rFonts w:hint="eastAsia" w:ascii="宋体" w:hAnsi="宋体" w:eastAsia="宋体" w:cs="宋体"/>
                <w:b w:val="0"/>
                <w:color w:val="auto"/>
                <w:sz w:val="21"/>
                <w:szCs w:val="21"/>
              </w:rPr>
              <w:t>监狱企业、残疾人福利性单位视同小型、微型企业，享受同等价格扣</w:t>
            </w:r>
            <w:r>
              <w:rPr>
                <w:rFonts w:hint="eastAsia" w:ascii="宋体" w:hAnsi="宋体" w:eastAsia="宋体" w:cs="宋体"/>
                <w:b w:val="0"/>
                <w:color w:val="auto"/>
                <w:sz w:val="21"/>
                <w:szCs w:val="21"/>
                <w:lang w:eastAsia="zh-CN"/>
              </w:rPr>
              <w:t>，不重复享受价格扣除优惠政策。</w:t>
            </w:r>
          </w:p>
          <w:p w14:paraId="38B2C9CD">
            <w:pPr>
              <w:keepNext w:val="0"/>
              <w:keepLines w:val="0"/>
              <w:pageBreakBefore w:val="0"/>
              <w:numPr>
                <w:ilvl w:val="0"/>
                <w:numId w:val="1"/>
              </w:numPr>
              <w:kinsoku/>
              <w:wordWrap/>
              <w:overflowPunct/>
              <w:topLinePunct w:val="0"/>
              <w:bidi w:val="0"/>
              <w:spacing w:line="360" w:lineRule="auto"/>
              <w:ind w:firstLine="210" w:firstLineChars="100"/>
              <w:jc w:val="left"/>
              <w:outlineLvl w:val="1"/>
              <w:rPr>
                <w:rFonts w:hint="eastAsia" w:ascii="宋体" w:hAnsi="宋体" w:eastAsia="宋体" w:cs="宋体"/>
                <w:b w:val="0"/>
                <w:bCs/>
                <w:color w:val="auto"/>
                <w:sz w:val="21"/>
                <w:szCs w:val="21"/>
              </w:rPr>
            </w:pPr>
            <w:r>
              <w:rPr>
                <w:rFonts w:hint="eastAsia" w:ascii="宋体" w:hAnsi="宋体" w:eastAsia="宋体" w:cs="宋体"/>
                <w:b w:val="0"/>
                <w:color w:val="auto"/>
                <w:sz w:val="21"/>
                <w:szCs w:val="21"/>
              </w:rPr>
              <w:t>《财政部</w:t>
            </w:r>
            <w:r>
              <w:rPr>
                <w:rFonts w:hint="eastAsia" w:ascii="宋体" w:hAnsi="宋体" w:cs="宋体"/>
                <w:b w:val="0"/>
                <w:color w:val="auto"/>
                <w:sz w:val="21"/>
                <w:szCs w:val="21"/>
                <w:lang w:val="en-US" w:eastAsia="zh-CN"/>
              </w:rPr>
              <w:t xml:space="preserve"> </w:t>
            </w:r>
            <w:r>
              <w:rPr>
                <w:rFonts w:hint="eastAsia" w:ascii="宋体" w:hAnsi="宋体" w:eastAsia="宋体" w:cs="宋体"/>
                <w:b w:val="0"/>
                <w:color w:val="auto"/>
                <w:sz w:val="21"/>
                <w:szCs w:val="21"/>
              </w:rPr>
              <w:t>生态环境部关于印发环境标志产品政府采购品目清单的通知》（财库﹝2019﹞18号）和《财政部  发展改革委关于印发节能产品政府采购品目清单的通知》（财库﹝2019﹞19号）关于节能、</w:t>
            </w:r>
            <w:r>
              <w:rPr>
                <w:rFonts w:hint="eastAsia" w:ascii="宋体" w:hAnsi="宋体" w:cs="宋体"/>
                <w:b w:val="0"/>
                <w:color w:val="auto"/>
                <w:sz w:val="21"/>
                <w:szCs w:val="21"/>
                <w:lang w:eastAsia="zh-CN"/>
              </w:rPr>
              <w:t>环保</w:t>
            </w:r>
            <w:r>
              <w:rPr>
                <w:rFonts w:hint="eastAsia" w:ascii="宋体" w:hAnsi="宋体" w:eastAsia="宋体" w:cs="宋体"/>
                <w:b w:val="0"/>
                <w:color w:val="auto"/>
                <w:sz w:val="21"/>
                <w:szCs w:val="21"/>
              </w:rPr>
              <w:t>产品的规定：政府采购属于节能（</w:t>
            </w:r>
            <w:r>
              <w:rPr>
                <w:rFonts w:hint="eastAsia" w:ascii="宋体" w:hAnsi="宋体" w:cs="宋体"/>
                <w:b w:val="0"/>
                <w:color w:val="auto"/>
                <w:sz w:val="21"/>
                <w:szCs w:val="21"/>
                <w:lang w:eastAsia="zh-CN"/>
              </w:rPr>
              <w:t>环保</w:t>
            </w:r>
            <w:r>
              <w:rPr>
                <w:rFonts w:hint="eastAsia" w:ascii="宋体" w:hAnsi="宋体" w:eastAsia="宋体" w:cs="宋体"/>
                <w:b w:val="0"/>
                <w:color w:val="auto"/>
                <w:sz w:val="21"/>
                <w:szCs w:val="21"/>
              </w:rPr>
              <w:t>标志）清单中产品时，在技术、服务等指标同等条件下，应当优先采购节能（</w:t>
            </w:r>
            <w:r>
              <w:rPr>
                <w:rFonts w:hint="eastAsia" w:ascii="宋体" w:hAnsi="宋体" w:cs="宋体"/>
                <w:b w:val="0"/>
                <w:color w:val="auto"/>
                <w:sz w:val="21"/>
                <w:szCs w:val="21"/>
                <w:lang w:eastAsia="zh-CN"/>
              </w:rPr>
              <w:t>环保</w:t>
            </w:r>
            <w:r>
              <w:rPr>
                <w:rFonts w:hint="eastAsia" w:ascii="宋体" w:hAnsi="宋体" w:eastAsia="宋体" w:cs="宋体"/>
                <w:b w:val="0"/>
                <w:color w:val="auto"/>
                <w:sz w:val="21"/>
                <w:szCs w:val="21"/>
              </w:rPr>
              <w:t>标志）清单所列的节能（</w:t>
            </w:r>
            <w:r>
              <w:rPr>
                <w:rFonts w:hint="eastAsia" w:ascii="宋体" w:hAnsi="宋体" w:cs="宋体"/>
                <w:b w:val="0"/>
                <w:color w:val="auto"/>
                <w:sz w:val="21"/>
                <w:szCs w:val="21"/>
                <w:lang w:eastAsia="zh-CN"/>
              </w:rPr>
              <w:t>环保</w:t>
            </w:r>
            <w:r>
              <w:rPr>
                <w:rFonts w:hint="eastAsia" w:ascii="宋体" w:hAnsi="宋体" w:eastAsia="宋体" w:cs="宋体"/>
                <w:b w:val="0"/>
                <w:color w:val="auto"/>
                <w:sz w:val="21"/>
                <w:szCs w:val="21"/>
              </w:rPr>
              <w:t>标志）产品。</w:t>
            </w:r>
          </w:p>
        </w:tc>
      </w:tr>
      <w:tr w14:paraId="646D2E81">
        <w:tblPrEx>
          <w:tblCellMar>
            <w:top w:w="0" w:type="dxa"/>
            <w:left w:w="108" w:type="dxa"/>
            <w:bottom w:w="0" w:type="dxa"/>
            <w:right w:w="108" w:type="dxa"/>
          </w:tblCellMar>
        </w:tblPrEx>
        <w:trPr>
          <w:trHeight w:val="653" w:hRule="atLeast"/>
        </w:trPr>
        <w:tc>
          <w:tcPr>
            <w:tcW w:w="949" w:type="dxa"/>
            <w:tcBorders>
              <w:top w:val="single" w:color="auto" w:sz="4" w:space="0"/>
              <w:left w:val="single" w:color="auto" w:sz="4" w:space="0"/>
              <w:bottom w:val="single" w:color="auto" w:sz="4" w:space="0"/>
              <w:right w:val="single" w:color="auto" w:sz="4" w:space="0"/>
            </w:tcBorders>
            <w:vAlign w:val="center"/>
          </w:tcPr>
          <w:p w14:paraId="0C6701C9">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4.2</w:t>
            </w:r>
          </w:p>
        </w:tc>
        <w:tc>
          <w:tcPr>
            <w:tcW w:w="2389" w:type="dxa"/>
            <w:tcBorders>
              <w:top w:val="single" w:color="auto" w:sz="4" w:space="0"/>
              <w:left w:val="single" w:color="auto" w:sz="4" w:space="0"/>
              <w:bottom w:val="single" w:color="auto" w:sz="4" w:space="0"/>
              <w:right w:val="single" w:color="auto" w:sz="4" w:space="0"/>
            </w:tcBorders>
            <w:vAlign w:val="center"/>
          </w:tcPr>
          <w:p w14:paraId="7AD2C4F6">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是否接受联合体参加</w:t>
            </w:r>
          </w:p>
        </w:tc>
        <w:tc>
          <w:tcPr>
            <w:tcW w:w="6712" w:type="dxa"/>
            <w:tcBorders>
              <w:top w:val="single" w:color="auto" w:sz="4" w:space="0"/>
              <w:left w:val="single" w:color="auto" w:sz="4" w:space="0"/>
              <w:bottom w:val="single" w:color="auto" w:sz="4" w:space="0"/>
              <w:right w:val="single" w:color="auto" w:sz="4" w:space="0"/>
            </w:tcBorders>
            <w:vAlign w:val="center"/>
          </w:tcPr>
          <w:p w14:paraId="6CB0E23B">
            <w:pPr>
              <w:widowControl/>
              <w:spacing w:line="430" w:lineRule="exact"/>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不接受</w:t>
            </w:r>
          </w:p>
        </w:tc>
      </w:tr>
      <w:tr w14:paraId="6292BA90">
        <w:tblPrEx>
          <w:tblCellMar>
            <w:top w:w="0" w:type="dxa"/>
            <w:left w:w="108" w:type="dxa"/>
            <w:bottom w:w="0" w:type="dxa"/>
            <w:right w:w="108" w:type="dxa"/>
          </w:tblCellMar>
        </w:tblPrEx>
        <w:trPr>
          <w:trHeight w:val="553" w:hRule="atLeast"/>
        </w:trPr>
        <w:tc>
          <w:tcPr>
            <w:tcW w:w="949" w:type="dxa"/>
            <w:tcBorders>
              <w:top w:val="single" w:color="auto" w:sz="4" w:space="0"/>
              <w:left w:val="single" w:color="auto" w:sz="4" w:space="0"/>
              <w:bottom w:val="single" w:color="auto" w:sz="4" w:space="0"/>
              <w:right w:val="single" w:color="auto" w:sz="4" w:space="0"/>
            </w:tcBorders>
            <w:vAlign w:val="center"/>
          </w:tcPr>
          <w:p w14:paraId="0D7E9AFB">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w:t>
            </w:r>
          </w:p>
        </w:tc>
        <w:tc>
          <w:tcPr>
            <w:tcW w:w="2389" w:type="dxa"/>
            <w:tcBorders>
              <w:top w:val="single" w:color="auto" w:sz="4" w:space="0"/>
              <w:left w:val="single" w:color="auto" w:sz="4" w:space="0"/>
              <w:bottom w:val="single" w:color="auto" w:sz="4" w:space="0"/>
              <w:right w:val="single" w:color="auto" w:sz="4" w:space="0"/>
            </w:tcBorders>
            <w:vAlign w:val="center"/>
          </w:tcPr>
          <w:p w14:paraId="6D0A7137">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开标前答疑会</w:t>
            </w:r>
          </w:p>
        </w:tc>
        <w:tc>
          <w:tcPr>
            <w:tcW w:w="6712" w:type="dxa"/>
            <w:tcBorders>
              <w:top w:val="single" w:color="auto" w:sz="4" w:space="0"/>
              <w:left w:val="single" w:color="auto" w:sz="4" w:space="0"/>
              <w:bottom w:val="single" w:color="auto" w:sz="4" w:space="0"/>
              <w:right w:val="single" w:color="auto" w:sz="4" w:space="0"/>
            </w:tcBorders>
            <w:vAlign w:val="center"/>
          </w:tcPr>
          <w:p w14:paraId="6487323B">
            <w:pPr>
              <w:spacing w:line="430" w:lineRule="exact"/>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不组织</w:t>
            </w:r>
          </w:p>
        </w:tc>
      </w:tr>
      <w:tr w14:paraId="0E1ABF95">
        <w:tblPrEx>
          <w:tblCellMar>
            <w:top w:w="0" w:type="dxa"/>
            <w:left w:w="108" w:type="dxa"/>
            <w:bottom w:w="0" w:type="dxa"/>
            <w:right w:w="108" w:type="dxa"/>
          </w:tblCellMar>
        </w:tblPrEx>
        <w:trPr>
          <w:trHeight w:val="1806" w:hRule="atLeast"/>
        </w:trPr>
        <w:tc>
          <w:tcPr>
            <w:tcW w:w="949" w:type="dxa"/>
            <w:tcBorders>
              <w:top w:val="single" w:color="auto" w:sz="4" w:space="0"/>
              <w:left w:val="single" w:color="auto" w:sz="4" w:space="0"/>
              <w:bottom w:val="single" w:color="auto" w:sz="4" w:space="0"/>
              <w:right w:val="single" w:color="auto" w:sz="4" w:space="0"/>
            </w:tcBorders>
            <w:vAlign w:val="center"/>
          </w:tcPr>
          <w:p w14:paraId="44ED3517">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6.1</w:t>
            </w:r>
          </w:p>
        </w:tc>
        <w:tc>
          <w:tcPr>
            <w:tcW w:w="2389" w:type="dxa"/>
            <w:tcBorders>
              <w:top w:val="single" w:color="auto" w:sz="4" w:space="0"/>
              <w:left w:val="single" w:color="auto" w:sz="4" w:space="0"/>
              <w:bottom w:val="single" w:color="auto" w:sz="4" w:space="0"/>
              <w:right w:val="single" w:color="auto" w:sz="4" w:space="0"/>
            </w:tcBorders>
            <w:vAlign w:val="center"/>
          </w:tcPr>
          <w:p w14:paraId="064545BD">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招标文件的询问时间</w:t>
            </w:r>
          </w:p>
        </w:tc>
        <w:tc>
          <w:tcPr>
            <w:tcW w:w="6712" w:type="dxa"/>
            <w:tcBorders>
              <w:top w:val="single" w:color="auto" w:sz="4" w:space="0"/>
              <w:left w:val="single" w:color="auto" w:sz="4" w:space="0"/>
              <w:bottom w:val="single" w:color="auto" w:sz="4" w:space="0"/>
              <w:right w:val="single" w:color="auto" w:sz="4" w:space="0"/>
            </w:tcBorders>
            <w:vAlign w:val="center"/>
          </w:tcPr>
          <w:p w14:paraId="6F3237B8">
            <w:pPr>
              <w:spacing w:line="430" w:lineRule="exact"/>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在投标截止时间15日前，所有获取了招标文件的潜在投标人凭企业数字证书（CA）登录</w:t>
            </w:r>
            <w:r>
              <w:rPr>
                <w:rFonts w:hint="eastAsia" w:ascii="宋体" w:hAnsi="宋体" w:eastAsia="宋体" w:cs="宋体"/>
                <w:color w:val="auto"/>
                <w:sz w:val="21"/>
                <w:szCs w:val="21"/>
                <w:highlight w:val="none"/>
              </w:rPr>
              <w:t>“政采云”平台（http：//www.zcygov.cn）</w:t>
            </w:r>
            <w:r>
              <w:rPr>
                <w:rFonts w:hint="eastAsia" w:ascii="宋体" w:hAnsi="宋体" w:eastAsia="宋体" w:cs="宋体"/>
                <w:b w:val="0"/>
                <w:bCs/>
                <w:color w:val="auto"/>
                <w:sz w:val="21"/>
                <w:szCs w:val="21"/>
              </w:rPr>
              <w:t>，通过网络在线方式向</w:t>
            </w:r>
            <w:r>
              <w:rPr>
                <w:rFonts w:hint="eastAsia" w:ascii="宋体" w:hAnsi="宋体" w:cs="宋体"/>
                <w:b w:val="0"/>
                <w:bCs/>
                <w:color w:val="auto"/>
                <w:sz w:val="21"/>
                <w:szCs w:val="21"/>
                <w:lang w:eastAsia="zh-CN"/>
              </w:rPr>
              <w:t>采购人</w:t>
            </w:r>
            <w:r>
              <w:rPr>
                <w:rFonts w:hint="eastAsia" w:ascii="宋体" w:hAnsi="宋体" w:eastAsia="宋体" w:cs="宋体"/>
                <w:b w:val="0"/>
                <w:bCs/>
                <w:color w:val="auto"/>
                <w:sz w:val="21"/>
                <w:szCs w:val="21"/>
              </w:rPr>
              <w:t>或</w:t>
            </w:r>
            <w:r>
              <w:rPr>
                <w:rFonts w:hint="eastAsia" w:ascii="宋体" w:hAnsi="宋体" w:cs="宋体"/>
                <w:b w:val="0"/>
                <w:bCs/>
                <w:color w:val="auto"/>
                <w:sz w:val="21"/>
                <w:szCs w:val="21"/>
                <w:lang w:eastAsia="zh-CN"/>
              </w:rPr>
              <w:t>招标代理</w:t>
            </w:r>
            <w:r>
              <w:rPr>
                <w:rFonts w:hint="eastAsia" w:ascii="宋体" w:hAnsi="宋体" w:eastAsia="宋体" w:cs="宋体"/>
                <w:b w:val="0"/>
                <w:bCs/>
                <w:color w:val="auto"/>
                <w:sz w:val="21"/>
                <w:szCs w:val="21"/>
              </w:rPr>
              <w:t>进行署名提问，</w:t>
            </w:r>
            <w:r>
              <w:rPr>
                <w:rFonts w:hint="eastAsia" w:ascii="宋体" w:hAnsi="宋体" w:cs="宋体"/>
                <w:b w:val="0"/>
                <w:bCs/>
                <w:color w:val="auto"/>
                <w:sz w:val="21"/>
                <w:szCs w:val="21"/>
                <w:lang w:eastAsia="zh-CN"/>
              </w:rPr>
              <w:t>采购人</w:t>
            </w:r>
            <w:r>
              <w:rPr>
                <w:rFonts w:hint="eastAsia" w:ascii="宋体" w:hAnsi="宋体" w:eastAsia="宋体" w:cs="宋体"/>
                <w:b w:val="0"/>
                <w:bCs/>
                <w:color w:val="auto"/>
                <w:sz w:val="21"/>
                <w:szCs w:val="21"/>
              </w:rPr>
              <w:t>或</w:t>
            </w:r>
            <w:r>
              <w:rPr>
                <w:rFonts w:hint="eastAsia" w:ascii="宋体" w:hAnsi="宋体" w:cs="宋体"/>
                <w:b w:val="0"/>
                <w:bCs/>
                <w:color w:val="auto"/>
                <w:sz w:val="21"/>
                <w:szCs w:val="21"/>
                <w:lang w:eastAsia="zh-CN"/>
              </w:rPr>
              <w:t>招标代理</w:t>
            </w:r>
            <w:r>
              <w:rPr>
                <w:rFonts w:hint="eastAsia" w:ascii="宋体" w:hAnsi="宋体" w:eastAsia="宋体" w:cs="宋体"/>
                <w:b w:val="0"/>
                <w:bCs/>
                <w:color w:val="auto"/>
                <w:sz w:val="21"/>
                <w:szCs w:val="21"/>
              </w:rPr>
              <w:t>对所有潜在投标人进行统一回复。</w:t>
            </w:r>
          </w:p>
        </w:tc>
      </w:tr>
      <w:tr w14:paraId="5F4D72E5">
        <w:tblPrEx>
          <w:tblCellMar>
            <w:top w:w="0" w:type="dxa"/>
            <w:left w:w="108" w:type="dxa"/>
            <w:bottom w:w="0" w:type="dxa"/>
            <w:right w:w="108" w:type="dxa"/>
          </w:tblCellMar>
        </w:tblPrEx>
        <w:trPr>
          <w:trHeight w:val="2656" w:hRule="atLeast"/>
        </w:trPr>
        <w:tc>
          <w:tcPr>
            <w:tcW w:w="949" w:type="dxa"/>
            <w:tcBorders>
              <w:top w:val="single" w:color="auto" w:sz="4" w:space="0"/>
              <w:left w:val="single" w:color="auto" w:sz="4" w:space="0"/>
              <w:bottom w:val="single" w:color="auto" w:sz="4" w:space="0"/>
              <w:right w:val="single" w:color="auto" w:sz="4" w:space="0"/>
            </w:tcBorders>
            <w:vAlign w:val="center"/>
          </w:tcPr>
          <w:p w14:paraId="5E33988B">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6.2</w:t>
            </w:r>
          </w:p>
        </w:tc>
        <w:tc>
          <w:tcPr>
            <w:tcW w:w="2389" w:type="dxa"/>
            <w:tcBorders>
              <w:top w:val="single" w:color="auto" w:sz="4" w:space="0"/>
              <w:left w:val="single" w:color="auto" w:sz="4" w:space="0"/>
              <w:bottom w:val="single" w:color="auto" w:sz="4" w:space="0"/>
              <w:right w:val="single" w:color="auto" w:sz="4" w:space="0"/>
            </w:tcBorders>
            <w:vAlign w:val="center"/>
          </w:tcPr>
          <w:p w14:paraId="609DD90B">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招标文件澄清、修改时间</w:t>
            </w:r>
          </w:p>
        </w:tc>
        <w:tc>
          <w:tcPr>
            <w:tcW w:w="6712" w:type="dxa"/>
            <w:tcBorders>
              <w:top w:val="single" w:color="auto" w:sz="4" w:space="0"/>
              <w:left w:val="single" w:color="auto" w:sz="4" w:space="0"/>
              <w:bottom w:val="single" w:color="auto" w:sz="4" w:space="0"/>
              <w:right w:val="single" w:color="auto" w:sz="4" w:space="0"/>
            </w:tcBorders>
            <w:vAlign w:val="center"/>
          </w:tcPr>
          <w:p w14:paraId="325F4ACF">
            <w:pPr>
              <w:spacing w:line="430" w:lineRule="exact"/>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在投标截止时间10日前，所有获取了招标文件的潜在投标人凭企业数字证书（CA）登录</w:t>
            </w:r>
            <w:r>
              <w:rPr>
                <w:rFonts w:hint="eastAsia" w:ascii="宋体" w:hAnsi="宋体" w:eastAsia="宋体" w:cs="宋体"/>
                <w:color w:val="auto"/>
                <w:sz w:val="21"/>
                <w:szCs w:val="21"/>
                <w:highlight w:val="none"/>
              </w:rPr>
              <w:t>“政采云”平台（http：//www.zcygov.cn）</w:t>
            </w:r>
            <w:r>
              <w:rPr>
                <w:rFonts w:hint="eastAsia" w:ascii="宋体" w:hAnsi="宋体" w:eastAsia="宋体" w:cs="宋体"/>
                <w:b w:val="0"/>
                <w:bCs/>
                <w:color w:val="auto"/>
                <w:sz w:val="21"/>
                <w:szCs w:val="21"/>
              </w:rPr>
              <w:t>，通过网络在线方式向</w:t>
            </w:r>
            <w:r>
              <w:rPr>
                <w:rFonts w:hint="eastAsia" w:ascii="宋体" w:hAnsi="宋体" w:cs="宋体"/>
                <w:b w:val="0"/>
                <w:bCs/>
                <w:color w:val="auto"/>
                <w:sz w:val="21"/>
                <w:szCs w:val="21"/>
                <w:lang w:eastAsia="zh-CN"/>
              </w:rPr>
              <w:t>采购人</w:t>
            </w:r>
            <w:r>
              <w:rPr>
                <w:rFonts w:hint="eastAsia" w:ascii="宋体" w:hAnsi="宋体" w:eastAsia="宋体" w:cs="宋体"/>
                <w:b w:val="0"/>
                <w:bCs/>
                <w:color w:val="auto"/>
                <w:sz w:val="21"/>
                <w:szCs w:val="21"/>
              </w:rPr>
              <w:t>或</w:t>
            </w:r>
            <w:r>
              <w:rPr>
                <w:rFonts w:hint="eastAsia" w:ascii="宋体" w:hAnsi="宋体" w:cs="宋体"/>
                <w:b w:val="0"/>
                <w:bCs/>
                <w:color w:val="auto"/>
                <w:sz w:val="21"/>
                <w:szCs w:val="21"/>
                <w:lang w:eastAsia="zh-CN"/>
              </w:rPr>
              <w:t>招标代理</w:t>
            </w:r>
            <w:r>
              <w:rPr>
                <w:rFonts w:hint="eastAsia" w:ascii="宋体" w:hAnsi="宋体" w:eastAsia="宋体" w:cs="宋体"/>
                <w:b w:val="0"/>
                <w:bCs/>
                <w:color w:val="auto"/>
                <w:sz w:val="21"/>
                <w:szCs w:val="21"/>
              </w:rPr>
              <w:t>进行署名要求澄清，</w:t>
            </w:r>
            <w:r>
              <w:rPr>
                <w:rFonts w:hint="eastAsia" w:ascii="宋体" w:hAnsi="宋体" w:cs="宋体"/>
                <w:b w:val="0"/>
                <w:bCs/>
                <w:color w:val="auto"/>
                <w:sz w:val="21"/>
                <w:szCs w:val="21"/>
                <w:lang w:eastAsia="zh-CN"/>
              </w:rPr>
              <w:t>采购人</w:t>
            </w:r>
            <w:r>
              <w:rPr>
                <w:rFonts w:hint="eastAsia" w:ascii="宋体" w:hAnsi="宋体" w:eastAsia="宋体" w:cs="宋体"/>
                <w:b w:val="0"/>
                <w:bCs/>
                <w:color w:val="auto"/>
                <w:sz w:val="21"/>
                <w:szCs w:val="21"/>
              </w:rPr>
              <w:t>或</w:t>
            </w:r>
            <w:r>
              <w:rPr>
                <w:rFonts w:hint="eastAsia" w:ascii="宋体" w:hAnsi="宋体" w:cs="宋体"/>
                <w:b w:val="0"/>
                <w:bCs/>
                <w:color w:val="auto"/>
                <w:sz w:val="21"/>
                <w:szCs w:val="21"/>
                <w:lang w:eastAsia="zh-CN"/>
              </w:rPr>
              <w:t>招标代理</w:t>
            </w:r>
            <w:r>
              <w:rPr>
                <w:rFonts w:hint="eastAsia" w:ascii="宋体" w:hAnsi="宋体" w:eastAsia="宋体" w:cs="宋体"/>
                <w:b w:val="0"/>
                <w:bCs/>
                <w:color w:val="auto"/>
                <w:sz w:val="21"/>
                <w:szCs w:val="21"/>
              </w:rPr>
              <w:t>对所有潜在投标人进行统一回复。</w:t>
            </w:r>
          </w:p>
          <w:p w14:paraId="3BF0E914">
            <w:pPr>
              <w:spacing w:line="430" w:lineRule="exact"/>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投标人自行登录</w:t>
            </w:r>
            <w:r>
              <w:rPr>
                <w:rFonts w:hint="eastAsia" w:ascii="宋体" w:hAnsi="宋体" w:eastAsia="宋体" w:cs="宋体"/>
                <w:color w:val="auto"/>
                <w:sz w:val="21"/>
                <w:szCs w:val="21"/>
                <w:highlight w:val="none"/>
              </w:rPr>
              <w:t>“政采云”平台（http：//www.zcygov.cn）</w:t>
            </w:r>
            <w:r>
              <w:rPr>
                <w:rFonts w:hint="eastAsia" w:ascii="宋体" w:hAnsi="宋体" w:eastAsia="宋体" w:cs="宋体"/>
                <w:b w:val="0"/>
                <w:bCs/>
                <w:color w:val="auto"/>
                <w:sz w:val="21"/>
                <w:szCs w:val="21"/>
              </w:rPr>
              <w:t>收取修改内容，无须回复确认已收到该修改。</w:t>
            </w:r>
          </w:p>
        </w:tc>
      </w:tr>
      <w:tr w14:paraId="170EF457">
        <w:tblPrEx>
          <w:tblCellMar>
            <w:top w:w="0" w:type="dxa"/>
            <w:left w:w="108" w:type="dxa"/>
            <w:bottom w:w="0" w:type="dxa"/>
            <w:right w:w="108" w:type="dxa"/>
          </w:tblCellMar>
        </w:tblPrEx>
        <w:trPr>
          <w:trHeight w:val="947" w:hRule="atLeast"/>
        </w:trPr>
        <w:tc>
          <w:tcPr>
            <w:tcW w:w="949" w:type="dxa"/>
            <w:tcBorders>
              <w:top w:val="single" w:color="auto" w:sz="4" w:space="0"/>
              <w:left w:val="single" w:color="auto" w:sz="4" w:space="0"/>
              <w:bottom w:val="single" w:color="auto" w:sz="4" w:space="0"/>
              <w:right w:val="single" w:color="auto" w:sz="4" w:space="0"/>
            </w:tcBorders>
            <w:vAlign w:val="center"/>
          </w:tcPr>
          <w:p w14:paraId="15D6D56C">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7</w:t>
            </w:r>
          </w:p>
        </w:tc>
        <w:tc>
          <w:tcPr>
            <w:tcW w:w="2389" w:type="dxa"/>
            <w:tcBorders>
              <w:top w:val="single" w:color="auto" w:sz="4" w:space="0"/>
              <w:left w:val="single" w:color="auto" w:sz="4" w:space="0"/>
              <w:bottom w:val="single" w:color="auto" w:sz="4" w:space="0"/>
              <w:right w:val="single" w:color="auto" w:sz="4" w:space="0"/>
            </w:tcBorders>
            <w:vAlign w:val="center"/>
          </w:tcPr>
          <w:p w14:paraId="082D65DB">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语言文字</w:t>
            </w:r>
          </w:p>
        </w:tc>
        <w:tc>
          <w:tcPr>
            <w:tcW w:w="6712" w:type="dxa"/>
            <w:tcBorders>
              <w:top w:val="single" w:color="auto" w:sz="4" w:space="0"/>
              <w:left w:val="single" w:color="auto" w:sz="4" w:space="0"/>
              <w:bottom w:val="single" w:color="auto" w:sz="4" w:space="0"/>
              <w:right w:val="single" w:color="auto" w:sz="4" w:space="0"/>
            </w:tcBorders>
            <w:vAlign w:val="center"/>
          </w:tcPr>
          <w:p w14:paraId="4F546339">
            <w:pPr>
              <w:spacing w:line="430" w:lineRule="exact"/>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投标人的投标文件以及投标人与</w:t>
            </w:r>
            <w:r>
              <w:rPr>
                <w:rFonts w:hint="eastAsia" w:ascii="宋体" w:hAnsi="宋体" w:cs="宋体"/>
                <w:b w:val="0"/>
                <w:bCs/>
                <w:color w:val="auto"/>
                <w:sz w:val="21"/>
                <w:szCs w:val="21"/>
                <w:lang w:eastAsia="zh-CN"/>
              </w:rPr>
              <w:t>招标代理</w:t>
            </w:r>
            <w:r>
              <w:rPr>
                <w:rFonts w:hint="eastAsia" w:ascii="宋体" w:hAnsi="宋体" w:eastAsia="宋体" w:cs="宋体"/>
                <w:b w:val="0"/>
                <w:bCs/>
                <w:color w:val="auto"/>
                <w:sz w:val="21"/>
                <w:szCs w:val="21"/>
              </w:rPr>
              <w:t>机构就有关投标的所有来往函电统一使用中文（特别规定除外）。</w:t>
            </w:r>
          </w:p>
        </w:tc>
      </w:tr>
      <w:tr w14:paraId="1F820401">
        <w:tblPrEx>
          <w:tblCellMar>
            <w:top w:w="0" w:type="dxa"/>
            <w:left w:w="108" w:type="dxa"/>
            <w:bottom w:w="0" w:type="dxa"/>
            <w:right w:w="108" w:type="dxa"/>
          </w:tblCellMar>
        </w:tblPrEx>
        <w:trPr>
          <w:trHeight w:val="957" w:hRule="atLeast"/>
        </w:trPr>
        <w:tc>
          <w:tcPr>
            <w:tcW w:w="949" w:type="dxa"/>
            <w:tcBorders>
              <w:top w:val="single" w:color="auto" w:sz="4" w:space="0"/>
              <w:left w:val="single" w:color="auto" w:sz="4" w:space="0"/>
              <w:bottom w:val="single" w:color="auto" w:sz="4" w:space="0"/>
              <w:right w:val="single" w:color="auto" w:sz="4" w:space="0"/>
            </w:tcBorders>
            <w:vAlign w:val="center"/>
          </w:tcPr>
          <w:p w14:paraId="272DBE38">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8</w:t>
            </w:r>
          </w:p>
        </w:tc>
        <w:tc>
          <w:tcPr>
            <w:tcW w:w="2389" w:type="dxa"/>
            <w:tcBorders>
              <w:top w:val="single" w:color="auto" w:sz="4" w:space="0"/>
              <w:left w:val="single" w:color="auto" w:sz="4" w:space="0"/>
              <w:bottom w:val="single" w:color="auto" w:sz="4" w:space="0"/>
              <w:right w:val="single" w:color="auto" w:sz="4" w:space="0"/>
            </w:tcBorders>
            <w:vAlign w:val="center"/>
          </w:tcPr>
          <w:p w14:paraId="0B2038A6">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计量单位</w:t>
            </w:r>
          </w:p>
        </w:tc>
        <w:tc>
          <w:tcPr>
            <w:tcW w:w="6712" w:type="dxa"/>
            <w:tcBorders>
              <w:top w:val="single" w:color="auto" w:sz="4" w:space="0"/>
              <w:left w:val="single" w:color="auto" w:sz="4" w:space="0"/>
              <w:bottom w:val="single" w:color="auto" w:sz="4" w:space="0"/>
              <w:right w:val="single" w:color="auto" w:sz="4" w:space="0"/>
            </w:tcBorders>
            <w:vAlign w:val="center"/>
          </w:tcPr>
          <w:p w14:paraId="4298867A">
            <w:pPr>
              <w:spacing w:line="430" w:lineRule="exact"/>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投标文件中使用的计量单位除招标文件中有特殊规定外，一律使用中国法定计量单位。</w:t>
            </w:r>
          </w:p>
        </w:tc>
      </w:tr>
      <w:tr w14:paraId="2481C98F">
        <w:tblPrEx>
          <w:tblCellMar>
            <w:top w:w="0" w:type="dxa"/>
            <w:left w:w="108" w:type="dxa"/>
            <w:bottom w:w="0" w:type="dxa"/>
            <w:right w:w="108" w:type="dxa"/>
          </w:tblCellMar>
        </w:tblPrEx>
        <w:trPr>
          <w:trHeight w:val="1399" w:hRule="atLeast"/>
        </w:trPr>
        <w:tc>
          <w:tcPr>
            <w:tcW w:w="949" w:type="dxa"/>
            <w:tcBorders>
              <w:top w:val="single" w:color="auto" w:sz="4" w:space="0"/>
              <w:left w:val="single" w:color="auto" w:sz="4" w:space="0"/>
              <w:bottom w:val="single" w:color="auto" w:sz="4" w:space="0"/>
              <w:right w:val="single" w:color="auto" w:sz="4" w:space="0"/>
            </w:tcBorders>
            <w:vAlign w:val="center"/>
          </w:tcPr>
          <w:p w14:paraId="67451195">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9</w:t>
            </w:r>
          </w:p>
        </w:tc>
        <w:tc>
          <w:tcPr>
            <w:tcW w:w="2389" w:type="dxa"/>
            <w:tcBorders>
              <w:top w:val="single" w:color="auto" w:sz="4" w:space="0"/>
              <w:left w:val="single" w:color="auto" w:sz="4" w:space="0"/>
              <w:bottom w:val="single" w:color="auto" w:sz="4" w:space="0"/>
              <w:right w:val="single" w:color="auto" w:sz="4" w:space="0"/>
            </w:tcBorders>
            <w:vAlign w:val="center"/>
          </w:tcPr>
          <w:p w14:paraId="45D58741">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构成投标文件的其他资料</w:t>
            </w:r>
          </w:p>
        </w:tc>
        <w:tc>
          <w:tcPr>
            <w:tcW w:w="6712" w:type="dxa"/>
            <w:tcBorders>
              <w:top w:val="single" w:color="auto" w:sz="4" w:space="0"/>
              <w:left w:val="single" w:color="auto" w:sz="4" w:space="0"/>
              <w:bottom w:val="single" w:color="auto" w:sz="4" w:space="0"/>
              <w:right w:val="single" w:color="auto" w:sz="4" w:space="0"/>
            </w:tcBorders>
            <w:vAlign w:val="center"/>
          </w:tcPr>
          <w:p w14:paraId="5AEFFE95">
            <w:pPr>
              <w:spacing w:line="43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1、投标保证金交纳凭证（扫描件加盖公章）；</w:t>
            </w:r>
          </w:p>
          <w:p w14:paraId="72920A98">
            <w:pPr>
              <w:spacing w:line="43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2、第六章《采购内容》中要求提供的其他资料；</w:t>
            </w:r>
          </w:p>
          <w:p w14:paraId="7DB3C615">
            <w:pPr>
              <w:spacing w:line="43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3、招标文件中所涉及到的相关资料及证明文件或投标人认为必须提供的其他相关资料。</w:t>
            </w:r>
          </w:p>
        </w:tc>
      </w:tr>
      <w:tr w14:paraId="2CE15F48">
        <w:tblPrEx>
          <w:tblCellMar>
            <w:top w:w="0" w:type="dxa"/>
            <w:left w:w="108" w:type="dxa"/>
            <w:bottom w:w="0" w:type="dxa"/>
            <w:right w:w="108" w:type="dxa"/>
          </w:tblCellMar>
        </w:tblPrEx>
        <w:trPr>
          <w:trHeight w:val="743" w:hRule="atLeast"/>
        </w:trPr>
        <w:tc>
          <w:tcPr>
            <w:tcW w:w="949" w:type="dxa"/>
            <w:tcBorders>
              <w:top w:val="single" w:color="auto" w:sz="4" w:space="0"/>
              <w:left w:val="single" w:color="auto" w:sz="4" w:space="0"/>
              <w:bottom w:val="single" w:color="auto" w:sz="4" w:space="0"/>
              <w:right w:val="single" w:color="auto" w:sz="4" w:space="0"/>
            </w:tcBorders>
            <w:vAlign w:val="center"/>
          </w:tcPr>
          <w:p w14:paraId="41D67F04">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10</w:t>
            </w:r>
          </w:p>
        </w:tc>
        <w:tc>
          <w:tcPr>
            <w:tcW w:w="2389" w:type="dxa"/>
            <w:tcBorders>
              <w:top w:val="single" w:color="auto" w:sz="4" w:space="0"/>
              <w:left w:val="single" w:color="auto" w:sz="4" w:space="0"/>
              <w:bottom w:val="single" w:color="auto" w:sz="4" w:space="0"/>
              <w:right w:val="single" w:color="auto" w:sz="4" w:space="0"/>
            </w:tcBorders>
            <w:vAlign w:val="center"/>
          </w:tcPr>
          <w:p w14:paraId="6DDF1258">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投标有效期</w:t>
            </w:r>
          </w:p>
        </w:tc>
        <w:tc>
          <w:tcPr>
            <w:tcW w:w="6712" w:type="dxa"/>
            <w:tcBorders>
              <w:top w:val="single" w:color="auto" w:sz="4" w:space="0"/>
              <w:left w:val="single" w:color="auto" w:sz="4" w:space="0"/>
              <w:bottom w:val="single" w:color="auto" w:sz="4" w:space="0"/>
              <w:right w:val="single" w:color="auto" w:sz="4" w:space="0"/>
            </w:tcBorders>
            <w:vAlign w:val="center"/>
          </w:tcPr>
          <w:p w14:paraId="490D696B">
            <w:pPr>
              <w:spacing w:line="43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从提交投标文件截止之日起</w:t>
            </w:r>
            <w:r>
              <w:rPr>
                <w:rFonts w:hint="eastAsia" w:ascii="宋体" w:hAnsi="宋体" w:eastAsia="宋体" w:cs="宋体"/>
                <w:b w:val="0"/>
                <w:bCs/>
                <w:color w:val="auto"/>
                <w:sz w:val="21"/>
                <w:szCs w:val="21"/>
                <w:u w:val="single"/>
              </w:rPr>
              <w:t>90</w:t>
            </w:r>
            <w:r>
              <w:rPr>
                <w:rFonts w:hint="eastAsia" w:ascii="宋体" w:hAnsi="宋体" w:eastAsia="宋体" w:cs="宋体"/>
                <w:b w:val="0"/>
                <w:bCs/>
                <w:color w:val="auto"/>
                <w:sz w:val="21"/>
                <w:szCs w:val="21"/>
              </w:rPr>
              <w:t>日历天。</w:t>
            </w:r>
          </w:p>
        </w:tc>
      </w:tr>
      <w:tr w14:paraId="51831FF9">
        <w:tblPrEx>
          <w:tblCellMar>
            <w:top w:w="0" w:type="dxa"/>
            <w:left w:w="108" w:type="dxa"/>
            <w:bottom w:w="0" w:type="dxa"/>
            <w:right w:w="108" w:type="dxa"/>
          </w:tblCellMar>
        </w:tblPrEx>
        <w:trPr>
          <w:trHeight w:val="3335" w:hRule="atLeast"/>
        </w:trPr>
        <w:tc>
          <w:tcPr>
            <w:tcW w:w="949" w:type="dxa"/>
            <w:tcBorders>
              <w:top w:val="single" w:color="auto" w:sz="4" w:space="0"/>
              <w:left w:val="single" w:color="auto" w:sz="4" w:space="0"/>
              <w:bottom w:val="single" w:color="auto" w:sz="4" w:space="0"/>
              <w:right w:val="single" w:color="auto" w:sz="4" w:space="0"/>
            </w:tcBorders>
            <w:vAlign w:val="center"/>
          </w:tcPr>
          <w:p w14:paraId="28D8F84E">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11</w:t>
            </w:r>
          </w:p>
        </w:tc>
        <w:tc>
          <w:tcPr>
            <w:tcW w:w="2389" w:type="dxa"/>
            <w:tcBorders>
              <w:top w:val="single" w:color="auto" w:sz="4" w:space="0"/>
              <w:left w:val="single" w:color="auto" w:sz="4" w:space="0"/>
              <w:bottom w:val="single" w:color="auto" w:sz="4" w:space="0"/>
              <w:right w:val="single" w:color="auto" w:sz="4" w:space="0"/>
            </w:tcBorders>
            <w:vAlign w:val="center"/>
          </w:tcPr>
          <w:p w14:paraId="2979988F">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000000" w:themeColor="text1"/>
                <w:sz w:val="21"/>
                <w:szCs w:val="21"/>
                <w14:textFill>
                  <w14:solidFill>
                    <w14:schemeClr w14:val="tx1"/>
                  </w14:solidFill>
                </w14:textFill>
              </w:rPr>
              <w:t>投标保证金</w:t>
            </w:r>
          </w:p>
        </w:tc>
        <w:tc>
          <w:tcPr>
            <w:tcW w:w="6712" w:type="dxa"/>
            <w:tcBorders>
              <w:top w:val="single" w:color="auto" w:sz="4" w:space="0"/>
              <w:left w:val="single" w:color="auto" w:sz="4" w:space="0"/>
              <w:bottom w:val="single" w:color="auto" w:sz="4" w:space="0"/>
              <w:right w:val="single" w:color="auto" w:sz="4" w:space="0"/>
            </w:tcBorders>
            <w:vAlign w:val="center"/>
          </w:tcPr>
          <w:p w14:paraId="39F5CF8B">
            <w:pPr>
              <w:spacing w:line="360" w:lineRule="auto"/>
              <w:rPr>
                <w:rFonts w:hint="eastAsia" w:asciiTheme="minorEastAsia" w:hAnsi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磋商保证金的形式：</w:t>
            </w:r>
            <w:r>
              <w:rPr>
                <w:rFonts w:hint="eastAsia" w:asciiTheme="minorEastAsia" w:hAnsiTheme="minorEastAsia" w:cstheme="minorEastAsia"/>
                <w:color w:val="auto"/>
                <w:sz w:val="21"/>
                <w:szCs w:val="21"/>
                <w:lang w:eastAsia="zh-CN"/>
              </w:rPr>
              <w:t>银行转账、</w:t>
            </w:r>
            <w:r>
              <w:rPr>
                <w:rFonts w:hint="eastAsia" w:ascii="宋体" w:hAnsi="宋体" w:eastAsia="宋体" w:cs="宋体"/>
                <w:color w:val="auto"/>
                <w:sz w:val="21"/>
                <w:szCs w:val="21"/>
              </w:rPr>
              <w:t>银行保函、保证保险</w:t>
            </w:r>
          </w:p>
          <w:p w14:paraId="25529CCC">
            <w:pPr>
              <w:spacing w:line="360" w:lineRule="auto"/>
              <w:rPr>
                <w:rFonts w:hint="eastAsia" w:asciiTheme="minorEastAsia" w:hAnsiTheme="minorEastAsia" w:eastAsiaTheme="minorEastAsia" w:cstheme="minorEastAsia"/>
                <w:b/>
                <w:color w:val="auto"/>
                <w:sz w:val="21"/>
                <w:szCs w:val="21"/>
                <w:u w:val="single"/>
              </w:rPr>
            </w:pPr>
            <w:r>
              <w:rPr>
                <w:rFonts w:hint="eastAsia" w:asciiTheme="minorEastAsia" w:hAnsiTheme="minorEastAsia" w:eastAsiaTheme="minorEastAsia" w:cstheme="minorEastAsia"/>
                <w:color w:val="auto"/>
                <w:sz w:val="21"/>
                <w:szCs w:val="21"/>
              </w:rPr>
              <w:t>磋商保证金的金额：</w:t>
            </w:r>
            <w:r>
              <w:rPr>
                <w:rFonts w:hint="eastAsia" w:asciiTheme="minorEastAsia" w:hAnsiTheme="minorEastAsia" w:eastAsiaTheme="minorEastAsia" w:cstheme="minorEastAsia"/>
                <w:color w:val="auto"/>
                <w:sz w:val="21"/>
                <w:szCs w:val="21"/>
                <w:u w:val="single"/>
              </w:rPr>
              <w:t>大写：</w:t>
            </w:r>
            <w:r>
              <w:rPr>
                <w:rFonts w:hint="eastAsia" w:asciiTheme="minorEastAsia" w:hAnsiTheme="minorEastAsia" w:cstheme="minorEastAsia"/>
                <w:color w:val="auto"/>
                <w:sz w:val="21"/>
                <w:szCs w:val="21"/>
                <w:u w:val="single"/>
                <w:lang w:val="en-US" w:eastAsia="zh-CN"/>
              </w:rPr>
              <w:t>贰万</w:t>
            </w:r>
            <w:r>
              <w:rPr>
                <w:rFonts w:hint="eastAsia" w:asciiTheme="minorEastAsia" w:hAnsiTheme="minorEastAsia" w:cstheme="minorEastAsia"/>
                <w:color w:val="auto"/>
                <w:sz w:val="21"/>
                <w:szCs w:val="21"/>
                <w:u w:val="single"/>
                <w:lang w:eastAsia="zh-CN"/>
              </w:rPr>
              <w:t>元</w:t>
            </w:r>
            <w:r>
              <w:rPr>
                <w:rFonts w:hint="eastAsia" w:asciiTheme="minorEastAsia" w:hAnsiTheme="minorEastAsia" w:eastAsiaTheme="minorEastAsia" w:cstheme="minorEastAsia"/>
                <w:color w:val="auto"/>
                <w:sz w:val="21"/>
                <w:szCs w:val="21"/>
                <w:u w:val="single"/>
              </w:rPr>
              <w:t>整；小写（</w:t>
            </w:r>
            <w:r>
              <w:rPr>
                <w:rFonts w:hint="eastAsia" w:asciiTheme="minorEastAsia" w:hAnsiTheme="minorEastAsia" w:cstheme="minorEastAsia"/>
                <w:color w:val="auto"/>
                <w:sz w:val="21"/>
                <w:szCs w:val="21"/>
                <w:u w:val="single"/>
                <w:lang w:val="en-US" w:eastAsia="zh-CN"/>
              </w:rPr>
              <w:t>20000</w:t>
            </w:r>
            <w:r>
              <w:rPr>
                <w:rFonts w:hint="eastAsia" w:asciiTheme="minorEastAsia" w:hAnsiTheme="minorEastAsia" w:eastAsiaTheme="minorEastAsia" w:cstheme="minorEastAsia"/>
                <w:color w:val="auto"/>
                <w:sz w:val="21"/>
                <w:szCs w:val="21"/>
                <w:u w:val="single"/>
              </w:rPr>
              <w:t>.00元）</w:t>
            </w:r>
          </w:p>
          <w:p w14:paraId="3CACA372">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磋商保证金有效期与磋商有效期一致。</w:t>
            </w:r>
          </w:p>
          <w:p w14:paraId="02F3AC8C">
            <w:pPr>
              <w:spacing w:line="360" w:lineRule="auto"/>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开户名称：云南傲真工程咨询有限公司  </w:t>
            </w:r>
          </w:p>
          <w:p w14:paraId="0E811010">
            <w:pPr>
              <w:spacing w:line="360" w:lineRule="auto"/>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开户行：中国建设银行股份有限公司普洱茶苑路支行        </w:t>
            </w:r>
          </w:p>
          <w:p w14:paraId="1BD179B9">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color w:val="auto"/>
                <w:sz w:val="21"/>
                <w:szCs w:val="21"/>
              </w:rPr>
              <w:t>账号：</w:t>
            </w:r>
            <w:r>
              <w:rPr>
                <w:rFonts w:hint="eastAsia" w:asciiTheme="minorEastAsia" w:hAnsiTheme="minorEastAsia" w:eastAsiaTheme="minorEastAsia" w:cstheme="minorEastAsia"/>
                <w:b/>
                <w:bCs/>
                <w:sz w:val="21"/>
                <w:szCs w:val="21"/>
              </w:rPr>
              <w:t>53050168614000000342</w:t>
            </w:r>
          </w:p>
          <w:p w14:paraId="12D12434">
            <w:pPr>
              <w:spacing w:line="360" w:lineRule="auto"/>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联系电话：0879-2828106</w:t>
            </w:r>
          </w:p>
          <w:p w14:paraId="3FD97A8C">
            <w:pPr>
              <w:widowControl/>
              <w:jc w:val="left"/>
              <w:rPr>
                <w:rFonts w:hint="eastAsia" w:ascii="宋体" w:hAnsi="宋体" w:eastAsia="宋体" w:cs="宋体"/>
                <w:b w:val="0"/>
                <w:bCs/>
                <w:color w:val="auto"/>
                <w:sz w:val="21"/>
                <w:szCs w:val="21"/>
              </w:rPr>
            </w:pPr>
            <w:r>
              <w:rPr>
                <w:rFonts w:hint="eastAsia" w:asciiTheme="minorEastAsia" w:hAnsiTheme="minorEastAsia" w:cstheme="minorEastAsia"/>
                <w:b/>
                <w:bCs/>
                <w:color w:val="auto"/>
                <w:sz w:val="21"/>
                <w:szCs w:val="21"/>
                <w:lang w:eastAsia="zh-CN"/>
              </w:rPr>
              <w:t>磋商</w:t>
            </w:r>
            <w:r>
              <w:rPr>
                <w:rFonts w:hint="eastAsia" w:asciiTheme="minorEastAsia" w:hAnsiTheme="minorEastAsia" w:eastAsiaTheme="minorEastAsia" w:cstheme="minorEastAsia"/>
                <w:b/>
                <w:bCs/>
                <w:color w:val="auto"/>
                <w:sz w:val="21"/>
                <w:szCs w:val="21"/>
              </w:rPr>
              <w:t>保证金</w:t>
            </w:r>
            <w:r>
              <w:rPr>
                <w:rFonts w:hint="eastAsia" w:asciiTheme="minorEastAsia" w:hAnsiTheme="minorEastAsia" w:cstheme="minorEastAsia"/>
                <w:b/>
                <w:bCs/>
                <w:color w:val="auto"/>
                <w:sz w:val="21"/>
                <w:szCs w:val="21"/>
                <w:lang w:eastAsia="zh-CN"/>
              </w:rPr>
              <w:t>缴</w:t>
            </w:r>
            <w:r>
              <w:rPr>
                <w:rFonts w:hint="eastAsia" w:asciiTheme="minorEastAsia" w:hAnsiTheme="minorEastAsia" w:eastAsiaTheme="minorEastAsia" w:cstheme="minorEastAsia"/>
                <w:b/>
                <w:bCs/>
                <w:color w:val="auto"/>
                <w:sz w:val="21"/>
                <w:szCs w:val="21"/>
              </w:rPr>
              <w:t>纳截止时间：</w:t>
            </w:r>
            <w:r>
              <w:rPr>
                <w:rFonts w:hint="eastAsia" w:asciiTheme="minorEastAsia" w:hAnsiTheme="minorEastAsia" w:cstheme="minorEastAsia"/>
                <w:b/>
                <w:bCs/>
                <w:color w:val="auto"/>
                <w:sz w:val="21"/>
                <w:szCs w:val="21"/>
                <w:lang w:eastAsia="zh-CN"/>
              </w:rPr>
              <w:t>磋商</w:t>
            </w:r>
            <w:r>
              <w:rPr>
                <w:rFonts w:hint="eastAsia" w:asciiTheme="minorEastAsia" w:hAnsiTheme="minorEastAsia" w:eastAsiaTheme="minorEastAsia" w:cstheme="minorEastAsia"/>
                <w:b/>
                <w:bCs/>
                <w:color w:val="auto"/>
                <w:sz w:val="21"/>
                <w:szCs w:val="21"/>
              </w:rPr>
              <w:t>截止时间前</w:t>
            </w:r>
          </w:p>
        </w:tc>
      </w:tr>
      <w:tr w14:paraId="36800310">
        <w:tblPrEx>
          <w:tblCellMar>
            <w:top w:w="0" w:type="dxa"/>
            <w:left w:w="108" w:type="dxa"/>
            <w:bottom w:w="0" w:type="dxa"/>
            <w:right w:w="108" w:type="dxa"/>
          </w:tblCellMar>
        </w:tblPrEx>
        <w:trPr>
          <w:trHeight w:val="593" w:hRule="atLeast"/>
        </w:trPr>
        <w:tc>
          <w:tcPr>
            <w:tcW w:w="949" w:type="dxa"/>
            <w:tcBorders>
              <w:top w:val="single" w:color="auto" w:sz="4" w:space="0"/>
              <w:left w:val="single" w:color="auto" w:sz="4" w:space="0"/>
              <w:bottom w:val="single" w:color="auto" w:sz="4" w:space="0"/>
              <w:right w:val="single" w:color="auto" w:sz="4" w:space="0"/>
            </w:tcBorders>
            <w:vAlign w:val="center"/>
          </w:tcPr>
          <w:p w14:paraId="53FEEF7A">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12</w:t>
            </w:r>
          </w:p>
        </w:tc>
        <w:tc>
          <w:tcPr>
            <w:tcW w:w="2389" w:type="dxa"/>
            <w:tcBorders>
              <w:top w:val="single" w:color="auto" w:sz="4" w:space="0"/>
              <w:left w:val="single" w:color="auto" w:sz="4" w:space="0"/>
              <w:bottom w:val="single" w:color="auto" w:sz="4" w:space="0"/>
              <w:right w:val="single" w:color="auto" w:sz="4" w:space="0"/>
            </w:tcBorders>
            <w:vAlign w:val="center"/>
          </w:tcPr>
          <w:p w14:paraId="758DD00D">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报价货币</w:t>
            </w:r>
          </w:p>
        </w:tc>
        <w:tc>
          <w:tcPr>
            <w:tcW w:w="6712" w:type="dxa"/>
            <w:tcBorders>
              <w:top w:val="single" w:color="auto" w:sz="4" w:space="0"/>
              <w:left w:val="single" w:color="auto" w:sz="4" w:space="0"/>
              <w:bottom w:val="single" w:color="auto" w:sz="4" w:space="0"/>
              <w:right w:val="single" w:color="auto" w:sz="4" w:space="0"/>
            </w:tcBorders>
            <w:vAlign w:val="center"/>
          </w:tcPr>
          <w:p w14:paraId="40728631">
            <w:pPr>
              <w:spacing w:line="43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人民币</w:t>
            </w:r>
          </w:p>
        </w:tc>
      </w:tr>
      <w:tr w14:paraId="6D342D33">
        <w:tblPrEx>
          <w:tblCellMar>
            <w:top w:w="0" w:type="dxa"/>
            <w:left w:w="108" w:type="dxa"/>
            <w:bottom w:w="0" w:type="dxa"/>
            <w:right w:w="108" w:type="dxa"/>
          </w:tblCellMar>
        </w:tblPrEx>
        <w:trPr>
          <w:trHeight w:val="600" w:hRule="atLeast"/>
        </w:trPr>
        <w:tc>
          <w:tcPr>
            <w:tcW w:w="949" w:type="dxa"/>
            <w:tcBorders>
              <w:top w:val="single" w:color="auto" w:sz="4" w:space="0"/>
              <w:left w:val="single" w:color="auto" w:sz="4" w:space="0"/>
              <w:bottom w:val="single" w:color="auto" w:sz="4" w:space="0"/>
              <w:right w:val="single" w:color="auto" w:sz="4" w:space="0"/>
            </w:tcBorders>
            <w:vAlign w:val="center"/>
          </w:tcPr>
          <w:p w14:paraId="1544689C">
            <w:pPr>
              <w:spacing w:line="43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13</w:t>
            </w:r>
          </w:p>
        </w:tc>
        <w:tc>
          <w:tcPr>
            <w:tcW w:w="2389" w:type="dxa"/>
            <w:tcBorders>
              <w:top w:val="single" w:color="auto" w:sz="4" w:space="0"/>
              <w:left w:val="single" w:color="auto" w:sz="4" w:space="0"/>
              <w:bottom w:val="single" w:color="auto" w:sz="4" w:space="0"/>
              <w:right w:val="single" w:color="auto" w:sz="4" w:space="0"/>
            </w:tcBorders>
            <w:vAlign w:val="center"/>
          </w:tcPr>
          <w:p w14:paraId="0701846E">
            <w:pPr>
              <w:spacing w:line="43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投标文件提交截止时间</w:t>
            </w:r>
          </w:p>
        </w:tc>
        <w:tc>
          <w:tcPr>
            <w:tcW w:w="6712" w:type="dxa"/>
            <w:tcBorders>
              <w:top w:val="single" w:color="auto" w:sz="4" w:space="0"/>
              <w:left w:val="single" w:color="auto" w:sz="4" w:space="0"/>
              <w:bottom w:val="single" w:color="auto" w:sz="4" w:space="0"/>
              <w:right w:val="single" w:color="auto" w:sz="4" w:space="0"/>
            </w:tcBorders>
            <w:vAlign w:val="center"/>
          </w:tcPr>
          <w:p w14:paraId="0DEFB6B5">
            <w:pPr>
              <w:pStyle w:val="17"/>
              <w:spacing w:line="43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投标文件提交截止时间：</w:t>
            </w:r>
            <w:r>
              <w:rPr>
                <w:rFonts w:hint="eastAsia" w:ascii="宋体" w:hAnsi="宋体" w:eastAsia="宋体" w:cs="宋体"/>
                <w:b w:val="0"/>
                <w:color w:val="auto"/>
                <w:sz w:val="21"/>
                <w:szCs w:val="21"/>
                <w:highlight w:val="none"/>
                <w:u w:val="single"/>
              </w:rPr>
              <w:t>202</w:t>
            </w:r>
            <w:r>
              <w:rPr>
                <w:rFonts w:hint="eastAsia" w:hAnsi="宋体" w:cs="宋体"/>
                <w:b w:val="0"/>
                <w:color w:val="auto"/>
                <w:sz w:val="21"/>
                <w:szCs w:val="21"/>
                <w:highlight w:val="none"/>
                <w:u w:val="single"/>
                <w:lang w:val="en-US" w:eastAsia="zh-CN"/>
              </w:rPr>
              <w:t>5</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年</w:t>
            </w:r>
            <w:r>
              <w:rPr>
                <w:rFonts w:hint="eastAsia" w:hAnsi="宋体" w:cs="宋体"/>
                <w:b w:val="0"/>
                <w:color w:val="auto"/>
                <w:sz w:val="21"/>
                <w:szCs w:val="21"/>
                <w:highlight w:val="none"/>
                <w:u w:val="single"/>
                <w:lang w:val="en-US" w:eastAsia="zh-CN"/>
              </w:rPr>
              <w:t>08</w:t>
            </w:r>
            <w:r>
              <w:rPr>
                <w:rFonts w:hint="eastAsia" w:ascii="宋体" w:hAnsi="宋体" w:eastAsia="宋体" w:cs="宋体"/>
                <w:b w:val="0"/>
                <w:color w:val="auto"/>
                <w:sz w:val="21"/>
                <w:szCs w:val="21"/>
                <w:highlight w:val="none"/>
              </w:rPr>
              <w:t>月</w:t>
            </w:r>
            <w:r>
              <w:rPr>
                <w:rFonts w:hint="eastAsia" w:hAnsi="宋体" w:cs="宋体"/>
                <w:b w:val="0"/>
                <w:color w:val="auto"/>
                <w:sz w:val="21"/>
                <w:szCs w:val="21"/>
                <w:highlight w:val="none"/>
                <w:lang w:val="en-US" w:eastAsia="zh-CN"/>
              </w:rPr>
              <w:t>20</w:t>
            </w:r>
            <w:r>
              <w:rPr>
                <w:rFonts w:hint="eastAsia" w:ascii="宋体" w:hAnsi="宋体" w:eastAsia="宋体" w:cs="宋体"/>
                <w:b w:val="0"/>
                <w:color w:val="auto"/>
                <w:sz w:val="21"/>
                <w:szCs w:val="21"/>
                <w:highlight w:val="none"/>
              </w:rPr>
              <w:t>日</w:t>
            </w:r>
            <w:r>
              <w:rPr>
                <w:rFonts w:hint="eastAsia" w:ascii="宋体" w:hAnsi="宋体" w:eastAsia="宋体" w:cs="宋体"/>
                <w:b w:val="0"/>
                <w:color w:val="auto"/>
                <w:sz w:val="21"/>
                <w:szCs w:val="21"/>
                <w:highlight w:val="none"/>
                <w:u w:val="single"/>
                <w:lang w:val="en-US" w:eastAsia="zh-CN"/>
              </w:rPr>
              <w:t>09</w:t>
            </w:r>
            <w:r>
              <w:rPr>
                <w:rFonts w:hint="eastAsia" w:ascii="宋体" w:hAnsi="宋体" w:eastAsia="宋体" w:cs="宋体"/>
                <w:b w:val="0"/>
                <w:color w:val="auto"/>
                <w:sz w:val="21"/>
                <w:szCs w:val="21"/>
                <w:highlight w:val="none"/>
              </w:rPr>
              <w:t>时</w:t>
            </w:r>
            <w:r>
              <w:rPr>
                <w:rFonts w:hint="eastAsia" w:ascii="宋体" w:hAnsi="宋体" w:eastAsia="宋体" w:cs="宋体"/>
                <w:b w:val="0"/>
                <w:color w:val="auto"/>
                <w:sz w:val="21"/>
                <w:szCs w:val="21"/>
                <w:highlight w:val="none"/>
                <w:u w:val="single"/>
              </w:rPr>
              <w:t xml:space="preserve">00 </w:t>
            </w:r>
            <w:r>
              <w:rPr>
                <w:rFonts w:hint="eastAsia" w:ascii="宋体" w:hAnsi="宋体" w:eastAsia="宋体" w:cs="宋体"/>
                <w:b w:val="0"/>
                <w:color w:val="auto"/>
                <w:sz w:val="21"/>
                <w:szCs w:val="21"/>
                <w:highlight w:val="none"/>
              </w:rPr>
              <w:t>分</w:t>
            </w:r>
          </w:p>
        </w:tc>
      </w:tr>
      <w:tr w14:paraId="215C3FE7">
        <w:tblPrEx>
          <w:tblCellMar>
            <w:top w:w="0" w:type="dxa"/>
            <w:left w:w="108" w:type="dxa"/>
            <w:bottom w:w="0" w:type="dxa"/>
            <w:right w:w="108" w:type="dxa"/>
          </w:tblCellMar>
        </w:tblPrEx>
        <w:trPr>
          <w:trHeight w:val="3943" w:hRule="atLeast"/>
        </w:trPr>
        <w:tc>
          <w:tcPr>
            <w:tcW w:w="949" w:type="dxa"/>
            <w:tcBorders>
              <w:top w:val="single" w:color="auto" w:sz="4" w:space="0"/>
              <w:left w:val="single" w:color="auto" w:sz="4" w:space="0"/>
              <w:bottom w:val="single" w:color="auto" w:sz="4" w:space="0"/>
              <w:right w:val="single" w:color="auto" w:sz="4" w:space="0"/>
            </w:tcBorders>
            <w:vAlign w:val="center"/>
          </w:tcPr>
          <w:p w14:paraId="2754C57D">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13.2</w:t>
            </w:r>
          </w:p>
        </w:tc>
        <w:tc>
          <w:tcPr>
            <w:tcW w:w="2389" w:type="dxa"/>
            <w:tcBorders>
              <w:top w:val="single" w:color="auto" w:sz="4" w:space="0"/>
              <w:left w:val="single" w:color="auto" w:sz="4" w:space="0"/>
              <w:bottom w:val="single" w:color="auto" w:sz="4" w:space="0"/>
              <w:right w:val="single" w:color="auto" w:sz="4" w:space="0"/>
            </w:tcBorders>
            <w:vAlign w:val="center"/>
          </w:tcPr>
          <w:p w14:paraId="09F24D11">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电子投标文件的提交及份数</w:t>
            </w:r>
          </w:p>
        </w:tc>
        <w:tc>
          <w:tcPr>
            <w:tcW w:w="6712" w:type="dxa"/>
            <w:tcBorders>
              <w:top w:val="single" w:color="auto" w:sz="4" w:space="0"/>
              <w:left w:val="single" w:color="auto" w:sz="4" w:space="0"/>
              <w:bottom w:val="single" w:color="auto" w:sz="4" w:space="0"/>
              <w:right w:val="single" w:color="auto" w:sz="4" w:space="0"/>
            </w:tcBorders>
            <w:vAlign w:val="center"/>
          </w:tcPr>
          <w:p w14:paraId="4B2F05D4">
            <w:pPr>
              <w:spacing w:line="43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1、网上递交网址为</w:t>
            </w:r>
            <w:r>
              <w:rPr>
                <w:rFonts w:hint="eastAsia" w:ascii="宋体" w:hAnsi="宋体" w:eastAsia="宋体" w:cs="宋体"/>
                <w:color w:val="auto"/>
                <w:sz w:val="21"/>
                <w:szCs w:val="21"/>
                <w:highlight w:val="none"/>
              </w:rPr>
              <w:t>“政采云”平台（http：//www.zcygov.cn）</w:t>
            </w:r>
            <w:r>
              <w:rPr>
                <w:rFonts w:hint="eastAsia" w:ascii="宋体" w:hAnsi="宋体" w:eastAsia="宋体" w:cs="宋体"/>
                <w:b w:val="0"/>
                <w:bCs/>
                <w:color w:val="auto"/>
                <w:sz w:val="21"/>
                <w:szCs w:val="21"/>
              </w:rPr>
              <w:t>，投标人须在投标截止时间前完成所有投标文件的上传，网上确认电子签名，并打印“上传投标文件回执”。投标截止时间前未完成投标文件传输的，视为撤回投标文件；</w:t>
            </w:r>
          </w:p>
          <w:p w14:paraId="21AC4BA8">
            <w:pPr>
              <w:spacing w:line="43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2、本次招标不再要求递交纸质版投标文件。</w:t>
            </w:r>
          </w:p>
          <w:p w14:paraId="77633E92">
            <w:pPr>
              <w:pStyle w:val="17"/>
              <w:spacing w:line="43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3、投标人中标后须提交3份（一正两副）与网上上传的电子投标文件完全一致的纸质标书，纸质投标文件应装订成册，不得采用活页夹，并编制目录和连续页码。</w:t>
            </w:r>
          </w:p>
        </w:tc>
      </w:tr>
      <w:tr w14:paraId="6D6DCF21">
        <w:tblPrEx>
          <w:tblCellMar>
            <w:top w:w="0" w:type="dxa"/>
            <w:left w:w="108" w:type="dxa"/>
            <w:bottom w:w="0" w:type="dxa"/>
            <w:right w:w="108" w:type="dxa"/>
          </w:tblCellMar>
        </w:tblPrEx>
        <w:trPr>
          <w:trHeight w:val="1115" w:hRule="atLeast"/>
        </w:trPr>
        <w:tc>
          <w:tcPr>
            <w:tcW w:w="949" w:type="dxa"/>
            <w:tcBorders>
              <w:top w:val="single" w:color="auto" w:sz="4" w:space="0"/>
              <w:left w:val="single" w:color="auto" w:sz="4" w:space="0"/>
              <w:bottom w:val="single" w:color="auto" w:sz="4" w:space="0"/>
              <w:right w:val="single" w:color="auto" w:sz="4" w:space="0"/>
            </w:tcBorders>
            <w:vAlign w:val="center"/>
          </w:tcPr>
          <w:p w14:paraId="032EE313">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14.1</w:t>
            </w:r>
          </w:p>
        </w:tc>
        <w:tc>
          <w:tcPr>
            <w:tcW w:w="2389" w:type="dxa"/>
            <w:tcBorders>
              <w:top w:val="single" w:color="auto" w:sz="4" w:space="0"/>
              <w:left w:val="single" w:color="auto" w:sz="4" w:space="0"/>
              <w:bottom w:val="single" w:color="auto" w:sz="4" w:space="0"/>
              <w:right w:val="single" w:color="auto" w:sz="4" w:space="0"/>
            </w:tcBorders>
            <w:vAlign w:val="center"/>
          </w:tcPr>
          <w:p w14:paraId="63212095">
            <w:pPr>
              <w:pStyle w:val="17"/>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开标时间和地点</w:t>
            </w:r>
          </w:p>
        </w:tc>
        <w:tc>
          <w:tcPr>
            <w:tcW w:w="6712" w:type="dxa"/>
            <w:tcBorders>
              <w:top w:val="single" w:color="auto" w:sz="4" w:space="0"/>
              <w:left w:val="single" w:color="auto" w:sz="4" w:space="0"/>
              <w:bottom w:val="single" w:color="auto" w:sz="4" w:space="0"/>
              <w:right w:val="single" w:color="auto" w:sz="4" w:space="0"/>
            </w:tcBorders>
            <w:vAlign w:val="center"/>
          </w:tcPr>
          <w:p w14:paraId="19505ADE">
            <w:pPr>
              <w:pStyle w:val="17"/>
              <w:spacing w:line="430" w:lineRule="exact"/>
              <w:ind w:left="1050" w:hanging="1054" w:hangingChars="500"/>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开标时间：</w:t>
            </w:r>
            <w:r>
              <w:rPr>
                <w:rFonts w:hint="eastAsia" w:ascii="宋体" w:hAnsi="宋体" w:eastAsia="宋体" w:cs="宋体"/>
                <w:b/>
                <w:bCs w:val="0"/>
                <w:color w:val="000000" w:themeColor="text1"/>
                <w:sz w:val="21"/>
                <w:szCs w:val="21"/>
                <w:highlight w:val="none"/>
                <w:u w:val="single"/>
                <w14:textFill>
                  <w14:solidFill>
                    <w14:schemeClr w14:val="tx1"/>
                  </w14:solidFill>
                </w14:textFill>
              </w:rPr>
              <w:t>202</w:t>
            </w:r>
            <w:r>
              <w:rPr>
                <w:rFonts w:hint="eastAsia" w:hAnsi="宋体" w:cs="宋体"/>
                <w:b/>
                <w:bCs w:val="0"/>
                <w:color w:val="000000" w:themeColor="text1"/>
                <w:sz w:val="21"/>
                <w:szCs w:val="21"/>
                <w:highlight w:val="none"/>
                <w:u w:val="single"/>
                <w:lang w:val="en-US" w:eastAsia="zh-CN"/>
                <w14:textFill>
                  <w14:solidFill>
                    <w14:schemeClr w14:val="tx1"/>
                  </w14:solidFill>
                </w14:textFill>
              </w:rPr>
              <w:t>5</w:t>
            </w:r>
            <w:r>
              <w:rPr>
                <w:rFonts w:hint="eastAsia" w:ascii="宋体" w:hAnsi="宋体" w:eastAsia="宋体" w:cs="宋体"/>
                <w:b/>
                <w:bCs w:val="0"/>
                <w:color w:val="000000" w:themeColor="text1"/>
                <w:sz w:val="21"/>
                <w:szCs w:val="21"/>
                <w:highlight w:val="none"/>
                <w14:textFill>
                  <w14:solidFill>
                    <w14:schemeClr w14:val="tx1"/>
                  </w14:solidFill>
                </w14:textFill>
              </w:rPr>
              <w:t>年</w:t>
            </w:r>
            <w:r>
              <w:rPr>
                <w:rFonts w:hint="eastAsia" w:hAnsi="宋体" w:cs="宋体"/>
                <w:b/>
                <w:bCs w:val="0"/>
                <w:color w:val="000000" w:themeColor="text1"/>
                <w:sz w:val="21"/>
                <w:szCs w:val="21"/>
                <w:highlight w:val="none"/>
                <w:u w:val="single"/>
                <w:lang w:val="en-US" w:eastAsia="zh-CN"/>
                <w14:textFill>
                  <w14:solidFill>
                    <w14:schemeClr w14:val="tx1"/>
                  </w14:solidFill>
                </w14:textFill>
              </w:rPr>
              <w:t>08</w:t>
            </w:r>
            <w:r>
              <w:rPr>
                <w:rFonts w:hint="eastAsia" w:ascii="宋体" w:hAnsi="宋体" w:eastAsia="宋体" w:cs="宋体"/>
                <w:b/>
                <w:bCs w:val="0"/>
                <w:color w:val="000000" w:themeColor="text1"/>
                <w:sz w:val="21"/>
                <w:szCs w:val="21"/>
                <w:highlight w:val="none"/>
                <w14:textFill>
                  <w14:solidFill>
                    <w14:schemeClr w14:val="tx1"/>
                  </w14:solidFill>
                </w14:textFill>
              </w:rPr>
              <w:t>月</w:t>
            </w:r>
            <w:r>
              <w:rPr>
                <w:rFonts w:hint="eastAsia" w:hAnsi="宋体" w:cs="宋体"/>
                <w:b/>
                <w:bCs w:val="0"/>
                <w:color w:val="000000" w:themeColor="text1"/>
                <w:sz w:val="21"/>
                <w:szCs w:val="21"/>
                <w:highlight w:val="none"/>
                <w:u w:val="single"/>
                <w:lang w:val="en-US" w:eastAsia="zh-CN"/>
                <w14:textFill>
                  <w14:solidFill>
                    <w14:schemeClr w14:val="tx1"/>
                  </w14:solidFill>
                </w14:textFill>
              </w:rPr>
              <w:t>20</w:t>
            </w:r>
            <w:r>
              <w:rPr>
                <w:rFonts w:hint="eastAsia" w:ascii="宋体" w:hAnsi="宋体" w:eastAsia="宋体" w:cs="宋体"/>
                <w:b/>
                <w:bCs w:val="0"/>
                <w:color w:val="000000" w:themeColor="text1"/>
                <w:sz w:val="21"/>
                <w:szCs w:val="21"/>
                <w:highlight w:val="none"/>
                <w14:textFill>
                  <w14:solidFill>
                    <w14:schemeClr w14:val="tx1"/>
                  </w14:solidFill>
                </w14:textFill>
              </w:rPr>
              <w:t>日</w:t>
            </w:r>
            <w:r>
              <w:rPr>
                <w:rFonts w:hint="eastAsia" w:ascii="宋体" w:hAnsi="宋体" w:eastAsia="宋体" w:cs="宋体"/>
                <w:b/>
                <w:bCs w:val="0"/>
                <w:color w:val="000000" w:themeColor="text1"/>
                <w:sz w:val="21"/>
                <w:szCs w:val="21"/>
                <w:highlight w:val="none"/>
                <w:u w:val="single"/>
                <w:lang w:val="en-US" w:eastAsia="zh-CN"/>
                <w14:textFill>
                  <w14:solidFill>
                    <w14:schemeClr w14:val="tx1"/>
                  </w14:solidFill>
                </w14:textFill>
              </w:rPr>
              <w:t>09</w:t>
            </w:r>
            <w:r>
              <w:rPr>
                <w:rFonts w:hint="eastAsia" w:ascii="宋体" w:hAnsi="宋体" w:eastAsia="宋体" w:cs="宋体"/>
                <w:b/>
                <w:bCs w:val="0"/>
                <w:color w:val="000000" w:themeColor="text1"/>
                <w:sz w:val="21"/>
                <w:szCs w:val="21"/>
                <w:highlight w:val="none"/>
                <w14:textFill>
                  <w14:solidFill>
                    <w14:schemeClr w14:val="tx1"/>
                  </w14:solidFill>
                </w14:textFill>
              </w:rPr>
              <w:t>时</w:t>
            </w:r>
            <w:r>
              <w:rPr>
                <w:rFonts w:hint="eastAsia" w:ascii="宋体" w:hAnsi="宋体" w:eastAsia="宋体" w:cs="宋体"/>
                <w:b/>
                <w:bCs w:val="0"/>
                <w:color w:val="000000" w:themeColor="text1"/>
                <w:sz w:val="21"/>
                <w:szCs w:val="21"/>
                <w:highlight w:val="none"/>
                <w:u w:val="single"/>
                <w14:textFill>
                  <w14:solidFill>
                    <w14:schemeClr w14:val="tx1"/>
                  </w14:solidFill>
                </w14:textFill>
              </w:rPr>
              <w:t xml:space="preserve">00 </w:t>
            </w:r>
            <w:r>
              <w:rPr>
                <w:rFonts w:hint="eastAsia" w:ascii="宋体" w:hAnsi="宋体" w:eastAsia="宋体" w:cs="宋体"/>
                <w:b/>
                <w:bCs w:val="0"/>
                <w:color w:val="000000" w:themeColor="text1"/>
                <w:sz w:val="21"/>
                <w:szCs w:val="21"/>
                <w:highlight w:val="none"/>
                <w14:textFill>
                  <w14:solidFill>
                    <w14:schemeClr w14:val="tx1"/>
                  </w14:solidFill>
                </w14:textFill>
              </w:rPr>
              <w:t>分</w:t>
            </w:r>
          </w:p>
          <w:p w14:paraId="252E400A">
            <w:pPr>
              <w:pStyle w:val="17"/>
              <w:spacing w:line="430" w:lineRule="exact"/>
              <w:ind w:left="1050" w:hanging="1054" w:hangingChars="500"/>
              <w:rPr>
                <w:rFonts w:hint="eastAsia" w:ascii="宋体" w:hAnsi="宋体" w:eastAsia="宋体" w:cs="宋体"/>
                <w:b w:val="0"/>
                <w:bCs/>
                <w:color w:val="auto"/>
                <w:sz w:val="21"/>
                <w:szCs w:val="21"/>
                <w:u w:val="single"/>
              </w:rPr>
            </w:pPr>
            <w:r>
              <w:rPr>
                <w:rFonts w:hint="eastAsia" w:ascii="宋体" w:hAnsi="宋体" w:cs="宋体"/>
                <w:b/>
                <w:bCs w:val="0"/>
                <w:color w:val="000000"/>
                <w:kern w:val="0"/>
                <w:sz w:val="21"/>
                <w:szCs w:val="21"/>
                <w:highlight w:val="none"/>
                <w:u w:val="none"/>
              </w:rPr>
              <w:t>递交地点为：</w:t>
            </w:r>
            <w:r>
              <w:rPr>
                <w:rFonts w:hint="eastAsia" w:ascii="宋体" w:hAnsi="宋体"/>
                <w:b/>
                <w:bCs w:val="0"/>
                <w:color w:val="000000"/>
                <w:sz w:val="21"/>
                <w:szCs w:val="21"/>
                <w:highlight w:val="none"/>
                <w:u w:val="none"/>
                <w:lang w:val="en-US" w:eastAsia="zh-CN"/>
              </w:rPr>
              <w:t>政采云平台</w:t>
            </w:r>
            <w:r>
              <w:rPr>
                <w:rFonts w:hint="eastAsia" w:ascii="宋体" w:hAnsi="宋体"/>
                <w:b/>
                <w:bCs w:val="0"/>
                <w:color w:val="000000"/>
                <w:sz w:val="21"/>
                <w:szCs w:val="21"/>
                <w:highlight w:val="none"/>
                <w:u w:val="none"/>
              </w:rPr>
              <w:t>。</w:t>
            </w:r>
          </w:p>
        </w:tc>
      </w:tr>
      <w:tr w14:paraId="30B245B9">
        <w:tblPrEx>
          <w:tblCellMar>
            <w:top w:w="0" w:type="dxa"/>
            <w:left w:w="108" w:type="dxa"/>
            <w:bottom w:w="0" w:type="dxa"/>
            <w:right w:w="108" w:type="dxa"/>
          </w:tblCellMar>
        </w:tblPrEx>
        <w:trPr>
          <w:trHeight w:val="1817" w:hRule="atLeast"/>
        </w:trPr>
        <w:tc>
          <w:tcPr>
            <w:tcW w:w="949" w:type="dxa"/>
            <w:tcBorders>
              <w:top w:val="single" w:color="auto" w:sz="4" w:space="0"/>
              <w:left w:val="single" w:color="auto" w:sz="4" w:space="0"/>
              <w:bottom w:val="single" w:color="auto" w:sz="4" w:space="0"/>
              <w:right w:val="single" w:color="auto" w:sz="4" w:space="0"/>
            </w:tcBorders>
            <w:vAlign w:val="center"/>
          </w:tcPr>
          <w:p w14:paraId="6BC8D8F7">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14.2</w:t>
            </w:r>
          </w:p>
        </w:tc>
        <w:tc>
          <w:tcPr>
            <w:tcW w:w="2389" w:type="dxa"/>
            <w:tcBorders>
              <w:top w:val="single" w:color="auto" w:sz="4" w:space="0"/>
              <w:left w:val="single" w:color="auto" w:sz="4" w:space="0"/>
              <w:bottom w:val="single" w:color="auto" w:sz="4" w:space="0"/>
              <w:right w:val="single" w:color="auto" w:sz="4" w:space="0"/>
            </w:tcBorders>
            <w:vAlign w:val="center"/>
          </w:tcPr>
          <w:p w14:paraId="6C8F53C9">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评标委员会</w:t>
            </w:r>
          </w:p>
        </w:tc>
        <w:tc>
          <w:tcPr>
            <w:tcW w:w="6712" w:type="dxa"/>
            <w:tcBorders>
              <w:top w:val="single" w:color="auto" w:sz="4" w:space="0"/>
              <w:left w:val="single" w:color="auto" w:sz="4" w:space="0"/>
              <w:bottom w:val="single" w:color="auto" w:sz="4" w:space="0"/>
              <w:right w:val="single" w:color="auto" w:sz="4" w:space="0"/>
            </w:tcBorders>
            <w:vAlign w:val="center"/>
          </w:tcPr>
          <w:p w14:paraId="1E28089E">
            <w:pPr>
              <w:spacing w:line="430" w:lineRule="exact"/>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评标由</w:t>
            </w:r>
            <w:r>
              <w:rPr>
                <w:rFonts w:hint="eastAsia" w:ascii="宋体" w:hAnsi="宋体" w:cs="宋体"/>
                <w:b w:val="0"/>
                <w:bCs/>
                <w:color w:val="auto"/>
                <w:sz w:val="21"/>
                <w:szCs w:val="21"/>
                <w:lang w:eastAsia="zh-CN"/>
              </w:rPr>
              <w:t>采购人</w:t>
            </w:r>
            <w:r>
              <w:rPr>
                <w:rFonts w:hint="eastAsia" w:ascii="宋体" w:hAnsi="宋体" w:eastAsia="宋体" w:cs="宋体"/>
                <w:b w:val="0"/>
                <w:bCs/>
                <w:color w:val="auto"/>
                <w:sz w:val="21"/>
                <w:szCs w:val="21"/>
              </w:rPr>
              <w:t>依法组建的评标委员会负责。评标委员会由</w:t>
            </w:r>
            <w:r>
              <w:rPr>
                <w:rFonts w:hint="eastAsia" w:ascii="宋体" w:hAnsi="宋体" w:cs="宋体"/>
                <w:b w:val="0"/>
                <w:bCs/>
                <w:color w:val="auto"/>
                <w:sz w:val="21"/>
                <w:szCs w:val="21"/>
                <w:lang w:eastAsia="zh-CN"/>
              </w:rPr>
              <w:t>采购人</w:t>
            </w:r>
            <w:r>
              <w:rPr>
                <w:rFonts w:hint="eastAsia" w:ascii="宋体" w:hAnsi="宋体" w:eastAsia="宋体" w:cs="宋体"/>
                <w:b w:val="0"/>
                <w:bCs/>
                <w:color w:val="auto"/>
                <w:sz w:val="21"/>
                <w:szCs w:val="21"/>
              </w:rPr>
              <w:t>代表和有关技术、经济等方面的专家组成，成员人数应当为五人（含五人）以上单数。其中，技术、经济等方面的专家不得少于成员总数的三分之二。评标委员会应当推选组长，但</w:t>
            </w:r>
            <w:r>
              <w:rPr>
                <w:rFonts w:hint="eastAsia" w:ascii="宋体" w:hAnsi="宋体" w:cs="宋体"/>
                <w:b w:val="0"/>
                <w:bCs/>
                <w:color w:val="auto"/>
                <w:sz w:val="21"/>
                <w:szCs w:val="21"/>
                <w:lang w:eastAsia="zh-CN"/>
              </w:rPr>
              <w:t>采购人</w:t>
            </w:r>
            <w:r>
              <w:rPr>
                <w:rFonts w:hint="eastAsia" w:ascii="宋体" w:hAnsi="宋体" w:eastAsia="宋体" w:cs="宋体"/>
                <w:b w:val="0"/>
                <w:bCs/>
                <w:color w:val="auto"/>
                <w:sz w:val="21"/>
                <w:szCs w:val="21"/>
              </w:rPr>
              <w:t>代表不得担任组长。</w:t>
            </w:r>
          </w:p>
        </w:tc>
      </w:tr>
      <w:tr w14:paraId="4D0666C1">
        <w:tblPrEx>
          <w:tblCellMar>
            <w:top w:w="0" w:type="dxa"/>
            <w:left w:w="108" w:type="dxa"/>
            <w:bottom w:w="0" w:type="dxa"/>
            <w:right w:w="108" w:type="dxa"/>
          </w:tblCellMar>
        </w:tblPrEx>
        <w:trPr>
          <w:trHeight w:val="845" w:hRule="atLeast"/>
        </w:trPr>
        <w:tc>
          <w:tcPr>
            <w:tcW w:w="949" w:type="dxa"/>
            <w:tcBorders>
              <w:top w:val="single" w:color="auto" w:sz="4" w:space="0"/>
              <w:left w:val="single" w:color="auto" w:sz="4" w:space="0"/>
              <w:bottom w:val="single" w:color="auto" w:sz="4" w:space="0"/>
              <w:right w:val="single" w:color="auto" w:sz="4" w:space="0"/>
            </w:tcBorders>
            <w:vAlign w:val="center"/>
          </w:tcPr>
          <w:p w14:paraId="7F214E77">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14.3</w:t>
            </w:r>
          </w:p>
        </w:tc>
        <w:tc>
          <w:tcPr>
            <w:tcW w:w="2389" w:type="dxa"/>
            <w:tcBorders>
              <w:top w:val="single" w:color="auto" w:sz="4" w:space="0"/>
              <w:left w:val="single" w:color="auto" w:sz="4" w:space="0"/>
              <w:bottom w:val="single" w:color="auto" w:sz="4" w:space="0"/>
              <w:right w:val="single" w:color="auto" w:sz="4" w:space="0"/>
            </w:tcBorders>
            <w:vAlign w:val="center"/>
          </w:tcPr>
          <w:p w14:paraId="7CAC9950">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评标方法</w:t>
            </w:r>
          </w:p>
        </w:tc>
        <w:tc>
          <w:tcPr>
            <w:tcW w:w="6712" w:type="dxa"/>
            <w:tcBorders>
              <w:top w:val="single" w:color="auto" w:sz="4" w:space="0"/>
              <w:left w:val="single" w:color="auto" w:sz="4" w:space="0"/>
              <w:bottom w:val="single" w:color="auto" w:sz="4" w:space="0"/>
              <w:right w:val="single" w:color="auto" w:sz="4" w:space="0"/>
            </w:tcBorders>
            <w:vAlign w:val="center"/>
          </w:tcPr>
          <w:p w14:paraId="6666B97C">
            <w:pPr>
              <w:spacing w:line="43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综合评分法</w:t>
            </w:r>
          </w:p>
        </w:tc>
      </w:tr>
      <w:tr w14:paraId="49803AC0">
        <w:tblPrEx>
          <w:tblCellMar>
            <w:top w:w="0" w:type="dxa"/>
            <w:left w:w="108" w:type="dxa"/>
            <w:bottom w:w="0" w:type="dxa"/>
            <w:right w:w="108" w:type="dxa"/>
          </w:tblCellMar>
        </w:tblPrEx>
        <w:trPr>
          <w:trHeight w:val="1055" w:hRule="atLeast"/>
        </w:trPr>
        <w:tc>
          <w:tcPr>
            <w:tcW w:w="949" w:type="dxa"/>
            <w:tcBorders>
              <w:top w:val="single" w:color="auto" w:sz="4" w:space="0"/>
              <w:left w:val="single" w:color="auto" w:sz="4" w:space="0"/>
              <w:bottom w:val="single" w:color="auto" w:sz="4" w:space="0"/>
              <w:right w:val="single" w:color="auto" w:sz="4" w:space="0"/>
            </w:tcBorders>
            <w:vAlign w:val="center"/>
          </w:tcPr>
          <w:p w14:paraId="68A7A47F">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15</w:t>
            </w:r>
          </w:p>
        </w:tc>
        <w:tc>
          <w:tcPr>
            <w:tcW w:w="2389" w:type="dxa"/>
            <w:tcBorders>
              <w:top w:val="single" w:color="auto" w:sz="4" w:space="0"/>
              <w:left w:val="single" w:color="auto" w:sz="4" w:space="0"/>
              <w:bottom w:val="single" w:color="auto" w:sz="4" w:space="0"/>
              <w:right w:val="single" w:color="auto" w:sz="4" w:space="0"/>
            </w:tcBorders>
            <w:vAlign w:val="center"/>
          </w:tcPr>
          <w:p w14:paraId="00DE758B">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是否授权评标委员会确定中标人</w:t>
            </w:r>
          </w:p>
        </w:tc>
        <w:tc>
          <w:tcPr>
            <w:tcW w:w="6712" w:type="dxa"/>
            <w:tcBorders>
              <w:top w:val="single" w:color="auto" w:sz="4" w:space="0"/>
              <w:left w:val="single" w:color="auto" w:sz="4" w:space="0"/>
              <w:bottom w:val="single" w:color="auto" w:sz="4" w:space="0"/>
              <w:right w:val="single" w:color="auto" w:sz="4" w:space="0"/>
            </w:tcBorders>
            <w:vAlign w:val="center"/>
          </w:tcPr>
          <w:p w14:paraId="622D2E6A">
            <w:pPr>
              <w:spacing w:line="43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否，推荐的中标候选人数：1～3人。</w:t>
            </w:r>
          </w:p>
        </w:tc>
      </w:tr>
      <w:tr w14:paraId="5136A654">
        <w:tblPrEx>
          <w:tblCellMar>
            <w:top w:w="0" w:type="dxa"/>
            <w:left w:w="108" w:type="dxa"/>
            <w:bottom w:w="0" w:type="dxa"/>
            <w:right w:w="108" w:type="dxa"/>
          </w:tblCellMar>
        </w:tblPrEx>
        <w:trPr>
          <w:trHeight w:val="974" w:hRule="atLeast"/>
        </w:trPr>
        <w:tc>
          <w:tcPr>
            <w:tcW w:w="949" w:type="dxa"/>
            <w:tcBorders>
              <w:top w:val="single" w:color="auto" w:sz="4" w:space="0"/>
              <w:left w:val="single" w:color="auto" w:sz="4" w:space="0"/>
              <w:bottom w:val="single" w:color="auto" w:sz="4" w:space="0"/>
              <w:right w:val="single" w:color="auto" w:sz="4" w:space="0"/>
            </w:tcBorders>
            <w:vAlign w:val="center"/>
          </w:tcPr>
          <w:p w14:paraId="243E88A0">
            <w:pPr>
              <w:spacing w:line="430" w:lineRule="exac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16</w:t>
            </w:r>
          </w:p>
        </w:tc>
        <w:tc>
          <w:tcPr>
            <w:tcW w:w="2389" w:type="dxa"/>
            <w:tcBorders>
              <w:top w:val="single" w:color="auto" w:sz="4" w:space="0"/>
              <w:left w:val="single" w:color="auto" w:sz="4" w:space="0"/>
              <w:bottom w:val="single" w:color="auto" w:sz="4" w:space="0"/>
              <w:right w:val="single" w:color="auto" w:sz="4" w:space="0"/>
            </w:tcBorders>
            <w:vAlign w:val="center"/>
          </w:tcPr>
          <w:p w14:paraId="3A0CF8C3">
            <w:pPr>
              <w:spacing w:line="430" w:lineRule="exact"/>
              <w:jc w:val="center"/>
              <w:rPr>
                <w:rFonts w:hint="eastAsia" w:ascii="宋体" w:hAnsi="宋体" w:eastAsia="宋体" w:cs="宋体"/>
                <w:b w:val="0"/>
                <w:bCs/>
                <w:color w:val="auto"/>
                <w:sz w:val="21"/>
                <w:szCs w:val="21"/>
              </w:rPr>
            </w:pPr>
            <w:r>
              <w:rPr>
                <w:rFonts w:hint="eastAsia" w:ascii="宋体" w:hAnsi="宋体" w:cs="宋体"/>
                <w:b w:val="0"/>
                <w:bCs/>
                <w:color w:val="auto"/>
                <w:sz w:val="21"/>
                <w:szCs w:val="21"/>
                <w:lang w:eastAsia="zh-CN"/>
              </w:rPr>
              <w:t>招标代理</w:t>
            </w:r>
            <w:r>
              <w:rPr>
                <w:rFonts w:hint="eastAsia" w:ascii="宋体" w:hAnsi="宋体" w:eastAsia="宋体" w:cs="宋体"/>
                <w:b w:val="0"/>
                <w:bCs/>
                <w:color w:val="auto"/>
                <w:sz w:val="21"/>
                <w:szCs w:val="21"/>
              </w:rPr>
              <w:t>服务费</w:t>
            </w:r>
          </w:p>
        </w:tc>
        <w:tc>
          <w:tcPr>
            <w:tcW w:w="6712" w:type="dxa"/>
            <w:tcBorders>
              <w:top w:val="single" w:color="auto" w:sz="4" w:space="0"/>
              <w:left w:val="single" w:color="auto" w:sz="4" w:space="0"/>
              <w:bottom w:val="single" w:color="auto" w:sz="4" w:space="0"/>
              <w:right w:val="single" w:color="auto" w:sz="4" w:space="0"/>
            </w:tcBorders>
          </w:tcPr>
          <w:p w14:paraId="4E14977E">
            <w:pPr>
              <w:pStyle w:val="47"/>
              <w:autoSpaceDE/>
              <w:autoSpaceDN/>
              <w:adjustRightInd/>
              <w:spacing w:line="430" w:lineRule="exact"/>
              <w:rPr>
                <w:rFonts w:hint="eastAsia" w:ascii="宋体" w:hAnsi="宋体" w:eastAsia="宋体" w:cs="宋体"/>
                <w:bCs/>
                <w:color w:val="auto"/>
                <w:sz w:val="21"/>
                <w:szCs w:val="21"/>
              </w:rPr>
            </w:pPr>
            <w:r>
              <w:rPr>
                <w:rFonts w:hint="eastAsia" w:ascii="宋体" w:hAnsi="宋体" w:cs="宋体"/>
                <w:b w:val="0"/>
                <w:bCs w:val="0"/>
                <w:kern w:val="1"/>
                <w:sz w:val="21"/>
                <w:szCs w:val="21"/>
                <w:lang w:val="en-US" w:eastAsia="zh-CN"/>
              </w:rPr>
              <w:t>由中标人支付，</w:t>
            </w:r>
            <w:r>
              <w:rPr>
                <w:rFonts w:hint="eastAsia" w:ascii="宋体" w:hAnsi="宋体" w:eastAsia="宋体" w:cs="宋体"/>
                <w:b w:val="0"/>
                <w:bCs w:val="0"/>
                <w:kern w:val="1"/>
                <w:sz w:val="21"/>
                <w:szCs w:val="21"/>
                <w:highlight w:val="none"/>
              </w:rPr>
              <w:t>按</w:t>
            </w:r>
            <w:r>
              <w:rPr>
                <w:rFonts w:hint="eastAsia" w:ascii="宋体" w:hAnsi="宋体" w:eastAsia="宋体" w:cs="宋体"/>
                <w:b w:val="0"/>
                <w:bCs w:val="0"/>
                <w:i w:val="0"/>
                <w:iCs w:val="0"/>
                <w:caps w:val="0"/>
                <w:spacing w:val="8"/>
                <w:sz w:val="21"/>
                <w:szCs w:val="21"/>
                <w:shd w:val="clear" w:color="auto" w:fill="FFFFFF"/>
              </w:rPr>
              <w:t>云建招协〔202</w:t>
            </w:r>
            <w:r>
              <w:rPr>
                <w:rFonts w:hint="eastAsia" w:hAnsi="宋体" w:cs="宋体"/>
                <w:b w:val="0"/>
                <w:bCs w:val="0"/>
                <w:i w:val="0"/>
                <w:iCs w:val="0"/>
                <w:caps w:val="0"/>
                <w:spacing w:val="8"/>
                <w:sz w:val="21"/>
                <w:szCs w:val="21"/>
                <w:shd w:val="clear" w:color="auto" w:fill="FFFFFF"/>
                <w:lang w:val="en-US" w:eastAsia="zh-CN"/>
              </w:rPr>
              <w:t>4</w:t>
            </w:r>
            <w:r>
              <w:rPr>
                <w:rFonts w:hint="eastAsia" w:ascii="宋体" w:hAnsi="宋体" w:eastAsia="宋体" w:cs="宋体"/>
                <w:b w:val="0"/>
                <w:bCs w:val="0"/>
                <w:i w:val="0"/>
                <w:iCs w:val="0"/>
                <w:caps w:val="0"/>
                <w:spacing w:val="8"/>
                <w:sz w:val="21"/>
                <w:szCs w:val="21"/>
                <w:shd w:val="clear" w:color="auto" w:fill="FFFFFF"/>
              </w:rPr>
              <w:t>〕5</w:t>
            </w:r>
            <w:r>
              <w:rPr>
                <w:rFonts w:hint="eastAsia" w:hAnsi="宋体" w:cs="宋体"/>
                <w:b w:val="0"/>
                <w:bCs w:val="0"/>
                <w:i w:val="0"/>
                <w:iCs w:val="0"/>
                <w:caps w:val="0"/>
                <w:spacing w:val="8"/>
                <w:sz w:val="21"/>
                <w:szCs w:val="21"/>
                <w:shd w:val="clear" w:color="auto" w:fill="FFFFFF"/>
                <w:lang w:val="en-US" w:eastAsia="zh-CN"/>
              </w:rPr>
              <w:t>8</w:t>
            </w:r>
            <w:r>
              <w:rPr>
                <w:rFonts w:hint="eastAsia" w:ascii="宋体" w:hAnsi="宋体" w:eastAsia="宋体" w:cs="宋体"/>
                <w:b w:val="0"/>
                <w:bCs w:val="0"/>
                <w:i w:val="0"/>
                <w:iCs w:val="0"/>
                <w:caps w:val="0"/>
                <w:spacing w:val="8"/>
                <w:sz w:val="21"/>
                <w:szCs w:val="21"/>
                <w:shd w:val="clear" w:color="auto" w:fill="FFFFFF"/>
              </w:rPr>
              <w:t>号</w:t>
            </w:r>
            <w:r>
              <w:rPr>
                <w:rFonts w:hint="eastAsia" w:ascii="宋体" w:hAnsi="宋体" w:eastAsia="宋体" w:cs="宋体"/>
                <w:b w:val="0"/>
                <w:bCs w:val="0"/>
                <w:kern w:val="1"/>
                <w:sz w:val="21"/>
                <w:szCs w:val="21"/>
                <w:highlight w:val="none"/>
              </w:rPr>
              <w:t>文件</w:t>
            </w:r>
            <w:r>
              <w:rPr>
                <w:rFonts w:hint="eastAsia" w:ascii="宋体" w:hAnsi="宋体" w:cs="宋体"/>
                <w:b w:val="0"/>
                <w:bCs w:val="0"/>
                <w:kern w:val="1"/>
                <w:sz w:val="21"/>
                <w:szCs w:val="21"/>
                <w:highlight w:val="none"/>
              </w:rPr>
              <w:t>的相关规定</w:t>
            </w:r>
            <w:r>
              <w:rPr>
                <w:rFonts w:hint="eastAsia" w:hAnsi="宋体" w:cs="宋体"/>
                <w:b w:val="0"/>
                <w:bCs w:val="0"/>
                <w:kern w:val="1"/>
                <w:sz w:val="21"/>
                <w:szCs w:val="21"/>
                <w:highlight w:val="none"/>
                <w:lang w:val="en-US" w:eastAsia="zh-CN"/>
              </w:rPr>
              <w:t>下浮7%收取。</w:t>
            </w:r>
          </w:p>
        </w:tc>
      </w:tr>
      <w:tr w14:paraId="47E5BE0F">
        <w:tblPrEx>
          <w:tblCellMar>
            <w:top w:w="0" w:type="dxa"/>
            <w:left w:w="108" w:type="dxa"/>
            <w:bottom w:w="0" w:type="dxa"/>
            <w:right w:w="108" w:type="dxa"/>
          </w:tblCellMar>
        </w:tblPrEx>
        <w:trPr>
          <w:trHeight w:val="1736" w:hRule="atLeast"/>
        </w:trPr>
        <w:tc>
          <w:tcPr>
            <w:tcW w:w="949" w:type="dxa"/>
            <w:tcBorders>
              <w:top w:val="single" w:color="auto" w:sz="4" w:space="0"/>
              <w:left w:val="single" w:color="auto" w:sz="4" w:space="0"/>
              <w:bottom w:val="single" w:color="auto" w:sz="4" w:space="0"/>
              <w:right w:val="single" w:color="auto" w:sz="4" w:space="0"/>
            </w:tcBorders>
            <w:vAlign w:val="center"/>
          </w:tcPr>
          <w:p w14:paraId="0191D386">
            <w:pPr>
              <w:spacing w:line="430" w:lineRule="exact"/>
              <w:jc w:val="center"/>
              <w:rPr>
                <w:rFonts w:hint="default" w:ascii="宋体" w:hAnsi="宋体" w:eastAsia="宋体" w:cs="宋体"/>
                <w:b w:val="0"/>
                <w:bCs/>
                <w:color w:val="auto"/>
                <w:sz w:val="21"/>
                <w:szCs w:val="21"/>
                <w:lang w:val="en-US" w:eastAsia="zh-CN"/>
              </w:rPr>
            </w:pPr>
            <w:r>
              <w:rPr>
                <w:rFonts w:hint="eastAsia" w:ascii="宋体" w:hAnsi="宋体" w:cs="宋体"/>
                <w:b w:val="0"/>
                <w:bCs/>
                <w:color w:val="auto"/>
                <w:sz w:val="21"/>
                <w:szCs w:val="21"/>
                <w:lang w:val="en-US" w:eastAsia="zh-CN"/>
              </w:rPr>
              <w:t>17</w:t>
            </w:r>
          </w:p>
        </w:tc>
        <w:tc>
          <w:tcPr>
            <w:tcW w:w="2389" w:type="dxa"/>
            <w:tcBorders>
              <w:top w:val="single" w:color="auto" w:sz="4" w:space="0"/>
              <w:left w:val="single" w:color="auto" w:sz="4" w:space="0"/>
              <w:bottom w:val="single" w:color="auto" w:sz="4" w:space="0"/>
              <w:right w:val="single" w:color="auto" w:sz="4" w:space="0"/>
            </w:tcBorders>
            <w:vAlign w:val="center"/>
          </w:tcPr>
          <w:p w14:paraId="0647F447">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400" w:lineRule="exact"/>
              <w:jc w:val="center"/>
              <w:rPr>
                <w:rFonts w:hint="eastAsia" w:ascii="宋体" w:hAnsi="宋体" w:cs="宋体"/>
                <w:b w:val="0"/>
                <w:bCs/>
                <w:color w:val="auto"/>
                <w:sz w:val="21"/>
                <w:szCs w:val="21"/>
                <w:lang w:eastAsia="zh-CN"/>
              </w:rPr>
            </w:pPr>
            <w:r>
              <w:rPr>
                <w:rFonts w:hint="eastAsia" w:ascii="宋体" w:hAnsi="宋体" w:cs="宋体"/>
                <w:sz w:val="21"/>
                <w:szCs w:val="21"/>
                <w:lang w:val="en-US" w:eastAsia="zh-CN"/>
              </w:rPr>
              <w:t>相关政策</w:t>
            </w:r>
          </w:p>
        </w:tc>
        <w:tc>
          <w:tcPr>
            <w:tcW w:w="6712" w:type="dxa"/>
            <w:tcBorders>
              <w:top w:val="single" w:color="auto" w:sz="4" w:space="0"/>
              <w:left w:val="single" w:color="auto" w:sz="4" w:space="0"/>
              <w:bottom w:val="single" w:color="auto" w:sz="4" w:space="0"/>
              <w:right w:val="single" w:color="auto" w:sz="4" w:space="0"/>
            </w:tcBorders>
            <w:shd w:val="clear" w:color="auto" w:fill="auto"/>
            <w:vAlign w:val="center"/>
          </w:tcPr>
          <w:p w14:paraId="1FFA2A8B">
            <w:pPr>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480" w:lineRule="auto"/>
              <w:textAlignment w:val="auto"/>
              <w:rPr>
                <w:rFonts w:hint="eastAsia" w:ascii="宋体" w:hAnsi="宋体"/>
                <w:b/>
                <w:bCs w:val="0"/>
                <w:sz w:val="21"/>
                <w:szCs w:val="21"/>
                <w:lang w:val="en-US" w:eastAsia="zh-CN"/>
              </w:rPr>
            </w:pPr>
            <w:r>
              <w:rPr>
                <w:rFonts w:hint="eastAsia" w:ascii="宋体" w:hAnsi="宋体"/>
                <w:b/>
                <w:bCs w:val="0"/>
                <w:sz w:val="21"/>
                <w:szCs w:val="21"/>
                <w:lang w:val="en-US" w:eastAsia="zh-CN"/>
              </w:rPr>
              <w:t>1、本项目评审时对小微企业的报价给予</w:t>
            </w:r>
            <w:r>
              <w:rPr>
                <w:rFonts w:hint="eastAsia" w:ascii="宋体" w:hAnsi="宋体"/>
                <w:b/>
                <w:bCs w:val="0"/>
                <w:sz w:val="21"/>
                <w:szCs w:val="21"/>
                <w:u w:val="single"/>
                <w:lang w:val="en-US" w:eastAsia="zh-CN"/>
              </w:rPr>
              <w:t>10%</w:t>
            </w:r>
            <w:r>
              <w:rPr>
                <w:rFonts w:hint="eastAsia" w:ascii="宋体" w:hAnsi="宋体"/>
                <w:b/>
                <w:bCs w:val="0"/>
                <w:sz w:val="21"/>
                <w:szCs w:val="21"/>
                <w:lang w:val="en-US" w:eastAsia="zh-CN"/>
              </w:rPr>
              <w:t>的扣除，属于大中型企业与小微企业组成联合体的报价给予</w:t>
            </w:r>
            <w:r>
              <w:rPr>
                <w:rFonts w:hint="eastAsia" w:ascii="宋体" w:hAnsi="宋体"/>
                <w:b/>
                <w:bCs w:val="0"/>
                <w:sz w:val="21"/>
                <w:szCs w:val="21"/>
                <w:u w:val="single"/>
                <w:lang w:val="en-US" w:eastAsia="zh-CN"/>
              </w:rPr>
              <w:t>/ %</w:t>
            </w:r>
            <w:r>
              <w:rPr>
                <w:rFonts w:hint="eastAsia" w:ascii="宋体" w:hAnsi="宋体"/>
                <w:b/>
                <w:bCs w:val="0"/>
                <w:sz w:val="21"/>
                <w:szCs w:val="21"/>
                <w:lang w:val="en-US" w:eastAsia="zh-CN"/>
              </w:rPr>
              <w:t>的扣除。</w:t>
            </w:r>
          </w:p>
          <w:p w14:paraId="4620EF37">
            <w:pPr>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kern w:val="2"/>
                <w:sz w:val="21"/>
                <w:szCs w:val="21"/>
                <w:lang w:val="en-US" w:eastAsia="zh-CN" w:bidi="ar-SA"/>
              </w:rPr>
            </w:pPr>
            <w:r>
              <w:rPr>
                <w:rFonts w:hint="eastAsia"/>
                <w:b/>
                <w:bCs w:val="0"/>
                <w:sz w:val="21"/>
                <w:szCs w:val="21"/>
                <w:lang w:val="en-US" w:eastAsia="zh-CN"/>
              </w:rPr>
              <w:t>2.本项目所属行业：工业。</w:t>
            </w:r>
          </w:p>
        </w:tc>
      </w:tr>
      <w:tr w14:paraId="5B9D8CC0">
        <w:tblPrEx>
          <w:tblCellMar>
            <w:top w:w="0" w:type="dxa"/>
            <w:left w:w="108" w:type="dxa"/>
            <w:bottom w:w="0" w:type="dxa"/>
            <w:right w:w="108" w:type="dxa"/>
          </w:tblCellMar>
        </w:tblPrEx>
        <w:trPr>
          <w:trHeight w:val="1180" w:hRule="atLeast"/>
        </w:trPr>
        <w:tc>
          <w:tcPr>
            <w:tcW w:w="949" w:type="dxa"/>
            <w:tcBorders>
              <w:top w:val="single" w:color="auto" w:sz="4" w:space="0"/>
              <w:left w:val="single" w:color="auto" w:sz="4" w:space="0"/>
              <w:bottom w:val="single" w:color="auto" w:sz="4" w:space="0"/>
              <w:right w:val="single" w:color="auto" w:sz="4" w:space="0"/>
            </w:tcBorders>
            <w:vAlign w:val="center"/>
          </w:tcPr>
          <w:p w14:paraId="0CC8FA01">
            <w:pPr>
              <w:spacing w:line="430" w:lineRule="exact"/>
              <w:jc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rPr>
              <w:t>1</w:t>
            </w:r>
            <w:r>
              <w:rPr>
                <w:rFonts w:hint="eastAsia" w:ascii="宋体" w:hAnsi="宋体" w:cs="宋体"/>
                <w:b w:val="0"/>
                <w:bCs/>
                <w:color w:val="auto"/>
                <w:sz w:val="21"/>
                <w:szCs w:val="21"/>
                <w:lang w:val="en-US" w:eastAsia="zh-CN"/>
              </w:rPr>
              <w:t>8</w:t>
            </w:r>
          </w:p>
        </w:tc>
        <w:tc>
          <w:tcPr>
            <w:tcW w:w="9101" w:type="dxa"/>
            <w:gridSpan w:val="2"/>
            <w:tcBorders>
              <w:top w:val="single" w:color="auto" w:sz="4" w:space="0"/>
              <w:left w:val="single" w:color="auto" w:sz="4" w:space="0"/>
              <w:bottom w:val="single" w:color="auto" w:sz="4" w:space="0"/>
              <w:right w:val="single" w:color="auto" w:sz="4" w:space="0"/>
            </w:tcBorders>
            <w:vAlign w:val="center"/>
          </w:tcPr>
          <w:p w14:paraId="60A9D31C">
            <w:pPr>
              <w:spacing w:line="430" w:lineRule="exact"/>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投标人为法人或者其他组织的，应当由法定代表人、主要负责人，或者其授权代表签字或者盖章，并加盖公章（或电子公章）。</w:t>
            </w:r>
          </w:p>
        </w:tc>
      </w:tr>
      <w:tr w14:paraId="460A9116">
        <w:tblPrEx>
          <w:tblCellMar>
            <w:top w:w="0" w:type="dxa"/>
            <w:left w:w="108" w:type="dxa"/>
            <w:bottom w:w="0" w:type="dxa"/>
            <w:right w:w="108" w:type="dxa"/>
          </w:tblCellMar>
        </w:tblPrEx>
        <w:trPr>
          <w:trHeight w:val="1555" w:hRule="atLeast"/>
        </w:trPr>
        <w:tc>
          <w:tcPr>
            <w:tcW w:w="949" w:type="dxa"/>
            <w:tcBorders>
              <w:top w:val="single" w:color="auto" w:sz="4" w:space="0"/>
              <w:left w:val="single" w:color="auto" w:sz="4" w:space="0"/>
              <w:bottom w:val="single" w:color="auto" w:sz="4" w:space="0"/>
              <w:right w:val="single" w:color="auto" w:sz="4" w:space="0"/>
            </w:tcBorders>
            <w:vAlign w:val="center"/>
          </w:tcPr>
          <w:p w14:paraId="0615C413">
            <w:pPr>
              <w:spacing w:line="430" w:lineRule="exact"/>
              <w:jc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rPr>
              <w:t>1</w:t>
            </w:r>
            <w:r>
              <w:rPr>
                <w:rFonts w:hint="eastAsia" w:ascii="宋体" w:hAnsi="宋体" w:cs="宋体"/>
                <w:b w:val="0"/>
                <w:bCs/>
                <w:color w:val="auto"/>
                <w:sz w:val="21"/>
                <w:szCs w:val="21"/>
                <w:lang w:val="en-US" w:eastAsia="zh-CN"/>
              </w:rPr>
              <w:t>9</w:t>
            </w:r>
          </w:p>
        </w:tc>
        <w:tc>
          <w:tcPr>
            <w:tcW w:w="9101" w:type="dxa"/>
            <w:gridSpan w:val="2"/>
            <w:tcBorders>
              <w:top w:val="single" w:color="auto" w:sz="4" w:space="0"/>
              <w:left w:val="single" w:color="auto" w:sz="4" w:space="0"/>
              <w:bottom w:val="single" w:color="auto" w:sz="4" w:space="0"/>
              <w:right w:val="single" w:color="auto" w:sz="4" w:space="0"/>
            </w:tcBorders>
            <w:vAlign w:val="center"/>
          </w:tcPr>
          <w:p w14:paraId="1341042F">
            <w:pPr>
              <w:spacing w:line="430" w:lineRule="exact"/>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其他内容：根据《财政部关于在政府采购活动中查询及使用信用记录有关问题的通知-财库〔2016〕125 号》相关要求，</w:t>
            </w:r>
            <w:r>
              <w:rPr>
                <w:rFonts w:hint="eastAsia" w:ascii="宋体" w:hAnsi="宋体" w:cs="宋体"/>
                <w:b w:val="0"/>
                <w:bCs/>
                <w:color w:val="auto"/>
                <w:sz w:val="21"/>
                <w:szCs w:val="21"/>
                <w:lang w:eastAsia="zh-CN"/>
              </w:rPr>
              <w:t>采购人</w:t>
            </w:r>
            <w:r>
              <w:rPr>
                <w:rFonts w:hint="eastAsia" w:ascii="宋体" w:hAnsi="宋体" w:eastAsia="宋体" w:cs="宋体"/>
                <w:b w:val="0"/>
                <w:bCs/>
                <w:color w:val="auto"/>
                <w:sz w:val="21"/>
                <w:szCs w:val="21"/>
              </w:rPr>
              <w:t>或者</w:t>
            </w:r>
            <w:r>
              <w:rPr>
                <w:rFonts w:hint="eastAsia" w:ascii="宋体" w:hAnsi="宋体" w:cs="宋体"/>
                <w:b w:val="0"/>
                <w:bCs/>
                <w:color w:val="auto"/>
                <w:sz w:val="21"/>
                <w:szCs w:val="21"/>
                <w:lang w:eastAsia="zh-CN"/>
              </w:rPr>
              <w:t>招标代理</w:t>
            </w:r>
            <w:r>
              <w:rPr>
                <w:rFonts w:hint="eastAsia" w:ascii="宋体" w:hAnsi="宋体" w:eastAsia="宋体" w:cs="宋体"/>
                <w:b w:val="0"/>
                <w:bCs/>
                <w:color w:val="auto"/>
                <w:sz w:val="21"/>
                <w:szCs w:val="21"/>
              </w:rPr>
              <w:t>机构对信用记录进行核实，对列入失信被执行人、重大税收违法案件当事人名单、政府采购严重违法失信行为记录名单及其他不符合《中华人民共和国政府采购法》第二十二条规定条件的投标人，拒绝其参与政府采购活动。</w:t>
            </w:r>
          </w:p>
        </w:tc>
      </w:tr>
    </w:tbl>
    <w:p w14:paraId="5912CA30">
      <w:pPr>
        <w:pStyle w:val="9"/>
        <w:rPr>
          <w:rFonts w:ascii="宋体" w:hAnsi="宋体" w:cs="宋体"/>
          <w:color w:val="auto"/>
          <w:kern w:val="0"/>
        </w:rPr>
      </w:pPr>
      <w:r>
        <w:rPr>
          <w:rFonts w:hint="eastAsia" w:ascii="宋体" w:hAnsi="宋体" w:cs="宋体"/>
          <w:color w:val="auto"/>
          <w:kern w:val="0"/>
        </w:rPr>
        <w:br w:type="page"/>
      </w:r>
    </w:p>
    <w:p w14:paraId="16400620">
      <w:pPr>
        <w:pStyle w:val="3"/>
        <w:pageBreakBefore w:val="0"/>
        <w:widowControl w:val="0"/>
        <w:kinsoku/>
        <w:wordWrap/>
        <w:overflowPunct/>
        <w:topLinePunct w:val="0"/>
        <w:bidi w:val="0"/>
        <w:spacing w:before="0" w:line="360" w:lineRule="auto"/>
        <w:ind w:firstLine="280"/>
        <w:jc w:val="center"/>
        <w:textAlignment w:val="auto"/>
        <w:rPr>
          <w:rFonts w:ascii="宋体" w:hAnsi="宋体" w:cs="宋体"/>
          <w:color w:val="auto"/>
          <w:sz w:val="28"/>
          <w:szCs w:val="28"/>
        </w:rPr>
      </w:pPr>
      <w:bookmarkStart w:id="60" w:name="_Toc11999"/>
      <w:bookmarkStart w:id="61" w:name="_Toc528186452"/>
      <w:r>
        <w:rPr>
          <w:rFonts w:hint="eastAsia" w:ascii="宋体" w:hAnsi="宋体" w:cs="宋体"/>
          <w:color w:val="auto"/>
          <w:spacing w:val="0"/>
          <w:kern w:val="0"/>
          <w:sz w:val="28"/>
          <w:szCs w:val="28"/>
        </w:rPr>
        <w:t>一、</w:t>
      </w:r>
      <w:r>
        <w:rPr>
          <w:rFonts w:hint="eastAsia" w:ascii="宋体" w:hAnsi="宋体" w:cs="宋体"/>
          <w:color w:val="auto"/>
          <w:sz w:val="28"/>
          <w:szCs w:val="28"/>
        </w:rPr>
        <w:t>总则</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60"/>
      <w:bookmarkEnd w:id="61"/>
    </w:p>
    <w:p w14:paraId="56EB2F73">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62" w:name="_Toc528186453"/>
      <w:bookmarkStart w:id="63" w:name="_Toc246996919"/>
      <w:bookmarkStart w:id="64" w:name="_Toc179632547"/>
      <w:bookmarkStart w:id="65" w:name="_Toc246996176"/>
      <w:bookmarkStart w:id="66" w:name="_Toc247085690"/>
      <w:bookmarkStart w:id="67" w:name="_Toc489145704"/>
      <w:bookmarkStart w:id="68" w:name="_Toc152045530"/>
      <w:bookmarkStart w:id="69" w:name="_Toc296602421"/>
      <w:bookmarkStart w:id="70" w:name="_Toc5753"/>
      <w:bookmarkStart w:id="71" w:name="_Toc489197808"/>
      <w:bookmarkStart w:id="72" w:name="_Toc144974498"/>
      <w:bookmarkStart w:id="73" w:name="_Toc152042306"/>
      <w:r>
        <w:rPr>
          <w:rFonts w:hint="eastAsia" w:hAnsi="宋体" w:cs="宋体"/>
          <w:color w:val="auto"/>
          <w:sz w:val="21"/>
          <w:szCs w:val="21"/>
        </w:rPr>
        <w:t>1. 项目概况</w:t>
      </w:r>
      <w:bookmarkEnd w:id="62"/>
      <w:bookmarkEnd w:id="63"/>
      <w:bookmarkEnd w:id="64"/>
      <w:bookmarkEnd w:id="65"/>
      <w:bookmarkEnd w:id="66"/>
      <w:bookmarkEnd w:id="67"/>
      <w:bookmarkEnd w:id="68"/>
      <w:bookmarkEnd w:id="69"/>
      <w:bookmarkEnd w:id="70"/>
      <w:bookmarkEnd w:id="71"/>
      <w:bookmarkEnd w:id="72"/>
      <w:bookmarkEnd w:id="73"/>
    </w:p>
    <w:p w14:paraId="1416F8C1">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1.1根据《中华人民共和国政府采购法》、《中华人民共和国政府采购法实施条例》、《政府采购货物和服务招标投标管理办法》（财政部令第87号）等有关法律、法规的规定，本项目已具备招标条件，现对本项目进行公开招标。</w:t>
      </w:r>
    </w:p>
    <w:p w14:paraId="01CC57F5">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1.2 本项目</w:t>
      </w:r>
      <w:r>
        <w:rPr>
          <w:rFonts w:hint="eastAsia" w:ascii="宋体" w:hAnsi="宋体"/>
          <w:b w:val="0"/>
          <w:bCs/>
          <w:color w:val="auto"/>
          <w:sz w:val="21"/>
          <w:szCs w:val="21"/>
          <w:lang w:eastAsia="zh-CN"/>
        </w:rPr>
        <w:t>采购人</w:t>
      </w:r>
      <w:r>
        <w:rPr>
          <w:rFonts w:hint="eastAsia" w:ascii="宋体" w:hAnsi="宋体"/>
          <w:b w:val="0"/>
          <w:bCs/>
          <w:color w:val="auto"/>
          <w:sz w:val="21"/>
          <w:szCs w:val="21"/>
        </w:rPr>
        <w:t>：详见《投标人须知前附表》。</w:t>
      </w:r>
    </w:p>
    <w:p w14:paraId="70B598B5">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1.3 本项目</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机构：详见《投标人须知前附表》。</w:t>
      </w:r>
    </w:p>
    <w:p w14:paraId="0B0D25D0">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1.4 本项目名称及项目编号：详见《投标人须知前附表》。</w:t>
      </w:r>
    </w:p>
    <w:p w14:paraId="395DC236">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74" w:name="_Toc489197809"/>
      <w:bookmarkStart w:id="75" w:name="_Toc152042307"/>
      <w:bookmarkStart w:id="76" w:name="_Toc144974499"/>
      <w:bookmarkStart w:id="77" w:name="_Toc246996920"/>
      <w:bookmarkStart w:id="78" w:name="_Toc528186454"/>
      <w:bookmarkStart w:id="79" w:name="_Toc246996177"/>
      <w:bookmarkStart w:id="80" w:name="_Toc247085691"/>
      <w:bookmarkStart w:id="81" w:name="_Toc296602422"/>
      <w:bookmarkStart w:id="82" w:name="_Toc489145705"/>
      <w:bookmarkStart w:id="83" w:name="_Toc152045531"/>
      <w:bookmarkStart w:id="84" w:name="_Toc179632548"/>
      <w:bookmarkStart w:id="85" w:name="_Toc3547"/>
      <w:r>
        <w:rPr>
          <w:rFonts w:hint="eastAsia" w:hAnsi="宋体" w:cs="宋体"/>
          <w:color w:val="auto"/>
          <w:sz w:val="21"/>
          <w:szCs w:val="21"/>
        </w:rPr>
        <w:t xml:space="preserve">2. </w:t>
      </w:r>
      <w:bookmarkEnd w:id="74"/>
      <w:bookmarkEnd w:id="75"/>
      <w:bookmarkEnd w:id="76"/>
      <w:bookmarkEnd w:id="77"/>
      <w:bookmarkEnd w:id="78"/>
      <w:bookmarkEnd w:id="79"/>
      <w:bookmarkEnd w:id="80"/>
      <w:bookmarkEnd w:id="81"/>
      <w:bookmarkEnd w:id="82"/>
      <w:bookmarkEnd w:id="83"/>
      <w:bookmarkEnd w:id="84"/>
      <w:r>
        <w:rPr>
          <w:rFonts w:hint="eastAsia" w:hAnsi="宋体" w:cs="宋体"/>
          <w:color w:val="auto"/>
          <w:sz w:val="21"/>
          <w:szCs w:val="21"/>
        </w:rPr>
        <w:t>预算金额</w:t>
      </w:r>
      <w:bookmarkEnd w:id="85"/>
    </w:p>
    <w:p w14:paraId="793D4EC6">
      <w:pPr>
        <w:pageBreakBefore w:val="0"/>
        <w:widowControl w:val="0"/>
        <w:kinsoku/>
        <w:wordWrap/>
        <w:overflowPunct/>
        <w:topLinePunct w:val="0"/>
        <w:bidi w:val="0"/>
        <w:spacing w:line="480" w:lineRule="auto"/>
        <w:ind w:left="480" w:leftChars="200" w:firstLine="420"/>
        <w:jc w:val="left"/>
        <w:textAlignment w:val="auto"/>
        <w:outlineLvl w:val="3"/>
        <w:rPr>
          <w:rFonts w:ascii="宋体" w:hAnsi="宋体"/>
          <w:b w:val="0"/>
          <w:bCs/>
          <w:color w:val="auto"/>
          <w:sz w:val="21"/>
          <w:szCs w:val="21"/>
        </w:rPr>
      </w:pPr>
      <w:r>
        <w:rPr>
          <w:rFonts w:hint="eastAsia" w:ascii="宋体" w:hAnsi="宋体"/>
          <w:b w:val="0"/>
          <w:bCs/>
          <w:color w:val="auto"/>
          <w:sz w:val="21"/>
          <w:szCs w:val="21"/>
        </w:rPr>
        <w:t>2.1预算金额：详见《投标人须知前附表》。</w:t>
      </w:r>
      <w:bookmarkStart w:id="86" w:name="_Toc152042308"/>
      <w:bookmarkStart w:id="87" w:name="_Toc152045532"/>
      <w:bookmarkStart w:id="88" w:name="_Toc296602423"/>
      <w:bookmarkStart w:id="89" w:name="_Toc246996178"/>
      <w:bookmarkStart w:id="90" w:name="_Toc246996921"/>
      <w:bookmarkStart w:id="91" w:name="_Toc144974500"/>
      <w:bookmarkStart w:id="92" w:name="_Toc179632549"/>
      <w:bookmarkStart w:id="93" w:name="_Toc247085692"/>
    </w:p>
    <w:p w14:paraId="5866362C">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94" w:name="_Toc528186455"/>
      <w:bookmarkStart w:id="95" w:name="_Toc489197810"/>
      <w:bookmarkStart w:id="96" w:name="_Toc6481"/>
      <w:bookmarkStart w:id="97" w:name="_Toc489145706"/>
      <w:r>
        <w:rPr>
          <w:rFonts w:hint="eastAsia" w:hAnsi="宋体" w:cs="宋体"/>
          <w:color w:val="auto"/>
          <w:sz w:val="21"/>
          <w:szCs w:val="21"/>
        </w:rPr>
        <w:t>3.</w:t>
      </w:r>
      <w:bookmarkEnd w:id="86"/>
      <w:bookmarkEnd w:id="87"/>
      <w:bookmarkEnd w:id="88"/>
      <w:bookmarkEnd w:id="89"/>
      <w:bookmarkEnd w:id="90"/>
      <w:bookmarkEnd w:id="91"/>
      <w:bookmarkEnd w:id="92"/>
      <w:bookmarkEnd w:id="93"/>
      <w:bookmarkStart w:id="98" w:name="_Toc427056451"/>
      <w:bookmarkStart w:id="99" w:name="_Toc427056529"/>
      <w:bookmarkStart w:id="100" w:name="_Toc421541057"/>
      <w:r>
        <w:rPr>
          <w:rFonts w:hint="eastAsia" w:hAnsi="宋体" w:cs="宋体"/>
          <w:color w:val="auto"/>
          <w:sz w:val="21"/>
          <w:szCs w:val="21"/>
        </w:rPr>
        <w:t xml:space="preserve"> 采购内容及交货期、</w:t>
      </w:r>
      <w:bookmarkEnd w:id="94"/>
      <w:bookmarkEnd w:id="95"/>
      <w:bookmarkEnd w:id="96"/>
      <w:bookmarkEnd w:id="97"/>
      <w:bookmarkEnd w:id="98"/>
      <w:bookmarkEnd w:id="99"/>
      <w:bookmarkEnd w:id="100"/>
      <w:r>
        <w:rPr>
          <w:rFonts w:hint="eastAsia" w:hAnsi="宋体" w:cs="宋体"/>
          <w:color w:val="auto"/>
          <w:sz w:val="21"/>
          <w:szCs w:val="21"/>
        </w:rPr>
        <w:t>服务地点</w:t>
      </w:r>
    </w:p>
    <w:p w14:paraId="3C82305E">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3.1本项目采购内容：详见《投标人须知前附表》。</w:t>
      </w:r>
    </w:p>
    <w:p w14:paraId="132E2A51">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3.2本项目交货期、服务地点：详见《投标人须知前附表》。</w:t>
      </w:r>
    </w:p>
    <w:p w14:paraId="6D09816B">
      <w:pPr>
        <w:pStyle w:val="4"/>
        <w:pageBreakBefore w:val="0"/>
        <w:widowControl w:val="0"/>
        <w:kinsoku/>
        <w:wordWrap/>
        <w:overflowPunct/>
        <w:topLinePunct w:val="0"/>
        <w:bidi w:val="0"/>
        <w:spacing w:before="0" w:after="120" w:afterLines="50" w:line="480" w:lineRule="auto"/>
        <w:textAlignment w:val="auto"/>
        <w:outlineLvl w:val="3"/>
        <w:rPr>
          <w:rFonts w:hAnsi="宋体" w:cs="宋体"/>
          <w:color w:val="auto"/>
          <w:sz w:val="21"/>
          <w:szCs w:val="21"/>
        </w:rPr>
      </w:pPr>
      <w:bookmarkStart w:id="101" w:name="_Toc528186456"/>
      <w:bookmarkStart w:id="102" w:name="_Toc247085693"/>
      <w:bookmarkStart w:id="103" w:name="_Toc144974502"/>
      <w:bookmarkStart w:id="104" w:name="_Toc296602424"/>
      <w:bookmarkStart w:id="105" w:name="_Toc489197811"/>
      <w:bookmarkStart w:id="106" w:name="_Toc152042310"/>
      <w:bookmarkStart w:id="107" w:name="_Toc489145707"/>
      <w:bookmarkStart w:id="108" w:name="_Toc179632551"/>
      <w:bookmarkStart w:id="109" w:name="_Toc246996179"/>
      <w:bookmarkStart w:id="110" w:name="_Toc246996922"/>
      <w:bookmarkStart w:id="111" w:name="_Toc152045534"/>
      <w:bookmarkStart w:id="112" w:name="_Toc28044"/>
      <w:r>
        <w:rPr>
          <w:rFonts w:hint="eastAsia" w:hAnsi="宋体" w:cs="宋体"/>
          <w:color w:val="auto"/>
          <w:sz w:val="21"/>
          <w:szCs w:val="21"/>
        </w:rPr>
        <w:t>4. 投标人资格要求</w:t>
      </w:r>
      <w:bookmarkEnd w:id="101"/>
      <w:bookmarkEnd w:id="102"/>
      <w:bookmarkEnd w:id="103"/>
      <w:bookmarkEnd w:id="104"/>
      <w:bookmarkEnd w:id="105"/>
      <w:bookmarkEnd w:id="106"/>
      <w:bookmarkEnd w:id="107"/>
      <w:bookmarkEnd w:id="108"/>
      <w:bookmarkEnd w:id="109"/>
      <w:bookmarkEnd w:id="110"/>
      <w:bookmarkEnd w:id="111"/>
      <w:r>
        <w:rPr>
          <w:rFonts w:hint="eastAsia" w:hAnsi="宋体" w:cs="宋体"/>
          <w:color w:val="auto"/>
          <w:sz w:val="21"/>
          <w:szCs w:val="21"/>
        </w:rPr>
        <w:t>及其他要求</w:t>
      </w:r>
      <w:bookmarkEnd w:id="112"/>
    </w:p>
    <w:p w14:paraId="6DBFBA18">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bookmarkStart w:id="113" w:name="_Toc489197812"/>
      <w:bookmarkStart w:id="114" w:name="_Toc296602425"/>
      <w:bookmarkStart w:id="115" w:name="_Toc27321"/>
      <w:bookmarkStart w:id="116" w:name="_Toc489145708"/>
      <w:bookmarkStart w:id="117" w:name="_Toc152045535"/>
      <w:bookmarkStart w:id="118" w:name="_Toc247085694"/>
      <w:bookmarkStart w:id="119" w:name="_Toc528186457"/>
      <w:bookmarkStart w:id="120" w:name="_Toc246996180"/>
      <w:bookmarkStart w:id="121" w:name="_Toc246996923"/>
      <w:bookmarkStart w:id="122" w:name="_Toc152042311"/>
      <w:bookmarkStart w:id="123" w:name="_Toc144974503"/>
      <w:bookmarkStart w:id="124" w:name="_Toc179632552"/>
      <w:r>
        <w:rPr>
          <w:rFonts w:hint="eastAsia" w:ascii="宋体" w:hAnsi="宋体"/>
          <w:b w:val="0"/>
          <w:bCs/>
          <w:color w:val="auto"/>
          <w:sz w:val="21"/>
          <w:szCs w:val="21"/>
        </w:rPr>
        <w:t>4.1投标人资格要求：详见《投标人须知前附表》</w:t>
      </w:r>
    </w:p>
    <w:p w14:paraId="58EB8FEE">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4.2本项目的特定资格要求：详见《投标人须知前附表》</w:t>
      </w:r>
    </w:p>
    <w:p w14:paraId="2D6C319F">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4.3是否接受联合体参加：不接受</w:t>
      </w:r>
    </w:p>
    <w:p w14:paraId="3CC61B0E">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4.4如投标人为满足投标人资格要求提供虚假材料，一经查实，视为未实质性响应招标文件，投标人投标文件将按无效处理。</w:t>
      </w:r>
    </w:p>
    <w:p w14:paraId="126EC7CC">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4.5投标人不得直接或间接地与为采购项目提供整体设计、规范编制和项目管理、监理、检测等服务，不得与</w:t>
      </w:r>
      <w:r>
        <w:rPr>
          <w:rFonts w:hint="eastAsia" w:ascii="宋体" w:hAnsi="宋体"/>
          <w:b w:val="0"/>
          <w:bCs/>
          <w:color w:val="auto"/>
          <w:sz w:val="21"/>
          <w:szCs w:val="21"/>
          <w:lang w:eastAsia="zh-CN"/>
        </w:rPr>
        <w:t>采购人</w:t>
      </w:r>
      <w:r>
        <w:rPr>
          <w:rFonts w:hint="eastAsia" w:ascii="宋体" w:hAnsi="宋体"/>
          <w:b w:val="0"/>
          <w:bCs/>
          <w:color w:val="auto"/>
          <w:sz w:val="21"/>
          <w:szCs w:val="21"/>
        </w:rPr>
        <w:t>、</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机构或其附属机构有任何关联。</w:t>
      </w:r>
    </w:p>
    <w:p w14:paraId="4642C40B">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4.6符合上述条件的投标人应承担投标及履约中应承担的全部责任与义务。</w:t>
      </w:r>
    </w:p>
    <w:p w14:paraId="40E25E9C">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r>
        <w:rPr>
          <w:rFonts w:hint="eastAsia" w:hAnsi="宋体" w:cs="宋体"/>
          <w:color w:val="auto"/>
          <w:sz w:val="21"/>
          <w:szCs w:val="21"/>
        </w:rPr>
        <w:t>5. 费用承担</w:t>
      </w:r>
      <w:bookmarkEnd w:id="113"/>
      <w:bookmarkEnd w:id="114"/>
      <w:bookmarkEnd w:id="115"/>
      <w:bookmarkEnd w:id="116"/>
      <w:bookmarkEnd w:id="117"/>
      <w:bookmarkEnd w:id="118"/>
      <w:bookmarkEnd w:id="119"/>
      <w:bookmarkEnd w:id="120"/>
      <w:bookmarkEnd w:id="121"/>
      <w:bookmarkEnd w:id="122"/>
      <w:bookmarkEnd w:id="123"/>
      <w:bookmarkEnd w:id="124"/>
    </w:p>
    <w:p w14:paraId="0D6DBAD4">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5.1不论投标结果如何，投标人均应自行承担所有与准备和参加投标活动有关的全部费用；</w:t>
      </w:r>
    </w:p>
    <w:p w14:paraId="5A287E1A">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125" w:name="_Toc489145711"/>
      <w:bookmarkStart w:id="126" w:name="_Toc489197815"/>
      <w:bookmarkStart w:id="127" w:name="_Toc31268"/>
      <w:bookmarkStart w:id="128" w:name="_Toc528186460"/>
      <w:r>
        <w:rPr>
          <w:rFonts w:hint="eastAsia" w:hAnsi="宋体" w:cs="宋体"/>
          <w:color w:val="auto"/>
          <w:sz w:val="21"/>
          <w:szCs w:val="21"/>
        </w:rPr>
        <w:t>6.现场考察</w:t>
      </w:r>
      <w:bookmarkStart w:id="129" w:name="_Toc489145709"/>
      <w:bookmarkStart w:id="130" w:name="_Toc11401"/>
      <w:bookmarkStart w:id="131" w:name="_Toc489197813"/>
      <w:bookmarkStart w:id="132" w:name="_Toc528186458"/>
    </w:p>
    <w:bookmarkEnd w:id="129"/>
    <w:bookmarkEnd w:id="130"/>
    <w:bookmarkEnd w:id="131"/>
    <w:bookmarkEnd w:id="132"/>
    <w:p w14:paraId="703D894E">
      <w:pPr>
        <w:pageBreakBefore w:val="0"/>
        <w:widowControl w:val="0"/>
        <w:kinsoku/>
        <w:wordWrap/>
        <w:overflowPunct/>
        <w:topLinePunct w:val="0"/>
        <w:bidi w:val="0"/>
        <w:spacing w:line="480" w:lineRule="auto"/>
        <w:ind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本项目不组织现场考察。</w:t>
      </w:r>
    </w:p>
    <w:p w14:paraId="07BF1432">
      <w:pPr>
        <w:pStyle w:val="4"/>
        <w:pageBreakBefore w:val="0"/>
        <w:widowControl w:val="0"/>
        <w:kinsoku/>
        <w:wordWrap/>
        <w:overflowPunct/>
        <w:topLinePunct w:val="0"/>
        <w:bidi w:val="0"/>
        <w:spacing w:before="0" w:after="120" w:afterLines="50" w:line="480" w:lineRule="auto"/>
        <w:ind w:firstLine="422" w:firstLineChars="200"/>
        <w:textAlignment w:val="auto"/>
        <w:rPr>
          <w:rFonts w:hAnsi="宋体" w:cs="宋体"/>
          <w:color w:val="auto"/>
          <w:sz w:val="21"/>
          <w:szCs w:val="21"/>
        </w:rPr>
      </w:pPr>
      <w:bookmarkStart w:id="133" w:name="_Toc528186459"/>
      <w:bookmarkStart w:id="134" w:name="_Toc489197814"/>
      <w:bookmarkStart w:id="135" w:name="_Toc489145710"/>
      <w:bookmarkStart w:id="136" w:name="_Toc1597"/>
      <w:r>
        <w:rPr>
          <w:rFonts w:hint="eastAsia" w:hAnsi="宋体" w:cs="宋体"/>
          <w:color w:val="auto"/>
          <w:sz w:val="21"/>
          <w:szCs w:val="21"/>
        </w:rPr>
        <w:t>7.开标前答疑会</w:t>
      </w:r>
      <w:bookmarkEnd w:id="133"/>
      <w:bookmarkEnd w:id="134"/>
      <w:bookmarkEnd w:id="135"/>
      <w:bookmarkEnd w:id="136"/>
    </w:p>
    <w:p w14:paraId="44ABFB65">
      <w:pPr>
        <w:pStyle w:val="4"/>
        <w:pageBreakBefore w:val="0"/>
        <w:widowControl w:val="0"/>
        <w:kinsoku/>
        <w:wordWrap/>
        <w:overflowPunct/>
        <w:topLinePunct w:val="0"/>
        <w:bidi w:val="0"/>
        <w:spacing w:before="0" w:after="120" w:afterLines="50" w:line="480" w:lineRule="auto"/>
        <w:ind w:firstLine="420" w:firstLineChars="200"/>
        <w:textAlignment w:val="auto"/>
        <w:outlineLvl w:val="3"/>
        <w:rPr>
          <w:rFonts w:hAnsi="宋体" w:cs="宋体"/>
          <w:b w:val="0"/>
          <w:color w:val="auto"/>
          <w:sz w:val="21"/>
          <w:szCs w:val="21"/>
        </w:rPr>
      </w:pPr>
      <w:r>
        <w:rPr>
          <w:rFonts w:hint="eastAsia" w:hAnsi="宋体" w:cs="宋体"/>
          <w:b w:val="0"/>
          <w:color w:val="auto"/>
          <w:sz w:val="21"/>
          <w:szCs w:val="21"/>
        </w:rPr>
        <w:t>本项目不举办开标前答疑会。</w:t>
      </w:r>
    </w:p>
    <w:p w14:paraId="1619D8C6">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r>
        <w:rPr>
          <w:rFonts w:hint="eastAsia" w:hAnsi="宋体" w:cs="宋体"/>
          <w:color w:val="auto"/>
          <w:sz w:val="21"/>
          <w:szCs w:val="21"/>
        </w:rPr>
        <w:t>8.质疑</w:t>
      </w:r>
      <w:bookmarkEnd w:id="125"/>
      <w:bookmarkEnd w:id="126"/>
      <w:bookmarkEnd w:id="127"/>
      <w:bookmarkEnd w:id="128"/>
    </w:p>
    <w:p w14:paraId="1E45342F">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bookmarkStart w:id="137" w:name="_Toc489145712"/>
      <w:bookmarkStart w:id="138" w:name="_Toc489197816"/>
      <w:r>
        <w:rPr>
          <w:rFonts w:hint="eastAsia" w:ascii="宋体" w:hAnsi="宋体"/>
          <w:b w:val="0"/>
          <w:bCs/>
          <w:color w:val="auto"/>
          <w:sz w:val="21"/>
          <w:szCs w:val="21"/>
        </w:rPr>
        <w:t>8.1投标人认为招标文件、采购过程、中标结果使自己的权益受到损害的，可以在知道或者应知其权益受到损害之日起7个工作日内，以书面形式向</w:t>
      </w:r>
      <w:r>
        <w:rPr>
          <w:rFonts w:hint="eastAsia" w:ascii="宋体" w:hAnsi="宋体"/>
          <w:b w:val="0"/>
          <w:bCs/>
          <w:color w:val="auto"/>
          <w:sz w:val="21"/>
          <w:szCs w:val="21"/>
          <w:lang w:eastAsia="zh-CN"/>
        </w:rPr>
        <w:t>采购人</w:t>
      </w:r>
      <w:r>
        <w:rPr>
          <w:rFonts w:hint="eastAsia" w:ascii="宋体" w:hAnsi="宋体"/>
          <w:b w:val="0"/>
          <w:bCs/>
          <w:color w:val="auto"/>
          <w:sz w:val="21"/>
          <w:szCs w:val="21"/>
        </w:rPr>
        <w:t>、</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机构提出质疑。投标人应在法定质疑期内一次性提出针对同一采购程序环节的质疑，否则</w:t>
      </w:r>
      <w:r>
        <w:rPr>
          <w:rFonts w:hint="eastAsia" w:ascii="宋体" w:hAnsi="宋体"/>
          <w:b w:val="0"/>
          <w:bCs/>
          <w:color w:val="auto"/>
          <w:sz w:val="21"/>
          <w:szCs w:val="21"/>
          <w:lang w:eastAsia="zh-CN"/>
        </w:rPr>
        <w:t>采购人</w:t>
      </w:r>
      <w:r>
        <w:rPr>
          <w:rFonts w:hint="eastAsia" w:ascii="宋体" w:hAnsi="宋体"/>
          <w:b w:val="0"/>
          <w:bCs/>
          <w:color w:val="auto"/>
          <w:sz w:val="21"/>
          <w:szCs w:val="21"/>
        </w:rPr>
        <w:t>、</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机构有权拒收。</w:t>
      </w:r>
    </w:p>
    <w:p w14:paraId="36948346">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8.2招标文件第二章《投标人须知》8.1条中“知道或者应知其权益受到损害之日”是指：</w:t>
      </w:r>
    </w:p>
    <w:p w14:paraId="3C2DFB42">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（一）对认为有疑问的招标文件提出质疑的，为收到招标文件之日或者招标文件公告期限届满之日；</w:t>
      </w:r>
    </w:p>
    <w:p w14:paraId="6F357923">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（二）对采购过程提出质疑的，为各采购程序环节结束之日；</w:t>
      </w:r>
    </w:p>
    <w:p w14:paraId="5604AF42">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（三）对中标或者成交结果提出质疑的，为中标或者成交结果公告期限届满之日。</w:t>
      </w:r>
    </w:p>
    <w:p w14:paraId="0F5451CF">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8.3投标人可以委托代理人进行质疑。其授权委托书应当载明代理人的姓名或者名称、代理事项、具体权限、期限和相关事项。投标人为法人或者其他组织的，应当由法定代表人、主要负责人签字或者盖章，并加盖公章。代理人提出质疑，应当提交投标人签署的授权委托书。</w:t>
      </w:r>
    </w:p>
    <w:p w14:paraId="10EBDC4D">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提出质疑的投标人应当是参与所质疑项目采购活动的投标人。</w:t>
      </w:r>
    </w:p>
    <w:p w14:paraId="6CC9740D">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8.4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57F3F0E7">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（一）投标人的姓名或者名称、地址、邮编、联系人及联系电话；</w:t>
      </w:r>
    </w:p>
    <w:p w14:paraId="134C8011">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（二）质疑项目的名称、编号；</w:t>
      </w:r>
    </w:p>
    <w:p w14:paraId="202EE53E">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（三）具体、明确的质疑事项和与质疑事项相关的请求；</w:t>
      </w:r>
    </w:p>
    <w:p w14:paraId="134229E6">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（四）事实依据；</w:t>
      </w:r>
    </w:p>
    <w:p w14:paraId="649C8DB9">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（五）必要的法律依据；</w:t>
      </w:r>
    </w:p>
    <w:p w14:paraId="298B2AAE">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（六）提出质疑的日期。</w:t>
      </w:r>
    </w:p>
    <w:p w14:paraId="685339A7">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投标人为法人或者其他组织的，应当由法定代表人、主要负责人，或者其授权代表签字或者盖章，并加盖公章。</w:t>
      </w:r>
    </w:p>
    <w:p w14:paraId="66B80FA4">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8.5投标人不得捏造事实、提供虚假材料或者以非法手段取得证明材料。</w:t>
      </w:r>
    </w:p>
    <w:p w14:paraId="6E0AB2A1">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8.6质疑函应当使用中文。相关当事人提供外文书证或者外国语视听资料的，应当附有中文译本，由翻译机构盖章或者翻译人员签名。</w:t>
      </w:r>
    </w:p>
    <w:p w14:paraId="5ACAFF33">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8.7</w:t>
      </w:r>
      <w:r>
        <w:rPr>
          <w:rFonts w:hint="eastAsia" w:ascii="宋体" w:hAnsi="宋体"/>
          <w:b w:val="0"/>
          <w:bCs/>
          <w:color w:val="auto"/>
          <w:sz w:val="21"/>
          <w:szCs w:val="21"/>
          <w:lang w:eastAsia="zh-CN"/>
        </w:rPr>
        <w:t>采购人</w:t>
      </w:r>
      <w:r>
        <w:rPr>
          <w:rFonts w:hint="eastAsia" w:ascii="宋体" w:hAnsi="宋体"/>
          <w:b w:val="0"/>
          <w:bCs/>
          <w:color w:val="auto"/>
          <w:sz w:val="21"/>
          <w:szCs w:val="21"/>
        </w:rPr>
        <w:t>、</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机构将在收到投标人质疑函后七个工作日内作出答复，但质疑答复的内容不涉及商业秘密。</w:t>
      </w:r>
    </w:p>
    <w:p w14:paraId="36DC7831">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8.8投标人对评审过程、中标结果提出质疑的，</w:t>
      </w:r>
      <w:r>
        <w:rPr>
          <w:rFonts w:hint="eastAsia" w:ascii="宋体" w:hAnsi="宋体"/>
          <w:b w:val="0"/>
          <w:bCs/>
          <w:color w:val="auto"/>
          <w:sz w:val="21"/>
          <w:szCs w:val="21"/>
          <w:lang w:eastAsia="zh-CN"/>
        </w:rPr>
        <w:t>采购人</w:t>
      </w:r>
      <w:r>
        <w:rPr>
          <w:rFonts w:hint="eastAsia" w:ascii="宋体" w:hAnsi="宋体"/>
          <w:b w:val="0"/>
          <w:bCs/>
          <w:color w:val="auto"/>
          <w:sz w:val="21"/>
          <w:szCs w:val="21"/>
        </w:rPr>
        <w:t>、</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机构可以组织原评标委员会协助答复质疑。质疑答复导致中标结果改变的，</w:t>
      </w:r>
      <w:r>
        <w:rPr>
          <w:rFonts w:hint="eastAsia" w:ascii="宋体" w:hAnsi="宋体"/>
          <w:b w:val="0"/>
          <w:bCs/>
          <w:color w:val="auto"/>
          <w:sz w:val="21"/>
          <w:szCs w:val="21"/>
          <w:lang w:eastAsia="zh-CN"/>
        </w:rPr>
        <w:t>采购人</w:t>
      </w:r>
      <w:r>
        <w:rPr>
          <w:rFonts w:hint="eastAsia" w:ascii="宋体" w:hAnsi="宋体"/>
          <w:b w:val="0"/>
          <w:bCs/>
          <w:color w:val="auto"/>
          <w:sz w:val="21"/>
          <w:szCs w:val="21"/>
        </w:rPr>
        <w:t>或者</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机构会将有关情况书面报告本级财政部门。</w:t>
      </w:r>
    </w:p>
    <w:p w14:paraId="514A8A1A">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8.9接收质疑函的方式：书面方式；接收质疑函的部门：</w:t>
      </w:r>
      <w:r>
        <w:rPr>
          <w:rFonts w:hint="eastAsia" w:ascii="宋体" w:hAnsi="宋体"/>
          <w:b w:val="0"/>
          <w:bCs/>
          <w:color w:val="auto"/>
          <w:sz w:val="21"/>
          <w:szCs w:val="21"/>
          <w:lang w:val="en-US" w:eastAsia="zh-CN"/>
        </w:rPr>
        <w:t>云南傲真工程咨询有限公司</w:t>
      </w:r>
      <w:r>
        <w:rPr>
          <w:rFonts w:hint="eastAsia" w:ascii="宋体" w:hAnsi="宋体"/>
          <w:b w:val="0"/>
          <w:bCs/>
          <w:color w:val="auto"/>
          <w:sz w:val="21"/>
          <w:szCs w:val="21"/>
        </w:rPr>
        <w:t>；联系人</w:t>
      </w:r>
      <w:r>
        <w:rPr>
          <w:rFonts w:hint="eastAsia" w:ascii="宋体" w:hAnsi="宋体"/>
          <w:b w:val="0"/>
          <w:bCs/>
          <w:color w:val="000000" w:themeColor="text1"/>
          <w:sz w:val="21"/>
          <w:szCs w:val="21"/>
          <w:highlight w:val="none"/>
          <w14:textFill>
            <w14:solidFill>
              <w14:schemeClr w14:val="tx1"/>
            </w14:solidFill>
          </w14:textFill>
        </w:rPr>
        <w:t>：</w:t>
      </w:r>
      <w:r>
        <w:rPr>
          <w:rFonts w:hint="eastAsia" w:ascii="宋体" w:hAnsi="宋体"/>
          <w:b w:val="0"/>
          <w:bCs/>
          <w:color w:val="000000" w:themeColor="text1"/>
          <w:kern w:val="0"/>
          <w:sz w:val="21"/>
          <w:szCs w:val="21"/>
          <w:highlight w:val="none"/>
          <w:lang w:val="en-US" w:eastAsia="zh-CN"/>
          <w14:textFill>
            <w14:solidFill>
              <w14:schemeClr w14:val="tx1"/>
            </w14:solidFill>
          </w14:textFill>
        </w:rPr>
        <w:t>李工</w:t>
      </w:r>
      <w:r>
        <w:rPr>
          <w:rFonts w:hint="eastAsia" w:ascii="宋体" w:hAnsi="宋体"/>
          <w:b w:val="0"/>
          <w:bCs/>
          <w:color w:val="000000" w:themeColor="text1"/>
          <w:sz w:val="21"/>
          <w:szCs w:val="21"/>
          <w:highlight w:val="none"/>
          <w14:textFill>
            <w14:solidFill>
              <w14:schemeClr w14:val="tx1"/>
            </w14:solidFill>
          </w14:textFill>
        </w:rPr>
        <w:t>，</w:t>
      </w:r>
      <w:r>
        <w:rPr>
          <w:rFonts w:hint="eastAsia" w:ascii="宋体" w:hAnsi="宋体"/>
          <w:b w:val="0"/>
          <w:bCs/>
          <w:color w:val="auto"/>
          <w:sz w:val="21"/>
          <w:szCs w:val="21"/>
        </w:rPr>
        <w:t>联系电话：0879-</w:t>
      </w:r>
      <w:r>
        <w:rPr>
          <w:rFonts w:hint="eastAsia" w:ascii="宋体" w:hAnsi="宋体"/>
          <w:b w:val="0"/>
          <w:bCs/>
          <w:color w:val="auto"/>
          <w:sz w:val="21"/>
          <w:szCs w:val="21"/>
          <w:lang w:val="en-US" w:eastAsia="zh-CN"/>
        </w:rPr>
        <w:t>2828106</w:t>
      </w:r>
      <w:r>
        <w:rPr>
          <w:rFonts w:hint="eastAsia" w:ascii="宋体" w:hAnsi="宋体"/>
          <w:b w:val="0"/>
          <w:bCs/>
          <w:color w:val="auto"/>
          <w:sz w:val="21"/>
          <w:szCs w:val="21"/>
        </w:rPr>
        <w:t>；通讯地址：普洱市思茅区</w:t>
      </w:r>
      <w:r>
        <w:rPr>
          <w:rFonts w:hint="eastAsia" w:ascii="宋体" w:hAnsi="宋体"/>
          <w:b w:val="0"/>
          <w:bCs/>
          <w:color w:val="auto"/>
          <w:sz w:val="21"/>
          <w:szCs w:val="21"/>
          <w:lang w:val="en-US" w:eastAsia="zh-CN"/>
        </w:rPr>
        <w:t>龙生路65号</w:t>
      </w:r>
      <w:r>
        <w:rPr>
          <w:rFonts w:hint="eastAsia" w:ascii="宋体" w:hAnsi="宋体"/>
          <w:b w:val="0"/>
          <w:bCs/>
          <w:color w:val="auto"/>
          <w:sz w:val="21"/>
          <w:szCs w:val="21"/>
        </w:rPr>
        <w:t>。</w:t>
      </w:r>
    </w:p>
    <w:p w14:paraId="64568586">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139" w:name="_Toc16412"/>
      <w:bookmarkStart w:id="140" w:name="_Toc528186461"/>
      <w:r>
        <w:rPr>
          <w:rFonts w:hint="eastAsia" w:hAnsi="宋体" w:cs="宋体"/>
          <w:color w:val="auto"/>
          <w:sz w:val="21"/>
          <w:szCs w:val="21"/>
        </w:rPr>
        <w:t>9.投诉</w:t>
      </w:r>
      <w:bookmarkEnd w:id="137"/>
      <w:bookmarkEnd w:id="138"/>
      <w:bookmarkEnd w:id="139"/>
      <w:bookmarkEnd w:id="140"/>
    </w:p>
    <w:p w14:paraId="79451E0A">
      <w:pPr>
        <w:pageBreakBefore w:val="0"/>
        <w:widowControl w:val="0"/>
        <w:kinsoku/>
        <w:wordWrap/>
        <w:overflowPunct/>
        <w:topLinePunct w:val="0"/>
        <w:bidi w:val="0"/>
        <w:spacing w:line="480" w:lineRule="auto"/>
        <w:ind w:left="480" w:leftChars="200" w:firstLine="420"/>
        <w:jc w:val="left"/>
        <w:textAlignment w:val="auto"/>
        <w:rPr>
          <w:rFonts w:ascii="宋体" w:hAnsi="宋体"/>
          <w:color w:val="auto"/>
          <w:sz w:val="21"/>
          <w:szCs w:val="21"/>
        </w:rPr>
      </w:pPr>
      <w:r>
        <w:rPr>
          <w:rFonts w:hint="eastAsia" w:ascii="宋体" w:hAnsi="宋体"/>
          <w:b w:val="0"/>
          <w:bCs/>
          <w:color w:val="auto"/>
          <w:sz w:val="21"/>
          <w:szCs w:val="21"/>
        </w:rPr>
        <w:t>9.1投诉必须首先经过质疑程序。质疑人对</w:t>
      </w:r>
      <w:r>
        <w:rPr>
          <w:rFonts w:hint="eastAsia" w:ascii="宋体" w:hAnsi="宋体"/>
          <w:b w:val="0"/>
          <w:bCs/>
          <w:color w:val="auto"/>
          <w:sz w:val="21"/>
          <w:szCs w:val="21"/>
          <w:lang w:eastAsia="zh-CN"/>
        </w:rPr>
        <w:t>采购人</w:t>
      </w:r>
      <w:r>
        <w:rPr>
          <w:rFonts w:hint="eastAsia" w:ascii="宋体" w:hAnsi="宋体"/>
          <w:b w:val="0"/>
          <w:bCs/>
          <w:color w:val="auto"/>
          <w:sz w:val="21"/>
          <w:szCs w:val="21"/>
        </w:rPr>
        <w:t>、</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机构的答复不满意，或者</w:t>
      </w:r>
      <w:r>
        <w:rPr>
          <w:rFonts w:hint="eastAsia" w:ascii="宋体" w:hAnsi="宋体"/>
          <w:b w:val="0"/>
          <w:bCs/>
          <w:color w:val="auto"/>
          <w:sz w:val="21"/>
          <w:szCs w:val="21"/>
          <w:lang w:eastAsia="zh-CN"/>
        </w:rPr>
        <w:t>采购人</w:t>
      </w:r>
      <w:r>
        <w:rPr>
          <w:rFonts w:hint="eastAsia" w:ascii="宋体" w:hAnsi="宋体"/>
          <w:b w:val="0"/>
          <w:bCs/>
          <w:color w:val="auto"/>
          <w:sz w:val="21"/>
          <w:szCs w:val="21"/>
        </w:rPr>
        <w:t>、</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机构未在规定的时间内做出答复的，可以在答复期满后十五个工作日内书面向同级财政部门提出投诉。</w:t>
      </w:r>
    </w:p>
    <w:p w14:paraId="476610E3">
      <w:pPr>
        <w:pStyle w:val="3"/>
        <w:pageBreakBefore w:val="0"/>
        <w:widowControl w:val="0"/>
        <w:kinsoku/>
        <w:wordWrap/>
        <w:overflowPunct/>
        <w:topLinePunct w:val="0"/>
        <w:bidi w:val="0"/>
        <w:spacing w:before="0" w:line="480" w:lineRule="auto"/>
        <w:jc w:val="center"/>
        <w:textAlignment w:val="auto"/>
        <w:rPr>
          <w:rFonts w:ascii="宋体" w:hAnsi="宋体" w:cs="宋体"/>
          <w:color w:val="auto"/>
          <w:sz w:val="28"/>
          <w:szCs w:val="28"/>
        </w:rPr>
      </w:pPr>
      <w:bookmarkStart w:id="141" w:name="_Toc246996187"/>
      <w:bookmarkStart w:id="142" w:name="_Toc378239079"/>
      <w:bookmarkStart w:id="143" w:name="_Toc246996930"/>
      <w:bookmarkStart w:id="144" w:name="_Toc17348"/>
      <w:bookmarkStart w:id="145" w:name="_Toc23329"/>
      <w:bookmarkStart w:id="146" w:name="_Toc528186462"/>
      <w:bookmarkStart w:id="147" w:name="_Toc488633605"/>
      <w:bookmarkStart w:id="148" w:name="_Toc144974510"/>
      <w:bookmarkStart w:id="149" w:name="_Toc401342135"/>
      <w:bookmarkStart w:id="150" w:name="_Toc247085701"/>
      <w:bookmarkStart w:id="151" w:name="_Toc152042318"/>
      <w:bookmarkStart w:id="152" w:name="_Toc378239352"/>
      <w:bookmarkStart w:id="153" w:name="_Toc179632560"/>
      <w:bookmarkStart w:id="154" w:name="_Toc489197817"/>
      <w:bookmarkStart w:id="155" w:name="_Toc489145713"/>
      <w:bookmarkStart w:id="156" w:name="_Toc378239171"/>
      <w:bookmarkStart w:id="157" w:name="_Toc480817644"/>
      <w:bookmarkStart w:id="158" w:name="_Toc296602432"/>
      <w:bookmarkStart w:id="159" w:name="_Toc152045542"/>
      <w:r>
        <w:rPr>
          <w:rFonts w:hint="eastAsia" w:ascii="宋体" w:hAnsi="宋体" w:cs="宋体"/>
          <w:color w:val="auto"/>
          <w:sz w:val="28"/>
          <w:szCs w:val="28"/>
        </w:rPr>
        <w:t>二、招标文件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3889A252">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160" w:name="_Toc296602433"/>
      <w:bookmarkStart w:id="161" w:name="_Toc489197818"/>
      <w:bookmarkStart w:id="162" w:name="_Toc246996931"/>
      <w:bookmarkStart w:id="163" w:name="_Toc246996188"/>
      <w:bookmarkStart w:id="164" w:name="_Toc179632561"/>
      <w:bookmarkStart w:id="165" w:name="_Toc247085702"/>
      <w:bookmarkStart w:id="166" w:name="_Toc489145714"/>
      <w:bookmarkStart w:id="167" w:name="_Toc152045543"/>
      <w:bookmarkStart w:id="168" w:name="_Toc152042319"/>
      <w:bookmarkStart w:id="169" w:name="_Toc144974511"/>
      <w:bookmarkStart w:id="170" w:name="_Toc528186463"/>
      <w:bookmarkStart w:id="171" w:name="_Toc3451"/>
      <w:r>
        <w:rPr>
          <w:rFonts w:hint="eastAsia" w:hAnsi="宋体" w:cs="宋体"/>
          <w:color w:val="auto"/>
          <w:sz w:val="21"/>
          <w:szCs w:val="21"/>
        </w:rPr>
        <w:t>10.</w:t>
      </w:r>
      <w:bookmarkEnd w:id="160"/>
      <w:bookmarkEnd w:id="161"/>
      <w:bookmarkEnd w:id="162"/>
      <w:bookmarkEnd w:id="163"/>
      <w:bookmarkEnd w:id="164"/>
      <w:bookmarkEnd w:id="165"/>
      <w:bookmarkEnd w:id="166"/>
      <w:bookmarkEnd w:id="167"/>
      <w:bookmarkEnd w:id="168"/>
      <w:bookmarkEnd w:id="169"/>
      <w:bookmarkStart w:id="172" w:name="_Toc489197819"/>
      <w:bookmarkStart w:id="173" w:name="_Toc489145715"/>
      <w:r>
        <w:rPr>
          <w:rFonts w:hint="eastAsia" w:hAnsi="宋体" w:cs="宋体"/>
          <w:color w:val="auto"/>
          <w:sz w:val="21"/>
          <w:szCs w:val="21"/>
        </w:rPr>
        <w:t>招标文件的组成</w:t>
      </w:r>
      <w:bookmarkEnd w:id="170"/>
      <w:bookmarkEnd w:id="171"/>
      <w:bookmarkEnd w:id="172"/>
      <w:bookmarkEnd w:id="173"/>
    </w:p>
    <w:p w14:paraId="7DA8834C">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10.1</w:t>
      </w:r>
      <w:r>
        <w:rPr>
          <w:rFonts w:hint="eastAsia" w:ascii="宋体" w:hAnsi="宋体"/>
          <w:b w:val="0"/>
          <w:bCs/>
          <w:color w:val="auto"/>
          <w:sz w:val="21"/>
          <w:szCs w:val="21"/>
          <w:lang w:eastAsia="zh-CN"/>
        </w:rPr>
        <w:t>采购人</w:t>
      </w:r>
      <w:r>
        <w:rPr>
          <w:rFonts w:hint="eastAsia" w:ascii="宋体" w:hAnsi="宋体"/>
          <w:b w:val="0"/>
          <w:bCs/>
          <w:color w:val="auto"/>
          <w:sz w:val="21"/>
          <w:szCs w:val="21"/>
        </w:rPr>
        <w:t>要求提供的货物、工程或者服务、采购过程及合同条款在招标文件中均有说明，招标文件共六章，各章的内容如下：</w:t>
      </w:r>
    </w:p>
    <w:p w14:paraId="0ECC6884">
      <w:pPr>
        <w:pageBreakBefore w:val="0"/>
        <w:widowControl w:val="0"/>
        <w:kinsoku/>
        <w:wordWrap/>
        <w:overflowPunct/>
        <w:topLinePunct w:val="0"/>
        <w:bidi w:val="0"/>
        <w:spacing w:line="480" w:lineRule="auto"/>
        <w:ind w:firstLine="840" w:firstLineChars="400"/>
        <w:jc w:val="left"/>
        <w:textAlignment w:val="auto"/>
        <w:rPr>
          <w:rFonts w:ascii="宋体" w:hAnsi="宋体"/>
          <w:b w:val="0"/>
          <w:bCs/>
          <w:color w:val="auto"/>
          <w:sz w:val="21"/>
          <w:szCs w:val="21"/>
        </w:rPr>
      </w:pPr>
      <w:r>
        <w:rPr>
          <w:rFonts w:hint="eastAsia" w:ascii="宋体" w:hAnsi="宋体"/>
          <w:b w:val="0"/>
          <w:bCs/>
          <w:color w:val="auto"/>
          <w:sz w:val="21"/>
          <w:szCs w:val="21"/>
        </w:rPr>
        <w:t>第一章  招标公告</w:t>
      </w:r>
    </w:p>
    <w:p w14:paraId="2D4E6BC4">
      <w:pPr>
        <w:pageBreakBefore w:val="0"/>
        <w:widowControl w:val="0"/>
        <w:kinsoku/>
        <w:wordWrap/>
        <w:overflowPunct/>
        <w:topLinePunct w:val="0"/>
        <w:bidi w:val="0"/>
        <w:spacing w:line="480" w:lineRule="auto"/>
        <w:ind w:firstLine="840" w:firstLineChars="400"/>
        <w:jc w:val="left"/>
        <w:textAlignment w:val="auto"/>
        <w:rPr>
          <w:rFonts w:ascii="宋体" w:hAnsi="宋体"/>
          <w:b w:val="0"/>
          <w:bCs/>
          <w:color w:val="auto"/>
          <w:sz w:val="21"/>
          <w:szCs w:val="21"/>
        </w:rPr>
      </w:pPr>
      <w:r>
        <w:rPr>
          <w:rFonts w:hint="eastAsia" w:ascii="宋体" w:hAnsi="宋体"/>
          <w:b w:val="0"/>
          <w:bCs/>
          <w:color w:val="auto"/>
          <w:sz w:val="21"/>
          <w:szCs w:val="21"/>
        </w:rPr>
        <w:t>第二章  投标人须知</w:t>
      </w:r>
    </w:p>
    <w:p w14:paraId="643CEDDD">
      <w:pPr>
        <w:pageBreakBefore w:val="0"/>
        <w:widowControl w:val="0"/>
        <w:kinsoku/>
        <w:wordWrap/>
        <w:overflowPunct/>
        <w:topLinePunct w:val="0"/>
        <w:bidi w:val="0"/>
        <w:spacing w:line="480" w:lineRule="auto"/>
        <w:ind w:firstLine="840" w:firstLineChars="400"/>
        <w:jc w:val="left"/>
        <w:textAlignment w:val="auto"/>
        <w:rPr>
          <w:rFonts w:ascii="宋体" w:hAnsi="宋体"/>
          <w:b w:val="0"/>
          <w:bCs/>
          <w:color w:val="auto"/>
          <w:sz w:val="21"/>
          <w:szCs w:val="21"/>
        </w:rPr>
      </w:pPr>
      <w:r>
        <w:rPr>
          <w:rFonts w:hint="eastAsia" w:ascii="宋体" w:hAnsi="宋体"/>
          <w:b w:val="0"/>
          <w:bCs/>
          <w:color w:val="auto"/>
          <w:sz w:val="21"/>
          <w:szCs w:val="21"/>
        </w:rPr>
        <w:t>第三章  合同书样式及主要条款</w:t>
      </w:r>
    </w:p>
    <w:p w14:paraId="55CE6D94">
      <w:pPr>
        <w:pageBreakBefore w:val="0"/>
        <w:widowControl w:val="0"/>
        <w:kinsoku/>
        <w:wordWrap/>
        <w:overflowPunct/>
        <w:topLinePunct w:val="0"/>
        <w:bidi w:val="0"/>
        <w:spacing w:line="480" w:lineRule="auto"/>
        <w:ind w:firstLine="840" w:firstLineChars="400"/>
        <w:jc w:val="left"/>
        <w:textAlignment w:val="auto"/>
        <w:rPr>
          <w:rFonts w:ascii="宋体" w:hAnsi="宋体"/>
          <w:b w:val="0"/>
          <w:bCs/>
          <w:color w:val="auto"/>
          <w:sz w:val="21"/>
          <w:szCs w:val="21"/>
        </w:rPr>
      </w:pPr>
      <w:r>
        <w:rPr>
          <w:rFonts w:hint="eastAsia" w:ascii="宋体" w:hAnsi="宋体"/>
          <w:b w:val="0"/>
          <w:bCs/>
          <w:color w:val="auto"/>
          <w:sz w:val="21"/>
          <w:szCs w:val="21"/>
        </w:rPr>
        <w:t>第四章  投标文件格式</w:t>
      </w:r>
    </w:p>
    <w:p w14:paraId="2A710497">
      <w:pPr>
        <w:pageBreakBefore w:val="0"/>
        <w:widowControl w:val="0"/>
        <w:kinsoku/>
        <w:wordWrap/>
        <w:overflowPunct/>
        <w:topLinePunct w:val="0"/>
        <w:bidi w:val="0"/>
        <w:spacing w:line="480" w:lineRule="auto"/>
        <w:ind w:firstLine="840" w:firstLineChars="400"/>
        <w:jc w:val="left"/>
        <w:textAlignment w:val="auto"/>
        <w:rPr>
          <w:rFonts w:ascii="宋体" w:hAnsi="宋体"/>
          <w:b w:val="0"/>
          <w:bCs/>
          <w:color w:val="auto"/>
          <w:sz w:val="21"/>
          <w:szCs w:val="21"/>
        </w:rPr>
      </w:pPr>
      <w:r>
        <w:rPr>
          <w:rFonts w:hint="eastAsia" w:ascii="宋体" w:hAnsi="宋体"/>
          <w:b w:val="0"/>
          <w:bCs/>
          <w:color w:val="auto"/>
          <w:sz w:val="21"/>
          <w:szCs w:val="21"/>
        </w:rPr>
        <w:t>第五章  评标方法（综合评分法）</w:t>
      </w:r>
    </w:p>
    <w:p w14:paraId="16A386C7">
      <w:pPr>
        <w:pageBreakBefore w:val="0"/>
        <w:widowControl w:val="0"/>
        <w:kinsoku/>
        <w:wordWrap/>
        <w:overflowPunct/>
        <w:topLinePunct w:val="0"/>
        <w:bidi w:val="0"/>
        <w:spacing w:line="480" w:lineRule="auto"/>
        <w:ind w:firstLine="840" w:firstLineChars="400"/>
        <w:jc w:val="left"/>
        <w:textAlignment w:val="auto"/>
        <w:rPr>
          <w:rFonts w:ascii="宋体" w:hAnsi="宋体"/>
          <w:b w:val="0"/>
          <w:bCs/>
          <w:color w:val="auto"/>
          <w:sz w:val="21"/>
          <w:szCs w:val="21"/>
        </w:rPr>
      </w:pPr>
      <w:r>
        <w:rPr>
          <w:rFonts w:hint="eastAsia" w:ascii="宋体" w:hAnsi="宋体"/>
          <w:b w:val="0"/>
          <w:bCs/>
          <w:color w:val="auto"/>
          <w:sz w:val="21"/>
          <w:szCs w:val="21"/>
        </w:rPr>
        <w:t>第六章  采购内容</w:t>
      </w:r>
    </w:p>
    <w:p w14:paraId="57BE930B">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174" w:name="_Toc246996189"/>
      <w:bookmarkStart w:id="175" w:name="_Toc19872"/>
      <w:bookmarkStart w:id="176" w:name="_Toc152045544"/>
      <w:bookmarkStart w:id="177" w:name="_Toc247085703"/>
      <w:bookmarkStart w:id="178" w:name="_Toc296602434"/>
      <w:bookmarkStart w:id="179" w:name="_Toc246996932"/>
      <w:bookmarkStart w:id="180" w:name="_Toc144974512"/>
      <w:bookmarkStart w:id="181" w:name="_Toc489197820"/>
      <w:bookmarkStart w:id="182" w:name="_Toc489145716"/>
      <w:bookmarkStart w:id="183" w:name="_Toc179632562"/>
      <w:bookmarkStart w:id="184" w:name="_Toc528186464"/>
      <w:bookmarkStart w:id="185" w:name="_Toc152042320"/>
      <w:r>
        <w:rPr>
          <w:rFonts w:hint="eastAsia" w:hAnsi="宋体" w:cs="宋体"/>
          <w:color w:val="auto"/>
          <w:sz w:val="21"/>
          <w:szCs w:val="21"/>
        </w:rPr>
        <w:t>11. 招标文件的询问、澄清、修改</w:t>
      </w:r>
      <w:bookmarkEnd w:id="174"/>
      <w:bookmarkEnd w:id="175"/>
      <w:bookmarkEnd w:id="176"/>
      <w:bookmarkEnd w:id="177"/>
      <w:bookmarkEnd w:id="178"/>
      <w:bookmarkEnd w:id="179"/>
      <w:bookmarkEnd w:id="180"/>
      <w:bookmarkEnd w:id="181"/>
      <w:bookmarkEnd w:id="182"/>
      <w:bookmarkEnd w:id="183"/>
      <w:bookmarkEnd w:id="184"/>
      <w:bookmarkEnd w:id="185"/>
    </w:p>
    <w:p w14:paraId="55CC119E">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bookmarkStart w:id="186" w:name="_Toc488633606"/>
      <w:bookmarkStart w:id="187" w:name="_Toc480817645"/>
      <w:bookmarkStart w:id="188" w:name="_Toc489145717"/>
      <w:bookmarkStart w:id="189" w:name="_Toc489197821"/>
      <w:bookmarkStart w:id="190" w:name="_Toc378239353"/>
      <w:bookmarkStart w:id="191" w:name="_Toc152042322"/>
      <w:bookmarkStart w:id="192" w:name="_Toc528186465"/>
      <w:bookmarkStart w:id="193" w:name="_Toc246996934"/>
      <w:bookmarkStart w:id="194" w:name="_Toc144974514"/>
      <w:bookmarkStart w:id="195" w:name="_Toc378239172"/>
      <w:bookmarkStart w:id="196" w:name="_Toc246996191"/>
      <w:bookmarkStart w:id="197" w:name="_Toc296602436"/>
      <w:bookmarkStart w:id="198" w:name="_Toc179632564"/>
      <w:bookmarkStart w:id="199" w:name="_Toc29509"/>
      <w:bookmarkStart w:id="200" w:name="_Toc378239080"/>
      <w:bookmarkStart w:id="201" w:name="_Toc247085705"/>
      <w:bookmarkStart w:id="202" w:name="_Toc401342136"/>
      <w:bookmarkStart w:id="203" w:name="_Toc152045546"/>
      <w:r>
        <w:rPr>
          <w:rFonts w:hint="eastAsia" w:ascii="宋体" w:hAnsi="宋体"/>
          <w:b w:val="0"/>
          <w:bCs/>
          <w:color w:val="auto"/>
          <w:sz w:val="21"/>
          <w:szCs w:val="21"/>
        </w:rPr>
        <w:t>11.1投标人应认真阅读招标文件，如有疑问的，投标人可以向</w:t>
      </w:r>
      <w:r>
        <w:rPr>
          <w:rFonts w:hint="eastAsia" w:ascii="宋体" w:hAnsi="宋体"/>
          <w:b w:val="0"/>
          <w:bCs/>
          <w:color w:val="auto"/>
          <w:sz w:val="21"/>
          <w:szCs w:val="21"/>
          <w:lang w:eastAsia="zh-CN"/>
        </w:rPr>
        <w:t>采购人</w:t>
      </w:r>
      <w:r>
        <w:rPr>
          <w:rFonts w:hint="eastAsia" w:ascii="宋体" w:hAnsi="宋体"/>
          <w:b w:val="0"/>
          <w:bCs/>
          <w:color w:val="auto"/>
          <w:sz w:val="21"/>
          <w:szCs w:val="21"/>
        </w:rPr>
        <w:t>或</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机构提出询问或者凭企业数字证书（CA）登录</w:t>
      </w:r>
      <w:r>
        <w:rPr>
          <w:rFonts w:hint="eastAsia" w:ascii="宋体" w:hAnsi="宋体" w:eastAsia="宋体" w:cs="宋体"/>
          <w:color w:val="auto"/>
          <w:sz w:val="21"/>
          <w:szCs w:val="21"/>
          <w:highlight w:val="none"/>
        </w:rPr>
        <w:t>政采云”平台（http：//www.zcygov.cn）</w:t>
      </w:r>
      <w:r>
        <w:rPr>
          <w:rFonts w:hint="eastAsia" w:ascii="宋体" w:hAnsi="宋体"/>
          <w:b w:val="0"/>
          <w:bCs/>
          <w:color w:val="auto"/>
          <w:sz w:val="21"/>
          <w:szCs w:val="21"/>
        </w:rPr>
        <w:t>，通过在线方式提出询问（不署名），</w:t>
      </w:r>
      <w:r>
        <w:rPr>
          <w:rFonts w:hint="eastAsia" w:ascii="宋体" w:hAnsi="宋体"/>
          <w:b w:val="0"/>
          <w:bCs/>
          <w:color w:val="auto"/>
          <w:sz w:val="21"/>
          <w:szCs w:val="21"/>
          <w:lang w:eastAsia="zh-CN"/>
        </w:rPr>
        <w:t>采购人</w:t>
      </w:r>
      <w:r>
        <w:rPr>
          <w:rFonts w:hint="eastAsia" w:ascii="宋体" w:hAnsi="宋体"/>
          <w:b w:val="0"/>
          <w:bCs/>
          <w:color w:val="auto"/>
          <w:sz w:val="21"/>
          <w:szCs w:val="21"/>
        </w:rPr>
        <w:t>或者</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机构在接到询问后的3个工作日内对投标人依法提出的询问作出答复，但答复的内容不涉及商业秘密。</w:t>
      </w:r>
    </w:p>
    <w:p w14:paraId="0983A646">
      <w:pPr>
        <w:pageBreakBefore w:val="0"/>
        <w:widowControl w:val="0"/>
        <w:kinsoku/>
        <w:wordWrap/>
        <w:overflowPunct/>
        <w:topLinePunct w:val="0"/>
        <w:bidi w:val="0"/>
        <w:spacing w:line="480" w:lineRule="auto"/>
        <w:ind w:left="480" w:leftChars="200" w:firstLine="420"/>
        <w:jc w:val="left"/>
        <w:textAlignment w:val="auto"/>
        <w:outlineLvl w:val="3"/>
        <w:rPr>
          <w:rFonts w:ascii="宋体" w:hAnsi="宋体"/>
          <w:b w:val="0"/>
          <w:bCs/>
          <w:color w:val="auto"/>
          <w:sz w:val="21"/>
          <w:szCs w:val="21"/>
        </w:rPr>
      </w:pPr>
      <w:r>
        <w:rPr>
          <w:rFonts w:hint="eastAsia" w:ascii="宋体" w:hAnsi="宋体"/>
          <w:b w:val="0"/>
          <w:bCs/>
          <w:color w:val="auto"/>
          <w:sz w:val="21"/>
          <w:szCs w:val="21"/>
        </w:rPr>
        <w:t>11.2招标文件询问联系方式：详见《投标人须知前附表》。</w:t>
      </w:r>
    </w:p>
    <w:p w14:paraId="3F63E6AC">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11.3</w:t>
      </w:r>
      <w:r>
        <w:rPr>
          <w:rFonts w:hint="eastAsia" w:ascii="宋体" w:hAnsi="宋体"/>
          <w:b w:val="0"/>
          <w:bCs/>
          <w:color w:val="auto"/>
          <w:sz w:val="21"/>
          <w:szCs w:val="21"/>
          <w:lang w:eastAsia="zh-CN"/>
        </w:rPr>
        <w:t>采购人</w:t>
      </w:r>
      <w:r>
        <w:rPr>
          <w:rFonts w:hint="eastAsia" w:ascii="宋体" w:hAnsi="宋体"/>
          <w:b w:val="0"/>
          <w:bCs/>
          <w:color w:val="auto"/>
          <w:sz w:val="21"/>
          <w:szCs w:val="21"/>
        </w:rPr>
        <w:t>、</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机构可以对已发出的招标文件进行必要的澄清或者修改，澄清或者修改的内容作为招标文件的组成部分。</w:t>
      </w:r>
      <w:r>
        <w:rPr>
          <w:rFonts w:hint="eastAsia" w:ascii="宋体" w:hAnsi="宋体"/>
          <w:b w:val="0"/>
          <w:bCs/>
          <w:color w:val="auto"/>
          <w:sz w:val="21"/>
          <w:szCs w:val="21"/>
          <w:lang w:eastAsia="zh-CN"/>
        </w:rPr>
        <w:t>采购人</w:t>
      </w:r>
      <w:r>
        <w:rPr>
          <w:rFonts w:hint="eastAsia" w:ascii="宋体" w:hAnsi="宋体"/>
          <w:b w:val="0"/>
          <w:bCs/>
          <w:color w:val="auto"/>
          <w:sz w:val="21"/>
          <w:szCs w:val="21"/>
        </w:rPr>
        <w:t>、</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w:t>
      </w:r>
      <w:r>
        <w:rPr>
          <w:rFonts w:hint="eastAsia" w:ascii="宋体" w:hAnsi="宋体"/>
          <w:b w:val="0"/>
          <w:bCs/>
          <w:color w:val="auto"/>
          <w:sz w:val="21"/>
          <w:szCs w:val="21"/>
          <w:lang w:eastAsia="zh-CN"/>
        </w:rPr>
        <w:t>采购人</w:t>
      </w:r>
      <w:r>
        <w:rPr>
          <w:rFonts w:hint="eastAsia" w:ascii="宋体" w:hAnsi="宋体"/>
          <w:b w:val="0"/>
          <w:bCs/>
          <w:color w:val="auto"/>
          <w:sz w:val="21"/>
          <w:szCs w:val="21"/>
        </w:rPr>
        <w:t>或者</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机构将在投标截止时间至少15日前，以网上电子文件形式通知所有接收招标文件的投标人，不足15日的，</w:t>
      </w:r>
      <w:r>
        <w:rPr>
          <w:rFonts w:hint="eastAsia" w:ascii="宋体" w:hAnsi="宋体"/>
          <w:b w:val="0"/>
          <w:bCs/>
          <w:color w:val="auto"/>
          <w:sz w:val="21"/>
          <w:szCs w:val="21"/>
          <w:lang w:eastAsia="zh-CN"/>
        </w:rPr>
        <w:t>采购人</w:t>
      </w:r>
      <w:r>
        <w:rPr>
          <w:rFonts w:hint="eastAsia" w:ascii="宋体" w:hAnsi="宋体"/>
          <w:b w:val="0"/>
          <w:bCs/>
          <w:color w:val="auto"/>
          <w:sz w:val="21"/>
          <w:szCs w:val="21"/>
        </w:rPr>
        <w:t>或者</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机构将顺延提交投标文件的截止时间。投标人应在投标文件提交截止时间前及时登录</w:t>
      </w:r>
      <w:r>
        <w:rPr>
          <w:rFonts w:hint="eastAsia" w:ascii="宋体" w:hAnsi="宋体" w:eastAsia="宋体" w:cs="宋体"/>
          <w:color w:val="auto"/>
          <w:sz w:val="21"/>
          <w:szCs w:val="21"/>
          <w:highlight w:val="none"/>
        </w:rPr>
        <w:t>政采云”平台（http：//www.zcygov.cn）</w:t>
      </w:r>
      <w:r>
        <w:rPr>
          <w:rFonts w:hint="eastAsia" w:ascii="宋体" w:hAnsi="宋体"/>
          <w:b w:val="0"/>
          <w:bCs/>
          <w:color w:val="auto"/>
          <w:sz w:val="21"/>
          <w:szCs w:val="21"/>
        </w:rPr>
        <w:t>中查看有关该项目招标文件的澄清、修改内容。如因投标人自身原因导致未及时查看有关该项目招标文件的澄清、修改内容，由此造成的一切后果由投标自行承担。</w:t>
      </w:r>
    </w:p>
    <w:p w14:paraId="214A79D4">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11.4投标人确认收到招标文件澄清、修改后，应在收到澄清、修改后24小时内以书面形式通知</w:t>
      </w:r>
      <w:r>
        <w:rPr>
          <w:rFonts w:hint="eastAsia" w:ascii="宋体" w:hAnsi="宋体"/>
          <w:b w:val="0"/>
          <w:bCs/>
          <w:color w:val="auto"/>
          <w:sz w:val="21"/>
          <w:szCs w:val="21"/>
          <w:lang w:eastAsia="zh-CN"/>
        </w:rPr>
        <w:t>采购人</w:t>
      </w:r>
      <w:r>
        <w:rPr>
          <w:rFonts w:hint="eastAsia" w:ascii="宋体" w:hAnsi="宋体"/>
          <w:b w:val="0"/>
          <w:bCs/>
          <w:color w:val="auto"/>
          <w:sz w:val="21"/>
          <w:szCs w:val="21"/>
        </w:rPr>
        <w:t>或</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机构，确认已收到该澄清、修改。</w:t>
      </w:r>
    </w:p>
    <w:p w14:paraId="0AEF1F07">
      <w:pPr>
        <w:pStyle w:val="3"/>
        <w:pageBreakBefore w:val="0"/>
        <w:widowControl w:val="0"/>
        <w:kinsoku/>
        <w:wordWrap/>
        <w:overflowPunct/>
        <w:topLinePunct w:val="0"/>
        <w:bidi w:val="0"/>
        <w:spacing w:before="0" w:line="480" w:lineRule="auto"/>
        <w:jc w:val="center"/>
        <w:textAlignment w:val="auto"/>
        <w:rPr>
          <w:rFonts w:ascii="宋体" w:hAnsi="宋体" w:cs="宋体"/>
          <w:color w:val="auto"/>
          <w:sz w:val="28"/>
          <w:szCs w:val="28"/>
        </w:rPr>
      </w:pPr>
      <w:bookmarkStart w:id="204" w:name="_Toc9031"/>
      <w:r>
        <w:rPr>
          <w:rFonts w:hint="eastAsia" w:ascii="宋体" w:hAnsi="宋体" w:cs="宋体"/>
          <w:color w:val="auto"/>
          <w:sz w:val="28"/>
          <w:szCs w:val="28"/>
        </w:rPr>
        <w:t>三、投标文件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483317CC">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205" w:name="_Toc528186466"/>
      <w:bookmarkStart w:id="206" w:name="_Toc489197822"/>
      <w:bookmarkStart w:id="207" w:name="_Toc489145718"/>
      <w:bookmarkStart w:id="208" w:name="_Toc19711"/>
      <w:r>
        <w:rPr>
          <w:rFonts w:hint="eastAsia" w:hAnsi="宋体" w:cs="宋体"/>
          <w:color w:val="auto"/>
          <w:sz w:val="21"/>
          <w:szCs w:val="21"/>
        </w:rPr>
        <w:t>12. 投标文件编写注意事项</w:t>
      </w:r>
      <w:bookmarkEnd w:id="205"/>
      <w:bookmarkEnd w:id="206"/>
      <w:bookmarkEnd w:id="207"/>
      <w:bookmarkEnd w:id="208"/>
    </w:p>
    <w:p w14:paraId="50ACE253">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12.1 投标人应仔细阅读招标文件，在完全了解采购内容、技术性能要求和商务条件后，根据招标文件要求编写投标文件。</w:t>
      </w:r>
    </w:p>
    <w:p w14:paraId="6E7247D7">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12.2 对招标文件提出的实质性要求和条件作出响应是指投标人的投标文件必须对招标文件中规定的实质性要求和条件作出满足或者优于原要求和条件的承诺，并提供相应的证明材料，否则按无效处理。</w:t>
      </w:r>
    </w:p>
    <w:p w14:paraId="1F396056">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12.3提交投标文件截止时间前，潜在投标人放弃投标的，需向</w:t>
      </w:r>
      <w:r>
        <w:rPr>
          <w:rFonts w:hint="eastAsia" w:ascii="宋体" w:hAnsi="宋体"/>
          <w:b w:val="0"/>
          <w:bCs/>
          <w:color w:val="auto"/>
          <w:sz w:val="21"/>
          <w:szCs w:val="21"/>
          <w:lang w:eastAsia="zh-CN"/>
        </w:rPr>
        <w:t>采购人</w:t>
      </w:r>
      <w:r>
        <w:rPr>
          <w:rFonts w:hint="eastAsia" w:ascii="宋体" w:hAnsi="宋体"/>
          <w:b w:val="0"/>
          <w:bCs/>
          <w:color w:val="auto"/>
          <w:sz w:val="21"/>
          <w:szCs w:val="21"/>
        </w:rPr>
        <w:t>或</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机构以书面形式提交放弃函。</w:t>
      </w:r>
    </w:p>
    <w:p w14:paraId="2EA68C30">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209" w:name="_Toc528186467"/>
      <w:bookmarkStart w:id="210" w:name="_Toc18689"/>
      <w:bookmarkStart w:id="211" w:name="_Toc489145719"/>
      <w:bookmarkStart w:id="212" w:name="_Toc489197823"/>
      <w:r>
        <w:rPr>
          <w:rFonts w:hint="eastAsia" w:hAnsi="宋体" w:cs="宋体"/>
          <w:color w:val="auto"/>
          <w:sz w:val="21"/>
          <w:szCs w:val="21"/>
        </w:rPr>
        <w:t>13. 语言文字</w:t>
      </w:r>
      <w:bookmarkEnd w:id="209"/>
      <w:bookmarkEnd w:id="210"/>
      <w:bookmarkEnd w:id="211"/>
      <w:bookmarkEnd w:id="212"/>
    </w:p>
    <w:p w14:paraId="5B4C0D88">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13.1投标人的投标文件以及投标人与</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机构就有关投标的所有来往函电统一使用中文（特别规定除外）。</w:t>
      </w:r>
    </w:p>
    <w:p w14:paraId="6723382E">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213" w:name="_Toc489197824"/>
      <w:bookmarkStart w:id="214" w:name="_Toc528186468"/>
      <w:bookmarkStart w:id="215" w:name="_Toc15852"/>
      <w:bookmarkStart w:id="216" w:name="_Toc489145720"/>
      <w:r>
        <w:rPr>
          <w:rFonts w:hint="eastAsia" w:hAnsi="宋体" w:cs="宋体"/>
          <w:color w:val="auto"/>
          <w:sz w:val="21"/>
          <w:szCs w:val="21"/>
        </w:rPr>
        <w:t>14. 计量单位</w:t>
      </w:r>
      <w:bookmarkEnd w:id="213"/>
      <w:bookmarkEnd w:id="214"/>
      <w:bookmarkEnd w:id="215"/>
      <w:bookmarkEnd w:id="216"/>
    </w:p>
    <w:p w14:paraId="20DB985E">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14.1投标文件中使用的计量单位除招标文件中有特殊规定外，一律使用中国法定计量单位。</w:t>
      </w:r>
    </w:p>
    <w:p w14:paraId="67074664">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217" w:name="_Toc296602437"/>
      <w:bookmarkStart w:id="218" w:name="_Toc152045547"/>
      <w:bookmarkStart w:id="219" w:name="_Toc179632565"/>
      <w:bookmarkStart w:id="220" w:name="_Toc246996192"/>
      <w:bookmarkStart w:id="221" w:name="_Toc247085706"/>
      <w:bookmarkStart w:id="222" w:name="_Toc489197825"/>
      <w:bookmarkStart w:id="223" w:name="_Toc246996935"/>
      <w:bookmarkStart w:id="224" w:name="_Toc528186469"/>
      <w:bookmarkStart w:id="225" w:name="_Toc26375"/>
      <w:bookmarkStart w:id="226" w:name="_Toc489145721"/>
      <w:bookmarkStart w:id="227" w:name="_Toc152042323"/>
      <w:bookmarkStart w:id="228" w:name="_Toc144974515"/>
      <w:r>
        <w:rPr>
          <w:rFonts w:hint="eastAsia" w:hAnsi="宋体" w:cs="宋体"/>
          <w:color w:val="auto"/>
          <w:sz w:val="21"/>
          <w:szCs w:val="21"/>
        </w:rPr>
        <w:t>15. 投标文件的组成</w:t>
      </w:r>
      <w:bookmarkEnd w:id="217"/>
      <w:bookmarkEnd w:id="218"/>
      <w:bookmarkEnd w:id="219"/>
      <w:bookmarkEnd w:id="220"/>
      <w:bookmarkEnd w:id="221"/>
      <w:bookmarkEnd w:id="222"/>
      <w:bookmarkEnd w:id="223"/>
      <w:bookmarkEnd w:id="224"/>
      <w:bookmarkEnd w:id="225"/>
      <w:bookmarkEnd w:id="226"/>
      <w:bookmarkEnd w:id="227"/>
      <w:bookmarkEnd w:id="228"/>
    </w:p>
    <w:p w14:paraId="5BE613E2">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15.1投标人编写的投标文件应由下列部分构成，并按第四章《投标文件格式》要求填写。有关文件的提交如未特别注明需提供原件的，可提供复印件。</w:t>
      </w:r>
    </w:p>
    <w:p w14:paraId="2106DEC0">
      <w:pPr>
        <w:pageBreakBefore w:val="0"/>
        <w:widowControl w:val="0"/>
        <w:kinsoku/>
        <w:wordWrap/>
        <w:overflowPunct/>
        <w:topLinePunct w:val="0"/>
        <w:bidi w:val="0"/>
        <w:spacing w:line="480" w:lineRule="auto"/>
        <w:ind w:left="480" w:leftChars="200" w:firstLine="420"/>
        <w:jc w:val="left"/>
        <w:textAlignment w:val="auto"/>
        <w:outlineLvl w:val="3"/>
        <w:rPr>
          <w:rFonts w:ascii="宋体" w:hAnsi="宋体"/>
          <w:b w:val="0"/>
          <w:bCs/>
          <w:color w:val="auto"/>
          <w:sz w:val="21"/>
          <w:szCs w:val="21"/>
        </w:rPr>
      </w:pPr>
      <w:r>
        <w:rPr>
          <w:rFonts w:hint="eastAsia" w:ascii="宋体" w:hAnsi="宋体"/>
          <w:b w:val="0"/>
          <w:bCs/>
          <w:color w:val="auto"/>
          <w:sz w:val="21"/>
          <w:szCs w:val="21"/>
        </w:rPr>
        <w:t>15.2构成投标文件的其他资料：详见《投标人须知前附表》。</w:t>
      </w:r>
    </w:p>
    <w:p w14:paraId="54CFFFFA">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229" w:name="_Toc19471"/>
      <w:bookmarkStart w:id="230" w:name="_Toc489145722"/>
      <w:bookmarkStart w:id="231" w:name="_Toc528186470"/>
      <w:bookmarkStart w:id="232" w:name="_Toc489197826"/>
      <w:r>
        <w:rPr>
          <w:rFonts w:hint="eastAsia" w:hAnsi="宋体" w:cs="宋体"/>
          <w:color w:val="auto"/>
          <w:sz w:val="21"/>
          <w:szCs w:val="21"/>
        </w:rPr>
        <w:t>16. 投标文件的格式要求</w:t>
      </w:r>
      <w:bookmarkEnd w:id="229"/>
      <w:bookmarkEnd w:id="230"/>
      <w:bookmarkEnd w:id="231"/>
      <w:bookmarkEnd w:id="232"/>
    </w:p>
    <w:p w14:paraId="1745C7A5">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r>
        <w:rPr>
          <w:rFonts w:hint="eastAsia" w:hAnsi="宋体" w:cs="宋体"/>
          <w:b w:val="0"/>
          <w:bCs/>
          <w:color w:val="auto"/>
          <w:sz w:val="21"/>
          <w:szCs w:val="21"/>
        </w:rPr>
        <w:t>16.1投标人应按第四章《投标文件格式》提供的格式完整地填写，未按招标文件规定格式填写的投标文件按无效投标处理。</w:t>
      </w:r>
      <w:r>
        <w:rPr>
          <w:rFonts w:hint="eastAsia" w:hAnsi="宋体" w:cs="宋体"/>
          <w:b w:val="0"/>
          <w:bCs/>
          <w:color w:val="auto"/>
          <w:sz w:val="21"/>
          <w:szCs w:val="21"/>
        </w:rPr>
        <w:tab/>
      </w:r>
      <w:r>
        <w:rPr>
          <w:rFonts w:hint="eastAsia" w:hAnsi="宋体" w:cs="宋体"/>
          <w:b w:val="0"/>
          <w:bCs/>
          <w:color w:val="auto"/>
          <w:sz w:val="21"/>
          <w:szCs w:val="21"/>
        </w:rPr>
        <w:tab/>
      </w:r>
      <w:r>
        <w:rPr>
          <w:rFonts w:hint="eastAsia" w:hAnsi="宋体" w:cs="宋体"/>
          <w:b w:val="0"/>
          <w:bCs/>
          <w:color w:val="auto"/>
          <w:sz w:val="21"/>
          <w:szCs w:val="21"/>
        </w:rPr>
        <w:tab/>
      </w:r>
    </w:p>
    <w:p w14:paraId="7805576F">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w:t>
      </w:r>
      <w:bookmarkStart w:id="233" w:name="_Toc246996938"/>
      <w:bookmarkStart w:id="234" w:name="_Toc246996195"/>
      <w:bookmarkStart w:id="235" w:name="_Toc152042326"/>
      <w:bookmarkStart w:id="236" w:name="_Toc152045550"/>
      <w:bookmarkStart w:id="237" w:name="_Toc144974518"/>
      <w:bookmarkStart w:id="238" w:name="_Toc296602440"/>
      <w:bookmarkStart w:id="239" w:name="_Toc247085709"/>
      <w:bookmarkStart w:id="240" w:name="_Toc179632568"/>
      <w:r>
        <w:rPr>
          <w:rFonts w:hint="eastAsia" w:ascii="宋体" w:hAnsi="宋体"/>
          <w:b w:val="0"/>
          <w:bCs/>
          <w:color w:val="auto"/>
          <w:sz w:val="21"/>
          <w:szCs w:val="21"/>
        </w:rPr>
        <w:t>8.1、投标人应按《投标人须知前附表》</w:t>
      </w:r>
      <w:bookmarkEnd w:id="233"/>
      <w:bookmarkEnd w:id="234"/>
      <w:bookmarkEnd w:id="235"/>
      <w:bookmarkEnd w:id="236"/>
      <w:bookmarkEnd w:id="237"/>
      <w:bookmarkEnd w:id="238"/>
      <w:bookmarkEnd w:id="239"/>
      <w:bookmarkEnd w:id="240"/>
      <w:r>
        <w:rPr>
          <w:rFonts w:hint="eastAsia" w:ascii="宋体" w:hAnsi="宋体"/>
          <w:b w:val="0"/>
          <w:bCs/>
          <w:color w:val="auto"/>
          <w:sz w:val="21"/>
          <w:szCs w:val="21"/>
        </w:rPr>
        <w:t>规定的金额、形式交纳投标保证金，投标保证金须在投标文件提交截止时间前从投标人基本账户交纳到《投标人须知前附表》规定的帐户，投标人未按照招标文件要求提交投标保证金的，投标无效。</w:t>
      </w:r>
    </w:p>
    <w:p w14:paraId="509C0784">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18.2、在中标通知书发出后5个工作日内退还未中标投标人的投标保证金，中标人的投标保证金在采购合同签订后5个工作日内退还，但因投标人自身原因导致无法及时退还的除外。出现下列情形之一的，投标保证金不予退还：</w:t>
      </w:r>
    </w:p>
    <w:p w14:paraId="41911E2D">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（1）投标人在提交投标文件截止时间后撤销投标文件的；</w:t>
      </w:r>
    </w:p>
    <w:p w14:paraId="5D166288">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（2）投标人在投标文件中提供虚假材料的；</w:t>
      </w:r>
    </w:p>
    <w:p w14:paraId="1EF6B254">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（3）除因不可抗力或招标文件认可的情形以外，中标人不与</w:t>
      </w:r>
      <w:r>
        <w:rPr>
          <w:rFonts w:hint="eastAsia" w:ascii="宋体" w:hAnsi="宋体"/>
          <w:b w:val="0"/>
          <w:bCs/>
          <w:color w:val="auto"/>
          <w:sz w:val="21"/>
          <w:szCs w:val="21"/>
          <w:lang w:eastAsia="zh-CN"/>
        </w:rPr>
        <w:t>采购人</w:t>
      </w:r>
      <w:r>
        <w:rPr>
          <w:rFonts w:hint="eastAsia" w:ascii="宋体" w:hAnsi="宋体"/>
          <w:b w:val="0"/>
          <w:bCs/>
          <w:color w:val="auto"/>
          <w:sz w:val="21"/>
          <w:szCs w:val="21"/>
        </w:rPr>
        <w:t>签订合同的；</w:t>
      </w:r>
    </w:p>
    <w:p w14:paraId="395AD8AA">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（4）投标人与</w:t>
      </w:r>
      <w:r>
        <w:rPr>
          <w:rFonts w:hint="eastAsia" w:ascii="宋体" w:hAnsi="宋体"/>
          <w:b w:val="0"/>
          <w:bCs/>
          <w:color w:val="auto"/>
          <w:sz w:val="21"/>
          <w:szCs w:val="21"/>
          <w:lang w:eastAsia="zh-CN"/>
        </w:rPr>
        <w:t>采购人</w:t>
      </w:r>
      <w:r>
        <w:rPr>
          <w:rFonts w:hint="eastAsia" w:ascii="宋体" w:hAnsi="宋体"/>
          <w:b w:val="0"/>
          <w:bCs/>
          <w:color w:val="auto"/>
          <w:sz w:val="21"/>
          <w:szCs w:val="21"/>
        </w:rPr>
        <w:t>、其他投标人或者</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机构恶意串通的；</w:t>
      </w:r>
    </w:p>
    <w:p w14:paraId="2BA0A822">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（5）招标文件规定的其他情形。</w:t>
      </w:r>
    </w:p>
    <w:p w14:paraId="659C482B">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241" w:name="_Toc489145725"/>
      <w:bookmarkStart w:id="242" w:name="_Toc17475"/>
      <w:bookmarkStart w:id="243" w:name="_Toc528186473"/>
      <w:bookmarkStart w:id="244" w:name="_Toc489197829"/>
      <w:r>
        <w:rPr>
          <w:rFonts w:hint="eastAsia" w:hAnsi="宋体" w:cs="宋体"/>
          <w:color w:val="auto"/>
          <w:sz w:val="21"/>
          <w:szCs w:val="21"/>
        </w:rPr>
        <w:t>19. 投标文件的编制</w:t>
      </w:r>
      <w:bookmarkEnd w:id="241"/>
      <w:bookmarkEnd w:id="242"/>
      <w:bookmarkEnd w:id="243"/>
      <w:bookmarkEnd w:id="244"/>
      <w:bookmarkStart w:id="245" w:name="_Toc296602442"/>
      <w:r>
        <w:rPr>
          <w:rFonts w:hint="eastAsia" w:hAnsi="宋体" w:cs="宋体"/>
          <w:color w:val="auto"/>
          <w:sz w:val="21"/>
          <w:szCs w:val="21"/>
        </w:rPr>
        <w:tab/>
      </w:r>
    </w:p>
    <w:bookmarkEnd w:id="245"/>
    <w:p w14:paraId="775154D0">
      <w:pPr>
        <w:pageBreakBefore w:val="0"/>
        <w:widowControl w:val="0"/>
        <w:kinsoku/>
        <w:wordWrap/>
        <w:overflowPunct/>
        <w:topLinePunct w:val="0"/>
        <w:autoSpaceDE/>
        <w:autoSpaceDN/>
        <w:bidi w:val="0"/>
        <w:adjustRightInd/>
        <w:snapToGrid/>
        <w:spacing w:line="480" w:lineRule="auto"/>
        <w:ind w:firstLine="840" w:firstLineChars="400"/>
        <w:jc w:val="left"/>
        <w:textAlignment w:val="auto"/>
        <w:rPr>
          <w:rFonts w:hint="eastAsia" w:ascii="宋体" w:hAnsi="宋体" w:eastAsia="宋体" w:cs="宋体"/>
          <w:color w:val="auto"/>
          <w:sz w:val="21"/>
          <w:szCs w:val="21"/>
        </w:rPr>
      </w:pPr>
      <w:bookmarkStart w:id="246" w:name="_Toc489197830"/>
      <w:bookmarkStart w:id="247" w:name="_Toc528186474"/>
      <w:bookmarkStart w:id="248" w:name="_Toc489145726"/>
      <w:r>
        <w:rPr>
          <w:rFonts w:hint="eastAsia" w:ascii="宋体" w:hAnsi="宋体"/>
          <w:b w:val="0"/>
          <w:bCs/>
          <w:color w:val="auto"/>
          <w:sz w:val="21"/>
          <w:szCs w:val="21"/>
        </w:rPr>
        <w:t>19.1</w:t>
      </w:r>
      <w:r>
        <w:rPr>
          <w:rFonts w:hint="eastAsia" w:ascii="宋体" w:hAnsi="宋体" w:eastAsia="宋体" w:cs="宋体"/>
          <w:color w:val="auto"/>
          <w:sz w:val="21"/>
          <w:szCs w:val="21"/>
          <w:lang w:val="en-US" w:eastAsia="zh-CN"/>
        </w:rPr>
        <w:t>投标人</w:t>
      </w:r>
      <w:r>
        <w:rPr>
          <w:rFonts w:hint="eastAsia" w:ascii="宋体" w:hAnsi="宋体" w:eastAsia="宋体" w:cs="宋体"/>
          <w:color w:val="auto"/>
          <w:sz w:val="21"/>
          <w:szCs w:val="21"/>
        </w:rPr>
        <w:t>进行电子交易应安装客户端软件—“政采云电子交易客户端”，并按照磋商文件和电子交易平台的要求编制并加密响应文件。供应商未按规定加密的响应文件，电子交易平台将拒收并提示。</w:t>
      </w:r>
    </w:p>
    <w:p w14:paraId="489DD072">
      <w:pPr>
        <w:pageBreakBefore w:val="0"/>
        <w:widowControl w:val="0"/>
        <w:kinsoku/>
        <w:wordWrap/>
        <w:overflowPunct/>
        <w:topLinePunct w:val="0"/>
        <w:autoSpaceDE/>
        <w:autoSpaceDN/>
        <w:bidi w:val="0"/>
        <w:adjustRightInd/>
        <w:snapToGrid/>
        <w:spacing w:line="480" w:lineRule="auto"/>
        <w:ind w:firstLine="632" w:firstLineChars="3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19.2</w:t>
      </w:r>
      <w:r>
        <w:rPr>
          <w:rFonts w:hint="eastAsia" w:ascii="宋体" w:hAnsi="宋体" w:eastAsia="宋体" w:cs="宋体"/>
          <w:color w:val="auto"/>
          <w:sz w:val="21"/>
          <w:szCs w:val="21"/>
        </w:rPr>
        <w:t>使用“政采云电子交易客户端”需要提前申领 CA 数字证书，详询政采云技术支持电话：4008817190（客服热线）；</w:t>
      </w:r>
    </w:p>
    <w:p w14:paraId="4BCA7797">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19.</w:t>
      </w:r>
      <w:r>
        <w:rPr>
          <w:rFonts w:hint="eastAsia" w:ascii="宋体" w:hAnsi="宋体"/>
          <w:b w:val="0"/>
          <w:bCs/>
          <w:color w:val="auto"/>
          <w:sz w:val="21"/>
          <w:szCs w:val="21"/>
          <w:lang w:val="en-US" w:eastAsia="zh-CN"/>
        </w:rPr>
        <w:t>3</w:t>
      </w:r>
      <w:r>
        <w:rPr>
          <w:rFonts w:hint="eastAsia" w:ascii="宋体" w:hAnsi="宋体"/>
          <w:b w:val="0"/>
          <w:bCs/>
          <w:color w:val="auto"/>
          <w:sz w:val="21"/>
          <w:szCs w:val="21"/>
        </w:rPr>
        <w:t>如投标人提交的电子投标文件不符合（19.1）要求或开标时无法读取导入或解密，其投标文件将不予受理。</w:t>
      </w:r>
    </w:p>
    <w:p w14:paraId="14D8C38B">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19.</w:t>
      </w:r>
      <w:r>
        <w:rPr>
          <w:rFonts w:hint="eastAsia" w:ascii="宋体" w:hAnsi="宋体"/>
          <w:b w:val="0"/>
          <w:bCs/>
          <w:color w:val="auto"/>
          <w:sz w:val="21"/>
          <w:szCs w:val="21"/>
          <w:lang w:val="en-US" w:eastAsia="zh-CN"/>
        </w:rPr>
        <w:t>4</w:t>
      </w:r>
      <w:r>
        <w:rPr>
          <w:rFonts w:hint="eastAsia" w:ascii="宋体" w:hAnsi="宋体"/>
          <w:b w:val="0"/>
          <w:bCs/>
          <w:color w:val="auto"/>
          <w:sz w:val="21"/>
          <w:szCs w:val="21"/>
        </w:rPr>
        <w:t>投标文件中提供的资料（包括复印件）、关键内容必须清晰可辨，若出现字迹潦草、表达不清、未按要求填写而导致非唯一理解，视为未实质性响应招标文件，投标人投标文件将按无效处理。</w:t>
      </w:r>
    </w:p>
    <w:p w14:paraId="07E36EA2">
      <w:pPr>
        <w:pStyle w:val="4"/>
        <w:pageBreakBefore w:val="0"/>
        <w:widowControl w:val="0"/>
        <w:numPr>
          <w:ilvl w:val="0"/>
          <w:numId w:val="2"/>
        </w:numPr>
        <w:kinsoku/>
        <w:wordWrap/>
        <w:overflowPunct/>
        <w:topLinePunct w:val="0"/>
        <w:bidi w:val="0"/>
        <w:spacing w:before="0" w:after="120" w:afterLines="50" w:line="480" w:lineRule="auto"/>
        <w:textAlignment w:val="auto"/>
        <w:rPr>
          <w:rFonts w:hAnsi="宋体" w:cs="宋体"/>
          <w:color w:val="auto"/>
          <w:sz w:val="21"/>
          <w:szCs w:val="21"/>
        </w:rPr>
      </w:pPr>
      <w:bookmarkStart w:id="249" w:name="_Toc10477"/>
      <w:r>
        <w:rPr>
          <w:rFonts w:hint="eastAsia" w:hAnsi="宋体" w:cs="宋体"/>
          <w:color w:val="auto"/>
          <w:sz w:val="21"/>
          <w:szCs w:val="21"/>
        </w:rPr>
        <w:t>投标报价和报价货币</w:t>
      </w:r>
      <w:bookmarkEnd w:id="246"/>
      <w:bookmarkEnd w:id="247"/>
      <w:bookmarkEnd w:id="248"/>
      <w:bookmarkEnd w:id="249"/>
      <w:bookmarkStart w:id="250" w:name="_Toc432194837"/>
      <w:bookmarkStart w:id="251" w:name="_Toc470507051"/>
      <w:bookmarkStart w:id="252" w:name="_Toc86124056"/>
      <w:bookmarkStart w:id="253" w:name="_Toc329810197"/>
      <w:bookmarkStart w:id="254" w:name="_Toc383175063"/>
      <w:bookmarkStart w:id="255" w:name="_Toc432106486"/>
      <w:bookmarkStart w:id="256" w:name="_Toc383175287"/>
      <w:bookmarkStart w:id="257" w:name="_Toc482343737"/>
      <w:bookmarkStart w:id="258" w:name="_Toc383175485"/>
    </w:p>
    <w:bookmarkEnd w:id="250"/>
    <w:bookmarkEnd w:id="251"/>
    <w:bookmarkEnd w:id="252"/>
    <w:bookmarkEnd w:id="253"/>
    <w:bookmarkEnd w:id="254"/>
    <w:bookmarkEnd w:id="255"/>
    <w:bookmarkEnd w:id="256"/>
    <w:bookmarkEnd w:id="257"/>
    <w:bookmarkEnd w:id="258"/>
    <w:p w14:paraId="107D2637">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bookmarkStart w:id="259" w:name="_Toc489197831"/>
      <w:bookmarkStart w:id="260" w:name="_Toc2830"/>
      <w:bookmarkStart w:id="261" w:name="_Toc489145727"/>
      <w:bookmarkStart w:id="262" w:name="_Toc488633607"/>
      <w:bookmarkStart w:id="263" w:name="_Toc528186475"/>
      <w:r>
        <w:rPr>
          <w:rFonts w:hint="eastAsia" w:ascii="宋体" w:hAnsi="宋体"/>
          <w:b w:val="0"/>
          <w:bCs/>
          <w:color w:val="auto"/>
          <w:sz w:val="21"/>
          <w:szCs w:val="21"/>
        </w:rPr>
        <w:t>20.1投标人必须对所投标段内所有内容作出完整唯一的投标报价，不得缺项、漏项，否则投标文件将按无效处理。</w:t>
      </w:r>
    </w:p>
    <w:p w14:paraId="3B4ECF46">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20.2投标报价包括但不限于货物的出厂价、备品备件、专用工具、人员培训、技术服务费用、安装、调试、试运行、验收费用，运费、保险费用及其它一切费用，该报价应符合市场行情并能保证投标人完成履行合同所需的全部费用。合同一旦签订，此价格在合同实施期间将不因市场价格等的变化而调整。项目特别要求提供备品备件的，此部分价格应包含在上述价格中。</w:t>
      </w:r>
    </w:p>
    <w:p w14:paraId="5F247E7E">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20.3投标人应依据招标文件的要求及有关资料，执行国家或行业现行技术、经济标准、定额及规范，根据现行市场价格自行测算出满足采购要求的货物、工程或者服务的投标报价。本次报价包括完成本项目的一切费用。</w:t>
      </w:r>
    </w:p>
    <w:p w14:paraId="5457480E">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20.4无论分项价格是否填报完全，投标报价将被视为已经包含了所有分项价格以及与项目相关的所有货物、工程或者服务费用。由于投标人分项报价填报不完整、不清楚或存在其它任何失误所导致的任何不利后果均由投标人自行承担。</w:t>
      </w:r>
    </w:p>
    <w:p w14:paraId="4FD0BEE7">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20.5除招标文件中指定的标准附件和专用工具外，投标人应提供货物正常运行和常规保养所需的全套标准附件、专用工具和消耗品。投标人在投标文件中需列出这些附件和工具的数量和单价的清单，这些附件和工具的报价的总值需计入投标报价中。</w:t>
      </w:r>
    </w:p>
    <w:p w14:paraId="4E3F80E5">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20.6投标人不得哄抬报价，也不应低于成本价（或进价）报价。评标委员会认为投标人的投标报价或者某些分项报价明显不合理或者低于成本，有可能影响商品质量和不能诚信履约的，将要求其在规定的期限内提供书面文件予以解释说明，并提交相关证明材料；投标人不能证明其报价合理性的，评标委员会将认定投标人投标文件无效。</w:t>
      </w:r>
    </w:p>
    <w:p w14:paraId="29C34FF5">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20.7投标人应保证其提供的货物和服务是全新的，投标人应保证其提供的货物在</w:t>
      </w:r>
      <w:r>
        <w:rPr>
          <w:rFonts w:hint="eastAsia" w:ascii="宋体" w:hAnsi="宋体"/>
          <w:b w:val="0"/>
          <w:bCs/>
          <w:color w:val="auto"/>
          <w:sz w:val="21"/>
          <w:szCs w:val="21"/>
          <w:lang w:eastAsia="zh-CN"/>
        </w:rPr>
        <w:t>采购人</w:t>
      </w:r>
      <w:r>
        <w:rPr>
          <w:rFonts w:hint="eastAsia" w:ascii="宋体" w:hAnsi="宋体"/>
          <w:b w:val="0"/>
          <w:bCs/>
          <w:color w:val="auto"/>
          <w:sz w:val="21"/>
          <w:szCs w:val="21"/>
        </w:rPr>
        <w:t>使用期间不受第三方可能提出的所有权、用益物权、担保物权、占有等一切涉及物权及知识产权、商标权、专利权、著作权等相关权利的起诉。</w:t>
      </w:r>
    </w:p>
    <w:p w14:paraId="16FFB629">
      <w:pPr>
        <w:pageBreakBefore w:val="0"/>
        <w:widowControl w:val="0"/>
        <w:kinsoku/>
        <w:wordWrap/>
        <w:overflowPunct/>
        <w:topLinePunct w:val="0"/>
        <w:bidi w:val="0"/>
        <w:spacing w:line="480" w:lineRule="auto"/>
        <w:ind w:left="480" w:leftChars="200" w:firstLine="420"/>
        <w:jc w:val="left"/>
        <w:textAlignment w:val="auto"/>
        <w:outlineLvl w:val="3"/>
        <w:rPr>
          <w:rFonts w:ascii="宋体" w:hAnsi="宋体"/>
          <w:b w:val="0"/>
          <w:bCs/>
          <w:color w:val="auto"/>
          <w:szCs w:val="21"/>
        </w:rPr>
      </w:pPr>
      <w:r>
        <w:rPr>
          <w:rFonts w:hint="eastAsia" w:ascii="宋体" w:hAnsi="宋体"/>
          <w:b w:val="0"/>
          <w:bCs/>
          <w:color w:val="auto"/>
          <w:sz w:val="21"/>
          <w:szCs w:val="21"/>
        </w:rPr>
        <w:t>20.8报价货币为人民币。</w:t>
      </w:r>
    </w:p>
    <w:p w14:paraId="36BEE62A">
      <w:pPr>
        <w:pStyle w:val="3"/>
        <w:pageBreakBefore w:val="0"/>
        <w:widowControl w:val="0"/>
        <w:kinsoku/>
        <w:wordWrap/>
        <w:overflowPunct/>
        <w:topLinePunct w:val="0"/>
        <w:bidi w:val="0"/>
        <w:spacing w:before="0" w:line="480" w:lineRule="auto"/>
        <w:ind w:firstLine="240"/>
        <w:jc w:val="center"/>
        <w:textAlignment w:val="auto"/>
        <w:rPr>
          <w:rFonts w:ascii="宋体" w:hAnsi="宋体" w:cs="宋体"/>
          <w:color w:val="auto"/>
          <w:sz w:val="28"/>
          <w:szCs w:val="28"/>
        </w:rPr>
      </w:pPr>
      <w:r>
        <w:rPr>
          <w:rFonts w:hint="eastAsia" w:ascii="宋体" w:hAnsi="宋体" w:cs="宋体"/>
          <w:color w:val="auto"/>
          <w:sz w:val="28"/>
          <w:szCs w:val="28"/>
        </w:rPr>
        <w:t>四、投标</w:t>
      </w:r>
      <w:bookmarkEnd w:id="259"/>
      <w:bookmarkEnd w:id="260"/>
      <w:bookmarkEnd w:id="261"/>
      <w:bookmarkEnd w:id="262"/>
      <w:bookmarkEnd w:id="263"/>
    </w:p>
    <w:p w14:paraId="37A79D65">
      <w:pPr>
        <w:pStyle w:val="4"/>
        <w:pageBreakBefore w:val="0"/>
        <w:widowControl w:val="0"/>
        <w:kinsoku/>
        <w:wordWrap/>
        <w:overflowPunct/>
        <w:topLinePunct w:val="0"/>
        <w:bidi w:val="0"/>
        <w:spacing w:before="0" w:after="120" w:afterLines="50" w:line="480" w:lineRule="auto"/>
        <w:ind w:firstLine="0"/>
        <w:textAlignment w:val="auto"/>
        <w:rPr>
          <w:rFonts w:hAnsi="宋体" w:cs="宋体"/>
          <w:color w:val="auto"/>
          <w:sz w:val="21"/>
          <w:szCs w:val="21"/>
        </w:rPr>
      </w:pPr>
      <w:bookmarkStart w:id="264" w:name="_Toc13871"/>
      <w:bookmarkStart w:id="265" w:name="_Toc489145729"/>
      <w:bookmarkStart w:id="266" w:name="_Toc489197833"/>
      <w:bookmarkStart w:id="267" w:name="_Toc528186477"/>
      <w:bookmarkStart w:id="268" w:name="_Toc152042333"/>
      <w:bookmarkStart w:id="269" w:name="_Toc246996201"/>
      <w:bookmarkStart w:id="270" w:name="_Toc152045557"/>
      <w:bookmarkStart w:id="271" w:name="_Toc144974525"/>
      <w:bookmarkStart w:id="272" w:name="_Toc179632575"/>
      <w:bookmarkStart w:id="273" w:name="_Toc247085715"/>
      <w:bookmarkStart w:id="274" w:name="_Toc246996944"/>
      <w:r>
        <w:rPr>
          <w:rFonts w:hint="eastAsia" w:hAnsi="宋体" w:cs="宋体"/>
          <w:color w:val="auto"/>
          <w:sz w:val="21"/>
          <w:szCs w:val="21"/>
        </w:rPr>
        <w:t>21. 投标文件的提交</w:t>
      </w:r>
      <w:bookmarkEnd w:id="264"/>
      <w:bookmarkEnd w:id="265"/>
      <w:bookmarkEnd w:id="266"/>
      <w:bookmarkEnd w:id="267"/>
    </w:p>
    <w:bookmarkEnd w:id="268"/>
    <w:bookmarkEnd w:id="269"/>
    <w:bookmarkEnd w:id="270"/>
    <w:bookmarkEnd w:id="271"/>
    <w:bookmarkEnd w:id="272"/>
    <w:bookmarkEnd w:id="273"/>
    <w:bookmarkEnd w:id="274"/>
    <w:p w14:paraId="787FC409">
      <w:pPr>
        <w:pStyle w:val="4"/>
        <w:pageBreakBefore w:val="0"/>
        <w:widowControl w:val="0"/>
        <w:kinsoku/>
        <w:wordWrap/>
        <w:overflowPunct/>
        <w:topLinePunct w:val="0"/>
        <w:bidi w:val="0"/>
        <w:spacing w:before="0" w:after="120" w:afterLines="50" w:line="480" w:lineRule="auto"/>
        <w:textAlignment w:val="auto"/>
        <w:outlineLvl w:val="3"/>
        <w:rPr>
          <w:rFonts w:hAnsi="宋体" w:cs="宋体"/>
          <w:b w:val="0"/>
          <w:bCs/>
          <w:color w:val="auto"/>
          <w:sz w:val="21"/>
          <w:szCs w:val="21"/>
        </w:rPr>
      </w:pPr>
      <w:bookmarkStart w:id="275" w:name="_Toc30283"/>
      <w:bookmarkStart w:id="276" w:name="_Toc489145730"/>
      <w:bookmarkStart w:id="277" w:name="_Toc489197834"/>
      <w:bookmarkStart w:id="278" w:name="_Toc528186478"/>
      <w:r>
        <w:rPr>
          <w:rFonts w:hint="eastAsia" w:hAnsi="宋体" w:cs="宋体"/>
          <w:b w:val="0"/>
          <w:bCs/>
          <w:color w:val="auto"/>
          <w:sz w:val="21"/>
          <w:szCs w:val="21"/>
        </w:rPr>
        <w:t>21.1 投标人应在投标须知前附表规定的投标截止时间前递交投标文件。</w:t>
      </w:r>
    </w:p>
    <w:p w14:paraId="2825B7DB">
      <w:pPr>
        <w:pStyle w:val="4"/>
        <w:pageBreakBefore w:val="0"/>
        <w:widowControl w:val="0"/>
        <w:kinsoku/>
        <w:wordWrap/>
        <w:overflowPunct/>
        <w:topLinePunct w:val="0"/>
        <w:bidi w:val="0"/>
        <w:spacing w:before="0" w:after="120" w:afterLines="50" w:line="480" w:lineRule="auto"/>
        <w:textAlignment w:val="auto"/>
        <w:rPr>
          <w:rFonts w:hAnsi="宋体" w:cs="宋体"/>
          <w:b w:val="0"/>
          <w:bCs/>
          <w:color w:val="auto"/>
          <w:sz w:val="21"/>
          <w:szCs w:val="21"/>
        </w:rPr>
      </w:pPr>
      <w:r>
        <w:rPr>
          <w:rFonts w:hint="eastAsia" w:hAnsi="宋体" w:cs="宋体"/>
          <w:b w:val="0"/>
          <w:bCs/>
          <w:color w:val="auto"/>
          <w:sz w:val="21"/>
          <w:szCs w:val="21"/>
        </w:rPr>
        <w:t>21.2网上上传投标文件：投标人登录“</w:t>
      </w:r>
      <w:r>
        <w:rPr>
          <w:rFonts w:hint="eastAsia" w:ascii="宋体" w:hAnsi="宋体" w:eastAsia="宋体" w:cs="宋体"/>
          <w:color w:val="auto"/>
          <w:sz w:val="21"/>
          <w:szCs w:val="21"/>
          <w:highlight w:val="none"/>
        </w:rPr>
        <w:t>政采云”平台（http：//www.zcygov.cn）</w:t>
      </w:r>
      <w:r>
        <w:rPr>
          <w:rFonts w:hint="eastAsia" w:hAnsi="宋体" w:cs="宋体"/>
          <w:b w:val="0"/>
          <w:bCs/>
          <w:color w:val="auto"/>
          <w:sz w:val="21"/>
          <w:szCs w:val="21"/>
        </w:rPr>
        <w:t>”，根据拟要投标的项目，按照网上投标系统要求上传投标文件，并完成最后的“确认并电子签名”，打印“上传投标文件回执”，表明投标人网上上传投标文件成功。</w:t>
      </w:r>
    </w:p>
    <w:p w14:paraId="2C619D68">
      <w:pPr>
        <w:pStyle w:val="4"/>
        <w:pageBreakBefore w:val="0"/>
        <w:widowControl w:val="0"/>
        <w:kinsoku/>
        <w:wordWrap/>
        <w:overflowPunct/>
        <w:topLinePunct w:val="0"/>
        <w:bidi w:val="0"/>
        <w:spacing w:before="0" w:after="120" w:afterLines="50" w:line="480" w:lineRule="auto"/>
        <w:textAlignment w:val="auto"/>
        <w:outlineLvl w:val="3"/>
        <w:rPr>
          <w:rFonts w:hAnsi="宋体" w:cs="宋体"/>
          <w:b w:val="0"/>
          <w:bCs/>
          <w:color w:val="auto"/>
          <w:sz w:val="21"/>
          <w:szCs w:val="21"/>
        </w:rPr>
      </w:pPr>
      <w:r>
        <w:rPr>
          <w:rFonts w:hint="eastAsia" w:hAnsi="宋体" w:cs="宋体"/>
          <w:b w:val="0"/>
          <w:bCs/>
          <w:color w:val="auto"/>
          <w:sz w:val="21"/>
          <w:szCs w:val="21"/>
        </w:rPr>
        <w:t>21.3 除投标人须知前附表另有规定外，投标人所递交的投标文件不予退还。</w:t>
      </w:r>
    </w:p>
    <w:p w14:paraId="28754757">
      <w:pPr>
        <w:pStyle w:val="4"/>
        <w:pageBreakBefore w:val="0"/>
        <w:widowControl w:val="0"/>
        <w:kinsoku/>
        <w:wordWrap/>
        <w:overflowPunct/>
        <w:topLinePunct w:val="0"/>
        <w:bidi w:val="0"/>
        <w:spacing w:before="0" w:after="120" w:afterLines="50" w:line="480" w:lineRule="auto"/>
        <w:ind w:firstLine="0"/>
        <w:textAlignment w:val="auto"/>
        <w:rPr>
          <w:rFonts w:hAnsi="宋体" w:cs="宋体"/>
          <w:color w:val="auto"/>
          <w:sz w:val="21"/>
          <w:szCs w:val="21"/>
        </w:rPr>
      </w:pPr>
      <w:r>
        <w:rPr>
          <w:rFonts w:hint="eastAsia" w:hAnsi="宋体" w:cs="宋体"/>
          <w:color w:val="auto"/>
          <w:sz w:val="21"/>
          <w:szCs w:val="21"/>
        </w:rPr>
        <w:t>22. 投标文件的补充、</w:t>
      </w:r>
      <w:bookmarkStart w:id="279" w:name="_Toc152045558"/>
      <w:bookmarkStart w:id="280" w:name="_Toc296602446"/>
      <w:bookmarkStart w:id="281" w:name="_Toc179632576"/>
      <w:bookmarkStart w:id="282" w:name="_Toc247085716"/>
      <w:bookmarkStart w:id="283" w:name="_Toc144974526"/>
      <w:bookmarkStart w:id="284" w:name="_Toc246996202"/>
      <w:bookmarkStart w:id="285" w:name="_Toc246996945"/>
      <w:bookmarkStart w:id="286" w:name="_Toc152042334"/>
      <w:r>
        <w:rPr>
          <w:rFonts w:hint="eastAsia" w:hAnsi="宋体" w:cs="宋体"/>
          <w:color w:val="auto"/>
          <w:sz w:val="21"/>
          <w:szCs w:val="21"/>
        </w:rPr>
        <w:t>修改或者撤回</w:t>
      </w:r>
      <w:bookmarkEnd w:id="275"/>
      <w:bookmarkEnd w:id="276"/>
      <w:bookmarkEnd w:id="277"/>
      <w:bookmarkEnd w:id="278"/>
    </w:p>
    <w:bookmarkEnd w:id="279"/>
    <w:bookmarkEnd w:id="280"/>
    <w:bookmarkEnd w:id="281"/>
    <w:bookmarkEnd w:id="282"/>
    <w:bookmarkEnd w:id="283"/>
    <w:bookmarkEnd w:id="284"/>
    <w:bookmarkEnd w:id="285"/>
    <w:bookmarkEnd w:id="286"/>
    <w:p w14:paraId="47B6B58C">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22.1在投标截止时间前，投标人可以撤回在网上已递交的投标文件，修改后重新递交，无须书面形式通知</w:t>
      </w:r>
      <w:r>
        <w:rPr>
          <w:rFonts w:hint="eastAsia" w:ascii="宋体" w:hAnsi="宋体"/>
          <w:b w:val="0"/>
          <w:bCs/>
          <w:color w:val="auto"/>
          <w:sz w:val="21"/>
          <w:szCs w:val="21"/>
          <w:lang w:eastAsia="zh-CN"/>
        </w:rPr>
        <w:t>采购人</w:t>
      </w:r>
      <w:r>
        <w:rPr>
          <w:rFonts w:hint="eastAsia" w:ascii="宋体" w:hAnsi="宋体"/>
          <w:b w:val="0"/>
          <w:bCs/>
          <w:color w:val="auto"/>
          <w:sz w:val="21"/>
          <w:szCs w:val="21"/>
        </w:rPr>
        <w:t>。</w:t>
      </w:r>
    </w:p>
    <w:p w14:paraId="3C965115">
      <w:pPr>
        <w:pageBreakBefore w:val="0"/>
        <w:widowControl w:val="0"/>
        <w:kinsoku/>
        <w:wordWrap/>
        <w:overflowPunct/>
        <w:topLinePunct w:val="0"/>
        <w:bidi w:val="0"/>
        <w:spacing w:line="480" w:lineRule="auto"/>
        <w:ind w:left="480" w:leftChars="200" w:firstLine="420"/>
        <w:jc w:val="left"/>
        <w:textAlignment w:val="auto"/>
        <w:rPr>
          <w:rFonts w:ascii="宋体" w:hAnsi="宋体"/>
          <w:b w:val="0"/>
          <w:bCs/>
          <w:color w:val="auto"/>
          <w:sz w:val="21"/>
          <w:szCs w:val="21"/>
        </w:rPr>
      </w:pPr>
      <w:r>
        <w:rPr>
          <w:rFonts w:hint="eastAsia" w:ascii="宋体" w:hAnsi="宋体"/>
          <w:b w:val="0"/>
          <w:bCs/>
          <w:color w:val="auto"/>
          <w:sz w:val="21"/>
          <w:szCs w:val="21"/>
        </w:rPr>
        <w:t>22.2 投标人在投标截止时间前撤回已提交的投标文件的，</w:t>
      </w:r>
      <w:r>
        <w:rPr>
          <w:rFonts w:hint="eastAsia" w:ascii="宋体" w:hAnsi="宋体"/>
          <w:b w:val="0"/>
          <w:bCs/>
          <w:color w:val="auto"/>
          <w:sz w:val="21"/>
          <w:szCs w:val="21"/>
          <w:lang w:eastAsia="zh-CN"/>
        </w:rPr>
        <w:t>采购人</w:t>
      </w:r>
      <w:r>
        <w:rPr>
          <w:rFonts w:hint="eastAsia" w:ascii="宋体" w:hAnsi="宋体"/>
          <w:b w:val="0"/>
          <w:bCs/>
          <w:color w:val="auto"/>
          <w:sz w:val="21"/>
          <w:szCs w:val="21"/>
        </w:rPr>
        <w:t>或者</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机构将自收到投标人书面撤回通知之日起5个工作日内，退还已收取的投标保证金，但因投标人自身原因导致无法及时退还的除外。</w:t>
      </w:r>
    </w:p>
    <w:p w14:paraId="43B74FBD">
      <w:pPr>
        <w:pStyle w:val="3"/>
        <w:pageBreakBefore w:val="0"/>
        <w:widowControl w:val="0"/>
        <w:kinsoku/>
        <w:wordWrap/>
        <w:overflowPunct/>
        <w:topLinePunct w:val="0"/>
        <w:bidi w:val="0"/>
        <w:spacing w:before="0" w:line="480" w:lineRule="auto"/>
        <w:jc w:val="center"/>
        <w:textAlignment w:val="auto"/>
        <w:rPr>
          <w:rFonts w:ascii="宋体" w:hAnsi="宋体" w:cs="宋体"/>
          <w:color w:val="auto"/>
          <w:sz w:val="28"/>
          <w:szCs w:val="28"/>
        </w:rPr>
      </w:pPr>
      <w:bookmarkStart w:id="287" w:name="_Toc26828"/>
      <w:bookmarkStart w:id="288" w:name="_Toc489145731"/>
      <w:bookmarkStart w:id="289" w:name="_Toc528186479"/>
      <w:bookmarkStart w:id="290" w:name="_Toc489197835"/>
      <w:bookmarkStart w:id="291" w:name="_Toc488633608"/>
      <w:r>
        <w:rPr>
          <w:rFonts w:hint="eastAsia" w:ascii="宋体" w:hAnsi="宋体" w:cs="宋体"/>
          <w:color w:val="auto"/>
          <w:sz w:val="28"/>
          <w:szCs w:val="28"/>
        </w:rPr>
        <w:t>五、开标</w:t>
      </w:r>
      <w:bookmarkEnd w:id="287"/>
      <w:bookmarkEnd w:id="288"/>
      <w:bookmarkEnd w:id="289"/>
      <w:bookmarkEnd w:id="290"/>
      <w:bookmarkEnd w:id="291"/>
    </w:p>
    <w:p w14:paraId="3F9503C9">
      <w:pPr>
        <w:pStyle w:val="4"/>
        <w:pageBreakBefore w:val="0"/>
        <w:widowControl w:val="0"/>
        <w:kinsoku/>
        <w:wordWrap/>
        <w:overflowPunct/>
        <w:topLinePunct w:val="0"/>
        <w:bidi w:val="0"/>
        <w:spacing w:before="0" w:after="120" w:afterLines="50" w:line="480" w:lineRule="auto"/>
        <w:ind w:firstLine="0"/>
        <w:textAlignment w:val="auto"/>
        <w:rPr>
          <w:rFonts w:hAnsi="宋体" w:cs="宋体"/>
          <w:color w:val="auto"/>
          <w:sz w:val="21"/>
          <w:szCs w:val="21"/>
        </w:rPr>
      </w:pPr>
      <w:bookmarkStart w:id="292" w:name="_Toc489145732"/>
      <w:bookmarkStart w:id="293" w:name="_Toc17981"/>
      <w:bookmarkStart w:id="294" w:name="_Toc528186480"/>
      <w:bookmarkStart w:id="295" w:name="_Toc489197836"/>
      <w:r>
        <w:rPr>
          <w:rFonts w:hint="eastAsia" w:hAnsi="宋体" w:cs="宋体"/>
          <w:color w:val="auto"/>
          <w:sz w:val="21"/>
          <w:szCs w:val="21"/>
        </w:rPr>
        <w:t>23. 开标</w:t>
      </w:r>
      <w:bookmarkEnd w:id="292"/>
      <w:bookmarkEnd w:id="293"/>
      <w:bookmarkEnd w:id="294"/>
      <w:bookmarkEnd w:id="295"/>
    </w:p>
    <w:p w14:paraId="6E8510CB">
      <w:pPr>
        <w:pageBreakBefore w:val="0"/>
        <w:widowControl w:val="0"/>
        <w:kinsoku/>
        <w:wordWrap/>
        <w:overflowPunct/>
        <w:topLinePunct w:val="0"/>
        <w:bidi w:val="0"/>
        <w:adjustRightInd w:val="0"/>
        <w:snapToGrid w:val="0"/>
        <w:spacing w:line="480" w:lineRule="auto"/>
        <w:jc w:val="left"/>
        <w:textAlignment w:val="auto"/>
        <w:outlineLvl w:val="3"/>
        <w:rPr>
          <w:rFonts w:ascii="宋体" w:hAnsi="宋体"/>
          <w:b w:val="0"/>
          <w:bCs/>
          <w:color w:val="auto"/>
          <w:sz w:val="21"/>
          <w:szCs w:val="21"/>
        </w:rPr>
      </w:pPr>
      <w:bookmarkStart w:id="296" w:name="_Toc16729"/>
      <w:r>
        <w:rPr>
          <w:rFonts w:hint="eastAsia" w:ascii="宋体" w:hAnsi="宋体"/>
          <w:b w:val="0"/>
          <w:bCs/>
          <w:color w:val="auto"/>
          <w:sz w:val="21"/>
          <w:szCs w:val="21"/>
        </w:rPr>
        <w:t>23.1开标时间和地点</w:t>
      </w:r>
      <w:bookmarkEnd w:id="296"/>
    </w:p>
    <w:p w14:paraId="48035E79">
      <w:pPr>
        <w:pageBreakBefore w:val="0"/>
        <w:widowControl w:val="0"/>
        <w:kinsoku/>
        <w:wordWrap/>
        <w:overflowPunct/>
        <w:topLinePunct w:val="0"/>
        <w:bidi w:val="0"/>
        <w:adjustRightInd w:val="0"/>
        <w:snapToGrid w:val="0"/>
        <w:spacing w:line="480" w:lineRule="auto"/>
        <w:ind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lang w:eastAsia="zh-CN"/>
        </w:rPr>
        <w:t>采购人</w:t>
      </w:r>
      <w:r>
        <w:rPr>
          <w:rFonts w:hint="eastAsia" w:ascii="宋体" w:hAnsi="宋体"/>
          <w:b w:val="0"/>
          <w:bCs/>
          <w:color w:val="auto"/>
          <w:sz w:val="21"/>
          <w:szCs w:val="21"/>
        </w:rPr>
        <w:t>在投标人须知前附表规定的投标截止时间（开标时间）和地点公开开标，并邀请所有投标人的法定代表人或其委托代理人准时参加。</w:t>
      </w:r>
    </w:p>
    <w:p w14:paraId="60F3717E">
      <w:pPr>
        <w:pageBreakBefore w:val="0"/>
        <w:widowControl w:val="0"/>
        <w:kinsoku/>
        <w:wordWrap/>
        <w:overflowPunct/>
        <w:topLinePunct w:val="0"/>
        <w:bidi w:val="0"/>
        <w:adjustRightInd w:val="0"/>
        <w:snapToGrid w:val="0"/>
        <w:spacing w:line="480" w:lineRule="auto"/>
        <w:jc w:val="left"/>
        <w:textAlignment w:val="auto"/>
        <w:outlineLvl w:val="3"/>
        <w:rPr>
          <w:rFonts w:ascii="宋体" w:hAnsi="宋体"/>
          <w:b w:val="0"/>
          <w:bCs/>
          <w:color w:val="auto"/>
          <w:sz w:val="21"/>
          <w:szCs w:val="21"/>
        </w:rPr>
      </w:pPr>
      <w:bookmarkStart w:id="297" w:name="_Toc5878"/>
      <w:r>
        <w:rPr>
          <w:rFonts w:hint="eastAsia" w:ascii="宋体" w:hAnsi="宋体"/>
          <w:b w:val="0"/>
          <w:bCs/>
          <w:color w:val="auto"/>
          <w:sz w:val="21"/>
          <w:szCs w:val="21"/>
        </w:rPr>
        <w:t>23.2 开标程序</w:t>
      </w:r>
      <w:bookmarkEnd w:id="297"/>
    </w:p>
    <w:p w14:paraId="28DA298D">
      <w:pPr>
        <w:pageBreakBefore w:val="0"/>
        <w:widowControl w:val="0"/>
        <w:kinsoku/>
        <w:wordWrap/>
        <w:overflowPunct/>
        <w:topLinePunct w:val="0"/>
        <w:autoSpaceDE/>
        <w:autoSpaceDN/>
        <w:bidi w:val="0"/>
        <w:adjustRightInd/>
        <w:snapToGrid/>
        <w:spacing w:line="480" w:lineRule="auto"/>
        <w:ind w:firstLine="422" w:firstLineChars="200"/>
        <w:jc w:val="left"/>
        <w:textAlignment w:val="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响应文件提交截止时间、提交响应文件的地点：详见《供应商须知前附表》</w:t>
      </w:r>
    </w:p>
    <w:p w14:paraId="3A7A493C">
      <w:pPr>
        <w:pageBreakBefore w:val="0"/>
        <w:widowControl w:val="0"/>
        <w:kinsoku/>
        <w:wordWrap/>
        <w:overflowPunct/>
        <w:topLinePunct w:val="0"/>
        <w:autoSpaceDE/>
        <w:autoSpaceDN/>
        <w:bidi w:val="0"/>
        <w:adjustRightInd/>
        <w:snapToGrid/>
        <w:spacing w:line="480" w:lineRule="auto"/>
        <w:ind w:firstLine="422" w:firstLineChars="200"/>
        <w:jc w:val="left"/>
        <w:textAlignment w:val="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供应商应当在磋商文件要求提交响应文件的截止时间前，供应商应按照本项目竞争性磋商文件和政采云平台的要求编制、加密后在响应文件提交截止时间前上传至政采云平台，响应文件提交截止时间前未完成响应文件上传的，视为撤回响应文件。任何单位和个人不得在磋商前开启响应文件。</w:t>
      </w:r>
    </w:p>
    <w:p w14:paraId="64DC19DA">
      <w:pPr>
        <w:pageBreakBefore w:val="0"/>
        <w:widowControl w:val="0"/>
        <w:kinsoku/>
        <w:wordWrap/>
        <w:overflowPunct/>
        <w:topLinePunct w:val="0"/>
        <w:autoSpaceDE/>
        <w:autoSpaceDN/>
        <w:bidi w:val="0"/>
        <w:adjustRightInd/>
        <w:snapToGrid/>
        <w:spacing w:line="480" w:lineRule="auto"/>
        <w:ind w:firstLine="422" w:firstLineChars="200"/>
        <w:jc w:val="left"/>
        <w:textAlignment w:val="auto"/>
        <w:rPr>
          <w:rFonts w:hint="eastAsia" w:ascii="宋体" w:hAnsi="宋体" w:eastAsia="宋体" w:cs="宋体"/>
          <w:b/>
          <w:bCs w:val="0"/>
          <w:i/>
          <w:color w:val="auto"/>
          <w:sz w:val="21"/>
          <w:szCs w:val="21"/>
        </w:rPr>
      </w:pPr>
      <w:r>
        <w:rPr>
          <w:rFonts w:hint="eastAsia" w:ascii="宋体" w:hAnsi="宋体" w:eastAsia="宋体" w:cs="宋体"/>
          <w:b/>
          <w:bCs w:val="0"/>
          <w:color w:val="auto"/>
          <w:sz w:val="21"/>
          <w:szCs w:val="21"/>
        </w:rPr>
        <w:t>响应文件的解密：采购代理机构将在“供应商须知前附表”规定的磋商时间通过电子交易平台组织响应文件开启，采购机构依托电子交易平台发起开始解密指令，供应商的法定代表人或其委托代理人须携带加密时所用的CA锁按平台提示和采购文件的规定登录到“政采云”平台电子开标大厅签到，并在发起解密指令之时起</w:t>
      </w:r>
      <w:r>
        <w:rPr>
          <w:rFonts w:hint="eastAsia" w:ascii="宋体" w:hAnsi="宋体" w:cs="宋体"/>
          <w:b/>
          <w:bCs w:val="0"/>
          <w:color w:val="auto"/>
          <w:sz w:val="21"/>
          <w:szCs w:val="21"/>
          <w:lang w:val="en-US" w:eastAsia="zh-CN"/>
        </w:rPr>
        <w:t>30</w:t>
      </w:r>
      <w:r>
        <w:rPr>
          <w:rFonts w:hint="eastAsia" w:ascii="宋体" w:hAnsi="宋体" w:eastAsia="宋体" w:cs="宋体"/>
          <w:b/>
          <w:bCs w:val="0"/>
          <w:color w:val="auto"/>
          <w:sz w:val="21"/>
          <w:szCs w:val="21"/>
        </w:rPr>
        <w:t>分钟内完成对电子响应文件在线解密。发起解密指令之时起5分钟内供应商还未进行解密的，代理机构可通知供应商，供应商没预留联系方式或预留联系方式无效，导致代理机构无法联系到供应商进行解密的，视为撤回响应文件。如供应商成功解密响应文件，但未在“政采云”电子开标大厅参加磋商的，视同认可磋商过程和结果，由此产生的后果由供应商自行负责。</w:t>
      </w:r>
      <w:r>
        <w:rPr>
          <w:rFonts w:hint="eastAsia" w:ascii="宋体" w:hAnsi="宋体" w:eastAsia="宋体" w:cs="宋体"/>
          <w:b/>
          <w:bCs w:val="0"/>
          <w:i/>
          <w:color w:val="auto"/>
          <w:sz w:val="21"/>
          <w:szCs w:val="21"/>
        </w:rPr>
        <w:tab/>
      </w:r>
    </w:p>
    <w:p w14:paraId="45A822D5">
      <w:pPr>
        <w:pageBreakBefore w:val="0"/>
        <w:widowControl w:val="0"/>
        <w:kinsoku/>
        <w:wordWrap/>
        <w:overflowPunct/>
        <w:topLinePunct w:val="0"/>
        <w:autoSpaceDE w:val="0"/>
        <w:autoSpaceDN w:val="0"/>
        <w:bidi w:val="0"/>
        <w:spacing w:line="480" w:lineRule="auto"/>
        <w:ind w:firstLine="420" w:firstLineChars="200"/>
        <w:textAlignment w:val="auto"/>
        <w:rPr>
          <w:rFonts w:ascii="宋体" w:hAnsi="宋体"/>
          <w:b w:val="0"/>
          <w:color w:val="auto"/>
          <w:sz w:val="21"/>
          <w:szCs w:val="21"/>
        </w:rPr>
      </w:pPr>
      <w:r>
        <w:rPr>
          <w:rFonts w:hint="eastAsia" w:ascii="宋体" w:hAnsi="宋体"/>
          <w:b w:val="0"/>
          <w:color w:val="auto"/>
          <w:sz w:val="21"/>
          <w:szCs w:val="21"/>
        </w:rPr>
        <w:t>二、到规定解密截止时间后已解密的投标人不足三家的，按规定重新招标。</w:t>
      </w:r>
    </w:p>
    <w:p w14:paraId="3DA9422C">
      <w:pPr>
        <w:pageBreakBefore w:val="0"/>
        <w:widowControl w:val="0"/>
        <w:kinsoku/>
        <w:wordWrap/>
        <w:overflowPunct/>
        <w:topLinePunct w:val="0"/>
        <w:autoSpaceDE w:val="0"/>
        <w:autoSpaceDN w:val="0"/>
        <w:bidi w:val="0"/>
        <w:spacing w:line="480" w:lineRule="auto"/>
        <w:ind w:firstLine="420" w:firstLineChars="200"/>
        <w:textAlignment w:val="auto"/>
        <w:outlineLvl w:val="1"/>
        <w:rPr>
          <w:rFonts w:ascii="宋体" w:hAnsi="宋体"/>
          <w:b w:val="0"/>
          <w:color w:val="auto"/>
          <w:sz w:val="21"/>
          <w:szCs w:val="21"/>
        </w:rPr>
      </w:pPr>
      <w:r>
        <w:rPr>
          <w:rFonts w:hint="eastAsia" w:ascii="宋体" w:hAnsi="宋体"/>
          <w:b w:val="0"/>
          <w:color w:val="auto"/>
          <w:sz w:val="21"/>
          <w:szCs w:val="21"/>
        </w:rPr>
        <w:t>三、招标文件内容、公告与本条规定有冲突的地方以本条规定为准。</w:t>
      </w:r>
    </w:p>
    <w:p w14:paraId="199760CE">
      <w:pPr>
        <w:pageBreakBefore w:val="0"/>
        <w:widowControl w:val="0"/>
        <w:kinsoku/>
        <w:wordWrap/>
        <w:overflowPunct/>
        <w:topLinePunct w:val="0"/>
        <w:autoSpaceDE w:val="0"/>
        <w:autoSpaceDN w:val="0"/>
        <w:bidi w:val="0"/>
        <w:spacing w:line="480" w:lineRule="auto"/>
        <w:ind w:firstLine="420" w:firstLineChars="200"/>
        <w:textAlignment w:val="auto"/>
        <w:rPr>
          <w:rFonts w:hint="eastAsia" w:ascii="宋体" w:hAnsi="宋体" w:eastAsia="宋体" w:cs="宋体"/>
          <w:b w:val="0"/>
          <w:color w:val="auto"/>
          <w:sz w:val="21"/>
          <w:szCs w:val="21"/>
        </w:rPr>
      </w:pPr>
      <w:r>
        <w:rPr>
          <w:rFonts w:hint="eastAsia" w:ascii="宋体" w:hAnsi="宋体" w:eastAsia="宋体" w:cs="宋体"/>
          <w:b w:val="0"/>
          <w:color w:val="auto"/>
          <w:sz w:val="21"/>
          <w:szCs w:val="21"/>
        </w:rPr>
        <w:t>技术咨询：</w:t>
      </w:r>
      <w:r>
        <w:rPr>
          <w:rFonts w:hint="eastAsia" w:ascii="宋体" w:hAnsi="宋体" w:eastAsia="宋体" w:cs="宋体"/>
          <w:color w:val="auto"/>
          <w:sz w:val="21"/>
          <w:szCs w:val="21"/>
          <w:highlight w:val="none"/>
          <w:lang w:val="en-US" w:eastAsia="zh-CN"/>
        </w:rPr>
        <w:t>如有问题可拨打政采云客户服务热线95763进行咨询</w:t>
      </w:r>
    </w:p>
    <w:p w14:paraId="458D5827">
      <w:pPr>
        <w:pageBreakBefore w:val="0"/>
        <w:widowControl w:val="0"/>
        <w:kinsoku/>
        <w:wordWrap/>
        <w:overflowPunct/>
        <w:topLinePunct w:val="0"/>
        <w:bidi w:val="0"/>
        <w:snapToGrid w:val="0"/>
        <w:spacing w:line="480" w:lineRule="auto"/>
        <w:textAlignment w:val="auto"/>
        <w:outlineLvl w:val="2"/>
        <w:rPr>
          <w:rFonts w:ascii="宋体" w:hAnsi="宋体"/>
          <w:b w:val="0"/>
          <w:bCs/>
          <w:color w:val="auto"/>
          <w:sz w:val="21"/>
          <w:szCs w:val="21"/>
        </w:rPr>
      </w:pPr>
      <w:r>
        <w:rPr>
          <w:rFonts w:hint="eastAsia" w:ascii="宋体" w:hAnsi="宋体"/>
          <w:b w:val="0"/>
          <w:bCs/>
          <w:color w:val="auto"/>
          <w:sz w:val="21"/>
          <w:szCs w:val="21"/>
        </w:rPr>
        <w:t>23.3投标文件报价出现前后不一致的，按照下列规定修正：</w:t>
      </w:r>
    </w:p>
    <w:p w14:paraId="55500F8F">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（一）投标文件中开标一览表（报价表）内容与投标文件中相应内容不一致的，以开标一览表（报价表）为准；</w:t>
      </w:r>
    </w:p>
    <w:p w14:paraId="57DB299E">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（二）大写金额和小写金额不一致的，以大写金额为准；</w:t>
      </w:r>
    </w:p>
    <w:p w14:paraId="6A617FB0">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（三）单价金额小数点或者百分比有明显错位的，以开标一览表的总价为准，并修改单价；</w:t>
      </w:r>
    </w:p>
    <w:p w14:paraId="7C528176">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（四）总价金额与按单价汇总金额不一致的，以单价金额计算结果为准。</w:t>
      </w:r>
    </w:p>
    <w:p w14:paraId="2333F0DB">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同时出现两种以上不一致的，按照前款规定的顺序修正。修正后的报价按照招标文件规定并经投标人确认后产生约束力，投标人不确认的，其投标无效。</w:t>
      </w:r>
    </w:p>
    <w:p w14:paraId="4ED4B12B">
      <w:pPr>
        <w:pStyle w:val="3"/>
        <w:pageBreakBefore w:val="0"/>
        <w:widowControl w:val="0"/>
        <w:kinsoku/>
        <w:wordWrap/>
        <w:overflowPunct/>
        <w:topLinePunct w:val="0"/>
        <w:bidi w:val="0"/>
        <w:spacing w:before="0" w:line="480" w:lineRule="auto"/>
        <w:jc w:val="center"/>
        <w:textAlignment w:val="auto"/>
        <w:rPr>
          <w:rFonts w:ascii="宋体" w:hAnsi="宋体" w:cs="宋体"/>
          <w:color w:val="auto"/>
          <w:sz w:val="28"/>
          <w:szCs w:val="28"/>
        </w:rPr>
      </w:pPr>
      <w:bookmarkStart w:id="298" w:name="_Toc488633609"/>
      <w:bookmarkStart w:id="299" w:name="_Toc528186481"/>
      <w:bookmarkStart w:id="300" w:name="_Toc489145733"/>
      <w:bookmarkStart w:id="301" w:name="_Toc26307"/>
      <w:bookmarkStart w:id="302" w:name="_Toc489197837"/>
      <w:r>
        <w:rPr>
          <w:rFonts w:hint="eastAsia" w:ascii="宋体" w:hAnsi="宋体" w:cs="宋体"/>
          <w:color w:val="auto"/>
          <w:sz w:val="28"/>
          <w:szCs w:val="28"/>
        </w:rPr>
        <w:t>六、评标</w:t>
      </w:r>
      <w:bookmarkEnd w:id="298"/>
      <w:bookmarkEnd w:id="299"/>
      <w:bookmarkEnd w:id="300"/>
      <w:bookmarkEnd w:id="301"/>
      <w:bookmarkEnd w:id="302"/>
    </w:p>
    <w:p w14:paraId="2F1F959D">
      <w:pPr>
        <w:pStyle w:val="4"/>
        <w:pageBreakBefore w:val="0"/>
        <w:widowControl w:val="0"/>
        <w:kinsoku/>
        <w:wordWrap/>
        <w:overflowPunct/>
        <w:topLinePunct w:val="0"/>
        <w:bidi w:val="0"/>
        <w:spacing w:before="0" w:after="120" w:afterLines="50" w:line="480" w:lineRule="auto"/>
        <w:ind w:firstLine="0"/>
        <w:textAlignment w:val="auto"/>
        <w:rPr>
          <w:rFonts w:hAnsi="宋体" w:cs="宋体"/>
          <w:color w:val="auto"/>
          <w:sz w:val="21"/>
          <w:szCs w:val="21"/>
        </w:rPr>
      </w:pPr>
      <w:bookmarkStart w:id="303" w:name="_Toc489145734"/>
      <w:bookmarkStart w:id="304" w:name="_Toc528186482"/>
      <w:bookmarkStart w:id="305" w:name="_Toc489197838"/>
      <w:bookmarkStart w:id="306" w:name="_Toc5012"/>
      <w:r>
        <w:rPr>
          <w:rFonts w:hint="eastAsia" w:hAnsi="宋体" w:cs="宋体"/>
          <w:color w:val="auto"/>
          <w:sz w:val="21"/>
          <w:szCs w:val="21"/>
        </w:rPr>
        <w:t>24. 评标</w:t>
      </w:r>
      <w:bookmarkEnd w:id="303"/>
      <w:bookmarkEnd w:id="304"/>
      <w:bookmarkEnd w:id="305"/>
      <w:bookmarkEnd w:id="306"/>
    </w:p>
    <w:p w14:paraId="5278DCFD">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bookmarkStart w:id="307" w:name="_Toc1045"/>
      <w:bookmarkStart w:id="308" w:name="_Toc480817648"/>
      <w:bookmarkStart w:id="309" w:name="_Toc378239356"/>
      <w:bookmarkStart w:id="310" w:name="_Toc247085720"/>
      <w:bookmarkStart w:id="311" w:name="_Toc401342139"/>
      <w:bookmarkStart w:id="312" w:name="_Toc144974530"/>
      <w:bookmarkStart w:id="313" w:name="_Toc296602451"/>
      <w:bookmarkStart w:id="314" w:name="_Toc179632580"/>
      <w:bookmarkStart w:id="315" w:name="_Toc378239175"/>
      <w:bookmarkStart w:id="316" w:name="_Toc246996206"/>
      <w:bookmarkStart w:id="317" w:name="_Toc152045562"/>
      <w:bookmarkStart w:id="318" w:name="_Toc378239083"/>
      <w:bookmarkStart w:id="319" w:name="_Toc152042338"/>
      <w:bookmarkStart w:id="320" w:name="_Toc246996949"/>
      <w:r>
        <w:rPr>
          <w:rFonts w:hint="eastAsia" w:ascii="宋体" w:hAnsi="宋体"/>
          <w:b w:val="0"/>
          <w:bCs/>
          <w:color w:val="auto"/>
          <w:sz w:val="21"/>
          <w:szCs w:val="21"/>
        </w:rPr>
        <w:t>24.1</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hint="eastAsia" w:ascii="宋体" w:hAnsi="宋体"/>
          <w:b w:val="0"/>
          <w:bCs/>
          <w:color w:val="auto"/>
          <w:sz w:val="21"/>
          <w:szCs w:val="21"/>
        </w:rPr>
        <w:t>评标委员会按照第五章“评标方法”规定的方法、评审因素、标准和程序对投标文件进行评审。第五章“评标方法”没有规定的方法、评审因素和标准，不作为评标依据。</w:t>
      </w:r>
    </w:p>
    <w:p w14:paraId="2CA843CB">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24.2评标由</w:t>
      </w:r>
      <w:r>
        <w:rPr>
          <w:rFonts w:hint="eastAsia" w:ascii="宋体" w:hAnsi="宋体"/>
          <w:b w:val="0"/>
          <w:bCs/>
          <w:color w:val="auto"/>
          <w:sz w:val="21"/>
          <w:szCs w:val="21"/>
          <w:lang w:eastAsia="zh-CN"/>
        </w:rPr>
        <w:t>采购人</w:t>
      </w:r>
      <w:r>
        <w:rPr>
          <w:rFonts w:hint="eastAsia" w:ascii="宋体" w:hAnsi="宋体"/>
          <w:b w:val="0"/>
          <w:bCs/>
          <w:color w:val="auto"/>
          <w:sz w:val="21"/>
          <w:szCs w:val="21"/>
        </w:rPr>
        <w:t>依法组建的评标委员会负责。评标委员会由</w:t>
      </w:r>
      <w:r>
        <w:rPr>
          <w:rFonts w:hint="eastAsia" w:ascii="宋体" w:hAnsi="宋体"/>
          <w:b w:val="0"/>
          <w:bCs/>
          <w:color w:val="auto"/>
          <w:sz w:val="21"/>
          <w:szCs w:val="21"/>
          <w:lang w:eastAsia="zh-CN"/>
        </w:rPr>
        <w:t>采购人</w:t>
      </w:r>
      <w:r>
        <w:rPr>
          <w:rFonts w:hint="eastAsia" w:ascii="宋体" w:hAnsi="宋体"/>
          <w:b w:val="0"/>
          <w:bCs/>
          <w:color w:val="auto"/>
          <w:sz w:val="21"/>
          <w:szCs w:val="21"/>
        </w:rPr>
        <w:t>代表和有关技术、经济等方面的专家组成，成员人数应当为五人（含五人）以上单数。其中，技术、经济等方面的专家不得少于成员总数的三分之二。评标委员会应当推选组长，但</w:t>
      </w:r>
      <w:r>
        <w:rPr>
          <w:rFonts w:hint="eastAsia" w:ascii="宋体" w:hAnsi="宋体"/>
          <w:b w:val="0"/>
          <w:bCs/>
          <w:color w:val="auto"/>
          <w:sz w:val="21"/>
          <w:szCs w:val="21"/>
          <w:lang w:eastAsia="zh-CN"/>
        </w:rPr>
        <w:t>采购人</w:t>
      </w:r>
      <w:r>
        <w:rPr>
          <w:rFonts w:hint="eastAsia" w:ascii="宋体" w:hAnsi="宋体"/>
          <w:b w:val="0"/>
          <w:bCs/>
          <w:color w:val="auto"/>
          <w:sz w:val="21"/>
          <w:szCs w:val="21"/>
        </w:rPr>
        <w:t>代表不得担任组长。</w:t>
      </w:r>
    </w:p>
    <w:p w14:paraId="6CD8B7B5">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24.3</w:t>
      </w:r>
      <w:r>
        <w:rPr>
          <w:rFonts w:hint="eastAsia" w:ascii="宋体" w:hAnsi="宋体"/>
          <w:b w:val="0"/>
          <w:bCs/>
          <w:color w:val="auto"/>
          <w:sz w:val="21"/>
          <w:szCs w:val="21"/>
          <w:lang w:eastAsia="zh-CN"/>
        </w:rPr>
        <w:t>采购人</w:t>
      </w:r>
      <w:r>
        <w:rPr>
          <w:rFonts w:hint="eastAsia" w:ascii="宋体" w:hAnsi="宋体"/>
          <w:b w:val="0"/>
          <w:bCs/>
          <w:color w:val="auto"/>
          <w:sz w:val="21"/>
          <w:szCs w:val="21"/>
        </w:rPr>
        <w:t>委派代表参加评标委员会的，要向</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机构出具授权函。除授权代表外，</w:t>
      </w:r>
      <w:r>
        <w:rPr>
          <w:rFonts w:hint="eastAsia" w:ascii="宋体" w:hAnsi="宋体"/>
          <w:b w:val="0"/>
          <w:bCs/>
          <w:color w:val="auto"/>
          <w:sz w:val="21"/>
          <w:szCs w:val="21"/>
          <w:lang w:eastAsia="zh-CN"/>
        </w:rPr>
        <w:t>采购人</w:t>
      </w:r>
      <w:r>
        <w:rPr>
          <w:rFonts w:hint="eastAsia" w:ascii="宋体" w:hAnsi="宋体"/>
          <w:b w:val="0"/>
          <w:bCs/>
          <w:color w:val="auto"/>
          <w:sz w:val="21"/>
          <w:szCs w:val="21"/>
        </w:rPr>
        <w:t>可以委派纪检监察等相关人员进入评审现场，对评审工作实施监督，但不得超过2人。</w:t>
      </w:r>
    </w:p>
    <w:p w14:paraId="256823ED">
      <w:pPr>
        <w:pageBreakBefore w:val="0"/>
        <w:widowControl w:val="0"/>
        <w:kinsoku/>
        <w:wordWrap/>
        <w:overflowPunct/>
        <w:topLinePunct w:val="0"/>
        <w:bidi w:val="0"/>
        <w:spacing w:line="480" w:lineRule="auto"/>
        <w:ind w:left="480" w:leftChars="200" w:firstLine="420" w:firstLineChars="200"/>
        <w:jc w:val="left"/>
        <w:textAlignment w:val="auto"/>
        <w:outlineLvl w:val="3"/>
        <w:rPr>
          <w:rFonts w:ascii="宋体" w:hAnsi="宋体"/>
          <w:b w:val="0"/>
          <w:bCs/>
          <w:color w:val="auto"/>
          <w:sz w:val="21"/>
          <w:szCs w:val="21"/>
        </w:rPr>
      </w:pPr>
      <w:r>
        <w:rPr>
          <w:rFonts w:hint="eastAsia" w:ascii="宋体" w:hAnsi="宋体"/>
          <w:b w:val="0"/>
          <w:bCs/>
          <w:color w:val="auto"/>
          <w:sz w:val="21"/>
          <w:szCs w:val="21"/>
        </w:rPr>
        <w:t>24.4评标活动遵循公平</w:t>
      </w:r>
      <w:bookmarkStart w:id="321" w:name="_Toc179632583"/>
      <w:bookmarkStart w:id="322" w:name="_Toc246996209"/>
      <w:bookmarkStart w:id="323" w:name="_Toc296602454"/>
      <w:bookmarkStart w:id="324" w:name="_Toc246996952"/>
      <w:bookmarkStart w:id="325" w:name="_Toc152042341"/>
      <w:bookmarkStart w:id="326" w:name="_Toc247085723"/>
      <w:bookmarkStart w:id="327" w:name="_Toc144974533"/>
      <w:bookmarkStart w:id="328" w:name="_Toc152045565"/>
      <w:r>
        <w:rPr>
          <w:rFonts w:hint="eastAsia" w:ascii="宋体" w:hAnsi="宋体"/>
          <w:b w:val="0"/>
          <w:bCs/>
          <w:color w:val="auto"/>
          <w:sz w:val="21"/>
          <w:szCs w:val="21"/>
        </w:rPr>
        <w:t>、公正、科学和择优的原则。</w:t>
      </w:r>
    </w:p>
    <w:p w14:paraId="262C6AE7">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24.5评标委员会各成员</w:t>
      </w:r>
      <w:bookmarkEnd w:id="321"/>
      <w:bookmarkEnd w:id="322"/>
      <w:bookmarkEnd w:id="323"/>
      <w:bookmarkEnd w:id="324"/>
      <w:bookmarkEnd w:id="325"/>
      <w:bookmarkEnd w:id="326"/>
      <w:bookmarkEnd w:id="327"/>
      <w:bookmarkEnd w:id="328"/>
      <w:r>
        <w:rPr>
          <w:rFonts w:hint="eastAsia" w:ascii="宋体" w:hAnsi="宋体"/>
          <w:b w:val="0"/>
          <w:bCs/>
          <w:color w:val="auto"/>
          <w:sz w:val="21"/>
          <w:szCs w:val="21"/>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3E10B6F5">
      <w:pPr>
        <w:pageBreakBefore w:val="0"/>
        <w:widowControl w:val="0"/>
        <w:kinsoku/>
        <w:wordWrap/>
        <w:overflowPunct/>
        <w:topLinePunct w:val="0"/>
        <w:bidi w:val="0"/>
        <w:spacing w:line="480" w:lineRule="auto"/>
        <w:ind w:left="480" w:leftChars="200" w:firstLine="420" w:firstLineChars="200"/>
        <w:jc w:val="left"/>
        <w:textAlignment w:val="auto"/>
        <w:outlineLvl w:val="3"/>
        <w:rPr>
          <w:rFonts w:ascii="宋体" w:hAnsi="宋体"/>
          <w:b w:val="0"/>
          <w:bCs/>
          <w:color w:val="auto"/>
          <w:sz w:val="21"/>
          <w:szCs w:val="21"/>
        </w:rPr>
      </w:pPr>
      <w:r>
        <w:rPr>
          <w:rFonts w:hint="eastAsia" w:ascii="宋体" w:hAnsi="宋体"/>
          <w:b w:val="0"/>
          <w:bCs/>
          <w:color w:val="auto"/>
          <w:sz w:val="21"/>
          <w:szCs w:val="21"/>
        </w:rPr>
        <w:t>24.6评标过程的保密</w:t>
      </w:r>
    </w:p>
    <w:p w14:paraId="3FA8E496">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bookmarkStart w:id="329" w:name="_Toc417913976"/>
      <w:r>
        <w:rPr>
          <w:rFonts w:hint="eastAsia" w:ascii="宋体" w:hAnsi="宋体"/>
          <w:b w:val="0"/>
          <w:bCs/>
          <w:color w:val="auto"/>
          <w:sz w:val="21"/>
          <w:szCs w:val="21"/>
        </w:rPr>
        <w:t>24.6.1评标在严格</w:t>
      </w:r>
      <w:bookmarkEnd w:id="329"/>
      <w:r>
        <w:rPr>
          <w:rFonts w:hint="eastAsia" w:ascii="宋体" w:hAnsi="宋体"/>
          <w:b w:val="0"/>
          <w:bCs/>
          <w:color w:val="auto"/>
          <w:sz w:val="21"/>
          <w:szCs w:val="21"/>
        </w:rPr>
        <w:t>保密的情况下进行。除</w:t>
      </w:r>
      <w:r>
        <w:rPr>
          <w:rFonts w:hint="eastAsia" w:ascii="宋体" w:hAnsi="宋体"/>
          <w:b w:val="0"/>
          <w:bCs/>
          <w:color w:val="auto"/>
          <w:sz w:val="21"/>
          <w:szCs w:val="21"/>
          <w:lang w:eastAsia="zh-CN"/>
        </w:rPr>
        <w:t>采购人</w:t>
      </w:r>
      <w:r>
        <w:rPr>
          <w:rFonts w:hint="eastAsia" w:ascii="宋体" w:hAnsi="宋体"/>
          <w:b w:val="0"/>
          <w:bCs/>
          <w:color w:val="auto"/>
          <w:sz w:val="21"/>
          <w:szCs w:val="21"/>
        </w:rPr>
        <w:t>代表、评标现场组织人员外，</w:t>
      </w:r>
      <w:r>
        <w:rPr>
          <w:rFonts w:hint="eastAsia" w:ascii="宋体" w:hAnsi="宋体"/>
          <w:b w:val="0"/>
          <w:bCs/>
          <w:color w:val="auto"/>
          <w:sz w:val="21"/>
          <w:szCs w:val="21"/>
          <w:lang w:eastAsia="zh-CN"/>
        </w:rPr>
        <w:t>采购人</w:t>
      </w:r>
      <w:r>
        <w:rPr>
          <w:rFonts w:hint="eastAsia" w:ascii="宋体" w:hAnsi="宋体"/>
          <w:b w:val="0"/>
          <w:bCs/>
          <w:color w:val="auto"/>
          <w:sz w:val="21"/>
          <w:szCs w:val="21"/>
        </w:rPr>
        <w:t>的其他工作人员以及与评标工作无关的人员不得进入评标现场。有关人员对评标情况以及在评标过程中获悉的国家秘密、商业秘密负有保密责任。</w:t>
      </w:r>
    </w:p>
    <w:p w14:paraId="2B2D4016">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24.6.2任何单位和个人不得非法干预、影响评审工作。</w:t>
      </w:r>
      <w:r>
        <w:rPr>
          <w:rFonts w:hint="eastAsia" w:ascii="宋体" w:hAnsi="宋体"/>
          <w:b w:val="0"/>
          <w:bCs/>
          <w:color w:val="auto"/>
          <w:sz w:val="21"/>
          <w:szCs w:val="21"/>
          <w:lang w:eastAsia="zh-CN"/>
        </w:rPr>
        <w:t>采购人</w:t>
      </w:r>
      <w:r>
        <w:rPr>
          <w:rFonts w:hint="eastAsia" w:ascii="宋体" w:hAnsi="宋体"/>
          <w:b w:val="0"/>
          <w:bCs/>
          <w:color w:val="auto"/>
          <w:sz w:val="21"/>
          <w:szCs w:val="21"/>
        </w:rPr>
        <w:t>、</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机构和评审委员会在评审工作中，依法相互监督和制约，并自觉接受财政部门的监督。对非法干预评审工作等违法违规行为，将及时向财政部门报告。</w:t>
      </w:r>
    </w:p>
    <w:p w14:paraId="43782C40">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24.7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5D75E377">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330" w:name="_Toc489197839"/>
      <w:bookmarkStart w:id="331" w:name="_Toc489145735"/>
      <w:bookmarkStart w:id="332" w:name="_Toc528186483"/>
      <w:bookmarkStart w:id="333" w:name="_Toc30503"/>
      <w:r>
        <w:rPr>
          <w:rFonts w:hint="eastAsia" w:hAnsi="宋体" w:cs="宋体"/>
          <w:color w:val="auto"/>
          <w:sz w:val="21"/>
          <w:szCs w:val="21"/>
        </w:rPr>
        <w:t>25.有下列情形之一的，视为投标人串通投标，其投标无效：</w:t>
      </w:r>
      <w:bookmarkEnd w:id="330"/>
      <w:bookmarkEnd w:id="331"/>
      <w:bookmarkEnd w:id="332"/>
      <w:bookmarkEnd w:id="333"/>
    </w:p>
    <w:p w14:paraId="52EAADA0">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（一）不同投标人的投标文件由同一单位或者个人编制；</w:t>
      </w:r>
    </w:p>
    <w:p w14:paraId="2640F9D0">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（二）不同投标人委托同一单位或者个人办理投标事宜；</w:t>
      </w:r>
    </w:p>
    <w:p w14:paraId="78E051A6">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（三）不同投标人的投标文件载明的项目管理成员或者联系人员为同一人；</w:t>
      </w:r>
    </w:p>
    <w:p w14:paraId="12D38911">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（四）不同投标人的投标文件异常一致或者投标报价呈规律性差异；</w:t>
      </w:r>
    </w:p>
    <w:p w14:paraId="08D5EFC8">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（五）不同投标人的投标文件相互混装；</w:t>
      </w:r>
    </w:p>
    <w:p w14:paraId="7025EFA0">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（六）不同投标人的投标保证金从同一单位或者个人的账户转出。</w:t>
      </w:r>
    </w:p>
    <w:p w14:paraId="36A02211">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投标人应当遵循公平竞争的原则，不得恶意串通，不得妨碍其他投标人的竞争行为，不得损害</w:t>
      </w:r>
      <w:r>
        <w:rPr>
          <w:rFonts w:hint="eastAsia" w:ascii="宋体" w:hAnsi="宋体"/>
          <w:b w:val="0"/>
          <w:bCs/>
          <w:color w:val="auto"/>
          <w:sz w:val="21"/>
          <w:szCs w:val="21"/>
          <w:lang w:eastAsia="zh-CN"/>
        </w:rPr>
        <w:t>采购人</w:t>
      </w:r>
      <w:r>
        <w:rPr>
          <w:rFonts w:hint="eastAsia" w:ascii="宋体" w:hAnsi="宋体"/>
          <w:b w:val="0"/>
          <w:bCs/>
          <w:color w:val="auto"/>
          <w:sz w:val="21"/>
          <w:szCs w:val="21"/>
        </w:rPr>
        <w:t>或者其他投标人的合法权益。</w:t>
      </w:r>
    </w:p>
    <w:p w14:paraId="4A67B7A8">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在评标过程中发现投标人有上述情形的，评标委员会应当认定其投标无效，并书面报告本级财政部门。</w:t>
      </w:r>
    </w:p>
    <w:p w14:paraId="538887F8">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334" w:name="_Toc489145736"/>
      <w:bookmarkStart w:id="335" w:name="_Toc3789"/>
      <w:bookmarkStart w:id="336" w:name="_Toc528186484"/>
      <w:bookmarkStart w:id="337" w:name="_Toc489197840"/>
      <w:r>
        <w:rPr>
          <w:rFonts w:hint="eastAsia" w:hAnsi="宋体" w:cs="宋体"/>
          <w:color w:val="auto"/>
          <w:sz w:val="21"/>
          <w:szCs w:val="21"/>
        </w:rPr>
        <w:t>26. 投标人存在下列情</w:t>
      </w:r>
      <w:bookmarkStart w:id="338" w:name="_Toc417913977"/>
      <w:r>
        <w:rPr>
          <w:rFonts w:hint="eastAsia" w:hAnsi="宋体" w:cs="宋体"/>
          <w:color w:val="auto"/>
          <w:sz w:val="21"/>
          <w:szCs w:val="21"/>
        </w:rPr>
        <w:t>况之一的，投标无效：</w:t>
      </w:r>
      <w:bookmarkEnd w:id="334"/>
      <w:bookmarkEnd w:id="335"/>
      <w:bookmarkEnd w:id="336"/>
      <w:bookmarkEnd w:id="337"/>
    </w:p>
    <w:p w14:paraId="228414C8">
      <w:pPr>
        <w:pageBreakBefore w:val="0"/>
        <w:widowControl w:val="0"/>
        <w:kinsoku/>
        <w:wordWrap/>
        <w:overflowPunct/>
        <w:topLinePunct w:val="0"/>
        <w:bidi w:val="0"/>
        <w:spacing w:line="480" w:lineRule="auto"/>
        <w:ind w:left="480" w:leftChars="200"/>
        <w:jc w:val="left"/>
        <w:textAlignment w:val="auto"/>
        <w:rPr>
          <w:rFonts w:ascii="宋体" w:hAnsi="宋体"/>
          <w:b w:val="0"/>
          <w:bCs/>
          <w:color w:val="auto"/>
          <w:sz w:val="21"/>
          <w:szCs w:val="21"/>
        </w:rPr>
      </w:pPr>
      <w:r>
        <w:rPr>
          <w:rFonts w:hint="eastAsia" w:ascii="宋体" w:hAnsi="宋体"/>
          <w:b w:val="0"/>
          <w:bCs/>
          <w:color w:val="auto"/>
          <w:sz w:val="21"/>
          <w:szCs w:val="21"/>
        </w:rPr>
        <w:t>（一）未按照招标文件的</w:t>
      </w:r>
      <w:bookmarkEnd w:id="338"/>
      <w:r>
        <w:rPr>
          <w:rFonts w:hint="eastAsia" w:ascii="宋体" w:hAnsi="宋体"/>
          <w:b w:val="0"/>
          <w:bCs/>
          <w:color w:val="auto"/>
          <w:sz w:val="21"/>
          <w:szCs w:val="21"/>
        </w:rPr>
        <w:t>规定提交投标保证金的；</w:t>
      </w:r>
    </w:p>
    <w:p w14:paraId="016B8F25">
      <w:pPr>
        <w:pageBreakBefore w:val="0"/>
        <w:widowControl w:val="0"/>
        <w:kinsoku/>
        <w:wordWrap/>
        <w:overflowPunct/>
        <w:topLinePunct w:val="0"/>
        <w:bidi w:val="0"/>
        <w:spacing w:line="480" w:lineRule="auto"/>
        <w:ind w:left="480" w:leftChars="200"/>
        <w:jc w:val="left"/>
        <w:textAlignment w:val="auto"/>
        <w:rPr>
          <w:rFonts w:ascii="宋体" w:hAnsi="宋体"/>
          <w:b w:val="0"/>
          <w:bCs/>
          <w:color w:val="auto"/>
          <w:sz w:val="21"/>
          <w:szCs w:val="21"/>
        </w:rPr>
      </w:pPr>
      <w:r>
        <w:rPr>
          <w:rFonts w:hint="eastAsia" w:ascii="宋体" w:hAnsi="宋体"/>
          <w:b w:val="0"/>
          <w:bCs/>
          <w:color w:val="auto"/>
          <w:sz w:val="21"/>
          <w:szCs w:val="21"/>
        </w:rPr>
        <w:t>（二）投标文件未按招标文件要求签署、盖章的；</w:t>
      </w:r>
    </w:p>
    <w:p w14:paraId="26052629">
      <w:pPr>
        <w:pageBreakBefore w:val="0"/>
        <w:widowControl w:val="0"/>
        <w:kinsoku/>
        <w:wordWrap/>
        <w:overflowPunct/>
        <w:topLinePunct w:val="0"/>
        <w:bidi w:val="0"/>
        <w:spacing w:line="480" w:lineRule="auto"/>
        <w:ind w:left="480" w:leftChars="200"/>
        <w:jc w:val="left"/>
        <w:textAlignment w:val="auto"/>
        <w:rPr>
          <w:rFonts w:ascii="宋体" w:hAnsi="宋体"/>
          <w:b w:val="0"/>
          <w:bCs/>
          <w:color w:val="auto"/>
          <w:sz w:val="21"/>
          <w:szCs w:val="21"/>
        </w:rPr>
      </w:pPr>
      <w:r>
        <w:rPr>
          <w:rFonts w:hint="eastAsia" w:ascii="宋体" w:hAnsi="宋体"/>
          <w:b w:val="0"/>
          <w:bCs/>
          <w:color w:val="auto"/>
          <w:sz w:val="21"/>
          <w:szCs w:val="21"/>
        </w:rPr>
        <w:t>（三）不具备招标文件中规定的资格要求的；</w:t>
      </w:r>
    </w:p>
    <w:p w14:paraId="6369331C">
      <w:pPr>
        <w:pageBreakBefore w:val="0"/>
        <w:widowControl w:val="0"/>
        <w:kinsoku/>
        <w:wordWrap/>
        <w:overflowPunct/>
        <w:topLinePunct w:val="0"/>
        <w:bidi w:val="0"/>
        <w:spacing w:line="480" w:lineRule="auto"/>
        <w:ind w:left="480" w:leftChars="200"/>
        <w:jc w:val="left"/>
        <w:textAlignment w:val="auto"/>
        <w:rPr>
          <w:rFonts w:ascii="宋体" w:hAnsi="宋体"/>
          <w:b w:val="0"/>
          <w:bCs/>
          <w:color w:val="auto"/>
          <w:sz w:val="21"/>
          <w:szCs w:val="21"/>
        </w:rPr>
      </w:pPr>
      <w:r>
        <w:rPr>
          <w:rFonts w:hint="eastAsia" w:ascii="宋体" w:hAnsi="宋体"/>
          <w:b w:val="0"/>
          <w:bCs/>
          <w:color w:val="auto"/>
          <w:sz w:val="21"/>
          <w:szCs w:val="21"/>
        </w:rPr>
        <w:t>（四）报价超过招标文件中规定的预算金额或者最高限价的；</w:t>
      </w:r>
    </w:p>
    <w:p w14:paraId="5C7C218B">
      <w:pPr>
        <w:pageBreakBefore w:val="0"/>
        <w:widowControl w:val="0"/>
        <w:kinsoku/>
        <w:wordWrap/>
        <w:overflowPunct/>
        <w:topLinePunct w:val="0"/>
        <w:bidi w:val="0"/>
        <w:spacing w:line="480" w:lineRule="auto"/>
        <w:ind w:left="480" w:leftChars="200"/>
        <w:jc w:val="left"/>
        <w:textAlignment w:val="auto"/>
        <w:rPr>
          <w:rFonts w:ascii="宋体" w:hAnsi="宋体"/>
          <w:b w:val="0"/>
          <w:bCs/>
          <w:color w:val="auto"/>
          <w:sz w:val="21"/>
          <w:szCs w:val="21"/>
        </w:rPr>
      </w:pPr>
      <w:r>
        <w:rPr>
          <w:rFonts w:hint="eastAsia" w:ascii="宋体" w:hAnsi="宋体"/>
          <w:b w:val="0"/>
          <w:bCs/>
          <w:color w:val="auto"/>
          <w:sz w:val="21"/>
          <w:szCs w:val="21"/>
        </w:rPr>
        <w:t>（五）投标文件含有</w:t>
      </w:r>
      <w:r>
        <w:rPr>
          <w:rFonts w:hint="eastAsia" w:ascii="宋体" w:hAnsi="宋体"/>
          <w:b w:val="0"/>
          <w:bCs/>
          <w:color w:val="auto"/>
          <w:sz w:val="21"/>
          <w:szCs w:val="21"/>
          <w:lang w:eastAsia="zh-CN"/>
        </w:rPr>
        <w:t>采购人</w:t>
      </w:r>
      <w:r>
        <w:rPr>
          <w:rFonts w:hint="eastAsia" w:ascii="宋体" w:hAnsi="宋体"/>
          <w:b w:val="0"/>
          <w:bCs/>
          <w:color w:val="auto"/>
          <w:sz w:val="21"/>
          <w:szCs w:val="21"/>
        </w:rPr>
        <w:t>不能接受的附加条件的;</w:t>
      </w:r>
    </w:p>
    <w:p w14:paraId="2CAE637C">
      <w:pPr>
        <w:pageBreakBefore w:val="0"/>
        <w:widowControl w:val="0"/>
        <w:kinsoku/>
        <w:wordWrap/>
        <w:overflowPunct/>
        <w:topLinePunct w:val="0"/>
        <w:bidi w:val="0"/>
        <w:spacing w:line="480" w:lineRule="auto"/>
        <w:ind w:left="480" w:leftChars="200"/>
        <w:jc w:val="left"/>
        <w:textAlignment w:val="auto"/>
        <w:rPr>
          <w:rFonts w:ascii="宋体" w:hAnsi="宋体"/>
          <w:b w:val="0"/>
          <w:bCs/>
          <w:color w:val="auto"/>
          <w:sz w:val="21"/>
          <w:szCs w:val="21"/>
        </w:rPr>
      </w:pPr>
      <w:r>
        <w:rPr>
          <w:rFonts w:hint="eastAsia" w:ascii="宋体" w:hAnsi="宋体"/>
          <w:b w:val="0"/>
          <w:bCs/>
          <w:color w:val="auto"/>
          <w:sz w:val="21"/>
          <w:szCs w:val="21"/>
        </w:rPr>
        <w:t>（六）法律、法规和招标文件规定的其他无效情形。</w:t>
      </w:r>
    </w:p>
    <w:p w14:paraId="1D256083">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339" w:name="_Toc489197841"/>
      <w:bookmarkStart w:id="340" w:name="_Toc489145737"/>
      <w:bookmarkStart w:id="341" w:name="_Toc16236"/>
      <w:bookmarkStart w:id="342" w:name="_Toc528186485"/>
      <w:r>
        <w:rPr>
          <w:rFonts w:hint="eastAsia" w:hAnsi="宋体" w:cs="宋体"/>
          <w:color w:val="auto"/>
          <w:sz w:val="21"/>
          <w:szCs w:val="21"/>
        </w:rPr>
        <w:t>27. 在招标采购中，出现下列情形之一的，应予废标：</w:t>
      </w:r>
      <w:bookmarkEnd w:id="339"/>
      <w:bookmarkEnd w:id="340"/>
      <w:bookmarkEnd w:id="341"/>
      <w:bookmarkEnd w:id="342"/>
    </w:p>
    <w:p w14:paraId="3BBB4DB8">
      <w:pPr>
        <w:pageBreakBefore w:val="0"/>
        <w:widowControl w:val="0"/>
        <w:kinsoku/>
        <w:wordWrap/>
        <w:overflowPunct/>
        <w:topLinePunct w:val="0"/>
        <w:bidi w:val="0"/>
        <w:spacing w:line="480" w:lineRule="auto"/>
        <w:ind w:left="480" w:leftChars="200"/>
        <w:jc w:val="left"/>
        <w:textAlignment w:val="auto"/>
        <w:rPr>
          <w:rFonts w:ascii="宋体" w:hAnsi="宋体"/>
          <w:b w:val="0"/>
          <w:bCs/>
          <w:color w:val="auto"/>
          <w:sz w:val="21"/>
          <w:szCs w:val="21"/>
        </w:rPr>
      </w:pPr>
      <w:r>
        <w:rPr>
          <w:rFonts w:hint="eastAsia" w:ascii="宋体" w:hAnsi="宋体"/>
          <w:b w:val="0"/>
          <w:bCs/>
          <w:color w:val="auto"/>
          <w:sz w:val="21"/>
          <w:szCs w:val="21"/>
        </w:rPr>
        <w:t>（一）符合专业条件的投标人或者对招标文件作实质响应的投标人不足三家的；</w:t>
      </w:r>
    </w:p>
    <w:p w14:paraId="1BC333BA">
      <w:pPr>
        <w:pageBreakBefore w:val="0"/>
        <w:widowControl w:val="0"/>
        <w:kinsoku/>
        <w:wordWrap/>
        <w:overflowPunct/>
        <w:topLinePunct w:val="0"/>
        <w:bidi w:val="0"/>
        <w:spacing w:line="480" w:lineRule="auto"/>
        <w:ind w:left="480" w:leftChars="200"/>
        <w:jc w:val="left"/>
        <w:textAlignment w:val="auto"/>
        <w:rPr>
          <w:rFonts w:ascii="宋体" w:hAnsi="宋体"/>
          <w:b w:val="0"/>
          <w:bCs/>
          <w:color w:val="auto"/>
          <w:sz w:val="21"/>
          <w:szCs w:val="21"/>
        </w:rPr>
      </w:pPr>
      <w:r>
        <w:rPr>
          <w:rFonts w:hint="eastAsia" w:ascii="宋体" w:hAnsi="宋体"/>
          <w:b w:val="0"/>
          <w:bCs/>
          <w:color w:val="auto"/>
          <w:sz w:val="21"/>
          <w:szCs w:val="21"/>
        </w:rPr>
        <w:t>（二）出现影响采购公正的违法、违规行为的；</w:t>
      </w:r>
    </w:p>
    <w:p w14:paraId="18797DA8">
      <w:pPr>
        <w:pageBreakBefore w:val="0"/>
        <w:widowControl w:val="0"/>
        <w:kinsoku/>
        <w:wordWrap/>
        <w:overflowPunct/>
        <w:topLinePunct w:val="0"/>
        <w:bidi w:val="0"/>
        <w:spacing w:line="480" w:lineRule="auto"/>
        <w:ind w:left="480" w:leftChars="200"/>
        <w:jc w:val="left"/>
        <w:textAlignment w:val="auto"/>
        <w:rPr>
          <w:rFonts w:ascii="宋体" w:hAnsi="宋体"/>
          <w:b w:val="0"/>
          <w:bCs/>
          <w:color w:val="auto"/>
          <w:sz w:val="21"/>
          <w:szCs w:val="21"/>
        </w:rPr>
      </w:pPr>
      <w:r>
        <w:rPr>
          <w:rFonts w:hint="eastAsia" w:ascii="宋体" w:hAnsi="宋体"/>
          <w:b w:val="0"/>
          <w:bCs/>
          <w:color w:val="auto"/>
          <w:sz w:val="21"/>
          <w:szCs w:val="21"/>
        </w:rPr>
        <w:t>（三）投标人的报价均超过了采购预算，</w:t>
      </w:r>
      <w:r>
        <w:rPr>
          <w:rFonts w:hint="eastAsia" w:ascii="宋体" w:hAnsi="宋体"/>
          <w:b w:val="0"/>
          <w:bCs/>
          <w:color w:val="auto"/>
          <w:sz w:val="21"/>
          <w:szCs w:val="21"/>
          <w:lang w:eastAsia="zh-CN"/>
        </w:rPr>
        <w:t>采购人</w:t>
      </w:r>
      <w:r>
        <w:rPr>
          <w:rFonts w:hint="eastAsia" w:ascii="宋体" w:hAnsi="宋体"/>
          <w:b w:val="0"/>
          <w:bCs/>
          <w:color w:val="auto"/>
          <w:sz w:val="21"/>
          <w:szCs w:val="21"/>
        </w:rPr>
        <w:t>不能支付的；</w:t>
      </w:r>
    </w:p>
    <w:p w14:paraId="31A462FC">
      <w:pPr>
        <w:pageBreakBefore w:val="0"/>
        <w:widowControl w:val="0"/>
        <w:kinsoku/>
        <w:wordWrap/>
        <w:overflowPunct/>
        <w:topLinePunct w:val="0"/>
        <w:bidi w:val="0"/>
        <w:spacing w:line="480" w:lineRule="auto"/>
        <w:ind w:left="480" w:leftChars="200"/>
        <w:jc w:val="left"/>
        <w:textAlignment w:val="auto"/>
        <w:rPr>
          <w:rFonts w:ascii="宋体" w:hAnsi="宋体"/>
          <w:b w:val="0"/>
          <w:bCs/>
          <w:color w:val="auto"/>
          <w:sz w:val="21"/>
          <w:szCs w:val="21"/>
        </w:rPr>
      </w:pPr>
      <w:r>
        <w:rPr>
          <w:rFonts w:hint="eastAsia" w:ascii="宋体" w:hAnsi="宋体"/>
          <w:b w:val="0"/>
          <w:bCs/>
          <w:color w:val="auto"/>
          <w:sz w:val="21"/>
          <w:szCs w:val="21"/>
        </w:rPr>
        <w:t>（四）因重大变故，采购任务取消的。</w:t>
      </w:r>
    </w:p>
    <w:p w14:paraId="5B9AE082">
      <w:pPr>
        <w:pageBreakBefore w:val="0"/>
        <w:widowControl w:val="0"/>
        <w:kinsoku/>
        <w:wordWrap/>
        <w:overflowPunct/>
        <w:topLinePunct w:val="0"/>
        <w:bidi w:val="0"/>
        <w:spacing w:line="480" w:lineRule="auto"/>
        <w:ind w:left="480" w:leftChars="200" w:firstLine="105" w:firstLineChars="50"/>
        <w:jc w:val="left"/>
        <w:textAlignment w:val="auto"/>
        <w:rPr>
          <w:rFonts w:ascii="宋体" w:hAnsi="宋体"/>
          <w:b w:val="0"/>
          <w:bCs/>
          <w:color w:val="auto"/>
          <w:sz w:val="21"/>
          <w:szCs w:val="21"/>
        </w:rPr>
      </w:pPr>
      <w:r>
        <w:rPr>
          <w:rFonts w:hint="eastAsia" w:ascii="宋体" w:hAnsi="宋体"/>
          <w:b w:val="0"/>
          <w:bCs/>
          <w:color w:val="auto"/>
          <w:sz w:val="21"/>
          <w:szCs w:val="21"/>
        </w:rPr>
        <w:t>废标后，</w:t>
      </w:r>
      <w:r>
        <w:rPr>
          <w:rFonts w:hint="eastAsia" w:ascii="宋体" w:hAnsi="宋体"/>
          <w:b w:val="0"/>
          <w:bCs/>
          <w:color w:val="auto"/>
          <w:sz w:val="21"/>
          <w:szCs w:val="21"/>
          <w:lang w:eastAsia="zh-CN"/>
        </w:rPr>
        <w:t>采购人</w:t>
      </w:r>
      <w:r>
        <w:rPr>
          <w:rFonts w:hint="eastAsia" w:ascii="宋体" w:hAnsi="宋体"/>
          <w:b w:val="0"/>
          <w:bCs/>
          <w:color w:val="auto"/>
          <w:sz w:val="21"/>
          <w:szCs w:val="21"/>
        </w:rPr>
        <w:t>应当将废标理由通知所有投标人。</w:t>
      </w:r>
    </w:p>
    <w:p w14:paraId="4A2AC275">
      <w:pPr>
        <w:pStyle w:val="3"/>
        <w:pageBreakBefore w:val="0"/>
        <w:widowControl w:val="0"/>
        <w:kinsoku/>
        <w:wordWrap/>
        <w:overflowPunct/>
        <w:topLinePunct w:val="0"/>
        <w:bidi w:val="0"/>
        <w:spacing w:before="0" w:line="480" w:lineRule="auto"/>
        <w:jc w:val="center"/>
        <w:textAlignment w:val="auto"/>
        <w:rPr>
          <w:rFonts w:ascii="宋体" w:hAnsi="宋体" w:cs="宋体"/>
          <w:color w:val="auto"/>
          <w:sz w:val="28"/>
          <w:szCs w:val="28"/>
        </w:rPr>
      </w:pPr>
      <w:bookmarkStart w:id="343" w:name="_Toc489145738"/>
      <w:bookmarkStart w:id="344" w:name="_Toc528186486"/>
      <w:bookmarkStart w:id="345" w:name="_Toc488633610"/>
      <w:bookmarkStart w:id="346" w:name="_Toc19150"/>
      <w:bookmarkStart w:id="347" w:name="_Toc489197842"/>
      <w:r>
        <w:rPr>
          <w:rFonts w:hint="eastAsia" w:ascii="宋体" w:hAnsi="宋体" w:cs="宋体"/>
          <w:color w:val="auto"/>
          <w:sz w:val="28"/>
          <w:szCs w:val="28"/>
        </w:rPr>
        <w:t>七、中标结果</w:t>
      </w:r>
      <w:bookmarkEnd w:id="343"/>
      <w:bookmarkEnd w:id="344"/>
      <w:bookmarkEnd w:id="345"/>
      <w:bookmarkEnd w:id="346"/>
      <w:bookmarkEnd w:id="347"/>
    </w:p>
    <w:p w14:paraId="08D38285">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348" w:name="_Toc489145739"/>
      <w:bookmarkStart w:id="349" w:name="_Toc489197843"/>
      <w:bookmarkStart w:id="350" w:name="_Toc1304"/>
      <w:bookmarkStart w:id="351" w:name="_Toc528186487"/>
      <w:r>
        <w:rPr>
          <w:rFonts w:hint="eastAsia" w:hAnsi="宋体" w:cs="宋体"/>
          <w:color w:val="auto"/>
          <w:sz w:val="21"/>
          <w:szCs w:val="21"/>
        </w:rPr>
        <w:t>28. 中</w:t>
      </w:r>
      <w:bookmarkStart w:id="352" w:name="_Toc246996953"/>
      <w:bookmarkStart w:id="353" w:name="_Toc247085724"/>
      <w:bookmarkStart w:id="354" w:name="_Toc144974534"/>
      <w:bookmarkStart w:id="355" w:name="_Toc152045566"/>
      <w:bookmarkStart w:id="356" w:name="_Toc296602455"/>
      <w:bookmarkStart w:id="357" w:name="_Toc152042342"/>
      <w:bookmarkStart w:id="358" w:name="_Toc179632584"/>
      <w:bookmarkStart w:id="359" w:name="_Toc378239176"/>
      <w:bookmarkStart w:id="360" w:name="_Toc246996210"/>
      <w:bookmarkStart w:id="361" w:name="_Toc378239357"/>
      <w:bookmarkStart w:id="362" w:name="_Toc378239084"/>
      <w:bookmarkStart w:id="363" w:name="_Toc401342140"/>
      <w:bookmarkStart w:id="364" w:name="_Toc13517"/>
      <w:bookmarkStart w:id="365" w:name="_Toc480817649"/>
      <w:r>
        <w:rPr>
          <w:rFonts w:hint="eastAsia" w:hAnsi="宋体" w:cs="宋体"/>
          <w:color w:val="auto"/>
          <w:sz w:val="21"/>
          <w:szCs w:val="21"/>
        </w:rPr>
        <w:t>标</w:t>
      </w:r>
      <w:bookmarkEnd w:id="352"/>
      <w:bookmarkEnd w:id="353"/>
      <w:bookmarkEnd w:id="354"/>
      <w:bookmarkEnd w:id="355"/>
      <w:bookmarkEnd w:id="356"/>
      <w:bookmarkEnd w:id="357"/>
      <w:bookmarkEnd w:id="358"/>
      <w:bookmarkEnd w:id="359"/>
      <w:bookmarkEnd w:id="360"/>
      <w:bookmarkEnd w:id="361"/>
      <w:bookmarkEnd w:id="362"/>
      <w:bookmarkEnd w:id="363"/>
      <w:r>
        <w:rPr>
          <w:rFonts w:hint="eastAsia" w:hAnsi="宋体" w:cs="宋体"/>
          <w:color w:val="auto"/>
          <w:sz w:val="21"/>
          <w:szCs w:val="21"/>
        </w:rPr>
        <w:t>人的</w:t>
      </w:r>
      <w:bookmarkEnd w:id="364"/>
      <w:bookmarkEnd w:id="365"/>
      <w:r>
        <w:rPr>
          <w:rFonts w:hint="eastAsia" w:hAnsi="宋体" w:cs="宋体"/>
          <w:color w:val="auto"/>
          <w:sz w:val="21"/>
          <w:szCs w:val="21"/>
        </w:rPr>
        <w:t>确</w:t>
      </w:r>
      <w:bookmarkStart w:id="366" w:name="_Toc152042343"/>
      <w:bookmarkStart w:id="367" w:name="_Toc144974535"/>
      <w:bookmarkStart w:id="368" w:name="_Toc246996954"/>
      <w:bookmarkStart w:id="369" w:name="_Toc179632585"/>
      <w:bookmarkStart w:id="370" w:name="_Toc247085725"/>
      <w:bookmarkStart w:id="371" w:name="_Toc246996211"/>
      <w:bookmarkStart w:id="372" w:name="_Toc152045567"/>
      <w:bookmarkStart w:id="373" w:name="_Toc296602456"/>
      <w:r>
        <w:rPr>
          <w:rFonts w:hint="eastAsia" w:hAnsi="宋体" w:cs="宋体"/>
          <w:color w:val="auto"/>
          <w:sz w:val="21"/>
          <w:szCs w:val="21"/>
        </w:rPr>
        <w:t>定</w:t>
      </w:r>
      <w:bookmarkEnd w:id="348"/>
      <w:bookmarkEnd w:id="349"/>
      <w:bookmarkEnd w:id="350"/>
      <w:bookmarkEnd w:id="351"/>
    </w:p>
    <w:p w14:paraId="45AB6DAF">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2</w:t>
      </w:r>
      <w:bookmarkStart w:id="374" w:name="_Toc417913979"/>
      <w:r>
        <w:rPr>
          <w:rFonts w:hint="eastAsia" w:ascii="宋体" w:hAnsi="宋体"/>
          <w:b w:val="0"/>
          <w:bCs/>
          <w:color w:val="auto"/>
          <w:sz w:val="21"/>
          <w:szCs w:val="21"/>
        </w:rPr>
        <w:t>8.1</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机构应</w:t>
      </w:r>
      <w:bookmarkEnd w:id="366"/>
      <w:bookmarkEnd w:id="367"/>
      <w:bookmarkEnd w:id="368"/>
      <w:bookmarkEnd w:id="369"/>
      <w:bookmarkEnd w:id="370"/>
      <w:bookmarkEnd w:id="371"/>
      <w:bookmarkEnd w:id="372"/>
      <w:bookmarkEnd w:id="373"/>
      <w:bookmarkEnd w:id="374"/>
      <w:r>
        <w:rPr>
          <w:rFonts w:hint="eastAsia" w:ascii="宋体" w:hAnsi="宋体"/>
          <w:b w:val="0"/>
          <w:bCs/>
          <w:color w:val="auto"/>
          <w:sz w:val="21"/>
          <w:szCs w:val="21"/>
        </w:rPr>
        <w:t>当在评标结束后2个工作日内将评标报告送</w:t>
      </w:r>
      <w:r>
        <w:rPr>
          <w:rFonts w:hint="eastAsia" w:ascii="宋体" w:hAnsi="宋体"/>
          <w:b w:val="0"/>
          <w:bCs/>
          <w:color w:val="auto"/>
          <w:sz w:val="21"/>
          <w:szCs w:val="21"/>
          <w:lang w:eastAsia="zh-CN"/>
        </w:rPr>
        <w:t>采购人</w:t>
      </w:r>
      <w:r>
        <w:rPr>
          <w:rFonts w:hint="eastAsia" w:ascii="宋体" w:hAnsi="宋体"/>
          <w:b w:val="0"/>
          <w:bCs/>
          <w:color w:val="auto"/>
          <w:sz w:val="21"/>
          <w:szCs w:val="21"/>
        </w:rPr>
        <w:t>。</w:t>
      </w:r>
    </w:p>
    <w:p w14:paraId="64C5BBED">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28.2</w:t>
      </w:r>
      <w:r>
        <w:rPr>
          <w:rFonts w:hint="eastAsia" w:ascii="宋体" w:hAnsi="宋体"/>
          <w:b w:val="0"/>
          <w:bCs/>
          <w:color w:val="auto"/>
          <w:sz w:val="21"/>
          <w:szCs w:val="21"/>
          <w:lang w:eastAsia="zh-CN"/>
        </w:rPr>
        <w:t>采购人</w:t>
      </w:r>
      <w:r>
        <w:rPr>
          <w:rFonts w:hint="eastAsia" w:ascii="宋体" w:hAnsi="宋体"/>
          <w:b w:val="0"/>
          <w:bCs/>
          <w:color w:val="auto"/>
          <w:sz w:val="21"/>
          <w:szCs w:val="21"/>
        </w:rPr>
        <w:t>应当自收到评标报告之日起5个工作日内，在评标报告确定的中标候选人名单中按顺序确定中标人。中标候选人并列的，由评标委员会按照招标文件规定的方式确定中标人</w:t>
      </w:r>
    </w:p>
    <w:p w14:paraId="459EF286">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375" w:name="_Toc25685"/>
      <w:bookmarkStart w:id="376" w:name="_Toc528186488"/>
      <w:bookmarkStart w:id="377" w:name="_Toc489197844"/>
      <w:bookmarkStart w:id="378" w:name="_Toc489145740"/>
      <w:r>
        <w:rPr>
          <w:rFonts w:hint="eastAsia" w:hAnsi="宋体" w:cs="宋体"/>
          <w:color w:val="auto"/>
          <w:sz w:val="21"/>
          <w:szCs w:val="21"/>
        </w:rPr>
        <w:t>29. 中标通知书</w:t>
      </w:r>
      <w:bookmarkEnd w:id="375"/>
      <w:bookmarkEnd w:id="376"/>
      <w:bookmarkEnd w:id="377"/>
      <w:bookmarkEnd w:id="378"/>
    </w:p>
    <w:p w14:paraId="38F663FE">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bookmarkStart w:id="379" w:name="_Toc152042344"/>
      <w:bookmarkStart w:id="380" w:name="_Toc246996212"/>
      <w:bookmarkStart w:id="381" w:name="_Toc247085726"/>
      <w:bookmarkStart w:id="382" w:name="_Toc179632586"/>
      <w:bookmarkStart w:id="383" w:name="_Toc296602458"/>
      <w:bookmarkStart w:id="384" w:name="_Toc144974536"/>
      <w:bookmarkStart w:id="385" w:name="_Toc152045568"/>
      <w:bookmarkStart w:id="386" w:name="_Toc246996955"/>
      <w:r>
        <w:rPr>
          <w:rFonts w:hint="eastAsia" w:ascii="宋体" w:hAnsi="宋体"/>
          <w:b w:val="0"/>
          <w:bCs/>
          <w:color w:val="auto"/>
          <w:sz w:val="21"/>
          <w:szCs w:val="21"/>
        </w:rPr>
        <w:t>29.1中标人确定之</w:t>
      </w:r>
      <w:bookmarkEnd w:id="379"/>
      <w:bookmarkEnd w:id="380"/>
      <w:bookmarkEnd w:id="381"/>
      <w:bookmarkEnd w:id="382"/>
      <w:bookmarkEnd w:id="383"/>
      <w:bookmarkEnd w:id="384"/>
      <w:bookmarkEnd w:id="385"/>
      <w:bookmarkEnd w:id="386"/>
      <w:r>
        <w:rPr>
          <w:rFonts w:hint="eastAsia" w:ascii="宋体" w:hAnsi="宋体"/>
          <w:b w:val="0"/>
          <w:bCs/>
          <w:color w:val="auto"/>
          <w:sz w:val="21"/>
          <w:szCs w:val="21"/>
        </w:rPr>
        <w:t>日起</w:t>
      </w:r>
      <w:bookmarkStart w:id="387" w:name="_Toc144974538"/>
      <w:bookmarkStart w:id="388" w:name="_Toc246996214"/>
      <w:bookmarkStart w:id="389" w:name="_Toc246996957"/>
      <w:bookmarkStart w:id="390" w:name="_Toc179632588"/>
      <w:bookmarkStart w:id="391" w:name="_Toc152045570"/>
      <w:bookmarkStart w:id="392" w:name="_Toc296602460"/>
      <w:bookmarkStart w:id="393" w:name="_Toc152042346"/>
      <w:bookmarkStart w:id="394" w:name="_Toc247085728"/>
      <w:r>
        <w:rPr>
          <w:rFonts w:hint="eastAsia" w:ascii="宋体" w:hAnsi="宋体"/>
          <w:b w:val="0"/>
          <w:bCs/>
          <w:color w:val="auto"/>
          <w:sz w:val="21"/>
          <w:szCs w:val="21"/>
        </w:rPr>
        <w:t>2个工作日内，</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机构向中标人发出中标通知书，并在财政部门指定的政府采购信息发布媒体上公告中标结果。中标公告期限为1个工作日。</w:t>
      </w:r>
    </w:p>
    <w:p w14:paraId="042B4DCC">
      <w:pPr>
        <w:pageBreakBefore w:val="0"/>
        <w:widowControl w:val="0"/>
        <w:kinsoku/>
        <w:wordWrap/>
        <w:overflowPunct/>
        <w:topLinePunct w:val="0"/>
        <w:bidi w:val="0"/>
        <w:spacing w:line="480" w:lineRule="auto"/>
        <w:ind w:left="480" w:leftChars="200" w:firstLine="420" w:firstLineChars="200"/>
        <w:jc w:val="left"/>
        <w:textAlignment w:val="auto"/>
        <w:outlineLvl w:val="3"/>
        <w:rPr>
          <w:rFonts w:ascii="宋体" w:hAnsi="宋体"/>
          <w:b w:val="0"/>
          <w:bCs/>
          <w:color w:val="auto"/>
          <w:sz w:val="21"/>
          <w:szCs w:val="21"/>
        </w:rPr>
      </w:pPr>
      <w:r>
        <w:rPr>
          <w:rFonts w:hint="eastAsia" w:ascii="宋体" w:hAnsi="宋体"/>
          <w:b w:val="0"/>
          <w:bCs/>
          <w:color w:val="auto"/>
          <w:sz w:val="21"/>
          <w:szCs w:val="21"/>
        </w:rPr>
        <w:t>29.2中标通知书是合同的一个组成部分。</w:t>
      </w:r>
    </w:p>
    <w:p w14:paraId="32D7784A">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395" w:name="_Toc489197845"/>
      <w:bookmarkStart w:id="396" w:name="_Toc29185"/>
      <w:bookmarkStart w:id="397" w:name="_Toc528186489"/>
      <w:bookmarkStart w:id="398" w:name="_Toc489145741"/>
      <w:r>
        <w:rPr>
          <w:rFonts w:hint="eastAsia" w:hAnsi="宋体" w:cs="宋体"/>
          <w:color w:val="auto"/>
          <w:sz w:val="21"/>
          <w:szCs w:val="21"/>
        </w:rPr>
        <w:t>30. 签订合同</w:t>
      </w:r>
      <w:bookmarkEnd w:id="395"/>
      <w:bookmarkEnd w:id="396"/>
      <w:bookmarkEnd w:id="397"/>
      <w:bookmarkEnd w:id="398"/>
    </w:p>
    <w:p w14:paraId="630861C4">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30.1</w:t>
      </w:r>
      <w:r>
        <w:rPr>
          <w:rFonts w:hint="eastAsia" w:ascii="宋体" w:hAnsi="宋体"/>
          <w:b w:val="0"/>
          <w:bCs/>
          <w:color w:val="auto"/>
          <w:sz w:val="21"/>
          <w:szCs w:val="21"/>
          <w:lang w:eastAsia="zh-CN"/>
        </w:rPr>
        <w:t>采购人</w:t>
      </w:r>
      <w:r>
        <w:rPr>
          <w:rFonts w:hint="eastAsia" w:ascii="宋体" w:hAnsi="宋体"/>
          <w:b w:val="0"/>
          <w:bCs/>
          <w:color w:val="auto"/>
          <w:sz w:val="21"/>
          <w:szCs w:val="21"/>
        </w:rPr>
        <w:t>应当自中</w:t>
      </w:r>
      <w:bookmarkEnd w:id="387"/>
      <w:bookmarkEnd w:id="388"/>
      <w:bookmarkEnd w:id="389"/>
      <w:bookmarkEnd w:id="390"/>
      <w:bookmarkEnd w:id="391"/>
      <w:bookmarkEnd w:id="392"/>
      <w:bookmarkEnd w:id="393"/>
      <w:bookmarkEnd w:id="394"/>
      <w:r>
        <w:rPr>
          <w:rFonts w:hint="eastAsia" w:ascii="宋体" w:hAnsi="宋体"/>
          <w:b w:val="0"/>
          <w:bCs/>
          <w:color w:val="auto"/>
          <w:sz w:val="21"/>
          <w:szCs w:val="21"/>
        </w:rPr>
        <w:t>标通知书发出之日起30日内，按照招标文件和中标人投标文件的规定，与中标人签订书面合同。所签订的合同不得对招标文件确定的事项和中标人投标文件作实质性修改。</w:t>
      </w:r>
    </w:p>
    <w:p w14:paraId="4078F66F">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30.2中标通知书发出后，中标人无正当理由放弃中标或拒签合同的，</w:t>
      </w:r>
      <w:r>
        <w:rPr>
          <w:rFonts w:hint="eastAsia" w:ascii="宋体" w:hAnsi="宋体"/>
          <w:b w:val="0"/>
          <w:bCs/>
          <w:color w:val="auto"/>
          <w:sz w:val="21"/>
          <w:szCs w:val="21"/>
          <w:lang w:eastAsia="zh-CN"/>
        </w:rPr>
        <w:t>采购人</w:t>
      </w:r>
      <w:r>
        <w:rPr>
          <w:rFonts w:hint="eastAsia" w:ascii="宋体" w:hAnsi="宋体"/>
          <w:b w:val="0"/>
          <w:bCs/>
          <w:color w:val="auto"/>
          <w:sz w:val="21"/>
          <w:szCs w:val="21"/>
        </w:rPr>
        <w:t>取消其中标资格，其投标保证金不予退还；给</w:t>
      </w:r>
      <w:r>
        <w:rPr>
          <w:rFonts w:hint="eastAsia" w:ascii="宋体" w:hAnsi="宋体"/>
          <w:b w:val="0"/>
          <w:bCs/>
          <w:color w:val="auto"/>
          <w:sz w:val="21"/>
          <w:szCs w:val="21"/>
          <w:lang w:eastAsia="zh-CN"/>
        </w:rPr>
        <w:t>采购人</w:t>
      </w:r>
      <w:r>
        <w:rPr>
          <w:rFonts w:hint="eastAsia" w:ascii="宋体" w:hAnsi="宋体"/>
          <w:b w:val="0"/>
          <w:bCs/>
          <w:color w:val="auto"/>
          <w:sz w:val="21"/>
          <w:szCs w:val="21"/>
        </w:rPr>
        <w:t>造成的损失超过投标保证金数额的，中标人还应当对超过部分予以赔偿。</w:t>
      </w:r>
    </w:p>
    <w:p w14:paraId="3DC4E17D">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30.3排名第一的中标候选人放弃中标、因不可抗力不能履行合同、不按照招标文件要求提交履约保证金，或者被查实存在影响中标结果的违法行为等情形，不符合中标条件的，</w:t>
      </w:r>
      <w:r>
        <w:rPr>
          <w:rFonts w:hint="eastAsia" w:ascii="宋体" w:hAnsi="宋体"/>
          <w:b w:val="0"/>
          <w:bCs/>
          <w:color w:val="auto"/>
          <w:sz w:val="21"/>
          <w:szCs w:val="21"/>
          <w:lang w:eastAsia="zh-CN"/>
        </w:rPr>
        <w:t>采购人</w:t>
      </w:r>
      <w:r>
        <w:rPr>
          <w:rFonts w:hint="eastAsia" w:ascii="宋体" w:hAnsi="宋体"/>
          <w:b w:val="0"/>
          <w:bCs/>
          <w:color w:val="auto"/>
          <w:sz w:val="21"/>
          <w:szCs w:val="21"/>
        </w:rPr>
        <w:t>将按照评标委员会提出的中标候选人名单排序依次确定其他中标候选人为中标人，也可以重新招标。</w:t>
      </w:r>
    </w:p>
    <w:p w14:paraId="10316AE5">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30.4政府采购合同应当包括</w:t>
      </w:r>
      <w:r>
        <w:rPr>
          <w:rFonts w:hint="eastAsia" w:ascii="宋体" w:hAnsi="宋体"/>
          <w:b w:val="0"/>
          <w:bCs/>
          <w:color w:val="auto"/>
          <w:sz w:val="21"/>
          <w:szCs w:val="21"/>
          <w:lang w:eastAsia="zh-CN"/>
        </w:rPr>
        <w:t>采购人</w:t>
      </w:r>
      <w:r>
        <w:rPr>
          <w:rFonts w:hint="eastAsia" w:ascii="宋体" w:hAnsi="宋体"/>
          <w:b w:val="0"/>
          <w:bCs/>
          <w:color w:val="auto"/>
          <w:sz w:val="21"/>
          <w:szCs w:val="21"/>
        </w:rPr>
        <w:t>与中标人的名称和住所、标的、数量、质量、价款或者报酬、履行期限及地点和方式、验收要求、违约责任、解决争议的方法等内容。</w:t>
      </w:r>
    </w:p>
    <w:p w14:paraId="2479D278">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30.5政府采购合同履行中，</w:t>
      </w:r>
      <w:r>
        <w:rPr>
          <w:rFonts w:hint="eastAsia" w:ascii="宋体" w:hAnsi="宋体"/>
          <w:b w:val="0"/>
          <w:bCs/>
          <w:color w:val="auto"/>
          <w:sz w:val="21"/>
          <w:szCs w:val="21"/>
          <w:lang w:eastAsia="zh-CN"/>
        </w:rPr>
        <w:t>采购人</w:t>
      </w:r>
      <w:r>
        <w:rPr>
          <w:rFonts w:hint="eastAsia" w:ascii="宋体" w:hAnsi="宋体"/>
          <w:b w:val="0"/>
          <w:bCs/>
          <w:color w:val="auto"/>
          <w:sz w:val="21"/>
          <w:szCs w:val="21"/>
        </w:rPr>
        <w:t>需追加与合同标的相同的货物、工程或者服务的，在不改变合同其他条款的前提下，可以与中标人协商签订补充合同，但所有补充合同的采购金额不得超过原合同采购金额的百分之十。</w:t>
      </w:r>
    </w:p>
    <w:p w14:paraId="452733CC">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30.6除</w:t>
      </w:r>
      <w:r>
        <w:rPr>
          <w:rFonts w:hint="eastAsia" w:ascii="宋体" w:hAnsi="宋体"/>
          <w:b w:val="0"/>
          <w:bCs/>
          <w:color w:val="auto"/>
          <w:sz w:val="21"/>
          <w:szCs w:val="21"/>
          <w:lang w:eastAsia="zh-CN"/>
        </w:rPr>
        <w:t>采购人</w:t>
      </w:r>
      <w:r>
        <w:rPr>
          <w:rFonts w:hint="eastAsia" w:ascii="宋体" w:hAnsi="宋体"/>
          <w:b w:val="0"/>
          <w:bCs/>
          <w:color w:val="auto"/>
          <w:sz w:val="21"/>
          <w:szCs w:val="21"/>
        </w:rPr>
        <w:t>与中标人在合同中另行商定将中标项目的非主体、非关键性工作分包的，中标人在中标后将中标项目分包的，</w:t>
      </w:r>
      <w:r>
        <w:rPr>
          <w:rFonts w:hint="eastAsia" w:ascii="宋体" w:hAnsi="宋体"/>
          <w:b w:val="0"/>
          <w:bCs/>
          <w:color w:val="auto"/>
          <w:sz w:val="21"/>
          <w:szCs w:val="21"/>
          <w:lang w:eastAsia="zh-CN"/>
        </w:rPr>
        <w:t>采购人</w:t>
      </w:r>
      <w:r>
        <w:rPr>
          <w:rFonts w:hint="eastAsia" w:ascii="宋体" w:hAnsi="宋体"/>
          <w:b w:val="0"/>
          <w:bCs/>
          <w:color w:val="auto"/>
          <w:sz w:val="21"/>
          <w:szCs w:val="21"/>
        </w:rPr>
        <w:t>取消其中标资格，其投标保证金不予退还；给</w:t>
      </w:r>
      <w:r>
        <w:rPr>
          <w:rFonts w:hint="eastAsia" w:ascii="宋体" w:hAnsi="宋体"/>
          <w:b w:val="0"/>
          <w:bCs/>
          <w:color w:val="auto"/>
          <w:sz w:val="21"/>
          <w:szCs w:val="21"/>
          <w:lang w:eastAsia="zh-CN"/>
        </w:rPr>
        <w:t>采购人</w:t>
      </w:r>
      <w:r>
        <w:rPr>
          <w:rFonts w:hint="eastAsia" w:ascii="宋体" w:hAnsi="宋体"/>
          <w:b w:val="0"/>
          <w:bCs/>
          <w:color w:val="auto"/>
          <w:sz w:val="21"/>
          <w:szCs w:val="21"/>
        </w:rPr>
        <w:t>造成的损失超过投标保证金数额的，中标人还应当对超过部分予以赔偿。</w:t>
      </w:r>
    </w:p>
    <w:p w14:paraId="68AF5CFD">
      <w:pPr>
        <w:pStyle w:val="3"/>
        <w:pageBreakBefore w:val="0"/>
        <w:widowControl w:val="0"/>
        <w:kinsoku/>
        <w:wordWrap/>
        <w:overflowPunct/>
        <w:topLinePunct w:val="0"/>
        <w:bidi w:val="0"/>
        <w:spacing w:before="0" w:line="480" w:lineRule="auto"/>
        <w:jc w:val="center"/>
        <w:textAlignment w:val="auto"/>
        <w:rPr>
          <w:rFonts w:ascii="宋体" w:hAnsi="宋体" w:cs="宋体"/>
          <w:color w:val="auto"/>
          <w:sz w:val="28"/>
          <w:szCs w:val="28"/>
        </w:rPr>
      </w:pPr>
      <w:bookmarkStart w:id="399" w:name="_Toc489197847"/>
      <w:bookmarkStart w:id="400" w:name="_Toc528186491"/>
      <w:bookmarkStart w:id="401" w:name="_Toc488633611"/>
      <w:bookmarkStart w:id="402" w:name="_Toc5971"/>
      <w:bookmarkStart w:id="403" w:name="_Toc489145743"/>
      <w:r>
        <w:rPr>
          <w:rFonts w:hint="eastAsia" w:ascii="宋体" w:hAnsi="宋体" w:cs="宋体"/>
          <w:color w:val="auto"/>
          <w:sz w:val="28"/>
          <w:szCs w:val="28"/>
        </w:rPr>
        <w:t>八、其他事项</w:t>
      </w:r>
      <w:bookmarkEnd w:id="399"/>
      <w:bookmarkEnd w:id="400"/>
      <w:bookmarkEnd w:id="401"/>
      <w:bookmarkEnd w:id="402"/>
      <w:bookmarkEnd w:id="403"/>
    </w:p>
    <w:p w14:paraId="36AF628D">
      <w:pPr>
        <w:pStyle w:val="4"/>
        <w:pageBreakBefore w:val="0"/>
        <w:widowControl w:val="0"/>
        <w:kinsoku/>
        <w:wordWrap/>
        <w:overflowPunct/>
        <w:topLinePunct w:val="0"/>
        <w:autoSpaceDE/>
        <w:autoSpaceDN/>
        <w:bidi w:val="0"/>
        <w:adjustRightInd/>
        <w:snapToGrid/>
        <w:spacing w:before="0" w:after="120" w:afterLines="50" w:line="480" w:lineRule="auto"/>
        <w:textAlignment w:val="auto"/>
        <w:rPr>
          <w:rFonts w:hint="eastAsia" w:hAnsi="宋体" w:cs="宋体"/>
          <w:color w:val="auto"/>
          <w:sz w:val="21"/>
          <w:szCs w:val="21"/>
        </w:rPr>
      </w:pPr>
      <w:bookmarkStart w:id="404" w:name="_Toc489145744"/>
      <w:bookmarkStart w:id="405" w:name="_Toc489197848"/>
      <w:bookmarkStart w:id="406" w:name="_Toc12937"/>
      <w:bookmarkStart w:id="407" w:name="_Toc528186492"/>
      <w:r>
        <w:rPr>
          <w:rFonts w:hint="eastAsia" w:hAnsi="宋体" w:cs="宋体"/>
          <w:color w:val="auto"/>
          <w:sz w:val="21"/>
          <w:szCs w:val="21"/>
        </w:rPr>
        <w:t>3</w:t>
      </w:r>
      <w:r>
        <w:rPr>
          <w:rFonts w:hint="eastAsia" w:hAnsi="宋体" w:cs="宋体"/>
          <w:color w:val="auto"/>
          <w:sz w:val="21"/>
          <w:szCs w:val="21"/>
          <w:lang w:val="en-US" w:eastAsia="zh-CN"/>
        </w:rPr>
        <w:t>1</w:t>
      </w:r>
      <w:r>
        <w:rPr>
          <w:rFonts w:hint="eastAsia" w:hAnsi="宋体" w:cs="宋体"/>
          <w:color w:val="auto"/>
          <w:sz w:val="21"/>
          <w:szCs w:val="21"/>
        </w:rPr>
        <w:t>.</w:t>
      </w:r>
      <w:r>
        <w:rPr>
          <w:rFonts w:hint="eastAsia" w:hAnsi="宋体" w:cs="宋体"/>
          <w:color w:val="auto"/>
          <w:sz w:val="21"/>
          <w:szCs w:val="21"/>
          <w:lang w:eastAsia="zh-CN"/>
        </w:rPr>
        <w:t>招标代理</w:t>
      </w:r>
      <w:r>
        <w:rPr>
          <w:rFonts w:hint="eastAsia" w:hAnsi="宋体" w:cs="宋体"/>
          <w:color w:val="auto"/>
          <w:sz w:val="21"/>
          <w:szCs w:val="21"/>
        </w:rPr>
        <w:t>服务费</w:t>
      </w:r>
      <w:bookmarkEnd w:id="404"/>
      <w:bookmarkEnd w:id="405"/>
      <w:bookmarkEnd w:id="406"/>
      <w:bookmarkEnd w:id="407"/>
    </w:p>
    <w:p w14:paraId="72798F6B">
      <w:pPr>
        <w:pStyle w:val="47"/>
        <w:pageBreakBefore w:val="0"/>
        <w:widowControl w:val="0"/>
        <w:kinsoku/>
        <w:wordWrap/>
        <w:overflowPunct/>
        <w:topLinePunct w:val="0"/>
        <w:autoSpaceDE/>
        <w:autoSpaceDN/>
        <w:bidi w:val="0"/>
        <w:adjustRightInd/>
        <w:spacing w:line="480" w:lineRule="auto"/>
        <w:ind w:firstLine="422" w:firstLineChars="200"/>
        <w:textAlignment w:val="auto"/>
        <w:rPr>
          <w:rFonts w:hint="eastAsia" w:ascii="宋体" w:hAnsi="宋体" w:eastAsia="宋体" w:cs="宋体"/>
          <w:b/>
          <w:bCs w:val="0"/>
          <w:color w:val="auto"/>
          <w:sz w:val="21"/>
          <w:szCs w:val="21"/>
        </w:rPr>
      </w:pPr>
      <w:r>
        <w:rPr>
          <w:rFonts w:hint="eastAsia" w:ascii="宋体" w:hAnsi="宋体"/>
          <w:b/>
          <w:bCs w:val="0"/>
          <w:color w:val="auto"/>
          <w:sz w:val="21"/>
          <w:szCs w:val="21"/>
        </w:rPr>
        <w:t>32.1</w:t>
      </w:r>
      <w:r>
        <w:rPr>
          <w:rFonts w:hint="eastAsia" w:ascii="宋体" w:hAnsi="宋体" w:eastAsia="宋体" w:cs="宋体"/>
          <w:b/>
          <w:bCs w:val="0"/>
          <w:color w:val="auto"/>
          <w:sz w:val="21"/>
          <w:szCs w:val="21"/>
        </w:rPr>
        <w:t>代理服务费:由中标人支付</w:t>
      </w:r>
      <w:r>
        <w:rPr>
          <w:rFonts w:hint="eastAsia" w:hAnsi="宋体" w:cs="宋体"/>
          <w:b/>
          <w:bCs w:val="0"/>
          <w:color w:val="auto"/>
          <w:sz w:val="21"/>
          <w:szCs w:val="21"/>
          <w:lang w:eastAsia="zh-CN"/>
        </w:rPr>
        <w:t>。</w:t>
      </w:r>
      <w:r>
        <w:rPr>
          <w:rFonts w:hint="eastAsia" w:ascii="宋体" w:hAnsi="宋体" w:eastAsia="宋体" w:cs="宋体"/>
          <w:b/>
          <w:bCs w:val="0"/>
          <w:color w:val="auto"/>
          <w:sz w:val="21"/>
          <w:szCs w:val="21"/>
        </w:rPr>
        <w:t>招</w:t>
      </w:r>
      <w:r>
        <w:rPr>
          <w:rFonts w:hint="eastAsia" w:hAnsi="宋体" w:cs="宋体"/>
          <w:b/>
          <w:bCs w:val="0"/>
          <w:color w:val="auto"/>
          <w:sz w:val="21"/>
          <w:szCs w:val="21"/>
          <w:lang w:val="en-US" w:eastAsia="zh-CN"/>
        </w:rPr>
        <w:t>标</w:t>
      </w:r>
      <w:r>
        <w:rPr>
          <w:rFonts w:hint="eastAsia" w:ascii="宋体" w:hAnsi="宋体" w:eastAsia="宋体" w:cs="宋体"/>
          <w:b/>
          <w:bCs w:val="0"/>
          <w:color w:val="auto"/>
          <w:sz w:val="21"/>
          <w:szCs w:val="21"/>
        </w:rPr>
        <w:t>代理服务收费按差额定率累进法计算。例如:某</w:t>
      </w:r>
      <w:r>
        <w:rPr>
          <w:rFonts w:hint="eastAsia" w:hAnsi="宋体" w:cs="宋体"/>
          <w:b/>
          <w:bCs w:val="0"/>
          <w:color w:val="auto"/>
          <w:sz w:val="21"/>
          <w:szCs w:val="21"/>
          <w:lang w:val="en-US" w:eastAsia="zh-CN"/>
        </w:rPr>
        <w:t>货物</w:t>
      </w:r>
      <w:r>
        <w:rPr>
          <w:rFonts w:hint="eastAsia" w:ascii="宋体" w:hAnsi="宋体" w:eastAsia="宋体" w:cs="宋体"/>
          <w:b/>
          <w:bCs w:val="0"/>
          <w:color w:val="auto"/>
          <w:sz w:val="21"/>
          <w:szCs w:val="21"/>
        </w:rPr>
        <w:t>招标代理业务中标金额为</w:t>
      </w:r>
      <w:r>
        <w:rPr>
          <w:rFonts w:hint="eastAsia" w:hAnsi="宋体" w:cs="宋体"/>
          <w:b/>
          <w:bCs w:val="0"/>
          <w:color w:val="auto"/>
          <w:sz w:val="21"/>
          <w:szCs w:val="21"/>
          <w:lang w:val="en-US" w:eastAsia="zh-CN"/>
        </w:rPr>
        <w:t>5</w:t>
      </w:r>
      <w:r>
        <w:rPr>
          <w:rFonts w:hint="eastAsia" w:ascii="宋体" w:hAnsi="宋体" w:eastAsia="宋体" w:cs="宋体"/>
          <w:b/>
          <w:bCs w:val="0"/>
          <w:color w:val="auto"/>
          <w:sz w:val="21"/>
          <w:szCs w:val="21"/>
        </w:rPr>
        <w:t>0</w:t>
      </w:r>
      <w:r>
        <w:rPr>
          <w:rFonts w:hint="eastAsia" w:hAnsi="宋体" w:cs="宋体"/>
          <w:b/>
          <w:bCs w:val="0"/>
          <w:color w:val="auto"/>
          <w:sz w:val="21"/>
          <w:szCs w:val="21"/>
          <w:lang w:val="en-US" w:eastAsia="zh-CN"/>
        </w:rPr>
        <w:t>0</w:t>
      </w:r>
      <w:r>
        <w:rPr>
          <w:rFonts w:hint="eastAsia" w:ascii="宋体" w:hAnsi="宋体" w:eastAsia="宋体" w:cs="宋体"/>
          <w:b/>
          <w:bCs w:val="0"/>
          <w:color w:val="auto"/>
          <w:sz w:val="21"/>
          <w:szCs w:val="21"/>
        </w:rPr>
        <w:t>万元，计算招标代理服务收费额如下:</w:t>
      </w:r>
    </w:p>
    <w:p w14:paraId="2422964D">
      <w:pPr>
        <w:pStyle w:val="47"/>
        <w:pageBreakBefore w:val="0"/>
        <w:widowControl w:val="0"/>
        <w:kinsoku/>
        <w:wordWrap/>
        <w:overflowPunct/>
        <w:topLinePunct w:val="0"/>
        <w:autoSpaceDE/>
        <w:autoSpaceDN/>
        <w:bidi w:val="0"/>
        <w:adjustRightInd/>
        <w:spacing w:line="480" w:lineRule="auto"/>
        <w:ind w:firstLine="1476" w:firstLineChars="700"/>
        <w:textAlignment w:val="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100万元</w:t>
      </w:r>
      <w:r>
        <w:rPr>
          <w:rFonts w:hint="eastAsia" w:hAnsi="宋体" w:cs="宋体"/>
          <w:b/>
          <w:bCs w:val="0"/>
          <w:color w:val="auto"/>
          <w:sz w:val="21"/>
          <w:szCs w:val="21"/>
          <w:lang w:val="en-US" w:eastAsia="zh-CN"/>
        </w:rPr>
        <w:t>以下</w:t>
      </w:r>
      <w:r>
        <w:rPr>
          <w:rFonts w:hint="eastAsia" w:ascii="宋体" w:hAnsi="宋体" w:eastAsia="宋体" w:cs="宋体"/>
          <w:b/>
          <w:bCs w:val="0"/>
          <w:color w:val="auto"/>
          <w:sz w:val="21"/>
          <w:szCs w:val="21"/>
        </w:rPr>
        <w:t>X1.</w:t>
      </w:r>
      <w:r>
        <w:rPr>
          <w:rFonts w:hint="eastAsia" w:hAnsi="宋体" w:cs="宋体"/>
          <w:b/>
          <w:bCs w:val="0"/>
          <w:color w:val="auto"/>
          <w:sz w:val="21"/>
          <w:szCs w:val="21"/>
          <w:lang w:val="en-US" w:eastAsia="zh-CN"/>
        </w:rPr>
        <w:t>5</w:t>
      </w:r>
      <w:r>
        <w:rPr>
          <w:rFonts w:hint="eastAsia" w:ascii="宋体" w:hAnsi="宋体" w:eastAsia="宋体" w:cs="宋体"/>
          <w:b/>
          <w:bCs w:val="0"/>
          <w:color w:val="auto"/>
          <w:sz w:val="21"/>
          <w:szCs w:val="21"/>
        </w:rPr>
        <w:t>%=1</w:t>
      </w:r>
      <w:r>
        <w:rPr>
          <w:rFonts w:hint="eastAsia" w:hAnsi="宋体" w:cs="宋体"/>
          <w:b/>
          <w:bCs w:val="0"/>
          <w:color w:val="auto"/>
          <w:sz w:val="21"/>
          <w:szCs w:val="21"/>
          <w:lang w:val="en-US" w:eastAsia="zh-CN"/>
        </w:rPr>
        <w:t>.5</w:t>
      </w:r>
      <w:r>
        <w:rPr>
          <w:rFonts w:hint="eastAsia" w:ascii="宋体" w:hAnsi="宋体" w:eastAsia="宋体" w:cs="宋体"/>
          <w:b/>
          <w:bCs w:val="0"/>
          <w:color w:val="auto"/>
          <w:sz w:val="21"/>
          <w:szCs w:val="21"/>
        </w:rPr>
        <w:t>万元</w:t>
      </w:r>
    </w:p>
    <w:p w14:paraId="5D0A1E88">
      <w:pPr>
        <w:pStyle w:val="47"/>
        <w:pageBreakBefore w:val="0"/>
        <w:widowControl w:val="0"/>
        <w:kinsoku/>
        <w:wordWrap/>
        <w:overflowPunct/>
        <w:topLinePunct w:val="0"/>
        <w:autoSpaceDE/>
        <w:autoSpaceDN/>
        <w:bidi w:val="0"/>
        <w:adjustRightInd/>
        <w:spacing w:line="480" w:lineRule="auto"/>
        <w:ind w:firstLine="1476" w:firstLineChars="700"/>
        <w:textAlignment w:val="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w:t>
      </w:r>
      <w:r>
        <w:rPr>
          <w:rFonts w:hint="eastAsia" w:hAnsi="宋体" w:cs="宋体"/>
          <w:b/>
          <w:bCs w:val="0"/>
          <w:color w:val="auto"/>
          <w:sz w:val="21"/>
          <w:szCs w:val="21"/>
          <w:lang w:val="en-US" w:eastAsia="zh-CN"/>
        </w:rPr>
        <w:t>100</w:t>
      </w:r>
      <w:r>
        <w:rPr>
          <w:rFonts w:hint="eastAsia" w:ascii="宋体" w:hAnsi="宋体" w:eastAsia="宋体" w:cs="宋体"/>
          <w:b/>
          <w:bCs w:val="0"/>
          <w:color w:val="auto"/>
          <w:sz w:val="21"/>
          <w:szCs w:val="21"/>
        </w:rPr>
        <w:t>-</w:t>
      </w:r>
      <w:r>
        <w:rPr>
          <w:rFonts w:hint="eastAsia" w:hAnsi="宋体" w:cs="宋体"/>
          <w:b/>
          <w:bCs w:val="0"/>
          <w:color w:val="auto"/>
          <w:sz w:val="21"/>
          <w:szCs w:val="21"/>
          <w:lang w:val="en-US" w:eastAsia="zh-CN"/>
        </w:rPr>
        <w:t>500</w:t>
      </w:r>
      <w:r>
        <w:rPr>
          <w:rFonts w:hint="eastAsia" w:ascii="宋体" w:hAnsi="宋体" w:eastAsia="宋体" w:cs="宋体"/>
          <w:b/>
          <w:bCs w:val="0"/>
          <w:color w:val="auto"/>
          <w:sz w:val="21"/>
          <w:szCs w:val="21"/>
        </w:rPr>
        <w:t>)万元X</w:t>
      </w:r>
      <w:r>
        <w:rPr>
          <w:rFonts w:hint="eastAsia" w:hAnsi="宋体" w:cs="宋体"/>
          <w:b/>
          <w:bCs w:val="0"/>
          <w:color w:val="auto"/>
          <w:sz w:val="21"/>
          <w:szCs w:val="21"/>
          <w:lang w:val="en-US" w:eastAsia="zh-CN"/>
        </w:rPr>
        <w:t>1.1</w:t>
      </w:r>
      <w:r>
        <w:rPr>
          <w:rFonts w:hint="eastAsia" w:ascii="宋体" w:hAnsi="宋体" w:eastAsia="宋体" w:cs="宋体"/>
          <w:b/>
          <w:bCs w:val="0"/>
          <w:color w:val="auto"/>
          <w:sz w:val="21"/>
          <w:szCs w:val="21"/>
        </w:rPr>
        <w:t>%=</w:t>
      </w:r>
      <w:r>
        <w:rPr>
          <w:rFonts w:hint="eastAsia" w:hAnsi="宋体" w:cs="宋体"/>
          <w:b/>
          <w:bCs w:val="0"/>
          <w:color w:val="auto"/>
          <w:sz w:val="21"/>
          <w:szCs w:val="21"/>
          <w:lang w:val="en-US" w:eastAsia="zh-CN"/>
        </w:rPr>
        <w:t>4.4</w:t>
      </w:r>
      <w:r>
        <w:rPr>
          <w:rFonts w:hint="eastAsia" w:ascii="宋体" w:hAnsi="宋体" w:eastAsia="宋体" w:cs="宋体"/>
          <w:b/>
          <w:bCs w:val="0"/>
          <w:color w:val="auto"/>
          <w:sz w:val="21"/>
          <w:szCs w:val="21"/>
        </w:rPr>
        <w:t>万元</w:t>
      </w:r>
    </w:p>
    <w:p w14:paraId="7BC90471">
      <w:pPr>
        <w:pStyle w:val="47"/>
        <w:pageBreakBefore w:val="0"/>
        <w:widowControl w:val="0"/>
        <w:kinsoku/>
        <w:wordWrap/>
        <w:overflowPunct/>
        <w:topLinePunct w:val="0"/>
        <w:autoSpaceDE/>
        <w:autoSpaceDN/>
        <w:bidi w:val="0"/>
        <w:adjustRightInd/>
        <w:spacing w:line="480" w:lineRule="auto"/>
        <w:ind w:firstLine="1476" w:firstLineChars="700"/>
        <w:textAlignment w:val="auto"/>
        <w:rPr>
          <w:rFonts w:hint="eastAsia" w:ascii="宋体" w:hAnsi="宋体" w:eastAsia="宋体" w:cs="宋体"/>
          <w:b/>
          <w:bCs w:val="0"/>
          <w:color w:val="auto"/>
          <w:sz w:val="21"/>
          <w:szCs w:val="21"/>
        </w:rPr>
      </w:pPr>
      <w:r>
        <w:rPr>
          <w:rFonts w:hint="eastAsia" w:hAnsi="宋体" w:cs="宋体"/>
          <w:b/>
          <w:bCs w:val="0"/>
          <w:color w:val="auto"/>
          <w:sz w:val="21"/>
          <w:szCs w:val="21"/>
          <w:lang w:val="en-US" w:eastAsia="zh-CN"/>
        </w:rPr>
        <w:t>合计：1.5+4.4=5.9万元</w:t>
      </w:r>
    </w:p>
    <w:p w14:paraId="167BA9DF">
      <w:pPr>
        <w:pageBreakBefore w:val="0"/>
        <w:widowControl w:val="0"/>
        <w:kinsoku/>
        <w:wordWrap/>
        <w:overflowPunct/>
        <w:topLinePunct w:val="0"/>
        <w:autoSpaceDE/>
        <w:autoSpaceDN/>
        <w:bidi w:val="0"/>
        <w:adjustRightInd/>
        <w:snapToGrid/>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32.2中标人应在接受“中标通知书”前向</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机构一次付清</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服务费。</w:t>
      </w:r>
    </w:p>
    <w:p w14:paraId="650C124E">
      <w:pPr>
        <w:pageBreakBefore w:val="0"/>
        <w:widowControl w:val="0"/>
        <w:kinsoku/>
        <w:wordWrap/>
        <w:overflowPunct/>
        <w:topLinePunct w:val="0"/>
        <w:autoSpaceDE/>
        <w:autoSpaceDN/>
        <w:bidi w:val="0"/>
        <w:adjustRightInd/>
        <w:snapToGrid/>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32.3中标人应按云价收费[2017]160号文《云南省物价局云南省司法厅关于印发&lt;云南省实行政府指导价的公证附收费项目和标准&gt;的通知》承担公证费。</w:t>
      </w:r>
    </w:p>
    <w:p w14:paraId="05964A36">
      <w:pPr>
        <w:pStyle w:val="4"/>
        <w:pageBreakBefore w:val="0"/>
        <w:widowControl w:val="0"/>
        <w:kinsoku/>
        <w:wordWrap/>
        <w:overflowPunct/>
        <w:topLinePunct w:val="0"/>
        <w:bidi w:val="0"/>
        <w:spacing w:before="0" w:after="120" w:afterLines="50" w:line="480" w:lineRule="auto"/>
        <w:textAlignment w:val="auto"/>
        <w:rPr>
          <w:rFonts w:hAnsi="宋体" w:cs="宋体"/>
          <w:color w:val="auto"/>
          <w:sz w:val="21"/>
          <w:szCs w:val="21"/>
        </w:rPr>
      </w:pPr>
      <w:bookmarkStart w:id="408" w:name="_Toc528186493"/>
      <w:bookmarkStart w:id="409" w:name="_Toc489197849"/>
      <w:bookmarkStart w:id="410" w:name="_Toc3576"/>
      <w:bookmarkStart w:id="411" w:name="_Toc489145745"/>
      <w:r>
        <w:rPr>
          <w:rFonts w:hint="eastAsia" w:hAnsi="宋体" w:cs="宋体"/>
          <w:color w:val="auto"/>
          <w:sz w:val="21"/>
          <w:szCs w:val="21"/>
        </w:rPr>
        <w:t>3</w:t>
      </w:r>
      <w:r>
        <w:rPr>
          <w:rFonts w:hint="eastAsia" w:hAnsi="宋体" w:cs="宋体"/>
          <w:color w:val="auto"/>
          <w:sz w:val="21"/>
          <w:szCs w:val="21"/>
          <w:lang w:val="en-US" w:eastAsia="zh-CN"/>
        </w:rPr>
        <w:t>2</w:t>
      </w:r>
      <w:r>
        <w:rPr>
          <w:rFonts w:hint="eastAsia" w:hAnsi="宋体" w:cs="宋体"/>
          <w:color w:val="auto"/>
          <w:sz w:val="21"/>
          <w:szCs w:val="21"/>
        </w:rPr>
        <w:t>. 招标文件编制依据</w:t>
      </w:r>
      <w:bookmarkEnd w:id="408"/>
      <w:bookmarkEnd w:id="409"/>
      <w:bookmarkEnd w:id="410"/>
      <w:bookmarkEnd w:id="411"/>
    </w:p>
    <w:p w14:paraId="77882B18">
      <w:pPr>
        <w:pageBreakBefore w:val="0"/>
        <w:widowControl w:val="0"/>
        <w:kinsoku/>
        <w:wordWrap/>
        <w:overflowPunct/>
        <w:topLinePunct w:val="0"/>
        <w:bidi w:val="0"/>
        <w:spacing w:line="480" w:lineRule="auto"/>
        <w:ind w:left="480" w:leftChars="200" w:firstLine="420" w:firstLineChars="200"/>
        <w:jc w:val="left"/>
        <w:textAlignment w:val="auto"/>
        <w:rPr>
          <w:rFonts w:ascii="宋体" w:hAnsi="宋体"/>
          <w:b w:val="0"/>
          <w:bCs/>
          <w:color w:val="auto"/>
          <w:sz w:val="21"/>
          <w:szCs w:val="21"/>
        </w:rPr>
      </w:pPr>
      <w:r>
        <w:rPr>
          <w:rFonts w:hint="eastAsia" w:ascii="宋体" w:hAnsi="宋体"/>
          <w:b w:val="0"/>
          <w:bCs/>
          <w:color w:val="auto"/>
          <w:sz w:val="21"/>
          <w:szCs w:val="21"/>
        </w:rPr>
        <w:t>3</w:t>
      </w:r>
      <w:r>
        <w:rPr>
          <w:rFonts w:hint="eastAsia" w:ascii="宋体" w:hAnsi="宋体"/>
          <w:b w:val="0"/>
          <w:bCs/>
          <w:color w:val="auto"/>
          <w:sz w:val="21"/>
          <w:szCs w:val="21"/>
          <w:lang w:val="en-US" w:eastAsia="zh-CN"/>
        </w:rPr>
        <w:t>2</w:t>
      </w:r>
      <w:r>
        <w:rPr>
          <w:rFonts w:hint="eastAsia" w:ascii="宋体" w:hAnsi="宋体"/>
          <w:b w:val="0"/>
          <w:bCs/>
          <w:color w:val="auto"/>
          <w:sz w:val="21"/>
          <w:szCs w:val="21"/>
        </w:rPr>
        <w:t>.1本招标文件根据《中华人民共和国政府采购法》、《中华人民共和国政府采购法实施条例》、《政府采购货物和服务招标投标管理办法》（财政部令第87号）等有关法律、法规编制，解释权属于</w:t>
      </w:r>
      <w:r>
        <w:rPr>
          <w:rFonts w:hint="eastAsia" w:ascii="宋体" w:hAnsi="宋体"/>
          <w:b w:val="0"/>
          <w:bCs/>
          <w:color w:val="auto"/>
          <w:sz w:val="21"/>
          <w:szCs w:val="21"/>
          <w:lang w:eastAsia="zh-CN"/>
        </w:rPr>
        <w:t>采购人</w:t>
      </w:r>
      <w:r>
        <w:rPr>
          <w:rFonts w:hint="eastAsia" w:ascii="宋体" w:hAnsi="宋体"/>
          <w:b w:val="0"/>
          <w:bCs/>
          <w:color w:val="auto"/>
          <w:sz w:val="21"/>
          <w:szCs w:val="21"/>
        </w:rPr>
        <w:t>、</w:t>
      </w:r>
      <w:r>
        <w:rPr>
          <w:rFonts w:hint="eastAsia" w:ascii="宋体" w:hAnsi="宋体"/>
          <w:b w:val="0"/>
          <w:bCs/>
          <w:color w:val="auto"/>
          <w:sz w:val="21"/>
          <w:szCs w:val="21"/>
          <w:lang w:eastAsia="zh-CN"/>
        </w:rPr>
        <w:t>招标代理</w:t>
      </w:r>
      <w:r>
        <w:rPr>
          <w:rFonts w:hint="eastAsia" w:ascii="宋体" w:hAnsi="宋体"/>
          <w:b w:val="0"/>
          <w:bCs/>
          <w:color w:val="auto"/>
          <w:sz w:val="21"/>
          <w:szCs w:val="21"/>
        </w:rPr>
        <w:t>机构。</w:t>
      </w:r>
    </w:p>
    <w:p w14:paraId="1B7DB27B">
      <w:pPr>
        <w:pStyle w:val="4"/>
        <w:pageBreakBefore w:val="0"/>
        <w:widowControl w:val="0"/>
        <w:kinsoku/>
        <w:wordWrap/>
        <w:overflowPunct/>
        <w:topLinePunct w:val="0"/>
        <w:bidi w:val="0"/>
        <w:spacing w:before="0" w:after="120" w:afterLines="50" w:line="480" w:lineRule="auto"/>
        <w:textAlignment w:val="auto"/>
        <w:rPr>
          <w:rFonts w:ascii="宋体" w:hAnsi="宋体"/>
          <w:b w:val="0"/>
          <w:bCs/>
          <w:color w:val="auto"/>
          <w:sz w:val="21"/>
          <w:szCs w:val="21"/>
        </w:rPr>
      </w:pPr>
      <w:bookmarkStart w:id="412" w:name="_Toc489145746"/>
      <w:bookmarkStart w:id="413" w:name="_Toc489197850"/>
      <w:bookmarkStart w:id="414" w:name="_Toc528186494"/>
      <w:bookmarkStart w:id="415" w:name="_Toc24166"/>
      <w:r>
        <w:rPr>
          <w:rFonts w:hint="eastAsia" w:hAnsi="宋体" w:cs="宋体"/>
          <w:b w:val="0"/>
          <w:bCs/>
          <w:color w:val="auto"/>
          <w:sz w:val="21"/>
          <w:szCs w:val="21"/>
        </w:rPr>
        <w:t>34.需要补充的其他内容</w:t>
      </w:r>
      <w:bookmarkEnd w:id="412"/>
      <w:bookmarkEnd w:id="413"/>
      <w:bookmarkEnd w:id="414"/>
      <w:bookmarkEnd w:id="415"/>
      <w:bookmarkStart w:id="416" w:name="_Toc489145747"/>
      <w:r>
        <w:rPr>
          <w:rFonts w:hint="eastAsia" w:hAnsi="宋体" w:cs="宋体"/>
          <w:b w:val="0"/>
          <w:bCs/>
          <w:color w:val="auto"/>
          <w:sz w:val="21"/>
          <w:szCs w:val="21"/>
          <w:lang w:eastAsia="zh-CN"/>
        </w:rPr>
        <w:t>：</w:t>
      </w:r>
      <w:r>
        <w:rPr>
          <w:rFonts w:hint="eastAsia" w:ascii="宋体" w:hAnsi="宋体"/>
          <w:b w:val="0"/>
          <w:bCs/>
          <w:color w:val="auto"/>
          <w:sz w:val="21"/>
          <w:szCs w:val="21"/>
        </w:rPr>
        <w:t>详见《投标人须知前附表》。</w:t>
      </w:r>
      <w:bookmarkStart w:id="417" w:name="_Toc144974546"/>
      <w:bookmarkStart w:id="418" w:name="_Toc152042355"/>
    </w:p>
    <w:bookmarkEnd w:id="417"/>
    <w:bookmarkEnd w:id="418"/>
    <w:p w14:paraId="61069B9A">
      <w:pPr>
        <w:pStyle w:val="2"/>
        <w:spacing w:after="240" w:afterLines="100"/>
        <w:ind w:right="240" w:rightChars="100"/>
        <w:rPr>
          <w:rFonts w:hAnsi="宋体" w:cs="宋体"/>
          <w:color w:val="auto"/>
          <w:szCs w:val="21"/>
        </w:rPr>
      </w:pPr>
      <w:r>
        <w:rPr>
          <w:rFonts w:hint="eastAsia" w:hAnsi="宋体" w:cs="宋体"/>
          <w:color w:val="auto"/>
          <w:szCs w:val="32"/>
        </w:rPr>
        <w:br w:type="page"/>
      </w:r>
      <w:bookmarkStart w:id="419" w:name="_Toc18204"/>
      <w:r>
        <w:rPr>
          <w:rFonts w:hint="eastAsia" w:ascii="宋体" w:hAnsi="宋体" w:cs="宋体"/>
          <w:color w:val="auto"/>
          <w:sz w:val="44"/>
          <w:szCs w:val="44"/>
        </w:rPr>
        <w:t>第三章  合同书样式及主要条款</w:t>
      </w:r>
      <w:bookmarkEnd w:id="416"/>
      <w:bookmarkEnd w:id="419"/>
    </w:p>
    <w:p w14:paraId="5511D37A">
      <w:pPr>
        <w:keepNext w:val="0"/>
        <w:keepLines w:val="0"/>
        <w:widowControl/>
        <w:pBdr>
          <w:top w:val="none" w:color="auto" w:sz="0" w:space="0"/>
          <w:left w:val="none" w:color="auto" w:sz="0" w:space="0"/>
          <w:bottom w:val="none" w:color="auto" w:sz="0" w:space="0"/>
          <w:right w:val="none" w:color="auto" w:sz="0" w:space="0"/>
        </w:pBdr>
        <w:kinsoku/>
        <w:wordWrap/>
        <w:overflowPunct/>
        <w:topLinePunct w:val="0"/>
        <w:bidi w:val="0"/>
        <w:spacing w:before="240" w:beforeLines="100" w:after="240" w:afterLines="100"/>
        <w:jc w:val="center"/>
        <w:outlineLvl w:val="1"/>
        <w:rPr>
          <w:rFonts w:hint="eastAsia" w:ascii="宋体" w:hAnsi="宋体"/>
          <w:color w:val="auto"/>
          <w:kern w:val="0"/>
          <w:lang w:bidi="ar"/>
        </w:rPr>
      </w:pPr>
    </w:p>
    <w:p w14:paraId="010F7F1A">
      <w:pPr>
        <w:pStyle w:val="3"/>
        <w:keepNext w:val="0"/>
        <w:keepLines w:val="0"/>
        <w:numPr>
          <w:ilvl w:val="0"/>
          <w:numId w:val="0"/>
        </w:numPr>
        <w:pBdr>
          <w:top w:val="none" w:color="auto" w:sz="0" w:space="0"/>
          <w:left w:val="none" w:color="auto" w:sz="0" w:space="0"/>
          <w:bottom w:val="none" w:color="auto" w:sz="0" w:space="0"/>
          <w:right w:val="none" w:color="auto" w:sz="0" w:space="0"/>
        </w:pBdr>
        <w:kinsoku/>
        <w:wordWrap/>
        <w:overflowPunct/>
        <w:topLinePunct w:val="0"/>
        <w:bidi w:val="0"/>
        <w:jc w:val="center"/>
        <w:rPr>
          <w:rFonts w:ascii="宋体" w:hAnsi="宋体" w:eastAsia="宋体"/>
          <w:b w:val="0"/>
          <w:color w:val="auto"/>
          <w:sz w:val="36"/>
          <w:highlight w:val="none"/>
        </w:rPr>
      </w:pPr>
      <w:bookmarkStart w:id="420" w:name="_Toc21612"/>
      <w:bookmarkStart w:id="421" w:name="_Toc521358182"/>
      <w:bookmarkStart w:id="422" w:name="_Toc213141091"/>
      <w:r>
        <w:rPr>
          <w:rFonts w:hint="eastAsia" w:ascii="宋体" w:hAnsi="宋体" w:eastAsia="宋体"/>
          <w:b w:val="0"/>
          <w:color w:val="auto"/>
          <w:sz w:val="36"/>
          <w:highlight w:val="none"/>
        </w:rPr>
        <w:t>合同条款前附表</w:t>
      </w:r>
      <w:bookmarkEnd w:id="420"/>
      <w:bookmarkEnd w:id="421"/>
      <w:bookmarkEnd w:id="422"/>
    </w:p>
    <w:tbl>
      <w:tblPr>
        <w:tblStyle w:val="35"/>
        <w:tblW w:w="969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64"/>
        <w:gridCol w:w="2000"/>
        <w:gridCol w:w="6733"/>
      </w:tblGrid>
      <w:tr w14:paraId="141095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964" w:type="dxa"/>
            <w:vAlign w:val="center"/>
          </w:tcPr>
          <w:p w14:paraId="124D43D3">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center"/>
              <w:rPr>
                <w:rFonts w:ascii="宋体" w:hAnsi="宋体"/>
                <w:b w:val="0"/>
                <w:bCs/>
                <w:color w:val="auto"/>
                <w:sz w:val="21"/>
                <w:szCs w:val="21"/>
                <w:highlight w:val="none"/>
              </w:rPr>
            </w:pPr>
            <w:r>
              <w:rPr>
                <w:rFonts w:ascii="宋体" w:hAnsi="宋体"/>
                <w:b w:val="0"/>
                <w:bCs/>
                <w:color w:val="auto"/>
                <w:sz w:val="21"/>
                <w:szCs w:val="21"/>
                <w:highlight w:val="none"/>
              </w:rPr>
              <w:t>序号</w:t>
            </w:r>
          </w:p>
        </w:tc>
        <w:tc>
          <w:tcPr>
            <w:tcW w:w="2000" w:type="dxa"/>
            <w:vAlign w:val="center"/>
          </w:tcPr>
          <w:p w14:paraId="074CC1EF">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center"/>
              <w:rPr>
                <w:rFonts w:ascii="宋体" w:hAnsi="宋体"/>
                <w:b w:val="0"/>
                <w:bCs/>
                <w:color w:val="auto"/>
                <w:sz w:val="21"/>
                <w:szCs w:val="21"/>
                <w:highlight w:val="none"/>
              </w:rPr>
            </w:pPr>
            <w:r>
              <w:rPr>
                <w:rFonts w:ascii="宋体" w:hAnsi="宋体"/>
                <w:b w:val="0"/>
                <w:bCs/>
                <w:color w:val="auto"/>
                <w:sz w:val="21"/>
                <w:szCs w:val="21"/>
                <w:highlight w:val="none"/>
              </w:rPr>
              <w:t>项目</w:t>
            </w:r>
          </w:p>
        </w:tc>
        <w:tc>
          <w:tcPr>
            <w:tcW w:w="6733" w:type="dxa"/>
            <w:vAlign w:val="center"/>
          </w:tcPr>
          <w:p w14:paraId="561800EF">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center"/>
              <w:rPr>
                <w:rFonts w:ascii="宋体" w:hAnsi="宋体"/>
                <w:b w:val="0"/>
                <w:bCs/>
                <w:color w:val="auto"/>
                <w:sz w:val="21"/>
                <w:szCs w:val="21"/>
                <w:highlight w:val="none"/>
              </w:rPr>
            </w:pPr>
            <w:r>
              <w:rPr>
                <w:rFonts w:ascii="宋体" w:hAnsi="宋体"/>
                <w:b w:val="0"/>
                <w:bCs/>
                <w:color w:val="auto"/>
                <w:sz w:val="21"/>
                <w:szCs w:val="21"/>
                <w:highlight w:val="none"/>
              </w:rPr>
              <w:t>内  容</w:t>
            </w:r>
          </w:p>
        </w:tc>
      </w:tr>
      <w:tr w14:paraId="0E217F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964" w:type="dxa"/>
            <w:vAlign w:val="center"/>
          </w:tcPr>
          <w:p w14:paraId="419C62BC">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center"/>
              <w:rPr>
                <w:rFonts w:ascii="宋体" w:hAnsi="宋体"/>
                <w:b w:val="0"/>
                <w:bCs/>
                <w:color w:val="auto"/>
                <w:sz w:val="21"/>
                <w:szCs w:val="21"/>
                <w:highlight w:val="none"/>
              </w:rPr>
            </w:pPr>
            <w:r>
              <w:rPr>
                <w:rFonts w:hint="eastAsia" w:ascii="宋体" w:hAnsi="宋体"/>
                <w:b w:val="0"/>
                <w:bCs/>
                <w:color w:val="auto"/>
                <w:sz w:val="21"/>
                <w:szCs w:val="21"/>
                <w:highlight w:val="none"/>
              </w:rPr>
              <w:t>一</w:t>
            </w:r>
          </w:p>
        </w:tc>
        <w:tc>
          <w:tcPr>
            <w:tcW w:w="2000" w:type="dxa"/>
            <w:vAlign w:val="center"/>
          </w:tcPr>
          <w:p w14:paraId="6B9A3EC8">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center"/>
              <w:rPr>
                <w:rFonts w:hint="default" w:ascii="宋体" w:hAnsi="宋体" w:eastAsia="宋体"/>
                <w:b w:val="0"/>
                <w:bCs/>
                <w:color w:val="auto"/>
                <w:sz w:val="21"/>
                <w:szCs w:val="21"/>
                <w:highlight w:val="none"/>
                <w:lang w:val="en-US" w:eastAsia="zh-CN"/>
              </w:rPr>
            </w:pPr>
            <w:r>
              <w:rPr>
                <w:rFonts w:hint="eastAsia" w:ascii="宋体" w:hAnsi="宋体"/>
                <w:b w:val="0"/>
                <w:bCs/>
                <w:color w:val="auto"/>
                <w:sz w:val="21"/>
                <w:szCs w:val="21"/>
                <w:highlight w:val="none"/>
                <w:lang w:val="en-US" w:eastAsia="zh-CN"/>
              </w:rPr>
              <w:t>建设周期</w:t>
            </w:r>
          </w:p>
        </w:tc>
        <w:tc>
          <w:tcPr>
            <w:tcW w:w="6733" w:type="dxa"/>
            <w:vAlign w:val="center"/>
          </w:tcPr>
          <w:p w14:paraId="0C5B03CF">
            <w:pPr>
              <w:keepNext w:val="0"/>
              <w:keepLines w:val="0"/>
              <w:pageBreakBefore w:val="0"/>
              <w:kinsoku/>
              <w:wordWrap/>
              <w:overflowPunct/>
              <w:topLinePunct w:val="0"/>
              <w:autoSpaceDE/>
              <w:autoSpaceDN/>
              <w:bidi w:val="0"/>
              <w:spacing w:line="480" w:lineRule="auto"/>
              <w:ind w:firstLine="210" w:firstLineChars="100"/>
              <w:textAlignment w:val="auto"/>
              <w:rPr>
                <w:rFonts w:hint="eastAsia" w:ascii="宋体" w:hAnsi="宋体" w:eastAsia="宋体"/>
                <w:b w:val="0"/>
                <w:bCs/>
                <w:color w:val="auto"/>
                <w:sz w:val="21"/>
                <w:szCs w:val="21"/>
                <w:highlight w:val="none"/>
                <w:lang w:eastAsia="zh-CN"/>
              </w:rPr>
            </w:pPr>
            <w:r>
              <w:rPr>
                <w:rFonts w:hint="eastAsia" w:ascii="宋体" w:hAnsi="宋体" w:cs="宋体"/>
                <w:b w:val="0"/>
                <w:color w:val="auto"/>
                <w:sz w:val="21"/>
                <w:szCs w:val="21"/>
                <w:highlight w:val="none"/>
                <w:lang w:val="en-US" w:eastAsia="zh-CN"/>
              </w:rPr>
              <w:t>合同签订后60日历天内完成项目安装及调试</w:t>
            </w:r>
          </w:p>
        </w:tc>
      </w:tr>
      <w:tr w14:paraId="7306A2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964" w:type="dxa"/>
            <w:vAlign w:val="center"/>
          </w:tcPr>
          <w:p w14:paraId="5511FA05">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center"/>
              <w:rPr>
                <w:rFonts w:ascii="宋体" w:hAnsi="宋体"/>
                <w:b w:val="0"/>
                <w:bCs/>
                <w:color w:val="auto"/>
                <w:sz w:val="21"/>
                <w:szCs w:val="21"/>
                <w:highlight w:val="none"/>
              </w:rPr>
            </w:pPr>
            <w:r>
              <w:rPr>
                <w:rFonts w:hint="eastAsia" w:ascii="宋体" w:hAnsi="宋体"/>
                <w:b w:val="0"/>
                <w:bCs/>
                <w:color w:val="auto"/>
                <w:sz w:val="21"/>
                <w:szCs w:val="21"/>
                <w:highlight w:val="none"/>
              </w:rPr>
              <w:t>二</w:t>
            </w:r>
          </w:p>
        </w:tc>
        <w:tc>
          <w:tcPr>
            <w:tcW w:w="2000" w:type="dxa"/>
            <w:vAlign w:val="center"/>
          </w:tcPr>
          <w:p w14:paraId="52C38214">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center"/>
              <w:rPr>
                <w:rFonts w:hint="default" w:ascii="宋体" w:hAnsi="宋体"/>
                <w:b w:val="0"/>
                <w:bCs/>
                <w:color w:val="auto"/>
                <w:sz w:val="21"/>
                <w:szCs w:val="21"/>
                <w:highlight w:val="none"/>
                <w:lang w:val="en-US"/>
              </w:rPr>
            </w:pPr>
            <w:r>
              <w:rPr>
                <w:rFonts w:hint="eastAsia" w:ascii="宋体" w:hAnsi="宋体"/>
                <w:b w:val="0"/>
                <w:bCs/>
                <w:color w:val="auto"/>
                <w:sz w:val="21"/>
                <w:szCs w:val="21"/>
                <w:highlight w:val="none"/>
                <w:lang w:val="en-US" w:eastAsia="zh-CN"/>
              </w:rPr>
              <w:t>建设地点</w:t>
            </w:r>
          </w:p>
        </w:tc>
        <w:tc>
          <w:tcPr>
            <w:tcW w:w="6733" w:type="dxa"/>
            <w:vAlign w:val="center"/>
          </w:tcPr>
          <w:p w14:paraId="4050611D">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left"/>
              <w:rPr>
                <w:rFonts w:ascii="宋体" w:hAnsi="宋体"/>
                <w:b w:val="0"/>
                <w:bCs/>
                <w:color w:val="auto"/>
                <w:sz w:val="21"/>
                <w:szCs w:val="21"/>
                <w:highlight w:val="none"/>
              </w:rPr>
            </w:pPr>
            <w:r>
              <w:rPr>
                <w:rFonts w:hint="eastAsia" w:hAnsi="宋体"/>
                <w:b w:val="0"/>
                <w:bCs/>
                <w:color w:val="auto"/>
                <w:sz w:val="21"/>
                <w:szCs w:val="21"/>
                <w:highlight w:val="none"/>
              </w:rPr>
              <w:t>采购人指定地点</w:t>
            </w:r>
          </w:p>
        </w:tc>
      </w:tr>
      <w:tr w14:paraId="5DB47E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964" w:type="dxa"/>
            <w:vAlign w:val="center"/>
          </w:tcPr>
          <w:p w14:paraId="78721A58">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center"/>
              <w:rPr>
                <w:rFonts w:ascii="宋体" w:hAnsi="宋体"/>
                <w:b w:val="0"/>
                <w:bCs/>
                <w:color w:val="auto"/>
                <w:sz w:val="21"/>
                <w:szCs w:val="21"/>
                <w:highlight w:val="none"/>
              </w:rPr>
            </w:pPr>
            <w:r>
              <w:rPr>
                <w:rFonts w:hint="eastAsia" w:ascii="宋体" w:hAnsi="宋体"/>
                <w:b w:val="0"/>
                <w:bCs/>
                <w:color w:val="auto"/>
                <w:sz w:val="21"/>
                <w:szCs w:val="21"/>
                <w:highlight w:val="none"/>
              </w:rPr>
              <w:t>三</w:t>
            </w:r>
          </w:p>
        </w:tc>
        <w:tc>
          <w:tcPr>
            <w:tcW w:w="2000" w:type="dxa"/>
            <w:vAlign w:val="center"/>
          </w:tcPr>
          <w:p w14:paraId="1C50E034">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center"/>
              <w:rPr>
                <w:rFonts w:ascii="宋体" w:hAnsi="宋体"/>
                <w:b w:val="0"/>
                <w:bCs/>
                <w:color w:val="auto"/>
                <w:sz w:val="21"/>
                <w:szCs w:val="21"/>
                <w:highlight w:val="none"/>
              </w:rPr>
            </w:pPr>
            <w:r>
              <w:rPr>
                <w:rFonts w:hint="eastAsia" w:ascii="宋体" w:hAnsi="宋体"/>
                <w:b w:val="0"/>
                <w:bCs/>
                <w:color w:val="auto"/>
                <w:sz w:val="21"/>
                <w:szCs w:val="21"/>
                <w:highlight w:val="none"/>
                <w:lang w:val="en-US" w:eastAsia="zh-CN"/>
              </w:rPr>
              <w:t>质保期</w:t>
            </w:r>
          </w:p>
        </w:tc>
        <w:tc>
          <w:tcPr>
            <w:tcW w:w="6733" w:type="dxa"/>
            <w:vAlign w:val="center"/>
          </w:tcPr>
          <w:p w14:paraId="7A99CD73">
            <w:pPr>
              <w:keepNext w:val="0"/>
              <w:keepLines w:val="0"/>
              <w:pageBreakBefore w:val="0"/>
              <w:kinsoku/>
              <w:wordWrap/>
              <w:overflowPunct/>
              <w:topLinePunct w:val="0"/>
              <w:autoSpaceDE/>
              <w:autoSpaceDN/>
              <w:bidi w:val="0"/>
              <w:spacing w:line="480" w:lineRule="auto"/>
              <w:ind w:firstLine="210" w:firstLineChars="100"/>
              <w:textAlignment w:val="auto"/>
              <w:rPr>
                <w:rFonts w:ascii="宋体" w:hAnsi="宋体"/>
                <w:b w:val="0"/>
                <w:bCs/>
                <w:color w:val="auto"/>
                <w:sz w:val="21"/>
                <w:szCs w:val="21"/>
                <w:highlight w:val="none"/>
              </w:rPr>
            </w:pPr>
            <w:r>
              <w:rPr>
                <w:rFonts w:hint="eastAsia" w:ascii="宋体" w:hAnsi="宋体"/>
                <w:b w:val="0"/>
                <w:color w:val="auto"/>
                <w:sz w:val="21"/>
                <w:szCs w:val="21"/>
                <w:highlight w:val="none"/>
                <w:lang w:val="en-US" w:eastAsia="zh-CN"/>
              </w:rPr>
              <w:t>3年。《招标文件》技术参数对质保期有要求的，以技术参数要求的质保期为准</w:t>
            </w:r>
          </w:p>
        </w:tc>
      </w:tr>
      <w:tr w14:paraId="721B4C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964" w:type="dxa"/>
            <w:vAlign w:val="center"/>
          </w:tcPr>
          <w:p w14:paraId="393A69C9">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center"/>
              <w:rPr>
                <w:rFonts w:hint="eastAsia" w:ascii="宋体" w:hAnsi="宋体" w:eastAsia="宋体"/>
                <w:b w:val="0"/>
                <w:bCs/>
                <w:color w:val="auto"/>
                <w:sz w:val="21"/>
                <w:szCs w:val="21"/>
                <w:highlight w:val="none"/>
                <w:lang w:eastAsia="zh-CN"/>
              </w:rPr>
            </w:pPr>
            <w:r>
              <w:rPr>
                <w:rFonts w:hint="eastAsia" w:ascii="宋体" w:hAnsi="宋体"/>
                <w:b w:val="0"/>
                <w:bCs/>
                <w:color w:val="auto"/>
                <w:sz w:val="21"/>
                <w:szCs w:val="21"/>
                <w:highlight w:val="none"/>
                <w:lang w:val="en-US" w:eastAsia="zh-CN"/>
              </w:rPr>
              <w:t>四</w:t>
            </w:r>
          </w:p>
        </w:tc>
        <w:tc>
          <w:tcPr>
            <w:tcW w:w="2000" w:type="dxa"/>
            <w:vAlign w:val="center"/>
          </w:tcPr>
          <w:p w14:paraId="57BE6B34">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center"/>
              <w:rPr>
                <w:rFonts w:ascii="宋体" w:hAnsi="宋体"/>
                <w:b w:val="0"/>
                <w:bCs/>
                <w:color w:val="auto"/>
                <w:sz w:val="21"/>
                <w:szCs w:val="21"/>
                <w:highlight w:val="none"/>
              </w:rPr>
            </w:pPr>
            <w:r>
              <w:rPr>
                <w:rFonts w:hint="eastAsia" w:ascii="宋体" w:hAnsi="宋体"/>
                <w:b w:val="0"/>
                <w:bCs/>
                <w:color w:val="auto"/>
                <w:sz w:val="21"/>
                <w:szCs w:val="21"/>
                <w:highlight w:val="none"/>
              </w:rPr>
              <w:t>履约保证金</w:t>
            </w:r>
          </w:p>
        </w:tc>
        <w:tc>
          <w:tcPr>
            <w:tcW w:w="6733" w:type="dxa"/>
            <w:vAlign w:val="center"/>
          </w:tcPr>
          <w:p w14:paraId="302957B6">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left"/>
              <w:rPr>
                <w:rFonts w:ascii="宋体" w:hAnsi="宋体"/>
                <w:b w:val="0"/>
                <w:bCs/>
                <w:color w:val="auto"/>
                <w:sz w:val="21"/>
                <w:szCs w:val="21"/>
                <w:highlight w:val="none"/>
              </w:rPr>
            </w:pPr>
            <w:r>
              <w:rPr>
                <w:rFonts w:hint="eastAsia" w:ascii="宋体" w:hAnsi="宋体" w:cs="宋体"/>
                <w:b w:val="0"/>
                <w:bCs/>
                <w:color w:val="auto"/>
                <w:sz w:val="21"/>
                <w:szCs w:val="21"/>
                <w:highlight w:val="none"/>
                <w:lang w:val="en-US" w:eastAsia="zh-CN"/>
              </w:rPr>
              <w:t>本项目不要求缴纳</w:t>
            </w:r>
            <w:r>
              <w:rPr>
                <w:rFonts w:hint="eastAsia" w:ascii="宋体" w:hAnsi="宋体" w:cs="宋体"/>
                <w:b w:val="0"/>
                <w:bCs/>
                <w:color w:val="auto"/>
                <w:sz w:val="21"/>
                <w:szCs w:val="21"/>
                <w:highlight w:val="none"/>
              </w:rPr>
              <w:t>。</w:t>
            </w:r>
          </w:p>
        </w:tc>
      </w:tr>
      <w:tr w14:paraId="67A342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964" w:type="dxa"/>
            <w:vAlign w:val="center"/>
          </w:tcPr>
          <w:p w14:paraId="0E757359">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center"/>
              <w:rPr>
                <w:rFonts w:hint="eastAsia" w:ascii="宋体" w:hAnsi="宋体" w:eastAsia="宋体"/>
                <w:b w:val="0"/>
                <w:bCs/>
                <w:color w:val="auto"/>
                <w:sz w:val="21"/>
                <w:szCs w:val="21"/>
                <w:highlight w:val="none"/>
                <w:lang w:eastAsia="zh-CN"/>
              </w:rPr>
            </w:pPr>
            <w:r>
              <w:rPr>
                <w:rFonts w:hint="eastAsia" w:ascii="宋体" w:hAnsi="宋体"/>
                <w:b w:val="0"/>
                <w:bCs/>
                <w:color w:val="auto"/>
                <w:sz w:val="21"/>
                <w:szCs w:val="21"/>
                <w:highlight w:val="none"/>
                <w:lang w:val="en-US" w:eastAsia="zh-CN"/>
              </w:rPr>
              <w:t>五</w:t>
            </w:r>
          </w:p>
        </w:tc>
        <w:tc>
          <w:tcPr>
            <w:tcW w:w="2000" w:type="dxa"/>
            <w:vAlign w:val="center"/>
          </w:tcPr>
          <w:p w14:paraId="3A9B23F4">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center"/>
              <w:rPr>
                <w:rFonts w:hint="default" w:ascii="宋体" w:hAnsi="宋体" w:eastAsia="宋体"/>
                <w:b w:val="0"/>
                <w:bCs/>
                <w:color w:val="auto"/>
                <w:sz w:val="21"/>
                <w:szCs w:val="21"/>
                <w:highlight w:val="none"/>
                <w:lang w:val="en-US" w:eastAsia="zh-CN"/>
              </w:rPr>
            </w:pPr>
            <w:r>
              <w:rPr>
                <w:rFonts w:hint="eastAsia" w:ascii="宋体" w:hAnsi="宋体"/>
                <w:b w:val="0"/>
                <w:bCs/>
                <w:color w:val="auto"/>
                <w:sz w:val="21"/>
                <w:szCs w:val="21"/>
                <w:highlight w:val="none"/>
                <w:lang w:val="en-US" w:eastAsia="zh-CN"/>
              </w:rPr>
              <w:t>质量标准</w:t>
            </w:r>
          </w:p>
        </w:tc>
        <w:tc>
          <w:tcPr>
            <w:tcW w:w="6733" w:type="dxa"/>
            <w:vAlign w:val="center"/>
          </w:tcPr>
          <w:p w14:paraId="7D162675">
            <w:pPr>
              <w:keepNext w:val="0"/>
              <w:keepLines w:val="0"/>
              <w:pageBreakBefore w:val="0"/>
              <w:kinsoku/>
              <w:wordWrap/>
              <w:overflowPunct/>
              <w:topLinePunct w:val="0"/>
              <w:autoSpaceDE/>
              <w:autoSpaceDN/>
              <w:bidi w:val="0"/>
              <w:spacing w:line="480" w:lineRule="auto"/>
              <w:ind w:firstLine="210" w:firstLineChars="100"/>
              <w:textAlignment w:val="auto"/>
              <w:rPr>
                <w:rFonts w:ascii="宋体" w:hAnsi="宋体"/>
                <w:b w:val="0"/>
                <w:bCs/>
                <w:color w:val="auto"/>
                <w:sz w:val="21"/>
                <w:szCs w:val="21"/>
                <w:highlight w:val="none"/>
              </w:rPr>
            </w:pPr>
            <w:r>
              <w:rPr>
                <w:rFonts w:hint="eastAsia" w:ascii="宋体" w:hAnsi="宋体"/>
                <w:b w:val="0"/>
                <w:color w:val="auto"/>
                <w:sz w:val="21"/>
                <w:szCs w:val="21"/>
                <w:highlight w:val="none"/>
                <w:lang w:val="en-US" w:eastAsia="zh-CN"/>
              </w:rPr>
              <w:t>符合国家、行业及地方现行相关标准及规范一次性验收合格</w:t>
            </w:r>
          </w:p>
        </w:tc>
      </w:tr>
      <w:tr w14:paraId="1EEDA5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964" w:type="dxa"/>
            <w:vAlign w:val="center"/>
          </w:tcPr>
          <w:p w14:paraId="440EFD0D">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center"/>
              <w:rPr>
                <w:rFonts w:hint="default" w:ascii="宋体" w:hAnsi="宋体"/>
                <w:b w:val="0"/>
                <w:bCs/>
                <w:color w:val="auto"/>
                <w:sz w:val="21"/>
                <w:szCs w:val="21"/>
                <w:highlight w:val="none"/>
                <w:lang w:val="en-US" w:eastAsia="zh-CN"/>
              </w:rPr>
            </w:pPr>
            <w:r>
              <w:rPr>
                <w:rFonts w:hint="eastAsia" w:ascii="宋体" w:hAnsi="宋体"/>
                <w:b w:val="0"/>
                <w:bCs/>
                <w:color w:val="auto"/>
                <w:sz w:val="21"/>
                <w:szCs w:val="21"/>
                <w:highlight w:val="none"/>
                <w:lang w:val="en-US" w:eastAsia="zh-CN"/>
              </w:rPr>
              <w:t>六</w:t>
            </w:r>
          </w:p>
        </w:tc>
        <w:tc>
          <w:tcPr>
            <w:tcW w:w="2000" w:type="dxa"/>
            <w:vAlign w:val="center"/>
          </w:tcPr>
          <w:p w14:paraId="0F6A6BAC">
            <w:pPr>
              <w:keepNext w:val="0"/>
              <w:keepLines w:val="0"/>
              <w:pBdr>
                <w:top w:val="none" w:color="auto" w:sz="0" w:space="0"/>
                <w:left w:val="none" w:color="auto" w:sz="0" w:space="0"/>
                <w:bottom w:val="none" w:color="auto" w:sz="0" w:space="0"/>
                <w:right w:val="none" w:color="auto" w:sz="0" w:space="0"/>
              </w:pBdr>
              <w:kinsoku/>
              <w:wordWrap/>
              <w:overflowPunct/>
              <w:topLinePunct w:val="0"/>
              <w:bidi w:val="0"/>
              <w:spacing w:line="360" w:lineRule="auto"/>
              <w:jc w:val="center"/>
              <w:rPr>
                <w:rFonts w:hint="default" w:ascii="宋体" w:hAnsi="宋体"/>
                <w:b w:val="0"/>
                <w:bCs/>
                <w:color w:val="auto"/>
                <w:sz w:val="21"/>
                <w:szCs w:val="21"/>
                <w:highlight w:val="none"/>
                <w:lang w:val="en-US" w:eastAsia="zh-CN"/>
              </w:rPr>
            </w:pPr>
            <w:r>
              <w:rPr>
                <w:rFonts w:hint="eastAsia" w:ascii="宋体" w:hAnsi="宋体"/>
                <w:b w:val="0"/>
                <w:bCs/>
                <w:color w:val="auto"/>
                <w:sz w:val="21"/>
                <w:szCs w:val="21"/>
                <w:highlight w:val="none"/>
                <w:lang w:val="en-US" w:eastAsia="zh-CN"/>
              </w:rPr>
              <w:t>供货要求</w:t>
            </w:r>
          </w:p>
        </w:tc>
        <w:tc>
          <w:tcPr>
            <w:tcW w:w="6733" w:type="dxa"/>
            <w:vAlign w:val="center"/>
          </w:tcPr>
          <w:p w14:paraId="5A43C1DA">
            <w:pPr>
              <w:keepNext w:val="0"/>
              <w:keepLines w:val="0"/>
              <w:pageBreakBefore w:val="0"/>
              <w:kinsoku/>
              <w:wordWrap/>
              <w:overflowPunct/>
              <w:topLinePunct w:val="0"/>
              <w:autoSpaceDE/>
              <w:autoSpaceDN/>
              <w:bidi w:val="0"/>
              <w:spacing w:line="480" w:lineRule="auto"/>
              <w:ind w:firstLine="210" w:firstLineChars="100"/>
              <w:textAlignment w:val="auto"/>
              <w:rPr>
                <w:rFonts w:hint="eastAsia" w:ascii="宋体" w:hAnsi="宋体"/>
                <w:b w:val="0"/>
                <w:color w:val="auto"/>
                <w:sz w:val="21"/>
                <w:szCs w:val="21"/>
                <w:highlight w:val="none"/>
                <w:lang w:val="en-US" w:eastAsia="zh-CN"/>
              </w:rPr>
            </w:pPr>
            <w:r>
              <w:rPr>
                <w:rFonts w:hint="eastAsia" w:ascii="宋体" w:hAnsi="宋体"/>
                <w:b w:val="0"/>
                <w:color w:val="auto"/>
                <w:sz w:val="21"/>
                <w:szCs w:val="21"/>
              </w:rPr>
              <w:t>保证提供的是全新设备（包括零部件），满足售后服务要求、规定的技术参数和使用要求，符合文件规定、具有国家有关部门注册并符合国家质量检测标准和产品出厂标准。</w:t>
            </w:r>
          </w:p>
        </w:tc>
      </w:tr>
    </w:tbl>
    <w:p w14:paraId="2498D92A">
      <w:pPr>
        <w:widowControl/>
        <w:spacing w:before="240" w:beforeLines="100" w:after="240" w:afterLines="100"/>
        <w:jc w:val="center"/>
        <w:outlineLvl w:val="1"/>
        <w:rPr>
          <w:rFonts w:hint="eastAsia" w:ascii="宋体" w:hAnsi="宋体"/>
          <w:color w:val="auto"/>
          <w:kern w:val="0"/>
          <w:lang w:bidi="ar"/>
        </w:rPr>
      </w:pPr>
    </w:p>
    <w:p w14:paraId="75137EA7">
      <w:pPr>
        <w:widowControl/>
        <w:spacing w:before="240" w:beforeLines="100" w:after="240" w:afterLines="100"/>
        <w:jc w:val="center"/>
        <w:outlineLvl w:val="1"/>
        <w:rPr>
          <w:rFonts w:hint="eastAsia" w:ascii="宋体" w:hAnsi="宋体"/>
          <w:color w:val="auto"/>
          <w:kern w:val="0"/>
          <w:lang w:bidi="ar"/>
        </w:rPr>
      </w:pPr>
    </w:p>
    <w:p w14:paraId="7C2BA40D">
      <w:pPr>
        <w:widowControl/>
        <w:spacing w:before="240" w:beforeLines="100" w:after="240" w:afterLines="100"/>
        <w:jc w:val="center"/>
        <w:outlineLvl w:val="1"/>
        <w:rPr>
          <w:rFonts w:hint="eastAsia" w:ascii="宋体" w:hAnsi="宋体"/>
          <w:color w:val="auto"/>
          <w:kern w:val="0"/>
          <w:lang w:bidi="ar"/>
        </w:rPr>
      </w:pPr>
    </w:p>
    <w:p w14:paraId="717D46AC">
      <w:pPr>
        <w:widowControl/>
        <w:spacing w:before="240" w:beforeLines="100" w:after="240" w:afterLines="100"/>
        <w:jc w:val="center"/>
        <w:outlineLvl w:val="1"/>
        <w:rPr>
          <w:rFonts w:hint="eastAsia" w:ascii="宋体" w:hAnsi="宋体"/>
          <w:color w:val="auto"/>
          <w:kern w:val="0"/>
          <w:lang w:bidi="ar"/>
        </w:rPr>
      </w:pPr>
    </w:p>
    <w:p w14:paraId="1EDEDACA">
      <w:pPr>
        <w:widowControl/>
        <w:spacing w:before="240" w:beforeLines="100" w:after="240" w:afterLines="100"/>
        <w:jc w:val="center"/>
        <w:outlineLvl w:val="1"/>
        <w:rPr>
          <w:rFonts w:hint="eastAsia" w:ascii="宋体" w:hAnsi="宋体"/>
          <w:color w:val="auto"/>
          <w:kern w:val="0"/>
          <w:lang w:bidi="ar"/>
        </w:rPr>
      </w:pPr>
    </w:p>
    <w:p w14:paraId="44DCA2A5">
      <w:pPr>
        <w:widowControl/>
        <w:spacing w:before="240" w:beforeLines="100" w:after="240" w:afterLines="100"/>
        <w:jc w:val="center"/>
        <w:outlineLvl w:val="1"/>
        <w:rPr>
          <w:rFonts w:hint="eastAsia" w:ascii="宋体" w:hAnsi="宋体"/>
          <w:color w:val="auto"/>
          <w:kern w:val="0"/>
          <w:lang w:bidi="ar"/>
        </w:rPr>
      </w:pPr>
    </w:p>
    <w:p w14:paraId="7D6FEB15">
      <w:pPr>
        <w:widowControl/>
        <w:spacing w:before="240" w:beforeLines="100" w:after="240" w:afterLines="100"/>
        <w:jc w:val="center"/>
        <w:outlineLvl w:val="1"/>
        <w:rPr>
          <w:rFonts w:hint="eastAsia" w:ascii="宋体" w:hAnsi="宋体"/>
          <w:color w:val="auto"/>
          <w:kern w:val="0"/>
          <w:lang w:bidi="ar"/>
        </w:rPr>
      </w:pPr>
    </w:p>
    <w:p w14:paraId="1A92B5CF">
      <w:pPr>
        <w:widowControl/>
        <w:spacing w:before="240" w:beforeLines="100" w:after="240" w:afterLines="100"/>
        <w:jc w:val="center"/>
        <w:outlineLvl w:val="1"/>
        <w:rPr>
          <w:rFonts w:hint="eastAsia" w:ascii="宋体" w:hAnsi="宋体"/>
          <w:color w:val="auto"/>
          <w:kern w:val="0"/>
          <w:lang w:bidi="ar"/>
        </w:rPr>
      </w:pPr>
    </w:p>
    <w:p w14:paraId="569351DD">
      <w:pPr>
        <w:widowControl/>
        <w:spacing w:before="240" w:beforeLines="100" w:after="240" w:afterLines="100"/>
        <w:jc w:val="center"/>
        <w:outlineLvl w:val="1"/>
        <w:rPr>
          <w:rFonts w:hint="eastAsia" w:ascii="宋体" w:hAnsi="宋体"/>
          <w:color w:val="auto"/>
          <w:kern w:val="0"/>
          <w:lang w:bidi="ar"/>
        </w:rPr>
      </w:pPr>
    </w:p>
    <w:p w14:paraId="63213A02">
      <w:pPr>
        <w:widowControl/>
        <w:spacing w:before="240" w:beforeLines="100" w:after="240" w:afterLines="100"/>
        <w:jc w:val="both"/>
        <w:outlineLvl w:val="1"/>
        <w:rPr>
          <w:rFonts w:hint="eastAsia" w:ascii="宋体" w:hAnsi="宋体"/>
          <w:color w:val="auto"/>
          <w:kern w:val="0"/>
          <w:lang w:bidi="ar"/>
        </w:rPr>
      </w:pPr>
    </w:p>
    <w:p w14:paraId="5ACC9B15">
      <w:pPr>
        <w:widowControl/>
        <w:spacing w:before="240" w:beforeLines="100" w:after="240" w:afterLines="100"/>
        <w:jc w:val="center"/>
        <w:outlineLvl w:val="1"/>
        <w:rPr>
          <w:rFonts w:hint="eastAsia" w:ascii="宋体" w:hAnsi="宋体"/>
          <w:color w:val="auto"/>
          <w:kern w:val="0"/>
          <w:lang w:bidi="ar"/>
        </w:rPr>
      </w:pPr>
    </w:p>
    <w:p w14:paraId="20F5A615">
      <w:pPr>
        <w:widowControl/>
        <w:spacing w:before="240" w:beforeLines="100" w:after="240" w:afterLines="100"/>
        <w:jc w:val="center"/>
        <w:outlineLvl w:val="1"/>
        <w:rPr>
          <w:color w:val="auto"/>
        </w:rPr>
      </w:pPr>
      <w:r>
        <w:rPr>
          <w:rFonts w:hint="eastAsia" w:ascii="宋体" w:hAnsi="宋体"/>
          <w:color w:val="auto"/>
          <w:kern w:val="0"/>
          <w:lang w:bidi="ar"/>
        </w:rPr>
        <w:t>（仅供参考，具体由双方约定）</w:t>
      </w:r>
    </w:p>
    <w:p w14:paraId="1D8FFE09">
      <w:pPr>
        <w:widowControl/>
        <w:spacing w:before="120" w:beforeLines="50" w:after="120" w:afterLines="50"/>
        <w:jc w:val="left"/>
        <w:rPr>
          <w:rFonts w:ascii="宋体" w:hAnsi="宋体"/>
          <w:color w:val="auto"/>
          <w:kern w:val="0"/>
          <w:lang w:bidi="ar"/>
        </w:rPr>
      </w:pPr>
      <w:r>
        <w:rPr>
          <w:rFonts w:hint="eastAsia" w:ascii="宋体" w:hAnsi="宋体"/>
          <w:color w:val="auto"/>
          <w:kern w:val="0"/>
          <w:lang w:bidi="ar"/>
        </w:rPr>
        <w:t>合同编号:            合同自编号：                        项目编号：</w:t>
      </w:r>
    </w:p>
    <w:p w14:paraId="7974E0FB">
      <w:pPr>
        <w:spacing w:before="120" w:beforeLines="50" w:after="120" w:afterLines="50" w:line="560" w:lineRule="exact"/>
        <w:rPr>
          <w:rFonts w:ascii="宋体" w:hAnsi="宋体"/>
          <w:bCs/>
          <w:color w:val="auto"/>
          <w:kern w:val="0"/>
          <w:sz w:val="43"/>
          <w:szCs w:val="43"/>
          <w:lang w:bidi="ar"/>
        </w:rPr>
      </w:pPr>
      <w:r>
        <w:rPr>
          <w:rFonts w:hint="eastAsia" w:ascii="宋体" w:hAnsi="宋体"/>
          <w:color w:val="auto"/>
        </w:rPr>
        <w:t>●本合同须加盖甲乙双方骑缝章有效</w:t>
      </w:r>
    </w:p>
    <w:p w14:paraId="047D6706">
      <w:pPr>
        <w:widowControl/>
        <w:jc w:val="center"/>
        <w:rPr>
          <w:rFonts w:ascii="宋体" w:hAnsi="宋体"/>
          <w:bCs/>
          <w:color w:val="auto"/>
          <w:kern w:val="0"/>
          <w:sz w:val="43"/>
          <w:szCs w:val="43"/>
          <w:lang w:bidi="ar"/>
        </w:rPr>
      </w:pPr>
    </w:p>
    <w:p w14:paraId="3237304D">
      <w:pPr>
        <w:widowControl/>
        <w:jc w:val="center"/>
        <w:outlineLvl w:val="2"/>
        <w:rPr>
          <w:color w:val="auto"/>
          <w:highlight w:val="none"/>
        </w:rPr>
      </w:pPr>
      <w:r>
        <w:rPr>
          <w:rFonts w:hint="eastAsia" w:ascii="宋体" w:hAnsi="宋体"/>
          <w:bCs/>
          <w:color w:val="auto"/>
          <w:kern w:val="0"/>
          <w:sz w:val="43"/>
          <w:szCs w:val="43"/>
          <w:highlight w:val="none"/>
          <w:lang w:bidi="ar"/>
        </w:rPr>
        <w:t>云 南 省  政 府 采 购</w:t>
      </w:r>
    </w:p>
    <w:p w14:paraId="0FF147FF">
      <w:pPr>
        <w:widowControl/>
        <w:jc w:val="center"/>
        <w:rPr>
          <w:rFonts w:ascii="宋体" w:hAnsi="宋体"/>
          <w:bCs/>
          <w:color w:val="auto"/>
          <w:kern w:val="0"/>
          <w:sz w:val="31"/>
          <w:szCs w:val="31"/>
          <w:highlight w:val="none"/>
          <w:lang w:bidi="ar"/>
        </w:rPr>
      </w:pPr>
    </w:p>
    <w:p w14:paraId="7F8755F8">
      <w:pPr>
        <w:widowControl/>
        <w:jc w:val="center"/>
        <w:outlineLvl w:val="2"/>
        <w:rPr>
          <w:rFonts w:ascii="宋体" w:hAnsi="宋体"/>
          <w:bCs/>
          <w:color w:val="auto"/>
          <w:kern w:val="0"/>
          <w:sz w:val="31"/>
          <w:szCs w:val="31"/>
          <w:highlight w:val="none"/>
          <w:lang w:bidi="ar"/>
        </w:rPr>
      </w:pPr>
      <w:r>
        <w:rPr>
          <w:rFonts w:hint="eastAsia" w:ascii="宋体" w:hAnsi="宋体"/>
          <w:bCs/>
          <w:color w:val="auto"/>
          <w:kern w:val="0"/>
          <w:sz w:val="31"/>
          <w:szCs w:val="31"/>
          <w:highlight w:val="none"/>
          <w:lang w:bidi="ar"/>
        </w:rPr>
        <w:t>(委托采购)</w:t>
      </w:r>
    </w:p>
    <w:p w14:paraId="76065EC3">
      <w:pPr>
        <w:widowControl/>
        <w:jc w:val="center"/>
        <w:rPr>
          <w:rFonts w:ascii="宋体" w:hAnsi="宋体"/>
          <w:bCs/>
          <w:color w:val="auto"/>
          <w:kern w:val="0"/>
          <w:sz w:val="31"/>
          <w:szCs w:val="31"/>
          <w:highlight w:val="none"/>
          <w:lang w:bidi="ar"/>
        </w:rPr>
      </w:pPr>
    </w:p>
    <w:p w14:paraId="34033DCA">
      <w:pPr>
        <w:widowControl/>
        <w:jc w:val="center"/>
        <w:rPr>
          <w:rFonts w:ascii="宋体" w:hAnsi="宋体"/>
          <w:bCs/>
          <w:color w:val="auto"/>
          <w:kern w:val="0"/>
          <w:sz w:val="31"/>
          <w:szCs w:val="31"/>
          <w:highlight w:val="none"/>
          <w:lang w:bidi="ar"/>
        </w:rPr>
      </w:pPr>
    </w:p>
    <w:p w14:paraId="5FF97EC9">
      <w:pPr>
        <w:widowControl/>
        <w:jc w:val="center"/>
        <w:outlineLvl w:val="2"/>
        <w:rPr>
          <w:rFonts w:ascii="宋体" w:hAnsi="宋体"/>
          <w:bCs/>
          <w:color w:val="auto"/>
          <w:kern w:val="0"/>
          <w:sz w:val="84"/>
          <w:szCs w:val="84"/>
          <w:highlight w:val="none"/>
          <w:lang w:bidi="ar"/>
        </w:rPr>
      </w:pPr>
      <w:r>
        <w:rPr>
          <w:rFonts w:hint="eastAsia" w:ascii="宋体" w:hAnsi="宋体"/>
          <w:bCs/>
          <w:color w:val="auto"/>
          <w:kern w:val="0"/>
          <w:sz w:val="84"/>
          <w:szCs w:val="84"/>
          <w:highlight w:val="none"/>
          <w:lang w:bidi="ar"/>
        </w:rPr>
        <w:t>合</w:t>
      </w:r>
    </w:p>
    <w:p w14:paraId="1F55C250">
      <w:pPr>
        <w:widowControl/>
        <w:jc w:val="center"/>
        <w:rPr>
          <w:rFonts w:ascii="宋体" w:hAnsi="宋体"/>
          <w:bCs/>
          <w:color w:val="auto"/>
          <w:kern w:val="0"/>
          <w:sz w:val="84"/>
          <w:szCs w:val="84"/>
          <w:highlight w:val="none"/>
          <w:lang w:bidi="ar"/>
        </w:rPr>
      </w:pPr>
    </w:p>
    <w:p w14:paraId="1583642B">
      <w:pPr>
        <w:widowControl/>
        <w:jc w:val="center"/>
        <w:outlineLvl w:val="2"/>
        <w:rPr>
          <w:rFonts w:ascii="宋体" w:hAnsi="宋体"/>
          <w:bCs/>
          <w:color w:val="auto"/>
          <w:kern w:val="0"/>
          <w:sz w:val="84"/>
          <w:szCs w:val="84"/>
          <w:highlight w:val="none"/>
          <w:lang w:bidi="ar"/>
        </w:rPr>
      </w:pPr>
      <w:r>
        <w:rPr>
          <w:rFonts w:hint="eastAsia" w:ascii="宋体" w:hAnsi="宋体"/>
          <w:bCs/>
          <w:color w:val="auto"/>
          <w:kern w:val="0"/>
          <w:sz w:val="84"/>
          <w:szCs w:val="84"/>
          <w:highlight w:val="none"/>
          <w:lang w:bidi="ar"/>
        </w:rPr>
        <w:t>同</w:t>
      </w:r>
    </w:p>
    <w:p w14:paraId="439CB80C">
      <w:pPr>
        <w:widowControl/>
        <w:jc w:val="center"/>
        <w:rPr>
          <w:rFonts w:ascii="宋体" w:hAnsi="宋体"/>
          <w:bCs/>
          <w:color w:val="auto"/>
          <w:kern w:val="0"/>
          <w:sz w:val="84"/>
          <w:szCs w:val="84"/>
          <w:highlight w:val="none"/>
          <w:lang w:bidi="ar"/>
        </w:rPr>
      </w:pPr>
    </w:p>
    <w:p w14:paraId="230FF98F">
      <w:pPr>
        <w:widowControl/>
        <w:jc w:val="center"/>
        <w:outlineLvl w:val="2"/>
        <w:rPr>
          <w:color w:val="auto"/>
          <w:highlight w:val="none"/>
        </w:rPr>
      </w:pPr>
      <w:r>
        <w:rPr>
          <w:rFonts w:hint="eastAsia" w:ascii="宋体" w:hAnsi="宋体"/>
          <w:bCs/>
          <w:color w:val="auto"/>
          <w:kern w:val="0"/>
          <w:sz w:val="84"/>
          <w:szCs w:val="84"/>
          <w:highlight w:val="none"/>
          <w:lang w:bidi="ar"/>
        </w:rPr>
        <w:t>书</w:t>
      </w:r>
    </w:p>
    <w:p w14:paraId="1617561E">
      <w:pPr>
        <w:pStyle w:val="34"/>
        <w:ind w:left="0" w:leftChars="0" w:firstLine="0" w:firstLineChars="0"/>
        <w:rPr>
          <w:color w:val="auto"/>
        </w:rPr>
      </w:pPr>
    </w:p>
    <w:p w14:paraId="136DB2BA">
      <w:pPr>
        <w:widowControl/>
        <w:jc w:val="center"/>
        <w:rPr>
          <w:rFonts w:ascii="宋体" w:hAnsi="宋体"/>
          <w:bCs/>
          <w:color w:val="auto"/>
          <w:kern w:val="0"/>
          <w:sz w:val="28"/>
          <w:szCs w:val="28"/>
          <w:lang w:bidi="ar"/>
        </w:rPr>
      </w:pPr>
    </w:p>
    <w:p w14:paraId="52EC6ABF">
      <w:pPr>
        <w:pStyle w:val="13"/>
      </w:pPr>
    </w:p>
    <w:p w14:paraId="0B9B4AC4">
      <w:pPr>
        <w:pStyle w:val="34"/>
        <w:ind w:left="482"/>
        <w:rPr>
          <w:color w:val="auto"/>
        </w:rPr>
      </w:pPr>
    </w:p>
    <w:p w14:paraId="06347104">
      <w:pPr>
        <w:widowControl/>
        <w:ind w:firstLine="3654" w:firstLineChars="1300"/>
        <w:outlineLvl w:val="2"/>
        <w:rPr>
          <w:rFonts w:ascii="宋体" w:hAnsi="宋体"/>
          <w:bCs/>
          <w:color w:val="auto"/>
          <w:kern w:val="0"/>
          <w:sz w:val="28"/>
          <w:szCs w:val="28"/>
          <w:lang w:bidi="ar"/>
        </w:rPr>
      </w:pPr>
      <w:r>
        <w:rPr>
          <w:rFonts w:hint="eastAsia" w:ascii="宋体" w:hAnsi="宋体"/>
          <w:bCs/>
          <w:color w:val="auto"/>
          <w:kern w:val="0"/>
          <w:sz w:val="28"/>
          <w:szCs w:val="28"/>
          <w:lang w:bidi="ar"/>
        </w:rPr>
        <w:t>签订地点:</w:t>
      </w:r>
    </w:p>
    <w:p w14:paraId="0361060E">
      <w:pPr>
        <w:widowControl/>
        <w:ind w:firstLine="3614" w:firstLineChars="1200"/>
        <w:jc w:val="both"/>
        <w:rPr>
          <w:rFonts w:ascii="宋体" w:hAnsi="宋体"/>
          <w:bCs/>
          <w:color w:val="auto"/>
          <w:kern w:val="0"/>
          <w:sz w:val="30"/>
          <w:szCs w:val="30"/>
          <w:lang w:bidi="ar"/>
        </w:rPr>
      </w:pPr>
      <w:r>
        <w:rPr>
          <w:rFonts w:hint="eastAsia" w:ascii="宋体" w:hAnsi="宋体"/>
          <w:bCs/>
          <w:color w:val="auto"/>
          <w:kern w:val="0"/>
          <w:sz w:val="30"/>
          <w:szCs w:val="30"/>
          <w:lang w:bidi="ar"/>
        </w:rPr>
        <w:t>云南省财政厅 制</w:t>
      </w:r>
    </w:p>
    <w:p w14:paraId="33558A59">
      <w:pPr>
        <w:spacing w:line="360" w:lineRule="auto"/>
        <w:ind w:firstLine="640" w:firstLineChars="200"/>
        <w:rPr>
          <w:rFonts w:ascii="宋体" w:hAnsi="宋体"/>
          <w:b w:val="0"/>
          <w:color w:val="auto"/>
          <w:sz w:val="32"/>
          <w:szCs w:val="32"/>
        </w:rPr>
      </w:pPr>
    </w:p>
    <w:p w14:paraId="3A171EFB">
      <w:pPr>
        <w:spacing w:line="360" w:lineRule="auto"/>
        <w:jc w:val="center"/>
        <w:rPr>
          <w:rFonts w:ascii="宋体"/>
          <w:color w:val="auto"/>
        </w:rPr>
      </w:pPr>
      <w:r>
        <w:rPr>
          <w:rFonts w:hint="eastAsia" w:ascii="宋体" w:hAnsi="宋体"/>
          <w:color w:val="auto"/>
          <w:kern w:val="0"/>
        </w:rPr>
        <w:br w:type="page"/>
      </w:r>
      <w:bookmarkStart w:id="423" w:name="_Toc489145749"/>
    </w:p>
    <w:p w14:paraId="667EE9F9">
      <w:pPr>
        <w:spacing w:line="480" w:lineRule="auto"/>
        <w:rPr>
          <w:rFonts w:ascii="宋体"/>
          <w:b w:val="0"/>
          <w:bCs/>
          <w:color w:val="auto"/>
          <w:sz w:val="21"/>
          <w:szCs w:val="21"/>
        </w:rPr>
      </w:pPr>
      <w:r>
        <w:rPr>
          <w:rFonts w:ascii="宋体"/>
          <w:color w:val="auto"/>
        </w:rPr>
        <w:t> </w:t>
      </w:r>
      <w:r>
        <w:rPr>
          <w:rFonts w:hint="eastAsia" w:ascii="宋体" w:hAnsi="宋体"/>
          <w:b w:val="0"/>
          <w:bCs/>
          <w:color w:val="auto"/>
          <w:sz w:val="21"/>
          <w:szCs w:val="21"/>
        </w:rPr>
        <w:t>甲方（</w:t>
      </w:r>
      <w:r>
        <w:rPr>
          <w:rFonts w:hint="eastAsia" w:ascii="宋体" w:hAnsi="宋体"/>
          <w:b w:val="0"/>
          <w:bCs/>
          <w:color w:val="auto"/>
          <w:sz w:val="21"/>
          <w:szCs w:val="21"/>
          <w:lang w:eastAsia="zh-CN"/>
        </w:rPr>
        <w:t>采购人</w:t>
      </w:r>
      <w:r>
        <w:rPr>
          <w:rFonts w:hint="eastAsia" w:ascii="宋体" w:hAnsi="宋体"/>
          <w:b w:val="0"/>
          <w:bCs/>
          <w:color w:val="auto"/>
          <w:sz w:val="21"/>
          <w:szCs w:val="21"/>
        </w:rPr>
        <w:t>公章）名</w:t>
      </w:r>
      <w:r>
        <w:rPr>
          <w:rFonts w:ascii="宋体"/>
          <w:b w:val="0"/>
          <w:bCs/>
          <w:color w:val="auto"/>
          <w:sz w:val="21"/>
          <w:szCs w:val="21"/>
        </w:rPr>
        <w:t> </w:t>
      </w:r>
      <w:r>
        <w:rPr>
          <w:rFonts w:hint="eastAsia" w:ascii="宋体" w:hAnsi="宋体"/>
          <w:b w:val="0"/>
          <w:bCs/>
          <w:color w:val="auto"/>
          <w:sz w:val="21"/>
          <w:szCs w:val="21"/>
        </w:rPr>
        <w:t>称：</w:t>
      </w:r>
    </w:p>
    <w:p w14:paraId="0E93FCA6">
      <w:pPr>
        <w:tabs>
          <w:tab w:val="left" w:pos="1664"/>
        </w:tabs>
        <w:spacing w:line="480" w:lineRule="auto"/>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地</w:t>
      </w:r>
      <w:r>
        <w:rPr>
          <w:rFonts w:ascii="宋体"/>
          <w:b w:val="0"/>
          <w:bCs/>
          <w:color w:val="auto"/>
          <w:sz w:val="21"/>
          <w:szCs w:val="21"/>
        </w:rPr>
        <w:t> </w:t>
      </w:r>
      <w:r>
        <w:rPr>
          <w:rFonts w:hint="eastAsia" w:ascii="宋体" w:hAnsi="宋体"/>
          <w:b w:val="0"/>
          <w:bCs/>
          <w:color w:val="auto"/>
          <w:sz w:val="21"/>
          <w:szCs w:val="21"/>
        </w:rPr>
        <w:t>址：</w:t>
      </w:r>
    </w:p>
    <w:p w14:paraId="5861D269">
      <w:pPr>
        <w:tabs>
          <w:tab w:val="left" w:pos="1664"/>
        </w:tabs>
        <w:spacing w:line="480" w:lineRule="auto"/>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邮</w:t>
      </w:r>
      <w:r>
        <w:rPr>
          <w:rFonts w:ascii="宋体"/>
          <w:b w:val="0"/>
          <w:bCs/>
          <w:color w:val="auto"/>
          <w:sz w:val="21"/>
          <w:szCs w:val="21"/>
        </w:rPr>
        <w:t> </w:t>
      </w:r>
      <w:r>
        <w:rPr>
          <w:rFonts w:hint="eastAsia" w:ascii="宋体" w:hAnsi="宋体"/>
          <w:b w:val="0"/>
          <w:bCs/>
          <w:color w:val="auto"/>
          <w:sz w:val="21"/>
          <w:szCs w:val="21"/>
        </w:rPr>
        <w:t>编：</w:t>
      </w:r>
    </w:p>
    <w:p w14:paraId="34782EB9">
      <w:pPr>
        <w:tabs>
          <w:tab w:val="left" w:pos="1664"/>
        </w:tabs>
        <w:spacing w:line="480" w:lineRule="auto"/>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法定代表人或委托代理人：</w:t>
      </w:r>
    </w:p>
    <w:p w14:paraId="5B3F50E7">
      <w:pPr>
        <w:tabs>
          <w:tab w:val="left" w:pos="1664"/>
        </w:tabs>
        <w:spacing w:line="480" w:lineRule="auto"/>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项目（技术）负责人：</w:t>
      </w:r>
    </w:p>
    <w:p w14:paraId="672AEC4A">
      <w:pPr>
        <w:tabs>
          <w:tab w:val="left" w:pos="1664"/>
        </w:tabs>
        <w:spacing w:line="480" w:lineRule="auto"/>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电话：</w:t>
      </w:r>
    </w:p>
    <w:p w14:paraId="2C276C91">
      <w:pPr>
        <w:tabs>
          <w:tab w:val="left" w:pos="1664"/>
        </w:tabs>
        <w:spacing w:line="480" w:lineRule="auto"/>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签订日期：</w:t>
      </w:r>
    </w:p>
    <w:p w14:paraId="6ED5A71C">
      <w:pPr>
        <w:spacing w:line="480" w:lineRule="auto"/>
        <w:rPr>
          <w:rFonts w:ascii="宋体"/>
          <w:b w:val="0"/>
          <w:bCs/>
          <w:color w:val="auto"/>
          <w:sz w:val="21"/>
          <w:szCs w:val="21"/>
        </w:rPr>
      </w:pPr>
      <w:r>
        <w:rPr>
          <w:rFonts w:ascii="宋体"/>
          <w:b w:val="0"/>
          <w:bCs/>
          <w:color w:val="auto"/>
          <w:sz w:val="21"/>
          <w:szCs w:val="21"/>
        </w:rPr>
        <w:t> </w:t>
      </w:r>
    </w:p>
    <w:p w14:paraId="7280EC52">
      <w:pPr>
        <w:tabs>
          <w:tab w:val="left" w:pos="1664"/>
        </w:tabs>
        <w:spacing w:line="480" w:lineRule="auto"/>
        <w:rPr>
          <w:rFonts w:ascii="宋体"/>
          <w:b w:val="0"/>
          <w:bCs/>
          <w:color w:val="auto"/>
          <w:sz w:val="21"/>
          <w:szCs w:val="21"/>
        </w:rPr>
      </w:pPr>
      <w:r>
        <w:rPr>
          <w:rFonts w:ascii="宋体"/>
          <w:b w:val="0"/>
          <w:bCs/>
          <w:color w:val="auto"/>
          <w:sz w:val="21"/>
          <w:szCs w:val="21"/>
        </w:rPr>
        <w:tab/>
      </w:r>
    </w:p>
    <w:p w14:paraId="15746F27">
      <w:pPr>
        <w:spacing w:line="480" w:lineRule="auto"/>
        <w:rPr>
          <w:rFonts w:ascii="宋体"/>
          <w:b w:val="0"/>
          <w:bCs/>
          <w:color w:val="auto"/>
          <w:sz w:val="21"/>
          <w:szCs w:val="21"/>
        </w:rPr>
      </w:pPr>
      <w:r>
        <w:rPr>
          <w:rFonts w:hint="eastAsia" w:ascii="宋体" w:hAnsi="宋体"/>
          <w:b w:val="0"/>
          <w:bCs/>
          <w:color w:val="auto"/>
          <w:sz w:val="21"/>
          <w:szCs w:val="21"/>
        </w:rPr>
        <w:t>乙方（投标人公章）名</w:t>
      </w:r>
      <w:r>
        <w:rPr>
          <w:rFonts w:ascii="宋体"/>
          <w:b w:val="0"/>
          <w:bCs/>
          <w:color w:val="auto"/>
          <w:sz w:val="21"/>
          <w:szCs w:val="21"/>
        </w:rPr>
        <w:t> </w:t>
      </w:r>
      <w:r>
        <w:rPr>
          <w:rFonts w:hint="eastAsia" w:ascii="宋体" w:hAnsi="宋体"/>
          <w:b w:val="0"/>
          <w:bCs/>
          <w:color w:val="auto"/>
          <w:sz w:val="21"/>
          <w:szCs w:val="21"/>
        </w:rPr>
        <w:t>称：</w:t>
      </w:r>
    </w:p>
    <w:p w14:paraId="7DF1DA8F">
      <w:pPr>
        <w:tabs>
          <w:tab w:val="left" w:pos="1664"/>
        </w:tabs>
        <w:spacing w:line="480" w:lineRule="auto"/>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地</w:t>
      </w:r>
      <w:r>
        <w:rPr>
          <w:rFonts w:ascii="宋体"/>
          <w:b w:val="0"/>
          <w:bCs/>
          <w:color w:val="auto"/>
          <w:sz w:val="21"/>
          <w:szCs w:val="21"/>
        </w:rPr>
        <w:t> </w:t>
      </w:r>
      <w:r>
        <w:rPr>
          <w:rFonts w:hint="eastAsia" w:ascii="宋体" w:hAnsi="宋体"/>
          <w:b w:val="0"/>
          <w:bCs/>
          <w:color w:val="auto"/>
          <w:sz w:val="21"/>
          <w:szCs w:val="21"/>
        </w:rPr>
        <w:t>址：</w:t>
      </w:r>
    </w:p>
    <w:p w14:paraId="4D419AC5">
      <w:pPr>
        <w:tabs>
          <w:tab w:val="left" w:pos="1664"/>
        </w:tabs>
        <w:spacing w:line="480" w:lineRule="auto"/>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邮</w:t>
      </w:r>
      <w:r>
        <w:rPr>
          <w:rFonts w:ascii="宋体"/>
          <w:b w:val="0"/>
          <w:bCs/>
          <w:color w:val="auto"/>
          <w:sz w:val="21"/>
          <w:szCs w:val="21"/>
        </w:rPr>
        <w:t> </w:t>
      </w:r>
      <w:r>
        <w:rPr>
          <w:rFonts w:hint="eastAsia" w:ascii="宋体" w:hAnsi="宋体"/>
          <w:b w:val="0"/>
          <w:bCs/>
          <w:color w:val="auto"/>
          <w:sz w:val="21"/>
          <w:szCs w:val="21"/>
        </w:rPr>
        <w:t>编：</w:t>
      </w:r>
    </w:p>
    <w:p w14:paraId="2CCD6958">
      <w:pPr>
        <w:tabs>
          <w:tab w:val="left" w:pos="1664"/>
        </w:tabs>
        <w:spacing w:line="480" w:lineRule="auto"/>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法定代表人或委托代理人：</w:t>
      </w:r>
    </w:p>
    <w:p w14:paraId="42ACD0E3">
      <w:pPr>
        <w:tabs>
          <w:tab w:val="left" w:pos="1664"/>
        </w:tabs>
        <w:spacing w:line="480" w:lineRule="auto"/>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经办人：</w:t>
      </w:r>
    </w:p>
    <w:p w14:paraId="3B0E8700">
      <w:pPr>
        <w:tabs>
          <w:tab w:val="left" w:pos="1664"/>
        </w:tabs>
        <w:spacing w:line="480" w:lineRule="auto"/>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电话：</w:t>
      </w:r>
    </w:p>
    <w:p w14:paraId="02F7497C">
      <w:pPr>
        <w:tabs>
          <w:tab w:val="left" w:pos="1664"/>
        </w:tabs>
        <w:spacing w:line="480" w:lineRule="auto"/>
        <w:ind w:firstLine="420" w:firstLineChars="200"/>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签订日期：</w:t>
      </w:r>
    </w:p>
    <w:p w14:paraId="3FE1CE3C">
      <w:pPr>
        <w:spacing w:line="480" w:lineRule="auto"/>
        <w:rPr>
          <w:rFonts w:ascii="宋体"/>
          <w:b w:val="0"/>
          <w:bCs/>
          <w:color w:val="auto"/>
          <w:sz w:val="21"/>
          <w:szCs w:val="21"/>
        </w:rPr>
      </w:pPr>
    </w:p>
    <w:p w14:paraId="438C6DEB">
      <w:pPr>
        <w:spacing w:line="480" w:lineRule="auto"/>
        <w:rPr>
          <w:rFonts w:ascii="宋体"/>
          <w:b w:val="0"/>
          <w:bCs/>
          <w:color w:val="auto"/>
          <w:sz w:val="21"/>
          <w:szCs w:val="21"/>
        </w:rPr>
      </w:pPr>
    </w:p>
    <w:p w14:paraId="656F7B0D">
      <w:pPr>
        <w:spacing w:line="480" w:lineRule="auto"/>
        <w:rPr>
          <w:rFonts w:ascii="宋体"/>
          <w:b w:val="0"/>
          <w:bCs/>
          <w:color w:val="auto"/>
          <w:sz w:val="21"/>
          <w:szCs w:val="21"/>
        </w:rPr>
      </w:pPr>
      <w:r>
        <w:rPr>
          <w:rFonts w:hint="eastAsia" w:ascii="宋体" w:hAnsi="宋体"/>
          <w:b w:val="0"/>
          <w:bCs/>
          <w:color w:val="auto"/>
          <w:sz w:val="21"/>
          <w:szCs w:val="21"/>
        </w:rPr>
        <w:t>丙方（鉴证方公章）名</w:t>
      </w:r>
      <w:r>
        <w:rPr>
          <w:rFonts w:ascii="宋体"/>
          <w:b w:val="0"/>
          <w:bCs/>
          <w:color w:val="auto"/>
          <w:sz w:val="21"/>
          <w:szCs w:val="21"/>
        </w:rPr>
        <w:t> </w:t>
      </w:r>
      <w:r>
        <w:rPr>
          <w:rFonts w:hint="eastAsia" w:ascii="宋体" w:hAnsi="宋体"/>
          <w:b w:val="0"/>
          <w:bCs/>
          <w:color w:val="auto"/>
          <w:sz w:val="21"/>
          <w:szCs w:val="21"/>
        </w:rPr>
        <w:t>称：</w:t>
      </w:r>
    </w:p>
    <w:p w14:paraId="7510FA7D">
      <w:pPr>
        <w:tabs>
          <w:tab w:val="left" w:pos="377"/>
        </w:tabs>
        <w:spacing w:line="480" w:lineRule="auto"/>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地</w:t>
      </w:r>
      <w:r>
        <w:rPr>
          <w:rFonts w:ascii="宋体"/>
          <w:b w:val="0"/>
          <w:bCs/>
          <w:color w:val="auto"/>
          <w:sz w:val="21"/>
          <w:szCs w:val="21"/>
        </w:rPr>
        <w:t> </w:t>
      </w:r>
      <w:r>
        <w:rPr>
          <w:rFonts w:hint="eastAsia" w:ascii="宋体" w:hAnsi="宋体"/>
          <w:b w:val="0"/>
          <w:bCs/>
          <w:color w:val="auto"/>
          <w:sz w:val="21"/>
          <w:szCs w:val="21"/>
        </w:rPr>
        <w:t>址：</w:t>
      </w:r>
    </w:p>
    <w:p w14:paraId="6C8834EA">
      <w:pPr>
        <w:tabs>
          <w:tab w:val="left" w:pos="377"/>
        </w:tabs>
        <w:spacing w:line="480" w:lineRule="auto"/>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邮</w:t>
      </w:r>
      <w:r>
        <w:rPr>
          <w:rFonts w:ascii="宋体"/>
          <w:b w:val="0"/>
          <w:bCs/>
          <w:color w:val="auto"/>
          <w:sz w:val="21"/>
          <w:szCs w:val="21"/>
        </w:rPr>
        <w:t> </w:t>
      </w:r>
      <w:r>
        <w:rPr>
          <w:rFonts w:hint="eastAsia" w:ascii="宋体" w:hAnsi="宋体"/>
          <w:b w:val="0"/>
          <w:bCs/>
          <w:color w:val="auto"/>
          <w:sz w:val="21"/>
          <w:szCs w:val="21"/>
        </w:rPr>
        <w:t>编：</w:t>
      </w:r>
    </w:p>
    <w:p w14:paraId="09D26C3E">
      <w:pPr>
        <w:tabs>
          <w:tab w:val="left" w:pos="377"/>
        </w:tabs>
        <w:spacing w:line="480" w:lineRule="auto"/>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法定代表人或委托代理人：</w:t>
      </w:r>
    </w:p>
    <w:p w14:paraId="3EEBCFF1">
      <w:pPr>
        <w:tabs>
          <w:tab w:val="left" w:pos="377"/>
        </w:tabs>
        <w:spacing w:line="480" w:lineRule="auto"/>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经办人：</w:t>
      </w:r>
    </w:p>
    <w:p w14:paraId="71C89BAF">
      <w:pPr>
        <w:tabs>
          <w:tab w:val="left" w:pos="377"/>
        </w:tabs>
        <w:spacing w:line="480" w:lineRule="auto"/>
        <w:rPr>
          <w:rFonts w:ascii="宋体"/>
          <w:b w:val="0"/>
          <w:bCs/>
          <w:color w:val="auto"/>
          <w:sz w:val="21"/>
          <w:szCs w:val="21"/>
        </w:rPr>
      </w:pPr>
      <w:r>
        <w:rPr>
          <w:rFonts w:ascii="宋体"/>
          <w:b w:val="0"/>
          <w:bCs/>
          <w:color w:val="auto"/>
          <w:sz w:val="21"/>
          <w:szCs w:val="21"/>
        </w:rPr>
        <w:t> </w:t>
      </w:r>
      <w:r>
        <w:rPr>
          <w:rFonts w:ascii="宋体"/>
          <w:b w:val="0"/>
          <w:bCs/>
          <w:color w:val="auto"/>
          <w:sz w:val="21"/>
          <w:szCs w:val="21"/>
        </w:rPr>
        <w:tab/>
      </w:r>
      <w:r>
        <w:rPr>
          <w:rFonts w:ascii="宋体"/>
          <w:b w:val="0"/>
          <w:bCs/>
          <w:color w:val="auto"/>
          <w:sz w:val="21"/>
          <w:szCs w:val="21"/>
        </w:rPr>
        <w:t xml:space="preserve">                   </w:t>
      </w:r>
      <w:r>
        <w:rPr>
          <w:rFonts w:hint="eastAsia" w:ascii="宋体" w:hAnsi="宋体"/>
          <w:b w:val="0"/>
          <w:bCs/>
          <w:color w:val="auto"/>
          <w:sz w:val="21"/>
          <w:szCs w:val="21"/>
        </w:rPr>
        <w:t>电话：</w:t>
      </w:r>
    </w:p>
    <w:p w14:paraId="1644D851">
      <w:pPr>
        <w:tabs>
          <w:tab w:val="left" w:pos="377"/>
        </w:tabs>
        <w:spacing w:line="360" w:lineRule="auto"/>
        <w:rPr>
          <w:rFonts w:ascii="宋体"/>
          <w:color w:val="auto"/>
          <w:sz w:val="21"/>
          <w:szCs w:val="21"/>
        </w:rPr>
      </w:pPr>
      <w:r>
        <w:rPr>
          <w:rFonts w:ascii="宋体"/>
          <w:color w:val="auto"/>
          <w:sz w:val="21"/>
          <w:szCs w:val="21"/>
        </w:rPr>
        <w:t> </w:t>
      </w:r>
      <w:r>
        <w:rPr>
          <w:rFonts w:ascii="宋体"/>
          <w:color w:val="auto"/>
          <w:sz w:val="21"/>
          <w:szCs w:val="21"/>
        </w:rPr>
        <w:tab/>
      </w:r>
    </w:p>
    <w:p w14:paraId="258A5D6F">
      <w:pPr>
        <w:keepNext w:val="0"/>
        <w:keepLines w:val="0"/>
        <w:pageBreakBefore w:val="0"/>
        <w:widowControl w:val="0"/>
        <w:kinsoku/>
        <w:wordWrap/>
        <w:overflowPunct/>
        <w:topLinePunct w:val="0"/>
        <w:autoSpaceDE/>
        <w:autoSpaceDN/>
        <w:bidi w:val="0"/>
        <w:adjustRightInd/>
        <w:snapToGrid/>
        <w:spacing w:line="480" w:lineRule="auto"/>
        <w:ind w:firstLine="535" w:firstLineChars="255"/>
        <w:textAlignment w:val="auto"/>
        <w:rPr>
          <w:rFonts w:ascii="宋体" w:hAnsi="宋体" w:eastAsia="宋体" w:cs="Times New Roman"/>
          <w:b w:val="0"/>
          <w:color w:val="auto"/>
          <w:sz w:val="21"/>
          <w:szCs w:val="21"/>
          <w:highlight w:val="none"/>
        </w:rPr>
      </w:pPr>
      <w:r>
        <w:rPr>
          <w:rFonts w:hint="eastAsia" w:ascii="宋体" w:hAnsi="宋体"/>
          <w:b w:val="0"/>
          <w:color w:val="auto"/>
          <w:sz w:val="21"/>
          <w:szCs w:val="21"/>
        </w:rPr>
        <w:br w:type="page"/>
      </w:r>
      <w:r>
        <w:rPr>
          <w:rFonts w:hint="eastAsia" w:ascii="宋体" w:hAnsi="宋体" w:eastAsia="宋体" w:cs="Times New Roman"/>
          <w:b/>
          <w:color w:val="auto"/>
          <w:sz w:val="21"/>
          <w:szCs w:val="21"/>
          <w:highlight w:val="none"/>
        </w:rPr>
        <w:t>甲方：</w:t>
      </w:r>
      <w:r>
        <w:rPr>
          <w:rFonts w:hint="eastAsia" w:ascii="宋体" w:hAnsi="宋体" w:eastAsia="宋体" w:cs="Times New Roman"/>
          <w:b/>
          <w:color w:val="auto"/>
          <w:sz w:val="21"/>
          <w:szCs w:val="21"/>
          <w:highlight w:val="none"/>
          <w:u w:val="single"/>
        </w:rPr>
        <w:t>（采购人全称）</w:t>
      </w:r>
    </w:p>
    <w:p w14:paraId="09B752A2">
      <w:pPr>
        <w:keepNext w:val="0"/>
        <w:keepLines w:val="0"/>
        <w:pageBreakBefore w:val="0"/>
        <w:widowControl w:val="0"/>
        <w:kinsoku/>
        <w:wordWrap/>
        <w:overflowPunct/>
        <w:topLinePunct w:val="0"/>
        <w:autoSpaceDE/>
        <w:autoSpaceDN/>
        <w:bidi w:val="0"/>
        <w:adjustRightInd/>
        <w:snapToGrid/>
        <w:spacing w:line="480" w:lineRule="auto"/>
        <w:ind w:firstLine="538" w:firstLineChars="255"/>
        <w:textAlignment w:val="auto"/>
        <w:rPr>
          <w:rFonts w:ascii="宋体" w:hAnsi="宋体" w:eastAsia="宋体" w:cs="Times New Roman"/>
          <w:b/>
          <w:color w:val="auto"/>
          <w:sz w:val="21"/>
          <w:szCs w:val="21"/>
          <w:highlight w:val="none"/>
          <w:u w:val="single"/>
        </w:rPr>
      </w:pPr>
      <w:r>
        <w:rPr>
          <w:rFonts w:hint="eastAsia" w:ascii="宋体" w:hAnsi="宋体" w:eastAsia="宋体" w:cs="Times New Roman"/>
          <w:b/>
          <w:color w:val="auto"/>
          <w:sz w:val="21"/>
          <w:szCs w:val="21"/>
          <w:highlight w:val="none"/>
        </w:rPr>
        <w:t>乙方：</w:t>
      </w:r>
      <w:r>
        <w:rPr>
          <w:rFonts w:hint="eastAsia" w:ascii="宋体" w:hAnsi="宋体" w:eastAsia="宋体" w:cs="Times New Roman"/>
          <w:b/>
          <w:color w:val="auto"/>
          <w:sz w:val="21"/>
          <w:szCs w:val="21"/>
          <w:highlight w:val="none"/>
          <w:u w:val="single"/>
        </w:rPr>
        <w:t>（</w:t>
      </w:r>
      <w:r>
        <w:rPr>
          <w:rFonts w:hint="eastAsia" w:ascii="宋体" w:hAnsi="宋体" w:eastAsia="宋体" w:cs="Times New Roman"/>
          <w:b/>
          <w:color w:val="auto"/>
          <w:sz w:val="21"/>
          <w:szCs w:val="21"/>
          <w:highlight w:val="none"/>
          <w:u w:val="single"/>
          <w:lang w:val="en-US" w:eastAsia="zh-CN"/>
        </w:rPr>
        <w:t>供应商</w:t>
      </w:r>
      <w:r>
        <w:rPr>
          <w:rFonts w:hint="eastAsia" w:ascii="宋体" w:hAnsi="宋体" w:eastAsia="宋体" w:cs="Times New Roman"/>
          <w:b/>
          <w:color w:val="auto"/>
          <w:sz w:val="21"/>
          <w:szCs w:val="21"/>
          <w:highlight w:val="none"/>
          <w:u w:val="single"/>
        </w:rPr>
        <w:t>全称）</w:t>
      </w:r>
    </w:p>
    <w:p w14:paraId="4C0D5FD8">
      <w:pPr>
        <w:keepNext w:val="0"/>
        <w:keepLines w:val="0"/>
        <w:pageBreakBefore w:val="0"/>
        <w:widowControl w:val="0"/>
        <w:kinsoku/>
        <w:wordWrap/>
        <w:overflowPunct/>
        <w:topLinePunct w:val="0"/>
        <w:autoSpaceDE/>
        <w:autoSpaceDN/>
        <w:bidi w:val="0"/>
        <w:adjustRightInd/>
        <w:snapToGrid/>
        <w:spacing w:line="480" w:lineRule="auto"/>
        <w:ind w:firstLine="472" w:firstLineChars="225"/>
        <w:textAlignment w:val="auto"/>
        <w:rPr>
          <w:rFonts w:hint="default" w:ascii="宋体" w:hAnsi="宋体" w:eastAsia="宋体" w:cs="Times New Roman"/>
          <w:b w:val="0"/>
          <w:color w:val="auto"/>
          <w:sz w:val="21"/>
          <w:szCs w:val="21"/>
          <w:highlight w:val="none"/>
          <w:u w:val="single"/>
          <w:lang w:val="en-US" w:eastAsia="zh-CN"/>
        </w:rPr>
      </w:pPr>
      <w:r>
        <w:rPr>
          <w:rFonts w:hint="eastAsia" w:ascii="宋体" w:hAnsi="宋体" w:eastAsia="宋体" w:cs="Times New Roman"/>
          <w:b w:val="0"/>
          <w:color w:val="auto"/>
          <w:sz w:val="21"/>
          <w:szCs w:val="21"/>
          <w:highlight w:val="none"/>
        </w:rPr>
        <w:t>甲乙双方根据招标编号为</w:t>
      </w:r>
      <w:r>
        <w:rPr>
          <w:rFonts w:hint="eastAsia" w:ascii="宋体" w:hAnsi="宋体" w:eastAsia="宋体" w:cs="Times New Roman"/>
          <w:b w:val="0"/>
          <w:color w:val="auto"/>
          <w:sz w:val="21"/>
          <w:szCs w:val="21"/>
          <w:highlight w:val="none"/>
          <w:u w:val="single"/>
        </w:rPr>
        <w:t xml:space="preserve"> （招标编号）  </w:t>
      </w:r>
      <w:r>
        <w:rPr>
          <w:rFonts w:hint="eastAsia" w:ascii="宋体" w:hAnsi="宋体" w:eastAsia="宋体" w:cs="Times New Roman"/>
          <w:b w:val="0"/>
          <w:color w:val="auto"/>
          <w:sz w:val="21"/>
          <w:szCs w:val="21"/>
          <w:highlight w:val="none"/>
        </w:rPr>
        <w:t>“</w:t>
      </w:r>
      <w:r>
        <w:rPr>
          <w:rFonts w:hint="eastAsia" w:ascii="宋体" w:hAnsi="宋体" w:eastAsia="宋体" w:cs="Times New Roman"/>
          <w:b w:val="0"/>
          <w:color w:val="auto"/>
          <w:sz w:val="21"/>
          <w:szCs w:val="21"/>
          <w:highlight w:val="none"/>
          <w:u w:val="single"/>
        </w:rPr>
        <w:t>（采购项目名称）</w:t>
      </w:r>
      <w:r>
        <w:rPr>
          <w:rFonts w:hint="eastAsia" w:ascii="宋体" w:hAnsi="宋体" w:eastAsia="宋体" w:cs="Times New Roman"/>
          <w:b w:val="0"/>
          <w:color w:val="auto"/>
          <w:sz w:val="21"/>
          <w:szCs w:val="21"/>
          <w:highlight w:val="none"/>
        </w:rPr>
        <w:t>”公开招标采购结果，经双方协定达成一致，签订以下内容</w:t>
      </w:r>
      <w:r>
        <w:rPr>
          <w:rFonts w:hint="eastAsia" w:ascii="宋体" w:hAnsi="宋体" w:cs="Times New Roman"/>
          <w:b w:val="0"/>
          <w:color w:val="auto"/>
          <w:sz w:val="21"/>
          <w:szCs w:val="21"/>
          <w:highlight w:val="none"/>
          <w:lang w:eastAsia="zh-CN"/>
        </w:rPr>
        <w:t>。其中</w:t>
      </w:r>
      <w:r>
        <w:rPr>
          <w:rFonts w:hint="eastAsia" w:ascii="宋体" w:hAnsi="宋体" w:eastAsia="宋体" w:cs="Times New Roman"/>
          <w:b w:val="0"/>
          <w:color w:val="auto"/>
          <w:sz w:val="21"/>
          <w:szCs w:val="21"/>
          <w:highlight w:val="none"/>
          <w:lang w:eastAsia="zh-CN"/>
        </w:rPr>
        <w:t>，本合同</w:t>
      </w:r>
      <w:r>
        <w:rPr>
          <w:rFonts w:hint="eastAsia" w:ascii="宋体" w:hAnsi="宋体" w:eastAsia="宋体" w:cs="Times New Roman"/>
          <w:b w:val="0"/>
          <w:color w:val="auto"/>
          <w:sz w:val="21"/>
          <w:szCs w:val="21"/>
          <w:highlight w:val="none"/>
        </w:rPr>
        <w:t>所称的“服务对象”是指</w:t>
      </w:r>
      <w:r>
        <w:rPr>
          <w:rFonts w:hint="eastAsia" w:ascii="宋体" w:hAnsi="宋体" w:eastAsia="宋体" w:cs="Times New Roman"/>
          <w:b w:val="0"/>
          <w:color w:val="auto"/>
          <w:sz w:val="21"/>
          <w:szCs w:val="21"/>
          <w:highlight w:val="none"/>
          <w:u w:val="single"/>
          <w:lang w:val="en-US" w:eastAsia="zh-CN"/>
        </w:rPr>
        <w:t xml:space="preserve">       。</w:t>
      </w:r>
    </w:p>
    <w:p w14:paraId="6CA002BE">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eastAsia="宋体" w:cs="Times New Roman"/>
          <w:b w:val="0"/>
          <w:color w:val="auto"/>
          <w:sz w:val="21"/>
          <w:szCs w:val="21"/>
          <w:highlight w:val="none"/>
        </w:rPr>
      </w:pPr>
      <w:r>
        <w:rPr>
          <w:rFonts w:hint="eastAsia" w:ascii="宋体" w:hAnsi="宋体" w:eastAsia="宋体" w:cs="Times New Roman"/>
          <w:b/>
          <w:color w:val="auto"/>
          <w:sz w:val="21"/>
          <w:szCs w:val="21"/>
          <w:highlight w:val="none"/>
        </w:rPr>
        <w:t xml:space="preserve">一、设备(产品)名称、品牌、型号规格、技术参数和数量、单价、总价：                   </w:t>
      </w:r>
    </w:p>
    <w:tbl>
      <w:tblPr>
        <w:tblStyle w:val="35"/>
        <w:tblW w:w="9366"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7"/>
        <w:gridCol w:w="1568"/>
        <w:gridCol w:w="1595"/>
        <w:gridCol w:w="1487"/>
        <w:gridCol w:w="1309"/>
        <w:gridCol w:w="1520"/>
      </w:tblGrid>
      <w:tr w14:paraId="2DFDC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7" w:type="dxa"/>
            <w:noWrap w:val="0"/>
            <w:vAlign w:val="center"/>
          </w:tcPr>
          <w:p w14:paraId="15E1FDD7">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设备名称</w:t>
            </w:r>
          </w:p>
        </w:tc>
        <w:tc>
          <w:tcPr>
            <w:tcW w:w="1568" w:type="dxa"/>
            <w:noWrap w:val="0"/>
            <w:vAlign w:val="center"/>
          </w:tcPr>
          <w:p w14:paraId="7D0CC57C">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品牌</w:t>
            </w:r>
          </w:p>
        </w:tc>
        <w:tc>
          <w:tcPr>
            <w:tcW w:w="1595" w:type="dxa"/>
            <w:noWrap w:val="0"/>
            <w:vAlign w:val="center"/>
          </w:tcPr>
          <w:p w14:paraId="04B972BD">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规格型号</w:t>
            </w:r>
          </w:p>
        </w:tc>
        <w:tc>
          <w:tcPr>
            <w:tcW w:w="1487" w:type="dxa"/>
            <w:noWrap w:val="0"/>
            <w:vAlign w:val="center"/>
          </w:tcPr>
          <w:p w14:paraId="1C3B75F7">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单位</w:t>
            </w:r>
          </w:p>
        </w:tc>
        <w:tc>
          <w:tcPr>
            <w:tcW w:w="1309" w:type="dxa"/>
            <w:noWrap w:val="0"/>
            <w:vAlign w:val="center"/>
          </w:tcPr>
          <w:p w14:paraId="6ED2808D">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数量</w:t>
            </w:r>
          </w:p>
        </w:tc>
        <w:tc>
          <w:tcPr>
            <w:tcW w:w="1520" w:type="dxa"/>
            <w:noWrap w:val="0"/>
            <w:vAlign w:val="center"/>
          </w:tcPr>
          <w:p w14:paraId="039506B0">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单价（元）</w:t>
            </w:r>
          </w:p>
        </w:tc>
      </w:tr>
      <w:tr w14:paraId="0874B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7" w:type="dxa"/>
            <w:noWrap w:val="0"/>
            <w:vAlign w:val="top"/>
          </w:tcPr>
          <w:p w14:paraId="4DB8C904">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eastAsia="宋体" w:cs="Times New Roman"/>
                <w:b w:val="0"/>
                <w:color w:val="auto"/>
                <w:sz w:val="21"/>
                <w:szCs w:val="21"/>
                <w:highlight w:val="none"/>
              </w:rPr>
            </w:pPr>
          </w:p>
        </w:tc>
        <w:tc>
          <w:tcPr>
            <w:tcW w:w="1568" w:type="dxa"/>
            <w:noWrap w:val="0"/>
            <w:vAlign w:val="top"/>
          </w:tcPr>
          <w:p w14:paraId="0BEBC098">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eastAsia="宋体" w:cs="Times New Roman"/>
                <w:b w:val="0"/>
                <w:color w:val="auto"/>
                <w:sz w:val="21"/>
                <w:szCs w:val="21"/>
                <w:highlight w:val="none"/>
              </w:rPr>
            </w:pPr>
          </w:p>
        </w:tc>
        <w:tc>
          <w:tcPr>
            <w:tcW w:w="1595" w:type="dxa"/>
            <w:noWrap w:val="0"/>
            <w:vAlign w:val="top"/>
          </w:tcPr>
          <w:p w14:paraId="7899F43B">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eastAsia="宋体" w:cs="Times New Roman"/>
                <w:b w:val="0"/>
                <w:color w:val="auto"/>
                <w:sz w:val="21"/>
                <w:szCs w:val="21"/>
                <w:highlight w:val="none"/>
              </w:rPr>
            </w:pPr>
          </w:p>
        </w:tc>
        <w:tc>
          <w:tcPr>
            <w:tcW w:w="1487" w:type="dxa"/>
            <w:noWrap w:val="0"/>
            <w:vAlign w:val="top"/>
          </w:tcPr>
          <w:p w14:paraId="1A3D1E87">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eastAsia="宋体" w:cs="Times New Roman"/>
                <w:b w:val="0"/>
                <w:color w:val="auto"/>
                <w:sz w:val="21"/>
                <w:szCs w:val="21"/>
                <w:highlight w:val="none"/>
              </w:rPr>
            </w:pPr>
          </w:p>
        </w:tc>
        <w:tc>
          <w:tcPr>
            <w:tcW w:w="1309" w:type="dxa"/>
            <w:noWrap w:val="0"/>
            <w:vAlign w:val="top"/>
          </w:tcPr>
          <w:p w14:paraId="2E4564CE">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eastAsia="宋体" w:cs="Times New Roman"/>
                <w:b/>
                <w:color w:val="auto"/>
                <w:sz w:val="21"/>
                <w:szCs w:val="21"/>
                <w:highlight w:val="none"/>
              </w:rPr>
            </w:pPr>
          </w:p>
        </w:tc>
        <w:tc>
          <w:tcPr>
            <w:tcW w:w="1520" w:type="dxa"/>
            <w:noWrap w:val="0"/>
            <w:vAlign w:val="top"/>
          </w:tcPr>
          <w:p w14:paraId="6607CC2F">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eastAsia="宋体" w:cs="Times New Roman"/>
                <w:b w:val="0"/>
                <w:color w:val="auto"/>
                <w:sz w:val="21"/>
                <w:szCs w:val="21"/>
                <w:highlight w:val="none"/>
              </w:rPr>
            </w:pPr>
          </w:p>
        </w:tc>
      </w:tr>
      <w:tr w14:paraId="52A3D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7" w:type="dxa"/>
            <w:noWrap w:val="0"/>
            <w:vAlign w:val="top"/>
          </w:tcPr>
          <w:p w14:paraId="3B0C3A35">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总价（大写）</w:t>
            </w:r>
          </w:p>
        </w:tc>
        <w:tc>
          <w:tcPr>
            <w:tcW w:w="3163" w:type="dxa"/>
            <w:gridSpan w:val="2"/>
            <w:noWrap w:val="0"/>
            <w:vAlign w:val="top"/>
          </w:tcPr>
          <w:p w14:paraId="31F4849D">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eastAsia="宋体" w:cs="Times New Roman"/>
                <w:b w:val="0"/>
                <w:color w:val="auto"/>
                <w:sz w:val="21"/>
                <w:szCs w:val="21"/>
                <w:highlight w:val="none"/>
              </w:rPr>
            </w:pPr>
          </w:p>
        </w:tc>
        <w:tc>
          <w:tcPr>
            <w:tcW w:w="1487" w:type="dxa"/>
            <w:noWrap w:val="0"/>
            <w:vAlign w:val="top"/>
          </w:tcPr>
          <w:p w14:paraId="38B23C3F">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小写（元）</w:t>
            </w:r>
          </w:p>
        </w:tc>
        <w:tc>
          <w:tcPr>
            <w:tcW w:w="2829" w:type="dxa"/>
            <w:gridSpan w:val="2"/>
            <w:noWrap w:val="0"/>
            <w:vAlign w:val="top"/>
          </w:tcPr>
          <w:p w14:paraId="6FBC2E30">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eastAsia="宋体" w:cs="Times New Roman"/>
                <w:b w:val="0"/>
                <w:color w:val="auto"/>
                <w:sz w:val="21"/>
                <w:szCs w:val="21"/>
                <w:highlight w:val="none"/>
              </w:rPr>
            </w:pPr>
          </w:p>
        </w:tc>
      </w:tr>
    </w:tbl>
    <w:p w14:paraId="5BA1B4B6">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详细的设备</w:t>
      </w:r>
      <w:r>
        <w:rPr>
          <w:rFonts w:hint="eastAsia" w:ascii="宋体" w:hAnsi="宋体" w:cs="Times New Roman"/>
          <w:b w:val="0"/>
          <w:color w:val="auto"/>
          <w:sz w:val="21"/>
          <w:szCs w:val="21"/>
          <w:highlight w:val="none"/>
          <w:lang w:eastAsia="zh-CN"/>
        </w:rPr>
        <w:t>配置</w:t>
      </w:r>
      <w:r>
        <w:rPr>
          <w:rFonts w:hint="eastAsia" w:ascii="宋体" w:hAnsi="宋体" w:eastAsia="宋体" w:cs="Times New Roman"/>
          <w:b w:val="0"/>
          <w:color w:val="auto"/>
          <w:sz w:val="21"/>
          <w:szCs w:val="21"/>
          <w:highlight w:val="none"/>
        </w:rPr>
        <w:t>明细</w:t>
      </w:r>
      <w:r>
        <w:rPr>
          <w:rFonts w:hint="eastAsia" w:ascii="宋体" w:hAnsi="宋体" w:cs="Times New Roman"/>
          <w:b w:val="0"/>
          <w:color w:val="auto"/>
          <w:sz w:val="21"/>
          <w:szCs w:val="21"/>
          <w:highlight w:val="none"/>
          <w:lang w:eastAsia="zh-CN"/>
        </w:rPr>
        <w:t>等</w:t>
      </w:r>
      <w:r>
        <w:rPr>
          <w:rFonts w:hint="eastAsia" w:ascii="宋体" w:hAnsi="宋体" w:eastAsia="宋体" w:cs="Times New Roman"/>
          <w:b w:val="0"/>
          <w:color w:val="auto"/>
          <w:sz w:val="21"/>
          <w:szCs w:val="21"/>
          <w:highlight w:val="none"/>
        </w:rPr>
        <w:t>附后。</w:t>
      </w:r>
    </w:p>
    <w:p w14:paraId="6192666C">
      <w:pPr>
        <w:keepNext w:val="0"/>
        <w:keepLines w:val="0"/>
        <w:pageBreakBefore w:val="0"/>
        <w:widowControl w:val="0"/>
        <w:kinsoku/>
        <w:wordWrap/>
        <w:overflowPunct/>
        <w:topLinePunct w:val="0"/>
        <w:autoSpaceDE/>
        <w:autoSpaceDN/>
        <w:bidi w:val="0"/>
        <w:adjustRightInd/>
        <w:snapToGrid/>
        <w:spacing w:line="480" w:lineRule="auto"/>
        <w:ind w:firstLine="422" w:firstLineChars="200"/>
        <w:textAlignment w:val="auto"/>
        <w:rPr>
          <w:rFonts w:ascii="宋体" w:hAnsi="宋体" w:eastAsia="宋体" w:cs="Times New Roman"/>
          <w:b w:val="0"/>
          <w:color w:val="auto"/>
          <w:sz w:val="21"/>
          <w:szCs w:val="21"/>
          <w:highlight w:val="none"/>
        </w:rPr>
      </w:pPr>
      <w:r>
        <w:rPr>
          <w:rFonts w:hint="eastAsia" w:ascii="宋体" w:hAnsi="宋体" w:eastAsia="宋体" w:cs="Times New Roman"/>
          <w:b/>
          <w:color w:val="auto"/>
          <w:sz w:val="21"/>
          <w:szCs w:val="21"/>
          <w:highlight w:val="none"/>
        </w:rPr>
        <w:t>二、产品</w:t>
      </w:r>
      <w:r>
        <w:rPr>
          <w:rFonts w:hint="eastAsia" w:ascii="宋体" w:hAnsi="宋体" w:cs="Times New Roman"/>
          <w:b/>
          <w:color w:val="auto"/>
          <w:sz w:val="21"/>
          <w:szCs w:val="21"/>
          <w:highlight w:val="none"/>
          <w:lang w:eastAsia="zh-CN"/>
        </w:rPr>
        <w:t>质量</w:t>
      </w:r>
      <w:r>
        <w:rPr>
          <w:rFonts w:hint="eastAsia" w:ascii="宋体" w:hAnsi="宋体" w:eastAsia="宋体" w:cs="Times New Roman"/>
          <w:b/>
          <w:color w:val="auto"/>
          <w:sz w:val="21"/>
          <w:szCs w:val="21"/>
          <w:highlight w:val="none"/>
        </w:rPr>
        <w:t>要求</w:t>
      </w:r>
    </w:p>
    <w:p w14:paraId="59975408">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default"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保证提供的是全新设备（包括零部件），满足售后服务要求、规定的技术参数和使用要求，符合文件规定、具有国家有关部门注册并符合国家质量检测标准和产品出厂标准，并</w:t>
      </w:r>
      <w:r>
        <w:rPr>
          <w:rFonts w:hint="eastAsia" w:ascii="宋体" w:hAnsi="宋体" w:eastAsia="宋体" w:cs="Times New Roman"/>
          <w:b w:val="0"/>
          <w:color w:val="auto"/>
          <w:sz w:val="21"/>
          <w:szCs w:val="21"/>
          <w:highlight w:val="none"/>
          <w:lang w:eastAsia="zh-CN"/>
        </w:rPr>
        <w:t>通过</w:t>
      </w:r>
      <w:r>
        <w:rPr>
          <w:rFonts w:hint="default" w:ascii="宋体" w:hAnsi="宋体" w:eastAsia="宋体" w:cs="Times New Roman"/>
          <w:b w:val="0"/>
          <w:color w:val="auto"/>
          <w:sz w:val="21"/>
          <w:szCs w:val="21"/>
          <w:highlight w:val="none"/>
        </w:rPr>
        <w:t>仪器设备的计量检定</w:t>
      </w:r>
      <w:r>
        <w:rPr>
          <w:rFonts w:hint="eastAsia" w:ascii="宋体" w:hAnsi="宋体" w:eastAsia="宋体" w:cs="Times New Roman"/>
          <w:b w:val="0"/>
          <w:color w:val="auto"/>
          <w:sz w:val="21"/>
          <w:szCs w:val="21"/>
          <w:highlight w:val="none"/>
          <w:lang w:eastAsia="zh-CN"/>
        </w:rPr>
        <w:t>，</w:t>
      </w:r>
      <w:r>
        <w:rPr>
          <w:rFonts w:hint="eastAsia" w:ascii="宋体" w:hAnsi="宋体" w:eastAsia="宋体" w:cs="Times New Roman"/>
          <w:b w:val="0"/>
          <w:color w:val="auto"/>
          <w:sz w:val="21"/>
          <w:szCs w:val="21"/>
          <w:highlight w:val="none"/>
        </w:rPr>
        <w:t>满足甲方技术要求。</w:t>
      </w:r>
      <w:r>
        <w:rPr>
          <w:rFonts w:hint="default" w:ascii="宋体" w:hAnsi="宋体" w:eastAsia="宋体" w:cs="Times New Roman"/>
          <w:b w:val="0"/>
          <w:color w:val="auto"/>
          <w:sz w:val="21"/>
          <w:szCs w:val="21"/>
          <w:highlight w:val="none"/>
        </w:rPr>
        <w:t>如所供货物不符合相关标准，由</w:t>
      </w:r>
      <w:r>
        <w:rPr>
          <w:rFonts w:hint="eastAsia" w:ascii="宋体" w:hAnsi="宋体" w:eastAsia="宋体" w:cs="Times New Roman"/>
          <w:b w:val="0"/>
          <w:color w:val="auto"/>
          <w:sz w:val="21"/>
          <w:szCs w:val="21"/>
          <w:highlight w:val="none"/>
          <w:lang w:eastAsia="zh-CN"/>
        </w:rPr>
        <w:t>乙方</w:t>
      </w:r>
      <w:r>
        <w:rPr>
          <w:rFonts w:hint="default" w:ascii="宋体" w:hAnsi="宋体" w:eastAsia="宋体" w:cs="Times New Roman"/>
          <w:b w:val="0"/>
          <w:color w:val="auto"/>
          <w:sz w:val="21"/>
          <w:szCs w:val="21"/>
          <w:highlight w:val="none"/>
        </w:rPr>
        <w:t>免费更换为符合要求的货物。</w:t>
      </w:r>
    </w:p>
    <w:p w14:paraId="6E8272C9">
      <w:pPr>
        <w:keepNext w:val="0"/>
        <w:keepLines w:val="0"/>
        <w:pageBreakBefore w:val="0"/>
        <w:widowControl w:val="0"/>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三</w:t>
      </w:r>
      <w:r>
        <w:rPr>
          <w:rFonts w:hint="eastAsia" w:ascii="宋体" w:hAnsi="宋体" w:eastAsia="宋体" w:cs="Times New Roman"/>
          <w:b/>
          <w:color w:val="auto"/>
          <w:sz w:val="21"/>
          <w:szCs w:val="21"/>
          <w:highlight w:val="none"/>
        </w:rPr>
        <w:t>、交货</w:t>
      </w:r>
    </w:p>
    <w:p w14:paraId="19ECB86B">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lang w:val="en-US" w:eastAsia="zh-CN"/>
        </w:rPr>
      </w:pPr>
      <w:r>
        <w:rPr>
          <w:rFonts w:hint="eastAsia" w:ascii="宋体" w:hAnsi="宋体" w:eastAsia="宋体" w:cs="Times New Roman"/>
          <w:b w:val="0"/>
          <w:color w:val="auto"/>
          <w:sz w:val="21"/>
          <w:szCs w:val="21"/>
          <w:highlight w:val="none"/>
          <w:lang w:val="en-US" w:eastAsia="zh-CN"/>
        </w:rPr>
        <w:t>交货期限：</w:t>
      </w:r>
    </w:p>
    <w:p w14:paraId="7A211DAD">
      <w:pPr>
        <w:keepNext w:val="0"/>
        <w:keepLines w:val="0"/>
        <w:pageBreakBefore w:val="0"/>
        <w:widowControl w:val="0"/>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color w:val="auto"/>
          <w:sz w:val="21"/>
          <w:szCs w:val="21"/>
          <w:highlight w:val="none"/>
          <w:lang w:val="en-US" w:eastAsia="zh-CN"/>
        </w:rPr>
        <w:t>四、</w:t>
      </w:r>
      <w:r>
        <w:rPr>
          <w:rFonts w:hint="eastAsia" w:ascii="宋体" w:hAnsi="宋体" w:eastAsia="宋体" w:cs="Times New Roman"/>
          <w:b/>
          <w:color w:val="auto"/>
          <w:sz w:val="21"/>
          <w:szCs w:val="21"/>
          <w:highlight w:val="none"/>
        </w:rPr>
        <w:t xml:space="preserve">合同总价（大写）：   </w:t>
      </w:r>
      <w:r>
        <w:rPr>
          <w:rFonts w:hint="eastAsia" w:ascii="宋体" w:hAnsi="宋体" w:eastAsia="宋体" w:cs="Times New Roman"/>
          <w:b w:val="0"/>
          <w:color w:val="auto"/>
          <w:sz w:val="21"/>
          <w:szCs w:val="21"/>
          <w:highlight w:val="none"/>
        </w:rPr>
        <w:t xml:space="preserve">            （人民币  元），  小写：         元</w:t>
      </w:r>
    </w:p>
    <w:p w14:paraId="5255503D">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以上价格为甲方指定地点统一交货价并包含安装</w:t>
      </w:r>
      <w:r>
        <w:rPr>
          <w:rFonts w:hint="eastAsia" w:ascii="宋体" w:hAnsi="宋体" w:eastAsia="宋体" w:cs="Times New Roman"/>
          <w:b w:val="0"/>
          <w:color w:val="auto"/>
          <w:sz w:val="21"/>
          <w:szCs w:val="21"/>
          <w:highlight w:val="none"/>
          <w:lang w:eastAsia="zh-CN"/>
        </w:rPr>
        <w:t>、</w:t>
      </w:r>
      <w:r>
        <w:rPr>
          <w:rFonts w:hint="eastAsia" w:ascii="宋体" w:hAnsi="宋体" w:eastAsia="宋体" w:cs="Times New Roman"/>
          <w:b w:val="0"/>
          <w:color w:val="auto"/>
          <w:sz w:val="21"/>
          <w:szCs w:val="21"/>
          <w:highlight w:val="none"/>
        </w:rPr>
        <w:t>运输</w:t>
      </w:r>
      <w:r>
        <w:rPr>
          <w:rFonts w:hint="eastAsia" w:ascii="宋体" w:hAnsi="宋体" w:eastAsia="宋体" w:cs="Times New Roman"/>
          <w:b w:val="0"/>
          <w:color w:val="auto"/>
          <w:sz w:val="21"/>
          <w:szCs w:val="21"/>
          <w:highlight w:val="none"/>
          <w:lang w:eastAsia="zh-CN"/>
        </w:rPr>
        <w:t>、</w:t>
      </w:r>
      <w:r>
        <w:rPr>
          <w:rFonts w:hint="eastAsia" w:ascii="宋体" w:hAnsi="宋体" w:eastAsia="宋体" w:cs="Times New Roman"/>
          <w:b w:val="0"/>
          <w:color w:val="auto"/>
          <w:sz w:val="21"/>
          <w:szCs w:val="21"/>
          <w:highlight w:val="none"/>
        </w:rPr>
        <w:t>调试</w:t>
      </w:r>
      <w:r>
        <w:rPr>
          <w:rFonts w:hint="eastAsia" w:ascii="宋体" w:hAnsi="宋体" w:eastAsia="宋体" w:cs="Times New Roman"/>
          <w:b w:val="0"/>
          <w:color w:val="auto"/>
          <w:sz w:val="21"/>
          <w:szCs w:val="21"/>
          <w:highlight w:val="none"/>
          <w:lang w:eastAsia="zh-CN"/>
        </w:rPr>
        <w:t>、检定、培训等</w:t>
      </w:r>
      <w:r>
        <w:rPr>
          <w:rFonts w:hint="eastAsia" w:ascii="宋体" w:hAnsi="宋体" w:cs="Times New Roman"/>
          <w:b w:val="0"/>
          <w:color w:val="auto"/>
          <w:sz w:val="21"/>
          <w:szCs w:val="21"/>
          <w:highlight w:val="none"/>
          <w:lang w:val="en-US" w:eastAsia="zh-CN"/>
        </w:rPr>
        <w:t>所有</w:t>
      </w:r>
      <w:r>
        <w:rPr>
          <w:rFonts w:hint="eastAsia" w:ascii="宋体" w:hAnsi="宋体" w:eastAsia="宋体" w:cs="Times New Roman"/>
          <w:b w:val="0"/>
          <w:color w:val="auto"/>
          <w:sz w:val="21"/>
          <w:szCs w:val="21"/>
          <w:highlight w:val="none"/>
        </w:rPr>
        <w:t>费用，还包括货物</w:t>
      </w:r>
      <w:r>
        <w:rPr>
          <w:rFonts w:hint="eastAsia" w:ascii="宋体" w:hAnsi="宋体" w:eastAsia="宋体" w:cs="Times New Roman"/>
          <w:b w:val="0"/>
          <w:color w:val="auto"/>
          <w:sz w:val="21"/>
          <w:szCs w:val="21"/>
          <w:highlight w:val="none"/>
          <w:lang w:eastAsia="zh-CN"/>
        </w:rPr>
        <w:t>调试</w:t>
      </w:r>
      <w:r>
        <w:rPr>
          <w:rFonts w:hint="eastAsia" w:ascii="宋体" w:hAnsi="宋体" w:eastAsia="宋体" w:cs="Times New Roman"/>
          <w:b w:val="0"/>
          <w:color w:val="auto"/>
          <w:sz w:val="21"/>
          <w:szCs w:val="21"/>
          <w:highlight w:val="none"/>
        </w:rPr>
        <w:t>所必需的随机消耗品</w:t>
      </w:r>
      <w:r>
        <w:rPr>
          <w:rFonts w:hint="eastAsia" w:ascii="宋体" w:hAnsi="宋体" w:eastAsia="宋体" w:cs="Times New Roman"/>
          <w:b w:val="0"/>
          <w:color w:val="auto"/>
          <w:sz w:val="21"/>
          <w:szCs w:val="21"/>
          <w:highlight w:val="none"/>
          <w:lang w:eastAsia="zh-CN"/>
        </w:rPr>
        <w:t>费用</w:t>
      </w:r>
      <w:r>
        <w:rPr>
          <w:rFonts w:hint="eastAsia" w:ascii="宋体" w:hAnsi="宋体" w:eastAsia="宋体" w:cs="Times New Roman"/>
          <w:b w:val="0"/>
          <w:color w:val="auto"/>
          <w:sz w:val="21"/>
          <w:szCs w:val="21"/>
          <w:highlight w:val="none"/>
        </w:rPr>
        <w:t>。</w:t>
      </w:r>
    </w:p>
    <w:p w14:paraId="277DA6B2">
      <w:pPr>
        <w:keepNext w:val="0"/>
        <w:keepLines w:val="0"/>
        <w:pageBreakBefore w:val="0"/>
        <w:widowControl w:val="0"/>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eastAsia="zh-CN"/>
        </w:rPr>
        <w:t>五</w:t>
      </w:r>
      <w:r>
        <w:rPr>
          <w:rFonts w:hint="eastAsia" w:ascii="宋体" w:hAnsi="宋体" w:eastAsia="宋体" w:cs="Times New Roman"/>
          <w:b/>
          <w:color w:val="auto"/>
          <w:sz w:val="21"/>
          <w:szCs w:val="21"/>
          <w:highlight w:val="none"/>
        </w:rPr>
        <w:t>、甲乙双方的权利和义务</w:t>
      </w:r>
    </w:p>
    <w:p w14:paraId="13B5AEE1">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（一）甲方的权利和义务</w:t>
      </w:r>
    </w:p>
    <w:p w14:paraId="40717C82">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1、负责合同签订后项目实施的工作（如与乙方的具体联系和衔结，现场安装调试时配备人员进行监管控制）；</w:t>
      </w:r>
    </w:p>
    <w:p w14:paraId="322BFFEC">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2、负责提供设备和项目安装调试所必须的场地和环境；</w:t>
      </w:r>
    </w:p>
    <w:p w14:paraId="43AA950C">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3、负责组织成立验收小组对设备和项目进行验收并签署验收</w:t>
      </w:r>
      <w:r>
        <w:rPr>
          <w:rFonts w:hint="eastAsia" w:ascii="宋体" w:hAnsi="宋体" w:eastAsia="宋体" w:cs="Times New Roman"/>
          <w:b w:val="0"/>
          <w:color w:val="auto"/>
          <w:sz w:val="21"/>
          <w:szCs w:val="21"/>
          <w:highlight w:val="none"/>
          <w:lang w:eastAsia="zh-CN"/>
        </w:rPr>
        <w:t>文件</w:t>
      </w:r>
      <w:r>
        <w:rPr>
          <w:rFonts w:hint="eastAsia" w:ascii="宋体" w:hAnsi="宋体" w:eastAsia="宋体" w:cs="Times New Roman"/>
          <w:b w:val="0"/>
          <w:color w:val="auto"/>
          <w:sz w:val="21"/>
          <w:szCs w:val="21"/>
          <w:highlight w:val="none"/>
        </w:rPr>
        <w:t>；</w:t>
      </w:r>
    </w:p>
    <w:p w14:paraId="53E9576E">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4、按合同规定享有乙方提供的设备服务。</w:t>
      </w:r>
    </w:p>
    <w:p w14:paraId="00914E20">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（二）乙方的权利和义务</w:t>
      </w:r>
    </w:p>
    <w:p w14:paraId="32779D57">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1</w:t>
      </w:r>
      <w:r>
        <w:rPr>
          <w:rFonts w:hint="eastAsia" w:ascii="宋体" w:hAnsi="宋体" w:eastAsia="宋体" w:cs="Times New Roman"/>
          <w:b w:val="0"/>
          <w:color w:val="auto"/>
          <w:sz w:val="21"/>
          <w:szCs w:val="21"/>
          <w:highlight w:val="none"/>
          <w:lang w:val="en-US" w:eastAsia="zh-CN"/>
        </w:rPr>
        <w:t>.</w:t>
      </w:r>
      <w:r>
        <w:rPr>
          <w:rFonts w:hint="eastAsia" w:ascii="宋体" w:hAnsi="宋体" w:eastAsia="宋体" w:cs="Times New Roman"/>
          <w:b w:val="0"/>
          <w:color w:val="auto"/>
          <w:sz w:val="21"/>
          <w:szCs w:val="21"/>
          <w:highlight w:val="none"/>
        </w:rPr>
        <w:t>乙方保证按本合同一、二、三、四、五条款负责完成甲方项目，设备及主要配件质保期为</w:t>
      </w:r>
      <w:r>
        <w:rPr>
          <w:rFonts w:hint="eastAsia" w:ascii="宋体" w:hAnsi="宋体" w:cs="Times New Roman"/>
          <w:b w:val="0"/>
          <w:color w:val="auto"/>
          <w:sz w:val="21"/>
          <w:szCs w:val="21"/>
          <w:highlight w:val="none"/>
          <w:lang w:val="en-US" w:eastAsia="zh-CN"/>
        </w:rPr>
        <w:t xml:space="preserve">  </w:t>
      </w:r>
      <w:r>
        <w:rPr>
          <w:rFonts w:hint="eastAsia" w:ascii="宋体" w:hAnsi="宋体" w:eastAsia="宋体" w:cs="Times New Roman"/>
          <w:b w:val="0"/>
          <w:color w:val="auto"/>
          <w:sz w:val="21"/>
          <w:szCs w:val="21"/>
          <w:highlight w:val="none"/>
        </w:rPr>
        <w:t xml:space="preserve"> 年，并保证设备在甲方报废前正常运行。 具体服务：</w:t>
      </w:r>
      <w:r>
        <w:rPr>
          <w:rFonts w:hint="eastAsia" w:ascii="宋体" w:hAnsi="宋体" w:eastAsia="宋体" w:cs="Times New Roman"/>
          <w:b w:val="0"/>
          <w:color w:val="auto"/>
          <w:sz w:val="21"/>
          <w:szCs w:val="21"/>
          <w:highlight w:val="none"/>
          <w:lang w:eastAsia="zh-CN"/>
        </w:rPr>
        <w:t>免费保修期为</w:t>
      </w:r>
      <w:r>
        <w:rPr>
          <w:rFonts w:hint="eastAsia" w:ascii="宋体" w:hAnsi="宋体" w:cs="Times New Roman"/>
          <w:b w:val="0"/>
          <w:color w:val="auto"/>
          <w:sz w:val="21"/>
          <w:szCs w:val="21"/>
          <w:highlight w:val="none"/>
          <w:lang w:val="en-US" w:eastAsia="zh-CN"/>
        </w:rPr>
        <w:t xml:space="preserve">  </w:t>
      </w:r>
      <w:r>
        <w:rPr>
          <w:rFonts w:hint="eastAsia" w:ascii="宋体" w:hAnsi="宋体" w:eastAsia="宋体" w:cs="Times New Roman"/>
          <w:b w:val="0"/>
          <w:color w:val="auto"/>
          <w:sz w:val="21"/>
          <w:szCs w:val="21"/>
          <w:highlight w:val="none"/>
          <w:lang w:val="en-US" w:eastAsia="zh-CN"/>
        </w:rPr>
        <w:t>年，</w:t>
      </w:r>
      <w:r>
        <w:rPr>
          <w:rFonts w:hint="eastAsia" w:ascii="宋体" w:hAnsi="宋体" w:eastAsia="宋体" w:cs="Times New Roman"/>
          <w:b w:val="0"/>
          <w:color w:val="auto"/>
          <w:sz w:val="21"/>
          <w:szCs w:val="21"/>
          <w:highlight w:val="none"/>
        </w:rPr>
        <w:t>乙方对设备及主要配件提供全免费保修或免费更换；保修期后，收取成本费维修（自然灾害及人为故意损坏除外）</w:t>
      </w:r>
      <w:r>
        <w:rPr>
          <w:rFonts w:hint="eastAsia" w:ascii="宋体" w:hAnsi="宋体" w:eastAsia="宋体" w:cs="Times New Roman"/>
          <w:b w:val="0"/>
          <w:color w:val="auto"/>
          <w:sz w:val="21"/>
          <w:szCs w:val="21"/>
          <w:highlight w:val="none"/>
          <w:lang w:eastAsia="zh-CN"/>
        </w:rPr>
        <w:t>；质保期内，</w:t>
      </w:r>
      <w:r>
        <w:rPr>
          <w:rFonts w:hint="eastAsia" w:ascii="宋体" w:hAnsi="宋体" w:eastAsia="宋体" w:cs="Times New Roman"/>
          <w:b w:val="0"/>
          <w:color w:val="auto"/>
          <w:sz w:val="21"/>
          <w:szCs w:val="21"/>
          <w:highlight w:val="none"/>
        </w:rPr>
        <w:t>主设备乙方提供现场维修，维修人员在收到故障报告后保证</w:t>
      </w:r>
      <w:r>
        <w:rPr>
          <w:rFonts w:hint="eastAsia" w:ascii="宋体" w:hAnsi="宋体" w:eastAsia="宋体" w:cs="Times New Roman"/>
          <w:b w:val="0"/>
          <w:color w:val="auto"/>
          <w:sz w:val="21"/>
          <w:szCs w:val="21"/>
          <w:highlight w:val="none"/>
          <w:lang w:val="en-US" w:eastAsia="zh-CN"/>
        </w:rPr>
        <w:t>24</w:t>
      </w:r>
      <w:r>
        <w:rPr>
          <w:rFonts w:hint="eastAsia" w:ascii="宋体" w:hAnsi="宋体" w:eastAsia="宋体" w:cs="Times New Roman"/>
          <w:b w:val="0"/>
          <w:color w:val="auto"/>
          <w:sz w:val="21"/>
          <w:szCs w:val="21"/>
          <w:highlight w:val="none"/>
        </w:rPr>
        <w:t>小时内到达现场</w:t>
      </w:r>
      <w:r>
        <w:rPr>
          <w:rFonts w:hint="eastAsia" w:ascii="宋体" w:hAnsi="宋体" w:eastAsia="宋体" w:cs="Times New Roman"/>
          <w:b w:val="0"/>
          <w:color w:val="auto"/>
          <w:sz w:val="21"/>
          <w:szCs w:val="21"/>
          <w:highlight w:val="none"/>
          <w:lang w:eastAsia="zh-CN"/>
        </w:rPr>
        <w:t>或提供实质响应</w:t>
      </w:r>
      <w:r>
        <w:rPr>
          <w:rFonts w:hint="eastAsia" w:ascii="宋体" w:hAnsi="宋体" w:eastAsia="宋体" w:cs="Times New Roman"/>
          <w:b w:val="0"/>
          <w:color w:val="auto"/>
          <w:sz w:val="21"/>
          <w:szCs w:val="21"/>
          <w:highlight w:val="none"/>
        </w:rPr>
        <w:t>；乙方保证在甲方指定地点供应备品备件（含易损件）和配套消耗品；乙方对所提供的设备实行</w:t>
      </w:r>
      <w:r>
        <w:rPr>
          <w:rFonts w:hint="eastAsia" w:ascii="宋体" w:hAnsi="宋体" w:eastAsia="宋体" w:cs="Times New Roman"/>
          <w:b w:val="0"/>
          <w:color w:val="auto"/>
          <w:sz w:val="21"/>
          <w:szCs w:val="21"/>
          <w:highlight w:val="none"/>
          <w:lang w:eastAsia="zh-CN"/>
        </w:rPr>
        <w:t>每</w:t>
      </w:r>
      <w:r>
        <w:rPr>
          <w:rFonts w:hint="eastAsia" w:ascii="宋体" w:hAnsi="宋体" w:eastAsia="宋体" w:cs="Times New Roman"/>
          <w:b w:val="0"/>
          <w:color w:val="auto"/>
          <w:sz w:val="21"/>
          <w:szCs w:val="21"/>
          <w:highlight w:val="none"/>
          <w:lang w:val="en-US" w:eastAsia="zh-CN"/>
        </w:rPr>
        <w:t>3个</w:t>
      </w:r>
      <w:r>
        <w:rPr>
          <w:rFonts w:hint="eastAsia" w:ascii="宋体" w:hAnsi="宋体" w:eastAsia="宋体" w:cs="Times New Roman"/>
          <w:b w:val="0"/>
          <w:color w:val="auto"/>
          <w:sz w:val="21"/>
          <w:szCs w:val="21"/>
          <w:highlight w:val="none"/>
        </w:rPr>
        <w:t>月定期进行保养（或维护、巡检）制度；因特殊情况不能及时排除故障的，采取相应的补救措施或与</w:t>
      </w:r>
      <w:r>
        <w:rPr>
          <w:rFonts w:hint="eastAsia" w:ascii="宋体" w:hAnsi="宋体" w:eastAsia="宋体" w:cs="Times New Roman"/>
          <w:b w:val="0"/>
          <w:color w:val="auto"/>
          <w:sz w:val="21"/>
          <w:szCs w:val="21"/>
          <w:highlight w:val="none"/>
          <w:lang w:eastAsia="zh-CN"/>
        </w:rPr>
        <w:t>使用对象</w:t>
      </w:r>
      <w:r>
        <w:rPr>
          <w:rFonts w:hint="eastAsia" w:ascii="宋体" w:hAnsi="宋体" w:eastAsia="宋体" w:cs="Times New Roman"/>
          <w:b w:val="0"/>
          <w:color w:val="auto"/>
          <w:sz w:val="21"/>
          <w:szCs w:val="21"/>
          <w:highlight w:val="none"/>
        </w:rPr>
        <w:t>共同商议处理办法，不能耽搁用户正常使用。</w:t>
      </w:r>
    </w:p>
    <w:p w14:paraId="1FB4043F">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2</w:t>
      </w:r>
      <w:r>
        <w:rPr>
          <w:rFonts w:hint="eastAsia" w:ascii="宋体" w:hAnsi="宋体" w:eastAsia="宋体" w:cs="Times New Roman"/>
          <w:b w:val="0"/>
          <w:color w:val="auto"/>
          <w:sz w:val="21"/>
          <w:szCs w:val="21"/>
          <w:highlight w:val="none"/>
          <w:lang w:val="en-US" w:eastAsia="zh-CN"/>
        </w:rPr>
        <w:t>.</w:t>
      </w:r>
      <w:r>
        <w:rPr>
          <w:rFonts w:hint="eastAsia" w:ascii="宋体" w:hAnsi="宋体" w:eastAsia="宋体" w:cs="Times New Roman"/>
          <w:b w:val="0"/>
          <w:color w:val="auto"/>
          <w:sz w:val="21"/>
          <w:szCs w:val="21"/>
          <w:highlight w:val="none"/>
        </w:rPr>
        <w:t>保证甲方在合同设备（有配套软件的还包括软件产品）使用期间不受第三方提出侵犯其专利权、商标权和工业设计权的起诉。</w:t>
      </w:r>
    </w:p>
    <w:p w14:paraId="32281432">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3</w:t>
      </w:r>
      <w:r>
        <w:rPr>
          <w:rFonts w:hint="eastAsia" w:ascii="宋体" w:hAnsi="宋体" w:eastAsia="宋体" w:cs="Times New Roman"/>
          <w:b w:val="0"/>
          <w:color w:val="auto"/>
          <w:sz w:val="21"/>
          <w:szCs w:val="21"/>
          <w:highlight w:val="none"/>
          <w:lang w:val="en-US" w:eastAsia="zh-CN"/>
        </w:rPr>
        <w:t>.</w:t>
      </w:r>
      <w:r>
        <w:rPr>
          <w:rFonts w:hint="eastAsia" w:ascii="宋体" w:hAnsi="宋体" w:eastAsia="宋体" w:cs="Times New Roman"/>
          <w:b w:val="0"/>
          <w:color w:val="auto"/>
          <w:sz w:val="21"/>
          <w:szCs w:val="21"/>
          <w:highlight w:val="none"/>
        </w:rPr>
        <w:t>严格遵守商务谈判中标所承诺的一切规定和条款；</w:t>
      </w:r>
    </w:p>
    <w:p w14:paraId="72C4107E">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default" w:ascii="宋体" w:hAnsi="宋体" w:eastAsia="宋体" w:cs="Times New Roman"/>
          <w:b w:val="0"/>
          <w:color w:val="auto"/>
          <w:sz w:val="21"/>
          <w:szCs w:val="21"/>
          <w:highlight w:val="none"/>
          <w:lang w:val="en-US" w:eastAsia="zh-CN"/>
        </w:rPr>
      </w:pPr>
      <w:r>
        <w:rPr>
          <w:rFonts w:hint="eastAsia" w:ascii="宋体" w:hAnsi="宋体" w:eastAsia="宋体" w:cs="Times New Roman"/>
          <w:b w:val="0"/>
          <w:color w:val="auto"/>
          <w:sz w:val="21"/>
          <w:szCs w:val="21"/>
          <w:highlight w:val="none"/>
          <w:lang w:val="en-US" w:eastAsia="zh-CN"/>
        </w:rPr>
        <w:t>4.乙方负责完成</w:t>
      </w:r>
      <w:r>
        <w:rPr>
          <w:rFonts w:hint="default" w:ascii="宋体" w:hAnsi="宋体" w:eastAsia="宋体" w:cs="Times New Roman"/>
          <w:b w:val="0"/>
          <w:color w:val="auto"/>
          <w:sz w:val="21"/>
          <w:szCs w:val="21"/>
          <w:highlight w:val="none"/>
        </w:rPr>
        <w:t>仪器设备的计量检定。</w:t>
      </w:r>
    </w:p>
    <w:p w14:paraId="35B0960D">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lang w:val="en-US" w:eastAsia="zh-CN"/>
        </w:rPr>
        <w:t>5.</w:t>
      </w:r>
      <w:r>
        <w:rPr>
          <w:rFonts w:hint="eastAsia" w:ascii="宋体" w:hAnsi="宋体" w:eastAsia="宋体" w:cs="Times New Roman"/>
          <w:b w:val="0"/>
          <w:color w:val="auto"/>
          <w:sz w:val="21"/>
          <w:szCs w:val="21"/>
          <w:highlight w:val="none"/>
        </w:rPr>
        <w:t>参与甲方共同进行设备和项目的验收。</w:t>
      </w:r>
    </w:p>
    <w:p w14:paraId="16768283">
      <w:pPr>
        <w:keepNext w:val="0"/>
        <w:keepLines w:val="0"/>
        <w:pageBreakBefore w:val="0"/>
        <w:widowControl w:val="0"/>
        <w:kinsoku/>
        <w:wordWrap/>
        <w:overflowPunct/>
        <w:topLinePunct w:val="0"/>
        <w:autoSpaceDE/>
        <w:autoSpaceDN/>
        <w:bidi w:val="0"/>
        <w:adjustRightInd/>
        <w:snapToGrid/>
        <w:spacing w:line="480" w:lineRule="auto"/>
        <w:ind w:left="480" w:hanging="422" w:hangingChars="200"/>
        <w:textAlignment w:val="auto"/>
        <w:rPr>
          <w:rFonts w:ascii="宋体" w:hAnsi="宋体" w:eastAsia="宋体" w:cs="Times New Roman"/>
          <w:b w:val="0"/>
          <w:color w:val="auto"/>
          <w:sz w:val="21"/>
          <w:szCs w:val="21"/>
          <w:highlight w:val="none"/>
        </w:rPr>
      </w:pPr>
      <w:r>
        <w:rPr>
          <w:rFonts w:hint="eastAsia" w:ascii="宋体" w:hAnsi="宋体" w:cs="Times New Roman"/>
          <w:b/>
          <w:color w:val="auto"/>
          <w:sz w:val="21"/>
          <w:szCs w:val="21"/>
          <w:highlight w:val="none"/>
          <w:lang w:eastAsia="zh-CN"/>
        </w:rPr>
        <w:t>六</w:t>
      </w:r>
      <w:r>
        <w:rPr>
          <w:rFonts w:hint="eastAsia" w:ascii="宋体" w:hAnsi="宋体" w:eastAsia="宋体" w:cs="Times New Roman"/>
          <w:b/>
          <w:color w:val="auto"/>
          <w:sz w:val="21"/>
          <w:szCs w:val="21"/>
          <w:highlight w:val="none"/>
        </w:rPr>
        <w:t>、以上内容与甲方采购确认和乙方中标承诺情况一致（或中标产品和设备的技术及服务保证甲方正常使用）。</w:t>
      </w:r>
    </w:p>
    <w:p w14:paraId="4C65F9F9">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eastAsia="宋体" w:cs="Times New Roman"/>
          <w:b w:val="0"/>
          <w:color w:val="auto"/>
          <w:sz w:val="21"/>
          <w:szCs w:val="21"/>
          <w:highlight w:val="none"/>
        </w:rPr>
      </w:pPr>
      <w:r>
        <w:rPr>
          <w:rFonts w:hint="eastAsia" w:ascii="宋体" w:hAnsi="宋体" w:cs="Times New Roman"/>
          <w:b/>
          <w:color w:val="auto"/>
          <w:sz w:val="21"/>
          <w:szCs w:val="21"/>
          <w:highlight w:val="none"/>
          <w:lang w:eastAsia="zh-CN"/>
        </w:rPr>
        <w:t>七</w:t>
      </w:r>
      <w:r>
        <w:rPr>
          <w:rFonts w:hint="eastAsia" w:ascii="宋体" w:hAnsi="宋体" w:eastAsia="宋体" w:cs="Times New Roman"/>
          <w:b/>
          <w:color w:val="auto"/>
          <w:sz w:val="21"/>
          <w:szCs w:val="21"/>
          <w:highlight w:val="none"/>
        </w:rPr>
        <w:t>、技术培训：</w:t>
      </w:r>
    </w:p>
    <w:p w14:paraId="2A4383CD">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乙方向</w:t>
      </w:r>
      <w:r>
        <w:rPr>
          <w:rFonts w:hint="eastAsia" w:ascii="宋体" w:hAnsi="宋体" w:cs="Times New Roman"/>
          <w:b w:val="0"/>
          <w:color w:val="auto"/>
          <w:sz w:val="21"/>
          <w:szCs w:val="21"/>
          <w:highlight w:val="none"/>
          <w:lang w:eastAsia="zh-CN"/>
        </w:rPr>
        <w:t>服务对象</w:t>
      </w:r>
      <w:r>
        <w:rPr>
          <w:rFonts w:hint="eastAsia" w:ascii="宋体" w:hAnsi="宋体" w:eastAsia="宋体" w:cs="Times New Roman"/>
          <w:b w:val="0"/>
          <w:color w:val="auto"/>
          <w:sz w:val="21"/>
          <w:szCs w:val="21"/>
          <w:highlight w:val="none"/>
        </w:rPr>
        <w:t>提供设备使用人员现场免费培训，培训内容包括设备的使用、一般的维修、维护及保养等；食宿自理（各自负责）</w:t>
      </w:r>
      <w:r>
        <w:rPr>
          <w:rFonts w:hint="eastAsia" w:ascii="宋体" w:hAnsi="宋体" w:cs="Times New Roman"/>
          <w:b w:val="0"/>
          <w:color w:val="auto"/>
          <w:sz w:val="21"/>
          <w:szCs w:val="21"/>
          <w:highlight w:val="none"/>
          <w:lang w:eastAsia="zh-CN"/>
        </w:rPr>
        <w:t>；</w:t>
      </w:r>
      <w:r>
        <w:rPr>
          <w:rFonts w:hint="eastAsia" w:ascii="宋体" w:hAnsi="宋体" w:eastAsia="宋体" w:cs="Times New Roman"/>
          <w:b w:val="0"/>
          <w:color w:val="auto"/>
          <w:sz w:val="21"/>
          <w:szCs w:val="21"/>
          <w:highlight w:val="none"/>
        </w:rPr>
        <w:t>其他由甲乙双方协定。</w:t>
      </w:r>
    </w:p>
    <w:p w14:paraId="2E42C8C9">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宋体" w:hAnsi="宋体" w:eastAsia="宋体" w:cs="Times New Roman"/>
          <w:b/>
          <w:color w:val="auto"/>
          <w:sz w:val="21"/>
          <w:szCs w:val="21"/>
          <w:highlight w:val="none"/>
        </w:rPr>
      </w:pPr>
      <w:r>
        <w:rPr>
          <w:rFonts w:hint="eastAsia" w:ascii="宋体" w:hAnsi="宋体" w:cs="Times New Roman"/>
          <w:b/>
          <w:color w:val="auto"/>
          <w:sz w:val="21"/>
          <w:szCs w:val="21"/>
          <w:highlight w:val="none"/>
          <w:lang w:eastAsia="zh-CN"/>
        </w:rPr>
        <w:t>八、</w:t>
      </w:r>
      <w:r>
        <w:rPr>
          <w:rFonts w:hint="eastAsia" w:ascii="宋体" w:hAnsi="宋体" w:eastAsia="宋体" w:cs="Times New Roman"/>
          <w:b/>
          <w:color w:val="auto"/>
          <w:sz w:val="21"/>
          <w:szCs w:val="21"/>
          <w:highlight w:val="none"/>
        </w:rPr>
        <w:t>甲方在设备使用过程中发生技术质量问题，乙方应提供及时有效的技术支持。</w:t>
      </w:r>
    </w:p>
    <w:p w14:paraId="5F100EAD">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乙方须指定不少于</w:t>
      </w:r>
      <w:r>
        <w:rPr>
          <w:rFonts w:hint="eastAsia" w:ascii="宋体" w:hAnsi="宋体" w:eastAsia="宋体" w:cs="Times New Roman"/>
          <w:b w:val="0"/>
          <w:color w:val="auto"/>
          <w:sz w:val="21"/>
          <w:szCs w:val="21"/>
          <w:highlight w:val="none"/>
          <w:lang w:val="en-US" w:eastAsia="zh-CN"/>
        </w:rPr>
        <w:t>2</w:t>
      </w:r>
      <w:r>
        <w:rPr>
          <w:rFonts w:hint="eastAsia" w:ascii="宋体" w:hAnsi="宋体" w:eastAsia="宋体" w:cs="Times New Roman"/>
          <w:b w:val="0"/>
          <w:color w:val="auto"/>
          <w:sz w:val="21"/>
          <w:szCs w:val="21"/>
          <w:highlight w:val="none"/>
        </w:rPr>
        <w:t>名</w:t>
      </w:r>
      <w:r>
        <w:rPr>
          <w:rFonts w:hint="eastAsia" w:ascii="宋体" w:hAnsi="宋体" w:eastAsia="宋体" w:cs="Times New Roman"/>
          <w:b w:val="0"/>
          <w:color w:val="auto"/>
          <w:sz w:val="21"/>
          <w:szCs w:val="21"/>
          <w:highlight w:val="none"/>
          <w:lang w:eastAsia="zh-CN"/>
        </w:rPr>
        <w:t>及</w:t>
      </w:r>
      <w:r>
        <w:rPr>
          <w:rFonts w:hint="eastAsia" w:ascii="宋体" w:hAnsi="宋体" w:eastAsia="宋体" w:cs="Times New Roman"/>
          <w:b w:val="0"/>
          <w:color w:val="auto"/>
          <w:sz w:val="21"/>
          <w:szCs w:val="21"/>
          <w:highlight w:val="none"/>
        </w:rPr>
        <w:t>以上专业技术人员负责本项目技术服务。</w:t>
      </w:r>
    </w:p>
    <w:p w14:paraId="11DA1A0B">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lang w:val="en-US" w:eastAsia="zh-CN"/>
        </w:rPr>
        <w:t>1.</w:t>
      </w:r>
      <w:r>
        <w:rPr>
          <w:rFonts w:hint="eastAsia" w:ascii="宋体" w:hAnsi="宋体" w:eastAsia="宋体" w:cs="Times New Roman"/>
          <w:b w:val="0"/>
          <w:color w:val="auto"/>
          <w:sz w:val="21"/>
          <w:szCs w:val="21"/>
          <w:highlight w:val="none"/>
        </w:rPr>
        <w:t xml:space="preserve">联系人:          </w:t>
      </w:r>
      <w:r>
        <w:rPr>
          <w:rFonts w:hint="eastAsia" w:ascii="宋体" w:hAnsi="宋体" w:eastAsia="宋体" w:cs="Times New Roman"/>
          <w:b w:val="0"/>
          <w:color w:val="auto"/>
          <w:sz w:val="21"/>
          <w:szCs w:val="21"/>
          <w:highlight w:val="none"/>
          <w:lang w:eastAsia="zh-CN"/>
        </w:rPr>
        <w:t>；联系电话</w:t>
      </w:r>
      <w:r>
        <w:rPr>
          <w:rFonts w:hint="eastAsia" w:ascii="宋体" w:hAnsi="宋体" w:eastAsia="宋体" w:cs="Times New Roman"/>
          <w:b w:val="0"/>
          <w:color w:val="auto"/>
          <w:sz w:val="21"/>
          <w:szCs w:val="21"/>
          <w:highlight w:val="none"/>
          <w:lang w:val="en-US" w:eastAsia="zh-CN"/>
        </w:rPr>
        <w:t xml:space="preserve">        </w:t>
      </w:r>
      <w:r>
        <w:rPr>
          <w:rFonts w:hint="eastAsia" w:ascii="宋体" w:hAnsi="宋体" w:eastAsia="宋体" w:cs="Times New Roman"/>
          <w:b w:val="0"/>
          <w:color w:val="auto"/>
          <w:sz w:val="21"/>
          <w:szCs w:val="21"/>
          <w:highlight w:val="none"/>
        </w:rPr>
        <w:t xml:space="preserve">  。</w:t>
      </w:r>
    </w:p>
    <w:p w14:paraId="3F2DB968">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lang w:val="en-US" w:eastAsia="zh-CN"/>
        </w:rPr>
        <w:t>2.</w:t>
      </w:r>
      <w:r>
        <w:rPr>
          <w:rFonts w:hint="eastAsia" w:ascii="宋体" w:hAnsi="宋体" w:eastAsia="宋体" w:cs="Times New Roman"/>
          <w:b w:val="0"/>
          <w:color w:val="auto"/>
          <w:sz w:val="21"/>
          <w:szCs w:val="21"/>
          <w:highlight w:val="none"/>
        </w:rPr>
        <w:t xml:space="preserve">联系人:          </w:t>
      </w:r>
      <w:r>
        <w:rPr>
          <w:rFonts w:hint="eastAsia" w:ascii="宋体" w:hAnsi="宋体" w:eastAsia="宋体" w:cs="Times New Roman"/>
          <w:b w:val="0"/>
          <w:color w:val="auto"/>
          <w:sz w:val="21"/>
          <w:szCs w:val="21"/>
          <w:highlight w:val="none"/>
          <w:lang w:eastAsia="zh-CN"/>
        </w:rPr>
        <w:t>；联系电话</w:t>
      </w:r>
      <w:r>
        <w:rPr>
          <w:rFonts w:hint="eastAsia" w:ascii="宋体" w:hAnsi="宋体" w:eastAsia="宋体" w:cs="Times New Roman"/>
          <w:b w:val="0"/>
          <w:color w:val="auto"/>
          <w:sz w:val="21"/>
          <w:szCs w:val="21"/>
          <w:highlight w:val="none"/>
          <w:lang w:val="en-US" w:eastAsia="zh-CN"/>
        </w:rPr>
        <w:t xml:space="preserve">        </w:t>
      </w:r>
      <w:r>
        <w:rPr>
          <w:rFonts w:hint="eastAsia" w:ascii="宋体" w:hAnsi="宋体" w:eastAsia="宋体" w:cs="Times New Roman"/>
          <w:b w:val="0"/>
          <w:color w:val="auto"/>
          <w:sz w:val="21"/>
          <w:szCs w:val="21"/>
          <w:highlight w:val="none"/>
        </w:rPr>
        <w:t xml:space="preserve">  。</w:t>
      </w:r>
    </w:p>
    <w:p w14:paraId="77C64D9D">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lang w:val="en-US" w:eastAsia="zh-CN"/>
        </w:rPr>
        <w:t>3.</w:t>
      </w:r>
      <w:r>
        <w:rPr>
          <w:rFonts w:hint="eastAsia" w:ascii="宋体" w:hAnsi="宋体" w:eastAsia="宋体" w:cs="Times New Roman"/>
          <w:b w:val="0"/>
          <w:color w:val="auto"/>
          <w:sz w:val="21"/>
          <w:szCs w:val="21"/>
          <w:highlight w:val="none"/>
        </w:rPr>
        <w:t xml:space="preserve">联系人:          </w:t>
      </w:r>
      <w:r>
        <w:rPr>
          <w:rFonts w:hint="eastAsia" w:ascii="宋体" w:hAnsi="宋体" w:eastAsia="宋体" w:cs="Times New Roman"/>
          <w:b w:val="0"/>
          <w:color w:val="auto"/>
          <w:sz w:val="21"/>
          <w:szCs w:val="21"/>
          <w:highlight w:val="none"/>
          <w:lang w:eastAsia="zh-CN"/>
        </w:rPr>
        <w:t>；联系电话</w:t>
      </w:r>
      <w:r>
        <w:rPr>
          <w:rFonts w:hint="eastAsia" w:ascii="宋体" w:hAnsi="宋体" w:eastAsia="宋体" w:cs="Times New Roman"/>
          <w:b w:val="0"/>
          <w:color w:val="auto"/>
          <w:sz w:val="21"/>
          <w:szCs w:val="21"/>
          <w:highlight w:val="none"/>
          <w:lang w:val="en-US" w:eastAsia="zh-CN"/>
        </w:rPr>
        <w:t xml:space="preserve">        </w:t>
      </w:r>
      <w:r>
        <w:rPr>
          <w:rFonts w:hint="eastAsia" w:ascii="宋体" w:hAnsi="宋体" w:eastAsia="宋体" w:cs="Times New Roman"/>
          <w:b w:val="0"/>
          <w:color w:val="auto"/>
          <w:sz w:val="21"/>
          <w:szCs w:val="21"/>
          <w:highlight w:val="none"/>
        </w:rPr>
        <w:t xml:space="preserve">  。</w:t>
      </w:r>
    </w:p>
    <w:p w14:paraId="19F98578">
      <w:pPr>
        <w:keepNext w:val="0"/>
        <w:keepLines w:val="0"/>
        <w:pageBreakBefore w:val="0"/>
        <w:widowControl w:val="0"/>
        <w:kinsoku/>
        <w:wordWrap/>
        <w:overflowPunct/>
        <w:topLinePunct w:val="0"/>
        <w:autoSpaceDE/>
        <w:autoSpaceDN/>
        <w:bidi w:val="0"/>
        <w:adjustRightInd/>
        <w:snapToGrid/>
        <w:spacing w:line="480" w:lineRule="auto"/>
        <w:ind w:firstLine="422" w:firstLineChars="200"/>
        <w:textAlignment w:val="auto"/>
        <w:rPr>
          <w:rFonts w:ascii="宋体" w:hAnsi="宋体" w:eastAsia="宋体" w:cs="Times New Roman"/>
          <w:b w:val="0"/>
          <w:color w:val="auto"/>
          <w:sz w:val="21"/>
          <w:szCs w:val="21"/>
          <w:highlight w:val="none"/>
        </w:rPr>
      </w:pPr>
      <w:r>
        <w:rPr>
          <w:rFonts w:hint="eastAsia" w:ascii="宋体" w:hAnsi="宋体" w:cs="Times New Roman"/>
          <w:b/>
          <w:color w:val="auto"/>
          <w:sz w:val="21"/>
          <w:szCs w:val="21"/>
          <w:highlight w:val="none"/>
          <w:lang w:eastAsia="zh-CN"/>
        </w:rPr>
        <w:t>九、</w:t>
      </w:r>
      <w:r>
        <w:rPr>
          <w:rFonts w:hint="eastAsia" w:ascii="宋体" w:hAnsi="宋体" w:eastAsia="宋体" w:cs="Times New Roman"/>
          <w:b/>
          <w:color w:val="auto"/>
          <w:sz w:val="21"/>
          <w:szCs w:val="21"/>
          <w:highlight w:val="none"/>
        </w:rPr>
        <w:t>整体项目完成时间（即设备送达甲方指定地点并按规范安装调试完毕时间）为合同签订生效后</w:t>
      </w:r>
      <w:r>
        <w:rPr>
          <w:rFonts w:hint="eastAsia" w:ascii="宋体" w:hAnsi="宋体" w:cs="Times New Roman"/>
          <w:b/>
          <w:color w:val="auto"/>
          <w:sz w:val="21"/>
          <w:szCs w:val="21"/>
          <w:highlight w:val="none"/>
          <w:u w:val="single"/>
          <w:lang w:val="en-US" w:eastAsia="zh-CN"/>
        </w:rPr>
        <w:t>90</w:t>
      </w:r>
      <w:r>
        <w:rPr>
          <w:rFonts w:hint="eastAsia" w:ascii="宋体" w:hAnsi="宋体" w:eastAsia="宋体" w:cs="Times New Roman"/>
          <w:b/>
          <w:color w:val="auto"/>
          <w:sz w:val="21"/>
          <w:szCs w:val="21"/>
          <w:highlight w:val="none"/>
        </w:rPr>
        <w:t>日内。</w:t>
      </w:r>
    </w:p>
    <w:p w14:paraId="1E9B0925">
      <w:pPr>
        <w:keepNext w:val="0"/>
        <w:keepLines w:val="0"/>
        <w:pageBreakBefore w:val="0"/>
        <w:widowControl w:val="0"/>
        <w:kinsoku/>
        <w:wordWrap/>
        <w:overflowPunct/>
        <w:topLinePunct w:val="0"/>
        <w:autoSpaceDE/>
        <w:autoSpaceDN/>
        <w:bidi w:val="0"/>
        <w:adjustRightInd/>
        <w:snapToGrid/>
        <w:spacing w:line="480" w:lineRule="auto"/>
        <w:ind w:firstLine="510"/>
        <w:textAlignment w:val="auto"/>
        <w:rPr>
          <w:rFonts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设备交验地点和方式：合同签订后，乙方负责将完整配套的原封设备（含开机必要消耗品）送到甲方指定的地点（             ），由</w:t>
      </w:r>
      <w:r>
        <w:rPr>
          <w:rFonts w:hint="eastAsia" w:ascii="宋体" w:hAnsi="宋体" w:cs="Times New Roman"/>
          <w:b w:val="0"/>
          <w:color w:val="auto"/>
          <w:sz w:val="21"/>
          <w:szCs w:val="21"/>
          <w:highlight w:val="none"/>
          <w:lang w:eastAsia="zh-CN"/>
        </w:rPr>
        <w:t>乙方及服务对象</w:t>
      </w:r>
      <w:r>
        <w:rPr>
          <w:rFonts w:hint="eastAsia" w:ascii="宋体" w:hAnsi="宋体" w:eastAsia="宋体" w:cs="Times New Roman"/>
          <w:b w:val="0"/>
          <w:color w:val="auto"/>
          <w:sz w:val="21"/>
          <w:szCs w:val="21"/>
          <w:highlight w:val="none"/>
        </w:rPr>
        <w:t>共同开箱</w:t>
      </w:r>
      <w:r>
        <w:rPr>
          <w:rFonts w:hint="eastAsia" w:ascii="宋体" w:hAnsi="宋体" w:cs="Times New Roman"/>
          <w:b w:val="0"/>
          <w:color w:val="auto"/>
          <w:sz w:val="21"/>
          <w:szCs w:val="21"/>
          <w:highlight w:val="none"/>
          <w:lang w:eastAsia="zh-CN"/>
        </w:rPr>
        <w:t>验货</w:t>
      </w:r>
      <w:r>
        <w:rPr>
          <w:rFonts w:hint="eastAsia" w:ascii="宋体" w:hAnsi="宋体" w:eastAsia="宋体" w:cs="Times New Roman"/>
          <w:b w:val="0"/>
          <w:color w:val="auto"/>
          <w:sz w:val="21"/>
          <w:szCs w:val="21"/>
          <w:highlight w:val="none"/>
        </w:rPr>
        <w:t>，并由乙方按合同规范要求完成安装测试。交货时，乙方随货向</w:t>
      </w:r>
      <w:r>
        <w:rPr>
          <w:rFonts w:hint="eastAsia" w:ascii="宋体" w:hAnsi="宋体" w:cs="Times New Roman"/>
          <w:b w:val="0"/>
          <w:color w:val="auto"/>
          <w:sz w:val="21"/>
          <w:szCs w:val="21"/>
          <w:highlight w:val="none"/>
          <w:lang w:eastAsia="zh-CN"/>
        </w:rPr>
        <w:t>使用对象</w:t>
      </w:r>
      <w:r>
        <w:rPr>
          <w:rFonts w:hint="eastAsia" w:ascii="宋体" w:hAnsi="宋体" w:eastAsia="宋体" w:cs="Times New Roman"/>
          <w:b w:val="0"/>
          <w:color w:val="auto"/>
          <w:sz w:val="21"/>
          <w:szCs w:val="21"/>
          <w:highlight w:val="none"/>
        </w:rPr>
        <w:t>交付设备必需的合格证、保修卡，相关</w:t>
      </w:r>
      <w:r>
        <w:rPr>
          <w:rFonts w:hint="eastAsia" w:ascii="宋体" w:hAnsi="宋体" w:eastAsia="宋体" w:cs="Times New Roman"/>
          <w:b w:val="0"/>
          <w:color w:val="auto"/>
          <w:sz w:val="21"/>
          <w:szCs w:val="21"/>
          <w:highlight w:val="none"/>
          <w:lang w:eastAsia="zh-CN"/>
        </w:rPr>
        <w:t>资料（如操作手册、使用指南、维修手册、安装调试说明书、服务手册等）及配备的用件、工具等。如服务对象检验后发现产品数量、质量不符合要求，有权要求乙方承担补齐、修理、更换等责任，乙方应当在收到服务对象通知后三日内及时满足服务对象的合理要求，由此产生的费用及相关后果均由乙方自行承担。。</w:t>
      </w:r>
    </w:p>
    <w:p w14:paraId="1647B013">
      <w:pPr>
        <w:keepNext w:val="0"/>
        <w:keepLines w:val="0"/>
        <w:pageBreakBefore w:val="0"/>
        <w:widowControl w:val="0"/>
        <w:kinsoku/>
        <w:wordWrap/>
        <w:overflowPunct/>
        <w:topLinePunct w:val="0"/>
        <w:autoSpaceDE/>
        <w:autoSpaceDN/>
        <w:bidi w:val="0"/>
        <w:adjustRightInd/>
        <w:snapToGrid/>
        <w:spacing w:line="480" w:lineRule="auto"/>
        <w:ind w:firstLine="422" w:firstLineChars="200"/>
        <w:textAlignment w:val="auto"/>
        <w:rPr>
          <w:rFonts w:ascii="宋体" w:hAnsi="宋体" w:eastAsia="宋体" w:cs="Times New Roman"/>
          <w:b w:val="0"/>
          <w:color w:val="auto"/>
          <w:sz w:val="21"/>
          <w:szCs w:val="21"/>
          <w:highlight w:val="none"/>
        </w:rPr>
      </w:pPr>
      <w:r>
        <w:rPr>
          <w:rFonts w:hint="eastAsia" w:ascii="宋体" w:hAnsi="宋体" w:eastAsia="宋体" w:cs="Times New Roman"/>
          <w:b/>
          <w:color w:val="auto"/>
          <w:sz w:val="21"/>
          <w:szCs w:val="21"/>
          <w:highlight w:val="none"/>
        </w:rPr>
        <w:t>十、验收及验收标准</w:t>
      </w:r>
    </w:p>
    <w:p w14:paraId="1BF47534">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cs="Times New Roman"/>
          <w:b w:val="0"/>
          <w:color w:val="auto"/>
          <w:sz w:val="21"/>
          <w:szCs w:val="21"/>
          <w:highlight w:val="none"/>
          <w:lang w:val="en-US" w:eastAsia="zh-CN"/>
        </w:rPr>
        <w:t>1.</w:t>
      </w:r>
      <w:r>
        <w:rPr>
          <w:rFonts w:hint="eastAsia" w:ascii="宋体" w:hAnsi="宋体" w:eastAsia="宋体" w:cs="Times New Roman"/>
          <w:b w:val="0"/>
          <w:color w:val="auto"/>
          <w:sz w:val="21"/>
          <w:szCs w:val="21"/>
          <w:highlight w:val="none"/>
        </w:rPr>
        <w:t>乙方</w:t>
      </w:r>
      <w:r>
        <w:rPr>
          <w:rFonts w:hint="eastAsia" w:ascii="宋体" w:hAnsi="宋体" w:eastAsia="宋体" w:cs="Times New Roman"/>
          <w:b w:val="0"/>
          <w:color w:val="auto"/>
          <w:sz w:val="21"/>
          <w:szCs w:val="21"/>
          <w:highlight w:val="none"/>
          <w:lang w:eastAsia="zh-CN"/>
        </w:rPr>
        <w:t>免费</w:t>
      </w:r>
      <w:r>
        <w:rPr>
          <w:rFonts w:hint="eastAsia" w:ascii="宋体" w:hAnsi="宋体" w:eastAsia="宋体" w:cs="Times New Roman"/>
          <w:b w:val="0"/>
          <w:color w:val="auto"/>
          <w:sz w:val="21"/>
          <w:szCs w:val="21"/>
          <w:highlight w:val="none"/>
        </w:rPr>
        <w:t>提供设备安装调试验收等所需样品及试剂等标准材料，应于设备安装调试完成后向服务对象提出初验申请，服务对象自收到验收申请后10个工作日内按要求进行初步验收，初验合格后，签发初验意见。</w:t>
      </w:r>
    </w:p>
    <w:p w14:paraId="57838A3E">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lang w:val="en-US" w:eastAsia="zh-CN"/>
        </w:rPr>
        <w:t>2.</w:t>
      </w:r>
      <w:r>
        <w:rPr>
          <w:rFonts w:hint="eastAsia" w:ascii="宋体" w:hAnsi="宋体" w:eastAsia="宋体" w:cs="Times New Roman"/>
          <w:b w:val="0"/>
          <w:color w:val="auto"/>
          <w:sz w:val="21"/>
          <w:szCs w:val="21"/>
          <w:highlight w:val="none"/>
        </w:rPr>
        <w:t>初验合格后，服务对象正常使用设备不少于1月，并确认各项设备使用性能和功能均符合要求、相关技术资料（使用手册或说明书等）齐备；服务对象操作人员具备独立操作使用设备能力后，通知乙方向甲方提交终验申请。</w:t>
      </w:r>
    </w:p>
    <w:p w14:paraId="4DDC7CD7">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lang w:val="en-US" w:eastAsia="zh-CN"/>
        </w:rPr>
        <w:t>3.</w:t>
      </w:r>
      <w:r>
        <w:rPr>
          <w:rFonts w:hint="eastAsia" w:ascii="宋体" w:hAnsi="宋体" w:eastAsia="宋体" w:cs="Times New Roman"/>
          <w:b w:val="0"/>
          <w:color w:val="auto"/>
          <w:sz w:val="21"/>
          <w:szCs w:val="21"/>
          <w:highlight w:val="none"/>
        </w:rPr>
        <w:t>乙方收到所有服务对象的提交终验同意书后，向甲方申请组织验收。甲方收到终验申请后5个工作日内组织验收，合格后签发验收合格通知书。</w:t>
      </w:r>
    </w:p>
    <w:p w14:paraId="0E24DB1B">
      <w:pPr>
        <w:keepNext w:val="0"/>
        <w:keepLines w:val="0"/>
        <w:pageBreakBefore w:val="0"/>
        <w:widowControl w:val="0"/>
        <w:kinsoku/>
        <w:wordWrap/>
        <w:overflowPunct/>
        <w:topLinePunct w:val="0"/>
        <w:autoSpaceDE/>
        <w:autoSpaceDN/>
        <w:bidi w:val="0"/>
        <w:adjustRightInd/>
        <w:snapToGrid/>
        <w:spacing w:line="480" w:lineRule="auto"/>
        <w:ind w:firstLine="422" w:firstLineChars="200"/>
        <w:textAlignment w:val="auto"/>
        <w:rPr>
          <w:rFonts w:ascii="宋体" w:hAnsi="宋体" w:eastAsia="宋体" w:cs="Times New Roman"/>
          <w:b w:val="0"/>
          <w:color w:val="auto"/>
          <w:sz w:val="21"/>
          <w:szCs w:val="21"/>
          <w:highlight w:val="none"/>
        </w:rPr>
      </w:pPr>
      <w:r>
        <w:rPr>
          <w:rFonts w:hint="eastAsia" w:ascii="宋体" w:hAnsi="宋体" w:eastAsia="宋体" w:cs="Times New Roman"/>
          <w:b/>
          <w:color w:val="auto"/>
          <w:sz w:val="21"/>
          <w:szCs w:val="21"/>
          <w:highlight w:val="none"/>
        </w:rPr>
        <w:t>十</w:t>
      </w:r>
      <w:r>
        <w:rPr>
          <w:rFonts w:hint="eastAsia" w:ascii="宋体" w:hAnsi="宋体" w:cs="Times New Roman"/>
          <w:b/>
          <w:color w:val="auto"/>
          <w:sz w:val="21"/>
          <w:szCs w:val="21"/>
          <w:highlight w:val="none"/>
          <w:lang w:eastAsia="zh-CN"/>
        </w:rPr>
        <w:t>一</w:t>
      </w:r>
      <w:r>
        <w:rPr>
          <w:rFonts w:hint="eastAsia" w:ascii="宋体" w:hAnsi="宋体" w:eastAsia="宋体" w:cs="Times New Roman"/>
          <w:b/>
          <w:color w:val="auto"/>
          <w:sz w:val="21"/>
          <w:szCs w:val="21"/>
          <w:highlight w:val="none"/>
        </w:rPr>
        <w:t>、合同价款结算</w:t>
      </w:r>
    </w:p>
    <w:p w14:paraId="0765268F">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Times New Roman" w:hAnsi="宋体" w:eastAsia="宋体" w:cs="Times New Roman"/>
          <w:b w:val="0"/>
          <w:color w:val="auto"/>
          <w:sz w:val="21"/>
          <w:szCs w:val="21"/>
          <w:highlight w:val="none"/>
          <w:lang w:val="en-US" w:eastAsia="zh-CN"/>
        </w:rPr>
      </w:pPr>
      <w:r>
        <w:rPr>
          <w:rFonts w:hint="eastAsia" w:ascii="Times New Roman" w:hAnsi="宋体" w:eastAsia="宋体" w:cs="Times New Roman"/>
          <w:b w:val="0"/>
          <w:color w:val="auto"/>
          <w:sz w:val="21"/>
          <w:szCs w:val="21"/>
          <w:highlight w:val="none"/>
          <w:lang w:val="en-US" w:eastAsia="zh-CN"/>
        </w:rPr>
        <w:t>1.合同签订后</w:t>
      </w:r>
      <w:r>
        <w:rPr>
          <w:rFonts w:hint="eastAsia" w:hAnsi="宋体" w:eastAsia="宋体" w:cs="Times New Roman"/>
          <w:b w:val="0"/>
          <w:color w:val="auto"/>
          <w:sz w:val="21"/>
          <w:szCs w:val="21"/>
          <w:highlight w:val="none"/>
          <w:lang w:val="en-US" w:eastAsia="zh-CN"/>
        </w:rPr>
        <w:t>且财政资金下达后</w:t>
      </w:r>
      <w:r>
        <w:rPr>
          <w:rFonts w:hint="eastAsia" w:ascii="Times New Roman" w:hAnsi="宋体" w:eastAsia="宋体" w:cs="Times New Roman"/>
          <w:b w:val="0"/>
          <w:color w:val="auto"/>
          <w:sz w:val="21"/>
          <w:szCs w:val="21"/>
          <w:highlight w:val="none"/>
          <w:lang w:val="en-US" w:eastAsia="zh-CN"/>
        </w:rPr>
        <w:t>10个工作日内支付</w:t>
      </w:r>
      <w:r>
        <w:rPr>
          <w:rFonts w:hint="eastAsia" w:hAnsi="宋体" w:eastAsia="宋体" w:cs="Times New Roman"/>
          <w:b w:val="0"/>
          <w:color w:val="auto"/>
          <w:sz w:val="21"/>
          <w:szCs w:val="21"/>
          <w:highlight w:val="none"/>
          <w:lang w:val="en-US" w:eastAsia="zh-CN"/>
        </w:rPr>
        <w:t>4</w:t>
      </w:r>
      <w:r>
        <w:rPr>
          <w:rFonts w:hint="eastAsia" w:ascii="Times New Roman" w:hAnsi="宋体" w:eastAsia="宋体" w:cs="Times New Roman"/>
          <w:b w:val="0"/>
          <w:color w:val="auto"/>
          <w:sz w:val="21"/>
          <w:szCs w:val="21"/>
          <w:highlight w:val="none"/>
          <w:lang w:val="en-US" w:eastAsia="zh-CN"/>
        </w:rPr>
        <w:t>5%的价款；</w:t>
      </w:r>
    </w:p>
    <w:p w14:paraId="2DA75105">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Times New Roman" w:hAnsi="宋体" w:eastAsia="宋体" w:cs="Times New Roman"/>
          <w:b w:val="0"/>
          <w:color w:val="auto"/>
          <w:sz w:val="21"/>
          <w:szCs w:val="21"/>
          <w:highlight w:val="none"/>
          <w:lang w:val="en-US" w:eastAsia="zh-CN"/>
        </w:rPr>
      </w:pPr>
      <w:r>
        <w:rPr>
          <w:rFonts w:hint="eastAsia" w:ascii="Times New Roman" w:hAnsi="宋体" w:eastAsia="宋体" w:cs="Times New Roman"/>
          <w:b w:val="0"/>
          <w:color w:val="auto"/>
          <w:sz w:val="21"/>
          <w:szCs w:val="21"/>
          <w:highlight w:val="none"/>
          <w:lang w:val="en-US" w:eastAsia="zh-CN"/>
        </w:rPr>
        <w:t>2.全部货物</w:t>
      </w:r>
      <w:r>
        <w:rPr>
          <w:rFonts w:hint="eastAsia" w:hAnsi="宋体" w:eastAsia="宋体" w:cs="Times New Roman"/>
          <w:b w:val="0"/>
          <w:color w:val="auto"/>
          <w:sz w:val="21"/>
          <w:szCs w:val="21"/>
          <w:highlight w:val="none"/>
          <w:lang w:val="en-US" w:eastAsia="zh-CN"/>
        </w:rPr>
        <w:t>完成验货且财政资金下达后</w:t>
      </w:r>
      <w:r>
        <w:rPr>
          <w:rFonts w:hint="eastAsia" w:ascii="Times New Roman" w:hAnsi="宋体" w:eastAsia="宋体" w:cs="Times New Roman"/>
          <w:b w:val="0"/>
          <w:color w:val="auto"/>
          <w:sz w:val="21"/>
          <w:szCs w:val="21"/>
          <w:highlight w:val="none"/>
          <w:lang w:val="en-US" w:eastAsia="zh-CN"/>
        </w:rPr>
        <w:t>10个工作日内合支付50%；</w:t>
      </w:r>
    </w:p>
    <w:p w14:paraId="0D008123">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Times New Roman" w:hAnsi="宋体" w:eastAsia="宋体" w:cs="Times New Roman"/>
          <w:b w:val="0"/>
          <w:color w:val="auto"/>
          <w:sz w:val="21"/>
          <w:szCs w:val="21"/>
          <w:highlight w:val="none"/>
          <w:lang w:eastAsia="zh-CN"/>
        </w:rPr>
      </w:pPr>
      <w:r>
        <w:rPr>
          <w:rFonts w:hint="eastAsia" w:ascii="Times New Roman" w:hAnsi="宋体" w:eastAsia="宋体" w:cs="Times New Roman"/>
          <w:b w:val="0"/>
          <w:color w:val="auto"/>
          <w:sz w:val="21"/>
          <w:szCs w:val="21"/>
          <w:highlight w:val="none"/>
          <w:lang w:val="en-US" w:eastAsia="zh-CN"/>
        </w:rPr>
        <w:t>3.</w:t>
      </w:r>
      <w:r>
        <w:rPr>
          <w:rFonts w:hint="eastAsia" w:ascii="Times New Roman" w:hAnsi="宋体" w:eastAsia="宋体" w:cs="Times New Roman"/>
          <w:b w:val="0"/>
          <w:color w:val="auto"/>
          <w:sz w:val="21"/>
          <w:szCs w:val="21"/>
          <w:highlight w:val="none"/>
        </w:rPr>
        <w:t>安装、调试完成，并提供设备现场培训，经验收合格</w:t>
      </w:r>
      <w:r>
        <w:rPr>
          <w:rFonts w:hint="eastAsia" w:hAnsi="宋体" w:eastAsia="宋体" w:cs="Times New Roman"/>
          <w:b w:val="0"/>
          <w:color w:val="auto"/>
          <w:sz w:val="21"/>
          <w:szCs w:val="21"/>
          <w:highlight w:val="none"/>
          <w:lang w:val="en-US" w:eastAsia="zh-CN"/>
        </w:rPr>
        <w:t>且财政资金下达</w:t>
      </w:r>
      <w:r>
        <w:rPr>
          <w:rFonts w:hint="eastAsia" w:ascii="Times New Roman" w:hAnsi="宋体" w:eastAsia="宋体" w:cs="Times New Roman"/>
          <w:b w:val="0"/>
          <w:color w:val="auto"/>
          <w:sz w:val="21"/>
          <w:szCs w:val="21"/>
          <w:highlight w:val="none"/>
        </w:rPr>
        <w:t>后</w:t>
      </w:r>
      <w:r>
        <w:rPr>
          <w:rFonts w:hint="eastAsia" w:ascii="Times New Roman" w:hAnsi="宋体" w:eastAsia="宋体" w:cs="Times New Roman"/>
          <w:b w:val="0"/>
          <w:color w:val="auto"/>
          <w:sz w:val="21"/>
          <w:szCs w:val="21"/>
          <w:highlight w:val="none"/>
          <w:lang w:val="en-US" w:eastAsia="zh-CN"/>
        </w:rPr>
        <w:t>10个工作日内</w:t>
      </w:r>
      <w:r>
        <w:rPr>
          <w:rFonts w:hint="eastAsia" w:ascii="Times New Roman" w:hAnsi="宋体" w:eastAsia="宋体" w:cs="Times New Roman"/>
          <w:b w:val="0"/>
          <w:color w:val="auto"/>
          <w:sz w:val="21"/>
          <w:szCs w:val="21"/>
          <w:highlight w:val="none"/>
        </w:rPr>
        <w:t>支付</w:t>
      </w:r>
      <w:r>
        <w:rPr>
          <w:rFonts w:hint="eastAsia" w:ascii="Times New Roman" w:hAnsi="宋体" w:eastAsia="宋体" w:cs="Times New Roman"/>
          <w:b w:val="0"/>
          <w:color w:val="auto"/>
          <w:sz w:val="21"/>
          <w:szCs w:val="21"/>
          <w:highlight w:val="none"/>
          <w:lang w:val="en-US" w:eastAsia="zh-CN"/>
        </w:rPr>
        <w:t>5</w:t>
      </w:r>
      <w:r>
        <w:rPr>
          <w:rFonts w:hint="eastAsia" w:ascii="Times New Roman" w:hAnsi="宋体" w:eastAsia="宋体" w:cs="Times New Roman"/>
          <w:b w:val="0"/>
          <w:color w:val="auto"/>
          <w:sz w:val="21"/>
          <w:szCs w:val="21"/>
          <w:highlight w:val="none"/>
        </w:rPr>
        <w:t>%的价款</w:t>
      </w:r>
      <w:r>
        <w:rPr>
          <w:rFonts w:hint="eastAsia" w:ascii="Times New Roman" w:hAnsi="宋体" w:eastAsia="宋体" w:cs="Times New Roman"/>
          <w:b w:val="0"/>
          <w:color w:val="auto"/>
          <w:sz w:val="21"/>
          <w:szCs w:val="21"/>
          <w:highlight w:val="none"/>
          <w:lang w:eastAsia="zh-CN"/>
        </w:rPr>
        <w:t>，</w:t>
      </w:r>
      <w:r>
        <w:rPr>
          <w:rFonts w:hint="eastAsia" w:ascii="Times New Roman" w:hAnsi="宋体" w:eastAsia="宋体" w:cs="Times New Roman"/>
          <w:b w:val="0"/>
          <w:color w:val="auto"/>
          <w:sz w:val="21"/>
          <w:szCs w:val="21"/>
          <w:highlight w:val="none"/>
          <w:lang w:val="en-US" w:eastAsia="zh-CN"/>
        </w:rPr>
        <w:t>最终付款方式以双方签订合同时的约定为准</w:t>
      </w:r>
      <w:r>
        <w:rPr>
          <w:rFonts w:hint="eastAsia" w:ascii="Times New Roman" w:hAnsi="宋体" w:eastAsia="宋体" w:cs="Times New Roman"/>
          <w:b w:val="0"/>
          <w:color w:val="auto"/>
          <w:sz w:val="21"/>
          <w:szCs w:val="21"/>
          <w:highlight w:val="none"/>
          <w:lang w:eastAsia="zh-CN"/>
        </w:rPr>
        <w:t>。</w:t>
      </w:r>
    </w:p>
    <w:p w14:paraId="1C78523C">
      <w:pPr>
        <w:keepNext w:val="0"/>
        <w:keepLines w:val="0"/>
        <w:pageBreakBefore w:val="0"/>
        <w:widowControl w:val="0"/>
        <w:kinsoku/>
        <w:wordWrap/>
        <w:overflowPunct/>
        <w:topLinePunct w:val="0"/>
        <w:autoSpaceDE/>
        <w:autoSpaceDN/>
        <w:bidi w:val="0"/>
        <w:adjustRightInd/>
        <w:snapToGrid/>
        <w:spacing w:line="480" w:lineRule="auto"/>
        <w:ind w:firstLine="422" w:firstLineChars="200"/>
        <w:textAlignment w:val="auto"/>
        <w:rPr>
          <w:rFonts w:ascii="宋体" w:hAnsi="宋体" w:eastAsia="宋体" w:cs="Times New Roman"/>
          <w:b w:val="0"/>
          <w:color w:val="auto"/>
          <w:sz w:val="21"/>
          <w:szCs w:val="21"/>
          <w:highlight w:val="none"/>
        </w:rPr>
      </w:pPr>
      <w:r>
        <w:rPr>
          <w:rFonts w:hint="eastAsia" w:ascii="宋体" w:hAnsi="宋体" w:eastAsia="宋体" w:cs="Times New Roman"/>
          <w:b/>
          <w:color w:val="auto"/>
          <w:sz w:val="21"/>
          <w:szCs w:val="21"/>
          <w:highlight w:val="none"/>
        </w:rPr>
        <w:t>十</w:t>
      </w:r>
      <w:r>
        <w:rPr>
          <w:rFonts w:hint="eastAsia" w:ascii="宋体" w:hAnsi="宋体" w:cs="Times New Roman"/>
          <w:b/>
          <w:color w:val="auto"/>
          <w:sz w:val="21"/>
          <w:szCs w:val="21"/>
          <w:highlight w:val="none"/>
          <w:lang w:eastAsia="zh-CN"/>
        </w:rPr>
        <w:t>二</w:t>
      </w:r>
      <w:r>
        <w:rPr>
          <w:rFonts w:hint="eastAsia" w:ascii="宋体" w:hAnsi="宋体" w:eastAsia="宋体" w:cs="Times New Roman"/>
          <w:b/>
          <w:color w:val="auto"/>
          <w:sz w:val="21"/>
          <w:szCs w:val="21"/>
          <w:highlight w:val="none"/>
        </w:rPr>
        <w:t>、违约责任：</w:t>
      </w:r>
    </w:p>
    <w:p w14:paraId="6EEA3FF4">
      <w:pPr>
        <w:keepNext w:val="0"/>
        <w:keepLines w:val="0"/>
        <w:pageBreakBefore w:val="0"/>
        <w:widowControl w:val="0"/>
        <w:tabs>
          <w:tab w:val="left" w:pos="6930"/>
        </w:tabs>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除发生不可抗力事实外，乙方所交设备和安装调试</w:t>
      </w:r>
      <w:r>
        <w:rPr>
          <w:rFonts w:hint="eastAsia" w:ascii="宋体" w:hAnsi="宋体" w:cs="Times New Roman"/>
          <w:b w:val="0"/>
          <w:color w:val="auto"/>
          <w:sz w:val="21"/>
          <w:szCs w:val="21"/>
          <w:highlight w:val="none"/>
          <w:lang w:eastAsia="zh-CN"/>
        </w:rPr>
        <w:t>检定</w:t>
      </w:r>
      <w:r>
        <w:rPr>
          <w:rFonts w:hint="eastAsia" w:ascii="宋体" w:hAnsi="宋体" w:eastAsia="宋体" w:cs="Times New Roman"/>
          <w:b w:val="0"/>
          <w:color w:val="auto"/>
          <w:sz w:val="21"/>
          <w:szCs w:val="21"/>
          <w:highlight w:val="none"/>
        </w:rPr>
        <w:t>与合同标准不相符合的，甲方</w:t>
      </w:r>
      <w:r>
        <w:rPr>
          <w:rFonts w:hint="eastAsia" w:ascii="宋体" w:hAnsi="宋体" w:cs="Times New Roman"/>
          <w:b w:val="0"/>
          <w:color w:val="auto"/>
          <w:sz w:val="21"/>
          <w:szCs w:val="21"/>
          <w:highlight w:val="none"/>
          <w:lang w:eastAsia="zh-CN"/>
        </w:rPr>
        <w:t>及服务对象</w:t>
      </w:r>
      <w:r>
        <w:rPr>
          <w:rFonts w:hint="eastAsia" w:ascii="宋体" w:hAnsi="宋体" w:eastAsia="宋体" w:cs="Times New Roman"/>
          <w:b w:val="0"/>
          <w:color w:val="auto"/>
          <w:sz w:val="21"/>
          <w:szCs w:val="21"/>
          <w:highlight w:val="none"/>
        </w:rPr>
        <w:t>有权拒收设备</w:t>
      </w:r>
      <w:r>
        <w:rPr>
          <w:rFonts w:hint="eastAsia" w:ascii="宋体" w:hAnsi="宋体" w:eastAsia="宋体" w:cs="Times New Roman"/>
          <w:b w:val="0"/>
          <w:color w:val="auto"/>
          <w:sz w:val="21"/>
          <w:szCs w:val="21"/>
          <w:highlight w:val="none"/>
          <w:lang w:eastAsia="zh-CN"/>
        </w:rPr>
        <w:t>；</w:t>
      </w:r>
      <w:r>
        <w:rPr>
          <w:rFonts w:hint="eastAsia" w:ascii="宋体" w:hAnsi="宋体" w:eastAsia="宋体" w:cs="Times New Roman"/>
          <w:b w:val="0"/>
          <w:color w:val="auto"/>
          <w:sz w:val="21"/>
          <w:szCs w:val="21"/>
          <w:highlight w:val="none"/>
        </w:rPr>
        <w:t>乙方逾期交货将向甲方每日偿付</w:t>
      </w:r>
      <w:r>
        <w:rPr>
          <w:rFonts w:hint="eastAsia" w:ascii="宋体" w:hAnsi="宋体" w:eastAsia="宋体" w:cs="Times New Roman"/>
          <w:b w:val="0"/>
          <w:color w:val="auto"/>
          <w:sz w:val="21"/>
          <w:szCs w:val="21"/>
          <w:highlight w:val="none"/>
          <w:lang w:val="en-US" w:eastAsia="zh-CN"/>
        </w:rPr>
        <w:t>未到货物总额的</w:t>
      </w:r>
      <w:r>
        <w:rPr>
          <w:rFonts w:hint="eastAsia" w:ascii="宋体" w:hAnsi="宋体" w:eastAsia="宋体" w:cs="Times New Roman"/>
          <w:b w:val="0"/>
          <w:color w:val="auto"/>
          <w:sz w:val="21"/>
          <w:szCs w:val="21"/>
          <w:highlight w:val="none"/>
        </w:rPr>
        <w:t>千分之一的滞纳金；偿付滞纳金30天后，乙方仍不能按期交付设备和完成安装调试</w:t>
      </w:r>
      <w:r>
        <w:rPr>
          <w:rFonts w:hint="eastAsia" w:ascii="宋体" w:hAnsi="宋体" w:cs="Times New Roman"/>
          <w:b w:val="0"/>
          <w:color w:val="auto"/>
          <w:sz w:val="21"/>
          <w:szCs w:val="21"/>
          <w:highlight w:val="none"/>
          <w:lang w:eastAsia="zh-CN"/>
        </w:rPr>
        <w:t>检定</w:t>
      </w:r>
      <w:r>
        <w:rPr>
          <w:rFonts w:hint="eastAsia" w:ascii="宋体" w:hAnsi="宋体" w:eastAsia="宋体" w:cs="Times New Roman"/>
          <w:b w:val="0"/>
          <w:color w:val="auto"/>
          <w:sz w:val="21"/>
          <w:szCs w:val="21"/>
          <w:highlight w:val="none"/>
        </w:rPr>
        <w:t>或所交设备和安装调试</w:t>
      </w:r>
      <w:r>
        <w:rPr>
          <w:rFonts w:hint="eastAsia" w:ascii="宋体" w:hAnsi="宋体" w:cs="Times New Roman"/>
          <w:b w:val="0"/>
          <w:color w:val="auto"/>
          <w:sz w:val="21"/>
          <w:szCs w:val="21"/>
          <w:highlight w:val="none"/>
          <w:lang w:eastAsia="zh-CN"/>
        </w:rPr>
        <w:t>检定</w:t>
      </w:r>
      <w:r>
        <w:rPr>
          <w:rFonts w:hint="eastAsia" w:ascii="宋体" w:hAnsi="宋体" w:eastAsia="宋体" w:cs="Times New Roman"/>
          <w:b w:val="0"/>
          <w:color w:val="auto"/>
          <w:sz w:val="21"/>
          <w:szCs w:val="21"/>
          <w:highlight w:val="none"/>
        </w:rPr>
        <w:t>与合同标准不符的，乙方须退还甲方</w:t>
      </w:r>
      <w:r>
        <w:rPr>
          <w:rFonts w:hint="eastAsia" w:ascii="宋体" w:hAnsi="宋体" w:eastAsia="宋体" w:cs="Times New Roman"/>
          <w:b w:val="0"/>
          <w:color w:val="auto"/>
          <w:sz w:val="21"/>
          <w:szCs w:val="21"/>
          <w:highlight w:val="none"/>
          <w:lang w:val="en-US" w:eastAsia="zh-CN"/>
        </w:rPr>
        <w:t>对应货物</w:t>
      </w:r>
      <w:r>
        <w:rPr>
          <w:rFonts w:hint="eastAsia" w:ascii="宋体" w:hAnsi="宋体" w:eastAsia="宋体" w:cs="Times New Roman"/>
          <w:b w:val="0"/>
          <w:color w:val="auto"/>
          <w:sz w:val="21"/>
          <w:szCs w:val="21"/>
          <w:highlight w:val="none"/>
        </w:rPr>
        <w:t>50%的预付款；乙方使甲方</w:t>
      </w:r>
      <w:r>
        <w:rPr>
          <w:rFonts w:hint="eastAsia" w:ascii="宋体" w:hAnsi="宋体" w:cs="Times New Roman"/>
          <w:b w:val="0"/>
          <w:color w:val="auto"/>
          <w:sz w:val="21"/>
          <w:szCs w:val="21"/>
          <w:highlight w:val="none"/>
          <w:lang w:eastAsia="zh-CN"/>
        </w:rPr>
        <w:t>及服务对象</w:t>
      </w:r>
      <w:r>
        <w:rPr>
          <w:rFonts w:hint="eastAsia" w:ascii="宋体" w:hAnsi="宋体" w:eastAsia="宋体" w:cs="Times New Roman"/>
          <w:b w:val="0"/>
          <w:color w:val="auto"/>
          <w:sz w:val="21"/>
          <w:szCs w:val="21"/>
          <w:highlight w:val="none"/>
        </w:rPr>
        <w:t>造成经济损失的应依法赔偿。</w:t>
      </w:r>
    </w:p>
    <w:p w14:paraId="29CFEB13">
      <w:pPr>
        <w:keepNext w:val="0"/>
        <w:keepLines w:val="0"/>
        <w:pageBreakBefore w:val="0"/>
        <w:widowControl w:val="0"/>
        <w:tabs>
          <w:tab w:val="left" w:pos="6930"/>
        </w:tabs>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lang w:eastAsia="zh-CN"/>
        </w:rPr>
      </w:pPr>
      <w:r>
        <w:rPr>
          <w:rFonts w:hint="eastAsia" w:ascii="宋体" w:hAnsi="宋体" w:eastAsia="宋体" w:cs="Times New Roman"/>
          <w:b w:val="0"/>
          <w:color w:val="auto"/>
          <w:sz w:val="21"/>
          <w:szCs w:val="21"/>
          <w:highlight w:val="none"/>
        </w:rPr>
        <w:t>甲方无正当理由拒收设备，甲方向乙方偿付</w:t>
      </w:r>
      <w:r>
        <w:rPr>
          <w:rFonts w:hint="eastAsia" w:ascii="宋体" w:hAnsi="宋体" w:eastAsia="宋体" w:cs="Times New Roman"/>
          <w:b w:val="0"/>
          <w:color w:val="auto"/>
          <w:sz w:val="21"/>
          <w:szCs w:val="21"/>
          <w:highlight w:val="none"/>
          <w:lang w:val="en-US" w:eastAsia="zh-CN"/>
        </w:rPr>
        <w:t>未收货物总价50%</w:t>
      </w:r>
      <w:r>
        <w:rPr>
          <w:rFonts w:hint="eastAsia" w:ascii="宋体" w:hAnsi="宋体" w:eastAsia="宋体" w:cs="Times New Roman"/>
          <w:b w:val="0"/>
          <w:color w:val="auto"/>
          <w:sz w:val="21"/>
          <w:szCs w:val="21"/>
          <w:highlight w:val="none"/>
        </w:rPr>
        <w:t>的违约金；逾期支付合同款将向乙方每日偿付欠款总额千分之一的滞纳金</w:t>
      </w:r>
      <w:r>
        <w:rPr>
          <w:rFonts w:hint="eastAsia" w:ascii="宋体" w:hAnsi="宋体" w:eastAsia="宋体" w:cs="Times New Roman"/>
          <w:b w:val="0"/>
          <w:color w:val="auto"/>
          <w:sz w:val="21"/>
          <w:szCs w:val="21"/>
          <w:highlight w:val="none"/>
          <w:lang w:eastAsia="zh-CN"/>
        </w:rPr>
        <w:t>。</w:t>
      </w:r>
    </w:p>
    <w:p w14:paraId="0931C96A">
      <w:pPr>
        <w:keepNext w:val="0"/>
        <w:keepLines w:val="0"/>
        <w:pageBreakBefore w:val="0"/>
        <w:widowControl w:val="0"/>
        <w:tabs>
          <w:tab w:val="left" w:pos="6930"/>
        </w:tabs>
        <w:kinsoku/>
        <w:wordWrap/>
        <w:overflowPunct/>
        <w:topLinePunct w:val="0"/>
        <w:autoSpaceDE/>
        <w:autoSpaceDN/>
        <w:bidi w:val="0"/>
        <w:adjustRightInd/>
        <w:snapToGrid/>
        <w:spacing w:line="480" w:lineRule="auto"/>
        <w:ind w:firstLine="420" w:firstLineChars="200"/>
        <w:textAlignment w:val="auto"/>
        <w:rPr>
          <w:rFonts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甲方有权拒付合同价以外的任何费用；乙方有权拒绝合同整体范围以外的条件。</w:t>
      </w:r>
    </w:p>
    <w:p w14:paraId="58CBF0BF">
      <w:pPr>
        <w:keepNext w:val="0"/>
        <w:keepLines w:val="0"/>
        <w:pageBreakBefore w:val="0"/>
        <w:widowControl w:val="0"/>
        <w:tabs>
          <w:tab w:val="left" w:pos="6930"/>
        </w:tabs>
        <w:kinsoku/>
        <w:wordWrap/>
        <w:overflowPunct/>
        <w:topLinePunct w:val="0"/>
        <w:autoSpaceDE/>
        <w:autoSpaceDN/>
        <w:bidi w:val="0"/>
        <w:adjustRightInd/>
        <w:snapToGrid/>
        <w:spacing w:line="480" w:lineRule="auto"/>
        <w:ind w:firstLine="422" w:firstLineChars="200"/>
        <w:textAlignment w:val="auto"/>
        <w:rPr>
          <w:rFonts w:ascii="宋体" w:hAnsi="宋体" w:eastAsia="宋体" w:cs="Times New Roman"/>
          <w:b w:val="0"/>
          <w:color w:val="auto"/>
          <w:sz w:val="21"/>
          <w:szCs w:val="21"/>
          <w:highlight w:val="none"/>
        </w:rPr>
      </w:pPr>
      <w:r>
        <w:rPr>
          <w:rFonts w:hint="eastAsia" w:ascii="宋体" w:hAnsi="宋体" w:eastAsia="宋体" w:cs="Times New Roman"/>
          <w:b/>
          <w:color w:val="auto"/>
          <w:sz w:val="21"/>
          <w:szCs w:val="21"/>
          <w:highlight w:val="none"/>
        </w:rPr>
        <w:t>十</w:t>
      </w:r>
      <w:r>
        <w:rPr>
          <w:rFonts w:hint="eastAsia" w:ascii="宋体" w:hAnsi="宋体" w:eastAsia="宋体" w:cs="Times New Roman"/>
          <w:b/>
          <w:color w:val="auto"/>
          <w:sz w:val="21"/>
          <w:szCs w:val="21"/>
          <w:highlight w:val="none"/>
          <w:lang w:eastAsia="zh-CN"/>
        </w:rPr>
        <w:t>三</w:t>
      </w:r>
      <w:r>
        <w:rPr>
          <w:rFonts w:hint="eastAsia" w:ascii="宋体" w:hAnsi="宋体" w:eastAsia="宋体" w:cs="Times New Roman"/>
          <w:b/>
          <w:color w:val="auto"/>
          <w:sz w:val="21"/>
          <w:szCs w:val="21"/>
          <w:highlight w:val="none"/>
        </w:rPr>
        <w:t>、</w:t>
      </w:r>
      <w:r>
        <w:rPr>
          <w:rFonts w:hint="eastAsia" w:ascii="宋体" w:hAnsi="宋体" w:eastAsia="宋体" w:cs="Times New Roman"/>
          <w:b w:val="0"/>
          <w:color w:val="auto"/>
          <w:sz w:val="21"/>
          <w:szCs w:val="21"/>
          <w:highlight w:val="none"/>
        </w:rPr>
        <w:t>甲乙双方在履行合同过程中发生纠纷，应及时向有关管理部门反映，以便相关部门进行协调或处理；也可以直接向合同签订地仲裁部门申请仲裁。对仲裁结果发生争议产生的诉讼，由合同签订地人民法院管辖。</w:t>
      </w:r>
    </w:p>
    <w:p w14:paraId="1FCCFB9C">
      <w:pPr>
        <w:keepNext w:val="0"/>
        <w:keepLines w:val="0"/>
        <w:pageBreakBefore w:val="0"/>
        <w:widowControl w:val="0"/>
        <w:tabs>
          <w:tab w:val="left" w:pos="6930"/>
        </w:tabs>
        <w:kinsoku/>
        <w:wordWrap/>
        <w:overflowPunct/>
        <w:topLinePunct w:val="0"/>
        <w:autoSpaceDE/>
        <w:autoSpaceDN/>
        <w:bidi w:val="0"/>
        <w:adjustRightInd/>
        <w:snapToGrid/>
        <w:spacing w:line="480" w:lineRule="auto"/>
        <w:ind w:firstLine="422" w:firstLineChars="200"/>
        <w:textAlignment w:val="auto"/>
        <w:rPr>
          <w:rFonts w:ascii="宋体" w:hAnsi="宋体" w:eastAsia="宋体" w:cs="Times New Roman"/>
          <w:b w:val="0"/>
          <w:color w:val="auto"/>
          <w:sz w:val="21"/>
          <w:szCs w:val="21"/>
          <w:highlight w:val="none"/>
        </w:rPr>
      </w:pPr>
      <w:r>
        <w:rPr>
          <w:rFonts w:hint="eastAsia" w:ascii="宋体" w:hAnsi="宋体" w:eastAsia="宋体" w:cs="Times New Roman"/>
          <w:b/>
          <w:color w:val="auto"/>
          <w:sz w:val="21"/>
          <w:szCs w:val="21"/>
          <w:highlight w:val="none"/>
        </w:rPr>
        <w:t>十</w:t>
      </w:r>
      <w:r>
        <w:rPr>
          <w:rFonts w:hint="eastAsia" w:ascii="宋体" w:hAnsi="宋体" w:eastAsia="宋体" w:cs="Times New Roman"/>
          <w:b/>
          <w:color w:val="auto"/>
          <w:sz w:val="21"/>
          <w:szCs w:val="21"/>
          <w:highlight w:val="none"/>
          <w:lang w:eastAsia="zh-CN"/>
        </w:rPr>
        <w:t>四</w:t>
      </w:r>
      <w:r>
        <w:rPr>
          <w:rFonts w:hint="eastAsia" w:ascii="宋体" w:hAnsi="宋体" w:eastAsia="宋体" w:cs="Times New Roman"/>
          <w:b/>
          <w:color w:val="auto"/>
          <w:sz w:val="21"/>
          <w:szCs w:val="21"/>
          <w:highlight w:val="none"/>
        </w:rPr>
        <w:t>、</w:t>
      </w:r>
      <w:r>
        <w:rPr>
          <w:rFonts w:hint="eastAsia" w:ascii="宋体" w:hAnsi="宋体" w:eastAsia="宋体" w:cs="Times New Roman"/>
          <w:b w:val="0"/>
          <w:color w:val="auto"/>
          <w:sz w:val="21"/>
          <w:szCs w:val="21"/>
          <w:highlight w:val="none"/>
        </w:rPr>
        <w:t>本合同其他未尽事宜，按国家《中华人民共和国民法典》合同编有关规定处理。</w:t>
      </w:r>
    </w:p>
    <w:p w14:paraId="1CA9E72E">
      <w:pPr>
        <w:keepNext w:val="0"/>
        <w:keepLines w:val="0"/>
        <w:pageBreakBefore w:val="0"/>
        <w:widowControl w:val="0"/>
        <w:tabs>
          <w:tab w:val="left" w:pos="6930"/>
        </w:tabs>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color w:val="auto"/>
          <w:sz w:val="21"/>
          <w:szCs w:val="21"/>
          <w:highlight w:val="none"/>
        </w:rPr>
        <w:t>十</w:t>
      </w:r>
      <w:r>
        <w:rPr>
          <w:rFonts w:hint="eastAsia" w:ascii="宋体" w:hAnsi="宋体" w:eastAsia="宋体" w:cs="Times New Roman"/>
          <w:b/>
          <w:color w:val="auto"/>
          <w:sz w:val="21"/>
          <w:szCs w:val="21"/>
          <w:highlight w:val="none"/>
          <w:lang w:eastAsia="zh-CN"/>
        </w:rPr>
        <w:t>五</w:t>
      </w:r>
      <w:r>
        <w:rPr>
          <w:rFonts w:hint="eastAsia" w:ascii="宋体" w:hAnsi="宋体" w:eastAsia="宋体" w:cs="Times New Roman"/>
          <w:b/>
          <w:color w:val="auto"/>
          <w:sz w:val="21"/>
          <w:szCs w:val="21"/>
          <w:highlight w:val="none"/>
        </w:rPr>
        <w:t>、</w:t>
      </w:r>
      <w:r>
        <w:rPr>
          <w:rFonts w:hint="eastAsia" w:ascii="宋体" w:hAnsi="宋体" w:eastAsia="宋体" w:cs="Times New Roman"/>
          <w:b w:val="0"/>
          <w:color w:val="auto"/>
          <w:sz w:val="21"/>
          <w:szCs w:val="21"/>
          <w:highlight w:val="none"/>
        </w:rPr>
        <w:t>本合同一式伍份，甲方肆份，乙方壹份。</w:t>
      </w:r>
    </w:p>
    <w:p w14:paraId="4AA30D58">
      <w:pPr>
        <w:keepNext w:val="0"/>
        <w:keepLines w:val="0"/>
        <w:pageBreakBefore w:val="0"/>
        <w:widowControl w:val="0"/>
        <w:tabs>
          <w:tab w:val="left" w:pos="6930"/>
        </w:tabs>
        <w:kinsoku/>
        <w:wordWrap/>
        <w:overflowPunct/>
        <w:topLinePunct w:val="0"/>
        <w:autoSpaceDE/>
        <w:autoSpaceDN/>
        <w:bidi w:val="0"/>
        <w:adjustRightInd/>
        <w:snapToGrid/>
        <w:spacing w:line="480" w:lineRule="auto"/>
        <w:ind w:firstLine="422"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color w:val="auto"/>
          <w:sz w:val="21"/>
          <w:szCs w:val="21"/>
          <w:highlight w:val="none"/>
        </w:rPr>
        <w:t>十</w:t>
      </w:r>
      <w:r>
        <w:rPr>
          <w:rFonts w:hint="eastAsia" w:ascii="宋体" w:hAnsi="宋体" w:eastAsia="宋体" w:cs="Times New Roman"/>
          <w:b/>
          <w:color w:val="auto"/>
          <w:sz w:val="21"/>
          <w:szCs w:val="21"/>
          <w:highlight w:val="none"/>
          <w:lang w:eastAsia="zh-CN"/>
        </w:rPr>
        <w:t>六</w:t>
      </w:r>
      <w:r>
        <w:rPr>
          <w:rFonts w:hint="eastAsia" w:ascii="宋体" w:hAnsi="宋体" w:eastAsia="宋体" w:cs="Times New Roman"/>
          <w:b/>
          <w:color w:val="auto"/>
          <w:sz w:val="21"/>
          <w:szCs w:val="21"/>
          <w:highlight w:val="none"/>
        </w:rPr>
        <w:t>、</w:t>
      </w:r>
      <w:r>
        <w:rPr>
          <w:rFonts w:hint="eastAsia" w:ascii="宋体" w:hAnsi="宋体" w:eastAsia="宋体" w:cs="Times New Roman"/>
          <w:b w:val="0"/>
          <w:color w:val="auto"/>
          <w:sz w:val="21"/>
          <w:szCs w:val="21"/>
          <w:highlight w:val="none"/>
        </w:rPr>
        <w:t>本合同自</w:t>
      </w:r>
      <w:r>
        <w:rPr>
          <w:rFonts w:hint="eastAsia" w:ascii="宋体" w:hAnsi="宋体" w:eastAsia="宋体" w:cs="Times New Roman"/>
          <w:b w:val="0"/>
          <w:color w:val="auto"/>
          <w:sz w:val="21"/>
          <w:szCs w:val="21"/>
          <w:highlight w:val="none"/>
          <w:lang w:val="en-US" w:eastAsia="zh-CN"/>
        </w:rPr>
        <w:t>双方法定代表人或委托授权代理人签字并加盖公章</w:t>
      </w:r>
      <w:r>
        <w:rPr>
          <w:rFonts w:hint="eastAsia" w:ascii="宋体" w:hAnsi="宋体" w:eastAsia="宋体" w:cs="Times New Roman"/>
          <w:b w:val="0"/>
          <w:color w:val="auto"/>
          <w:sz w:val="21"/>
          <w:szCs w:val="21"/>
          <w:highlight w:val="none"/>
        </w:rPr>
        <w:t>之日起生效。</w:t>
      </w:r>
    </w:p>
    <w:p w14:paraId="3A709B11">
      <w:pPr>
        <w:keepNext w:val="0"/>
        <w:keepLines w:val="0"/>
        <w:pageBreakBefore w:val="0"/>
        <w:widowControl w:val="0"/>
        <w:tabs>
          <w:tab w:val="left" w:pos="6930"/>
        </w:tabs>
        <w:kinsoku/>
        <w:wordWrap/>
        <w:overflowPunct/>
        <w:topLinePunct w:val="0"/>
        <w:autoSpaceDE/>
        <w:autoSpaceDN/>
        <w:bidi w:val="0"/>
        <w:adjustRightInd/>
        <w:snapToGrid/>
        <w:spacing w:line="480" w:lineRule="auto"/>
        <w:ind w:firstLine="422" w:firstLineChars="200"/>
        <w:textAlignment w:val="auto"/>
        <w:rPr>
          <w:rFonts w:ascii="宋体" w:hAnsi="宋体" w:eastAsia="宋体" w:cs="Times New Roman"/>
          <w:b w:val="0"/>
          <w:color w:val="auto"/>
          <w:sz w:val="21"/>
          <w:szCs w:val="21"/>
          <w:highlight w:val="none"/>
        </w:rPr>
      </w:pPr>
      <w:r>
        <w:rPr>
          <w:rFonts w:hint="eastAsia" w:ascii="宋体" w:hAnsi="宋体" w:eastAsia="宋体" w:cs="Times New Roman"/>
          <w:b/>
          <w:color w:val="auto"/>
          <w:sz w:val="21"/>
          <w:szCs w:val="21"/>
          <w:highlight w:val="none"/>
        </w:rPr>
        <w:t>十</w:t>
      </w:r>
      <w:r>
        <w:rPr>
          <w:rFonts w:hint="eastAsia" w:ascii="宋体" w:hAnsi="宋体" w:eastAsia="宋体" w:cs="Times New Roman"/>
          <w:b/>
          <w:color w:val="auto"/>
          <w:sz w:val="21"/>
          <w:szCs w:val="21"/>
          <w:highlight w:val="none"/>
          <w:lang w:eastAsia="zh-CN"/>
        </w:rPr>
        <w:t>七</w:t>
      </w:r>
      <w:r>
        <w:rPr>
          <w:rFonts w:hint="eastAsia" w:ascii="宋体" w:hAnsi="宋体" w:eastAsia="宋体" w:cs="Times New Roman"/>
          <w:b/>
          <w:color w:val="auto"/>
          <w:sz w:val="21"/>
          <w:szCs w:val="21"/>
          <w:highlight w:val="none"/>
        </w:rPr>
        <w:t>、</w:t>
      </w:r>
      <w:r>
        <w:rPr>
          <w:rFonts w:hint="eastAsia" w:ascii="宋体" w:hAnsi="宋体" w:eastAsia="宋体" w:cs="Times New Roman"/>
          <w:b w:val="0"/>
          <w:color w:val="auto"/>
          <w:sz w:val="21"/>
          <w:szCs w:val="21"/>
          <w:highlight w:val="none"/>
        </w:rPr>
        <w:t>本合同不可分割之部分：</w:t>
      </w:r>
    </w:p>
    <w:p w14:paraId="7C09D978">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rPr>
      </w:pPr>
      <w:r>
        <w:rPr>
          <w:rFonts w:hint="eastAsia" w:ascii="宋体" w:hAnsi="宋体" w:eastAsia="宋体" w:cs="Times New Roman"/>
          <w:b w:val="0"/>
          <w:color w:val="auto"/>
          <w:sz w:val="21"/>
          <w:szCs w:val="21"/>
          <w:highlight w:val="none"/>
        </w:rPr>
        <w:t>1、中标人投标文件；2、中标通知书；3、合同书附件。</w:t>
      </w:r>
    </w:p>
    <w:p w14:paraId="342E3A6C">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Times New Roman"/>
          <w:b w:val="0"/>
          <w:color w:val="auto"/>
          <w:sz w:val="21"/>
          <w:szCs w:val="21"/>
          <w:highlight w:val="none"/>
          <w:lang w:eastAsia="zh-CN"/>
        </w:rPr>
      </w:pPr>
      <w:r>
        <w:rPr>
          <w:rFonts w:hint="eastAsia" w:ascii="宋体" w:hAnsi="宋体" w:eastAsia="宋体" w:cs="Times New Roman"/>
          <w:b w:val="0"/>
          <w:color w:val="auto"/>
          <w:sz w:val="21"/>
          <w:szCs w:val="21"/>
          <w:highlight w:val="none"/>
          <w:lang w:eastAsia="zh-CN"/>
        </w:rPr>
        <w:t>附件：</w:t>
      </w:r>
    </w:p>
    <w:p w14:paraId="06AA1E4F">
      <w:pPr>
        <w:spacing w:line="360" w:lineRule="auto"/>
        <w:ind w:firstLine="420" w:firstLineChars="200"/>
        <w:rPr>
          <w:rFonts w:hint="eastAsia" w:ascii="宋体" w:hAnsi="宋体" w:eastAsia="宋体" w:cs="Times New Roman"/>
          <w:b w:val="0"/>
          <w:color w:val="auto"/>
          <w:sz w:val="21"/>
          <w:szCs w:val="21"/>
          <w:highlight w:val="none"/>
        </w:rPr>
      </w:pPr>
    </w:p>
    <w:p w14:paraId="2FBB89DD">
      <w:pPr>
        <w:spacing w:line="380" w:lineRule="exact"/>
        <w:rPr>
          <w:rFonts w:ascii="宋体" w:hAnsi="宋体"/>
          <w:b w:val="0"/>
          <w:color w:val="auto"/>
          <w:sz w:val="22"/>
          <w:szCs w:val="22"/>
        </w:rPr>
      </w:pPr>
    </w:p>
    <w:p w14:paraId="7FA4E2E5">
      <w:pPr>
        <w:pStyle w:val="34"/>
        <w:ind w:left="482"/>
        <w:rPr>
          <w:color w:val="auto"/>
        </w:rPr>
      </w:pPr>
    </w:p>
    <w:p w14:paraId="61F34634">
      <w:pPr>
        <w:pStyle w:val="2"/>
        <w:rPr>
          <w:rFonts w:ascii="宋体" w:hAnsi="宋体" w:cs="宋体"/>
          <w:color w:val="auto"/>
          <w:sz w:val="52"/>
          <w:szCs w:val="52"/>
        </w:rPr>
      </w:pPr>
      <w:bookmarkStart w:id="424" w:name="_Toc5393"/>
      <w:r>
        <w:rPr>
          <w:rFonts w:hint="eastAsia" w:ascii="宋体" w:hAnsi="宋体" w:cs="宋体"/>
          <w:color w:val="auto"/>
          <w:sz w:val="40"/>
        </w:rPr>
        <w:br w:type="page"/>
      </w:r>
      <w:r>
        <w:rPr>
          <w:rFonts w:hint="eastAsia" w:ascii="宋体" w:hAnsi="宋体" w:cs="宋体"/>
          <w:color w:val="auto"/>
          <w:sz w:val="44"/>
          <w:szCs w:val="44"/>
        </w:rPr>
        <w:t>第四章  投标文件格式</w:t>
      </w:r>
      <w:bookmarkEnd w:id="423"/>
      <w:bookmarkEnd w:id="424"/>
    </w:p>
    <w:p w14:paraId="67A4A6DB">
      <w:pPr>
        <w:rPr>
          <w:rFonts w:ascii="宋体" w:hAnsi="宋体"/>
          <w:color w:val="auto"/>
          <w:sz w:val="44"/>
          <w:szCs w:val="44"/>
        </w:rPr>
      </w:pPr>
    </w:p>
    <w:p w14:paraId="1976E5BC">
      <w:pPr>
        <w:rPr>
          <w:color w:val="auto"/>
        </w:rPr>
      </w:pPr>
    </w:p>
    <w:p w14:paraId="19686E0A">
      <w:pPr>
        <w:rPr>
          <w:color w:val="auto"/>
        </w:rPr>
      </w:pPr>
    </w:p>
    <w:p w14:paraId="1637B4F1">
      <w:pPr>
        <w:spacing w:line="480" w:lineRule="exact"/>
        <w:jc w:val="center"/>
        <w:outlineLvl w:val="1"/>
        <w:rPr>
          <w:rFonts w:hAnsi="宋体"/>
          <w:color w:val="auto"/>
          <w:kern w:val="1"/>
          <w:sz w:val="28"/>
          <w:szCs w:val="28"/>
          <w:u w:val="single"/>
        </w:rPr>
      </w:pPr>
      <w:bookmarkStart w:id="425" w:name="_Toc6707"/>
      <w:bookmarkStart w:id="426" w:name="_Toc16827"/>
      <w:bookmarkStart w:id="427" w:name="_Toc27174"/>
      <w:r>
        <w:rPr>
          <w:rFonts w:hint="eastAsia" w:hAnsi="宋体"/>
          <w:color w:val="auto"/>
          <w:kern w:val="1"/>
          <w:sz w:val="28"/>
          <w:szCs w:val="28"/>
          <w:u w:val="single"/>
        </w:rPr>
        <w:t>（项目名称）</w:t>
      </w:r>
      <w:bookmarkEnd w:id="425"/>
      <w:bookmarkEnd w:id="426"/>
      <w:bookmarkEnd w:id="427"/>
    </w:p>
    <w:p w14:paraId="61EB48AF">
      <w:pPr>
        <w:pStyle w:val="17"/>
        <w:spacing w:line="360" w:lineRule="auto"/>
        <w:jc w:val="center"/>
        <w:rPr>
          <w:rFonts w:hAnsi="宋体" w:cs="宋体"/>
          <w:b w:val="0"/>
          <w:color w:val="auto"/>
          <w:sz w:val="72"/>
          <w:szCs w:val="72"/>
        </w:rPr>
      </w:pPr>
    </w:p>
    <w:p w14:paraId="1B63048E">
      <w:pPr>
        <w:pStyle w:val="13"/>
        <w:rPr>
          <w:rFonts w:hAnsi="宋体" w:cs="宋体"/>
          <w:b w:val="0"/>
          <w:color w:val="auto"/>
          <w:sz w:val="72"/>
          <w:szCs w:val="72"/>
        </w:rPr>
      </w:pPr>
    </w:p>
    <w:p w14:paraId="5F9F63CE">
      <w:pPr>
        <w:pStyle w:val="15"/>
        <w:rPr>
          <w:color w:val="auto"/>
        </w:rPr>
      </w:pPr>
    </w:p>
    <w:p w14:paraId="012A9002">
      <w:pPr>
        <w:pStyle w:val="17"/>
        <w:spacing w:line="360" w:lineRule="auto"/>
        <w:jc w:val="center"/>
        <w:rPr>
          <w:rFonts w:hAnsi="宋体" w:cs="宋体"/>
          <w:b w:val="0"/>
          <w:color w:val="auto"/>
          <w:sz w:val="72"/>
          <w:szCs w:val="72"/>
        </w:rPr>
      </w:pPr>
      <w:r>
        <w:rPr>
          <w:rFonts w:hint="eastAsia" w:hAnsi="宋体" w:cs="宋体"/>
          <w:b w:val="0"/>
          <w:color w:val="auto"/>
          <w:sz w:val="72"/>
          <w:szCs w:val="72"/>
        </w:rPr>
        <w:t>投 标 文 件</w:t>
      </w:r>
    </w:p>
    <w:p w14:paraId="1234D4EE">
      <w:pPr>
        <w:pStyle w:val="17"/>
        <w:spacing w:line="500" w:lineRule="exact"/>
        <w:ind w:firstLine="3080" w:firstLineChars="1100"/>
        <w:rPr>
          <w:rFonts w:hAnsi="宋体" w:cs="宋体"/>
          <w:b w:val="0"/>
          <w:color w:val="auto"/>
          <w:sz w:val="28"/>
          <w:szCs w:val="28"/>
          <w:u w:val="single"/>
        </w:rPr>
      </w:pPr>
      <w:r>
        <w:rPr>
          <w:rFonts w:hint="eastAsia" w:hAnsi="宋体" w:cs="宋体"/>
          <w:b w:val="0"/>
          <w:color w:val="auto"/>
          <w:sz w:val="28"/>
          <w:szCs w:val="28"/>
        </w:rPr>
        <w:t>项目编号：</w:t>
      </w:r>
    </w:p>
    <w:p w14:paraId="6CB82680">
      <w:pPr>
        <w:pStyle w:val="17"/>
        <w:spacing w:line="500" w:lineRule="exact"/>
        <w:rPr>
          <w:rFonts w:hAnsi="宋体" w:cs="宋体"/>
          <w:b w:val="0"/>
          <w:color w:val="auto"/>
          <w:sz w:val="72"/>
          <w:szCs w:val="72"/>
        </w:rPr>
      </w:pPr>
    </w:p>
    <w:p w14:paraId="51F8994D">
      <w:pPr>
        <w:pStyle w:val="17"/>
        <w:spacing w:line="500" w:lineRule="exact"/>
        <w:jc w:val="center"/>
        <w:rPr>
          <w:rFonts w:hAnsi="宋体" w:cs="宋体"/>
          <w:b w:val="0"/>
          <w:color w:val="auto"/>
          <w:sz w:val="72"/>
          <w:szCs w:val="72"/>
        </w:rPr>
      </w:pPr>
    </w:p>
    <w:p w14:paraId="0069D83C">
      <w:pPr>
        <w:pStyle w:val="17"/>
        <w:rPr>
          <w:rFonts w:hAnsi="宋体" w:cs="宋体"/>
          <w:color w:val="auto"/>
        </w:rPr>
      </w:pPr>
    </w:p>
    <w:p w14:paraId="4DF300B5">
      <w:pPr>
        <w:pStyle w:val="17"/>
        <w:rPr>
          <w:rFonts w:hAnsi="宋体" w:cs="宋体"/>
          <w:color w:val="auto"/>
        </w:rPr>
      </w:pPr>
    </w:p>
    <w:p w14:paraId="30DC94F3">
      <w:pPr>
        <w:rPr>
          <w:rFonts w:ascii="宋体" w:hAnsi="宋体"/>
          <w:color w:val="auto"/>
        </w:rPr>
      </w:pPr>
    </w:p>
    <w:p w14:paraId="5B1D503C">
      <w:pPr>
        <w:pStyle w:val="34"/>
        <w:ind w:left="482"/>
        <w:rPr>
          <w:rFonts w:ascii="宋体" w:hAnsi="宋体"/>
          <w:color w:val="auto"/>
        </w:rPr>
      </w:pPr>
    </w:p>
    <w:p w14:paraId="245791D2">
      <w:pPr>
        <w:pStyle w:val="34"/>
        <w:ind w:left="482"/>
        <w:rPr>
          <w:rFonts w:ascii="宋体" w:hAnsi="宋体"/>
          <w:color w:val="auto"/>
        </w:rPr>
      </w:pPr>
    </w:p>
    <w:p w14:paraId="09D52F39">
      <w:pPr>
        <w:pStyle w:val="34"/>
        <w:ind w:left="482"/>
        <w:rPr>
          <w:rFonts w:ascii="宋体" w:hAnsi="宋体"/>
          <w:color w:val="auto"/>
        </w:rPr>
      </w:pPr>
    </w:p>
    <w:p w14:paraId="436BE9BC">
      <w:pPr>
        <w:pStyle w:val="34"/>
        <w:ind w:left="482"/>
        <w:rPr>
          <w:rFonts w:ascii="宋体" w:hAnsi="宋体"/>
          <w:color w:val="auto"/>
        </w:rPr>
      </w:pPr>
    </w:p>
    <w:p w14:paraId="5EFD2144">
      <w:pPr>
        <w:pStyle w:val="17"/>
        <w:rPr>
          <w:rFonts w:hAnsi="宋体" w:cs="宋体"/>
          <w:color w:val="auto"/>
        </w:rPr>
      </w:pPr>
    </w:p>
    <w:p w14:paraId="3A89C46C">
      <w:pPr>
        <w:pStyle w:val="17"/>
        <w:spacing w:line="500" w:lineRule="exact"/>
        <w:jc w:val="center"/>
        <w:rPr>
          <w:rFonts w:hAnsi="宋体" w:cs="宋体"/>
          <w:b w:val="0"/>
          <w:color w:val="auto"/>
          <w:sz w:val="72"/>
          <w:szCs w:val="72"/>
        </w:rPr>
      </w:pPr>
    </w:p>
    <w:p w14:paraId="68B76F43">
      <w:pPr>
        <w:spacing w:line="360" w:lineRule="auto"/>
        <w:ind w:firstLine="2409" w:firstLineChars="1000"/>
        <w:rPr>
          <w:rFonts w:ascii="宋体" w:hAnsi="宋体"/>
          <w:color w:val="auto"/>
        </w:rPr>
      </w:pPr>
      <w:r>
        <w:rPr>
          <w:rFonts w:hint="eastAsia" w:ascii="宋体" w:hAnsi="宋体"/>
          <w:color w:val="auto"/>
        </w:rPr>
        <w:t>投标人：(加盖电子公章)</w:t>
      </w:r>
    </w:p>
    <w:p w14:paraId="6F62B32C">
      <w:pPr>
        <w:pStyle w:val="17"/>
        <w:spacing w:line="500" w:lineRule="exact"/>
        <w:jc w:val="center"/>
        <w:rPr>
          <w:rFonts w:hAnsi="宋体" w:cs="宋体"/>
          <w:color w:val="auto"/>
        </w:rPr>
      </w:pPr>
      <w:r>
        <w:rPr>
          <w:rFonts w:hint="eastAsia" w:hAnsi="宋体" w:cs="宋体"/>
          <w:color w:val="auto"/>
        </w:rPr>
        <w:t xml:space="preserve"> 法定代表人或委托代理人：（电子签名或签章）</w:t>
      </w:r>
    </w:p>
    <w:p w14:paraId="257BFBB8">
      <w:pPr>
        <w:pStyle w:val="17"/>
        <w:spacing w:line="500" w:lineRule="exact"/>
        <w:ind w:firstLine="2409" w:firstLineChars="1000"/>
        <w:rPr>
          <w:rFonts w:hAnsi="宋体" w:cs="宋体"/>
          <w:color w:val="auto"/>
        </w:rPr>
      </w:pPr>
      <w:r>
        <w:rPr>
          <w:rFonts w:hint="eastAsia" w:hAnsi="宋体" w:cs="宋体"/>
          <w:color w:val="auto"/>
        </w:rPr>
        <w:t>年    月     日</w:t>
      </w:r>
    </w:p>
    <w:p w14:paraId="6FDD64AF">
      <w:pPr>
        <w:spacing w:line="360" w:lineRule="auto"/>
        <w:jc w:val="left"/>
        <w:rPr>
          <w:rFonts w:ascii="宋体" w:hAnsi="宋体"/>
          <w:b w:val="0"/>
          <w:color w:val="auto"/>
          <w:sz w:val="28"/>
          <w:szCs w:val="28"/>
        </w:rPr>
      </w:pPr>
      <w:r>
        <w:rPr>
          <w:rFonts w:hint="eastAsia" w:ascii="宋体" w:hAnsi="宋体"/>
          <w:b w:val="0"/>
          <w:color w:val="auto"/>
          <w:sz w:val="28"/>
          <w:szCs w:val="28"/>
        </w:rPr>
        <w:br w:type="page"/>
      </w:r>
      <w:r>
        <w:rPr>
          <w:rFonts w:hint="eastAsia" w:ascii="宋体" w:hAnsi="宋体"/>
          <w:bCs/>
          <w:color w:val="auto"/>
          <w:sz w:val="28"/>
          <w:szCs w:val="28"/>
        </w:rPr>
        <w:t>格式1：</w:t>
      </w:r>
    </w:p>
    <w:p w14:paraId="7C2804E4">
      <w:pPr>
        <w:jc w:val="center"/>
        <w:rPr>
          <w:rFonts w:ascii="宋体" w:hAnsi="宋体" w:cs="楷体"/>
          <w:b/>
          <w:bCs w:val="0"/>
          <w:sz w:val="32"/>
          <w:szCs w:val="32"/>
          <w:highlight w:val="none"/>
        </w:rPr>
      </w:pPr>
      <w:bookmarkStart w:id="428" w:name="_Toc476856076"/>
      <w:bookmarkStart w:id="429" w:name="_Toc213141093"/>
      <w:bookmarkStart w:id="430" w:name="_Toc475291693"/>
      <w:bookmarkStart w:id="431" w:name="_Toc393354840"/>
      <w:r>
        <w:rPr>
          <w:rFonts w:hint="eastAsia" w:ascii="宋体" w:hAnsi="宋体" w:cs="楷体"/>
          <w:b/>
          <w:bCs w:val="0"/>
          <w:sz w:val="32"/>
          <w:szCs w:val="32"/>
          <w:highlight w:val="none"/>
        </w:rPr>
        <w:t>开标一览表</w:t>
      </w:r>
      <w:bookmarkEnd w:id="428"/>
      <w:bookmarkEnd w:id="429"/>
      <w:bookmarkEnd w:id="430"/>
      <w:bookmarkEnd w:id="431"/>
    </w:p>
    <w:p w14:paraId="14EC3377">
      <w:pPr>
        <w:rPr>
          <w:rFonts w:ascii="宋体" w:hAnsi="宋体" w:cs="楷体"/>
          <w:highlight w:val="none"/>
        </w:rPr>
      </w:pPr>
    </w:p>
    <w:p w14:paraId="58925085">
      <w:pPr>
        <w:pStyle w:val="17"/>
        <w:autoSpaceDE w:val="0"/>
        <w:autoSpaceDN w:val="0"/>
        <w:adjustRightInd w:val="0"/>
        <w:ind w:firstLine="210" w:firstLineChars="100"/>
        <w:rPr>
          <w:rFonts w:hAnsi="宋体" w:cs="楷体"/>
          <w:b w:val="0"/>
          <w:bCs/>
          <w:kern w:val="0"/>
          <w:sz w:val="21"/>
          <w:szCs w:val="21"/>
          <w:highlight w:val="none"/>
        </w:rPr>
      </w:pPr>
      <w:r>
        <w:rPr>
          <w:rFonts w:hint="eastAsia" w:hAnsi="宋体" w:cs="楷体"/>
          <w:b w:val="0"/>
          <w:bCs/>
          <w:sz w:val="21"/>
          <w:szCs w:val="21"/>
          <w:highlight w:val="none"/>
        </w:rPr>
        <w:t>项目名称：</w:t>
      </w:r>
    </w:p>
    <w:p w14:paraId="40057839">
      <w:pPr>
        <w:spacing w:line="360" w:lineRule="exact"/>
        <w:ind w:firstLine="210" w:firstLineChars="100"/>
        <w:rPr>
          <w:rFonts w:ascii="宋体" w:hAnsi="宋体" w:cs="楷体"/>
          <w:b w:val="0"/>
          <w:bCs/>
          <w:sz w:val="21"/>
          <w:szCs w:val="21"/>
          <w:highlight w:val="none"/>
        </w:rPr>
      </w:pPr>
      <w:r>
        <w:rPr>
          <w:rFonts w:hint="eastAsia" w:ascii="宋体" w:hAnsi="宋体" w:cs="楷体"/>
          <w:b w:val="0"/>
          <w:bCs/>
          <w:sz w:val="21"/>
          <w:szCs w:val="21"/>
          <w:highlight w:val="none"/>
          <w:lang w:eastAsia="zh-CN"/>
        </w:rPr>
        <w:t>项目</w:t>
      </w:r>
      <w:r>
        <w:rPr>
          <w:rFonts w:hint="eastAsia" w:ascii="宋体" w:hAnsi="宋体" w:cs="楷体"/>
          <w:b w:val="0"/>
          <w:bCs/>
          <w:sz w:val="21"/>
          <w:szCs w:val="21"/>
          <w:highlight w:val="none"/>
        </w:rPr>
        <w:t xml:space="preserve">编号： </w:t>
      </w:r>
    </w:p>
    <w:tbl>
      <w:tblPr>
        <w:tblStyle w:val="35"/>
        <w:tblW w:w="97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9"/>
        <w:gridCol w:w="7111"/>
      </w:tblGrid>
      <w:tr w14:paraId="77A7D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2599" w:type="dxa"/>
            <w:noWrap w:val="0"/>
            <w:vAlign w:val="center"/>
          </w:tcPr>
          <w:p w14:paraId="74BA4BCB">
            <w:pPr>
              <w:spacing w:before="120" w:after="120" w:line="360" w:lineRule="auto"/>
              <w:jc w:val="center"/>
              <w:rPr>
                <w:rFonts w:ascii="宋体" w:hAnsi="宋体"/>
                <w:b w:val="0"/>
                <w:bCs/>
                <w:sz w:val="21"/>
                <w:szCs w:val="21"/>
                <w:highlight w:val="none"/>
              </w:rPr>
            </w:pPr>
            <w:r>
              <w:rPr>
                <w:rFonts w:hint="eastAsia" w:ascii="宋体" w:hAnsi="宋体"/>
                <w:b w:val="0"/>
                <w:bCs/>
                <w:sz w:val="21"/>
                <w:szCs w:val="21"/>
                <w:highlight w:val="none"/>
              </w:rPr>
              <w:t>投标人名称</w:t>
            </w:r>
          </w:p>
        </w:tc>
        <w:tc>
          <w:tcPr>
            <w:tcW w:w="7111" w:type="dxa"/>
            <w:noWrap w:val="0"/>
            <w:vAlign w:val="center"/>
          </w:tcPr>
          <w:p w14:paraId="656EC2C9">
            <w:pPr>
              <w:spacing w:before="120" w:after="120" w:line="360" w:lineRule="auto"/>
              <w:jc w:val="center"/>
              <w:rPr>
                <w:rFonts w:ascii="宋体" w:hAnsi="宋体"/>
                <w:b w:val="0"/>
                <w:bCs/>
                <w:sz w:val="21"/>
                <w:szCs w:val="21"/>
                <w:highlight w:val="none"/>
              </w:rPr>
            </w:pPr>
          </w:p>
        </w:tc>
      </w:tr>
      <w:tr w14:paraId="75C8C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2599" w:type="dxa"/>
            <w:vMerge w:val="restart"/>
            <w:noWrap w:val="0"/>
            <w:vAlign w:val="center"/>
          </w:tcPr>
          <w:p w14:paraId="6C08405F">
            <w:pPr>
              <w:spacing w:before="120" w:after="120" w:line="360" w:lineRule="auto"/>
              <w:jc w:val="center"/>
              <w:rPr>
                <w:rFonts w:ascii="宋体" w:hAnsi="宋体"/>
                <w:b w:val="0"/>
                <w:bCs/>
                <w:sz w:val="21"/>
                <w:szCs w:val="21"/>
                <w:highlight w:val="none"/>
              </w:rPr>
            </w:pPr>
            <w:r>
              <w:rPr>
                <w:rFonts w:hint="eastAsia" w:ascii="宋体" w:hAnsi="宋体"/>
                <w:b w:val="0"/>
                <w:bCs/>
                <w:sz w:val="21"/>
                <w:szCs w:val="21"/>
                <w:highlight w:val="none"/>
              </w:rPr>
              <w:t>投标总报价</w:t>
            </w:r>
          </w:p>
          <w:p w14:paraId="2B67A353">
            <w:pPr>
              <w:spacing w:before="120" w:after="120" w:line="360" w:lineRule="auto"/>
              <w:jc w:val="center"/>
              <w:rPr>
                <w:rFonts w:ascii="宋体" w:hAnsi="宋体"/>
                <w:b w:val="0"/>
                <w:bCs/>
                <w:sz w:val="21"/>
                <w:szCs w:val="21"/>
                <w:highlight w:val="none"/>
              </w:rPr>
            </w:pPr>
            <w:r>
              <w:rPr>
                <w:rFonts w:hint="eastAsia" w:ascii="宋体" w:hAnsi="宋体"/>
                <w:b w:val="0"/>
                <w:bCs/>
                <w:sz w:val="21"/>
                <w:szCs w:val="21"/>
                <w:highlight w:val="none"/>
              </w:rPr>
              <w:t>（人民币：元）</w:t>
            </w:r>
          </w:p>
        </w:tc>
        <w:tc>
          <w:tcPr>
            <w:tcW w:w="7111" w:type="dxa"/>
            <w:noWrap w:val="0"/>
            <w:vAlign w:val="center"/>
          </w:tcPr>
          <w:p w14:paraId="79C27A87">
            <w:pPr>
              <w:spacing w:before="120" w:after="120" w:line="360" w:lineRule="auto"/>
              <w:rPr>
                <w:rFonts w:ascii="宋体" w:hAnsi="宋体"/>
                <w:b w:val="0"/>
                <w:bCs/>
                <w:sz w:val="21"/>
                <w:szCs w:val="21"/>
                <w:highlight w:val="none"/>
              </w:rPr>
            </w:pPr>
            <w:r>
              <w:rPr>
                <w:rFonts w:hint="eastAsia" w:ascii="宋体" w:hAnsi="宋体"/>
                <w:b w:val="0"/>
                <w:bCs/>
                <w:sz w:val="21"/>
                <w:szCs w:val="21"/>
                <w:highlight w:val="none"/>
              </w:rPr>
              <w:t>大写：</w:t>
            </w:r>
          </w:p>
        </w:tc>
      </w:tr>
      <w:tr w14:paraId="552B3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2599" w:type="dxa"/>
            <w:vMerge w:val="continue"/>
            <w:noWrap w:val="0"/>
            <w:vAlign w:val="center"/>
          </w:tcPr>
          <w:p w14:paraId="256126F1">
            <w:pPr>
              <w:rPr>
                <w:rFonts w:ascii="宋体" w:hAnsi="宋体"/>
                <w:b w:val="0"/>
                <w:bCs/>
                <w:sz w:val="21"/>
                <w:szCs w:val="21"/>
                <w:highlight w:val="none"/>
              </w:rPr>
            </w:pPr>
          </w:p>
        </w:tc>
        <w:tc>
          <w:tcPr>
            <w:tcW w:w="7111" w:type="dxa"/>
            <w:noWrap w:val="0"/>
            <w:vAlign w:val="center"/>
          </w:tcPr>
          <w:p w14:paraId="487C825A">
            <w:pPr>
              <w:spacing w:before="120" w:after="120" w:line="360" w:lineRule="auto"/>
              <w:rPr>
                <w:rFonts w:ascii="宋体" w:hAnsi="宋体"/>
                <w:b w:val="0"/>
                <w:bCs/>
                <w:sz w:val="21"/>
                <w:szCs w:val="21"/>
                <w:highlight w:val="none"/>
              </w:rPr>
            </w:pPr>
            <w:r>
              <w:rPr>
                <w:rFonts w:hint="eastAsia" w:ascii="宋体" w:hAnsi="宋体"/>
                <w:b w:val="0"/>
                <w:bCs/>
                <w:sz w:val="21"/>
                <w:szCs w:val="21"/>
                <w:highlight w:val="none"/>
              </w:rPr>
              <w:t>小写：</w:t>
            </w:r>
          </w:p>
        </w:tc>
      </w:tr>
      <w:tr w14:paraId="14E65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599" w:type="dxa"/>
            <w:noWrap w:val="0"/>
            <w:vAlign w:val="center"/>
          </w:tcPr>
          <w:p w14:paraId="572DDDE7">
            <w:pPr>
              <w:spacing w:before="120" w:after="120" w:line="360" w:lineRule="auto"/>
              <w:jc w:val="center"/>
              <w:rPr>
                <w:rFonts w:hint="default" w:ascii="宋体" w:hAnsi="宋体" w:eastAsia="宋体"/>
                <w:b w:val="0"/>
                <w:bCs/>
                <w:sz w:val="21"/>
                <w:szCs w:val="21"/>
                <w:highlight w:val="none"/>
                <w:lang w:val="en-US" w:eastAsia="zh-CN"/>
              </w:rPr>
            </w:pPr>
            <w:r>
              <w:rPr>
                <w:rFonts w:hint="eastAsia" w:ascii="宋体" w:hAnsi="宋体"/>
                <w:b w:val="0"/>
                <w:bCs/>
                <w:sz w:val="21"/>
                <w:szCs w:val="21"/>
                <w:highlight w:val="none"/>
                <w:lang w:val="en-US" w:eastAsia="zh-CN"/>
              </w:rPr>
              <w:t>建设周期</w:t>
            </w:r>
          </w:p>
        </w:tc>
        <w:tc>
          <w:tcPr>
            <w:tcW w:w="7111" w:type="dxa"/>
            <w:noWrap w:val="0"/>
            <w:vAlign w:val="center"/>
          </w:tcPr>
          <w:p w14:paraId="6E80387D">
            <w:pPr>
              <w:spacing w:before="120" w:after="120" w:line="360" w:lineRule="auto"/>
              <w:rPr>
                <w:rFonts w:ascii="宋体" w:hAnsi="宋体"/>
                <w:b w:val="0"/>
                <w:bCs/>
                <w:sz w:val="21"/>
                <w:szCs w:val="21"/>
                <w:highlight w:val="none"/>
              </w:rPr>
            </w:pPr>
          </w:p>
        </w:tc>
      </w:tr>
      <w:tr w14:paraId="69368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599" w:type="dxa"/>
            <w:noWrap w:val="0"/>
            <w:vAlign w:val="center"/>
          </w:tcPr>
          <w:p w14:paraId="1E0B055A">
            <w:pPr>
              <w:spacing w:before="120" w:after="120" w:line="360" w:lineRule="auto"/>
              <w:jc w:val="center"/>
              <w:rPr>
                <w:rFonts w:hint="default" w:ascii="宋体" w:hAnsi="宋体" w:eastAsia="宋体"/>
                <w:b w:val="0"/>
                <w:bCs/>
                <w:sz w:val="21"/>
                <w:szCs w:val="21"/>
                <w:highlight w:val="none"/>
                <w:lang w:val="en-US" w:eastAsia="zh-CN"/>
              </w:rPr>
            </w:pPr>
            <w:r>
              <w:rPr>
                <w:rFonts w:hint="eastAsia" w:ascii="宋体" w:hAnsi="宋体"/>
                <w:b w:val="0"/>
                <w:bCs/>
                <w:sz w:val="21"/>
                <w:szCs w:val="21"/>
                <w:highlight w:val="none"/>
                <w:lang w:val="en-US" w:eastAsia="zh-CN"/>
              </w:rPr>
              <w:t>建设地点</w:t>
            </w:r>
          </w:p>
        </w:tc>
        <w:tc>
          <w:tcPr>
            <w:tcW w:w="7111" w:type="dxa"/>
            <w:noWrap w:val="0"/>
            <w:vAlign w:val="center"/>
          </w:tcPr>
          <w:p w14:paraId="5A25CB05">
            <w:pPr>
              <w:spacing w:before="120" w:after="120" w:line="360" w:lineRule="auto"/>
              <w:rPr>
                <w:rFonts w:ascii="宋体" w:hAnsi="宋体"/>
                <w:b w:val="0"/>
                <w:bCs/>
                <w:sz w:val="21"/>
                <w:szCs w:val="21"/>
                <w:highlight w:val="none"/>
              </w:rPr>
            </w:pPr>
          </w:p>
        </w:tc>
      </w:tr>
      <w:tr w14:paraId="7AAC1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599" w:type="dxa"/>
            <w:noWrap w:val="0"/>
            <w:vAlign w:val="center"/>
          </w:tcPr>
          <w:p w14:paraId="7E6B48F9">
            <w:pPr>
              <w:spacing w:before="120" w:after="120" w:line="360" w:lineRule="auto"/>
              <w:jc w:val="center"/>
              <w:rPr>
                <w:rFonts w:hint="eastAsia" w:ascii="宋体" w:hAnsi="宋体" w:eastAsia="宋体"/>
                <w:b w:val="0"/>
                <w:bCs/>
                <w:sz w:val="21"/>
                <w:szCs w:val="21"/>
                <w:highlight w:val="none"/>
              </w:rPr>
            </w:pPr>
            <w:r>
              <w:rPr>
                <w:rFonts w:hint="eastAsia" w:ascii="宋体" w:hAnsi="宋体" w:eastAsia="宋体"/>
                <w:b w:val="0"/>
                <w:bCs/>
                <w:sz w:val="21"/>
                <w:szCs w:val="21"/>
                <w:highlight w:val="none"/>
              </w:rPr>
              <w:t>质量承诺</w:t>
            </w:r>
          </w:p>
        </w:tc>
        <w:tc>
          <w:tcPr>
            <w:tcW w:w="7111" w:type="dxa"/>
            <w:noWrap w:val="0"/>
            <w:vAlign w:val="center"/>
          </w:tcPr>
          <w:p w14:paraId="6540BA22">
            <w:pPr>
              <w:spacing w:before="120" w:after="120" w:line="360" w:lineRule="auto"/>
              <w:rPr>
                <w:rFonts w:ascii="宋体" w:hAnsi="宋体"/>
                <w:b w:val="0"/>
                <w:bCs/>
                <w:sz w:val="21"/>
                <w:szCs w:val="21"/>
                <w:highlight w:val="none"/>
              </w:rPr>
            </w:pPr>
          </w:p>
        </w:tc>
      </w:tr>
      <w:tr w14:paraId="7FC19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599" w:type="dxa"/>
            <w:noWrap w:val="0"/>
            <w:vAlign w:val="center"/>
          </w:tcPr>
          <w:p w14:paraId="56C9E587">
            <w:pPr>
              <w:spacing w:before="120" w:after="120" w:line="360" w:lineRule="auto"/>
              <w:jc w:val="center"/>
              <w:rPr>
                <w:rFonts w:hint="eastAsia" w:ascii="宋体" w:hAnsi="宋体" w:eastAsia="宋体"/>
                <w:b w:val="0"/>
                <w:bCs/>
                <w:sz w:val="21"/>
                <w:szCs w:val="21"/>
                <w:highlight w:val="none"/>
                <w:lang w:eastAsia="zh-CN"/>
              </w:rPr>
            </w:pPr>
            <w:r>
              <w:rPr>
                <w:rFonts w:hint="eastAsia" w:ascii="宋体" w:hAnsi="宋体"/>
                <w:b w:val="0"/>
                <w:bCs/>
                <w:sz w:val="21"/>
                <w:szCs w:val="21"/>
                <w:highlight w:val="none"/>
                <w:lang w:eastAsia="zh-CN"/>
              </w:rPr>
              <w:t>备注</w:t>
            </w:r>
          </w:p>
        </w:tc>
        <w:tc>
          <w:tcPr>
            <w:tcW w:w="7111" w:type="dxa"/>
            <w:noWrap w:val="0"/>
            <w:vAlign w:val="center"/>
          </w:tcPr>
          <w:p w14:paraId="46C80689">
            <w:pPr>
              <w:spacing w:before="120" w:after="120" w:line="360" w:lineRule="auto"/>
              <w:rPr>
                <w:rFonts w:ascii="宋体" w:hAnsi="宋体"/>
                <w:b w:val="0"/>
                <w:bCs/>
                <w:sz w:val="21"/>
                <w:szCs w:val="21"/>
                <w:highlight w:val="none"/>
              </w:rPr>
            </w:pPr>
          </w:p>
        </w:tc>
      </w:tr>
    </w:tbl>
    <w:p w14:paraId="11E6D47E">
      <w:pPr>
        <w:pStyle w:val="17"/>
        <w:rPr>
          <w:rFonts w:hint="eastAsia" w:hAnsi="宋体" w:cs="楷体"/>
          <w:b w:val="0"/>
          <w:bCs/>
          <w:sz w:val="21"/>
          <w:szCs w:val="21"/>
          <w:highlight w:val="none"/>
        </w:rPr>
      </w:pPr>
    </w:p>
    <w:p w14:paraId="10876863">
      <w:pPr>
        <w:pStyle w:val="17"/>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hAnsi="宋体" w:cs="楷体"/>
          <w:b w:val="0"/>
          <w:bCs/>
          <w:sz w:val="21"/>
          <w:szCs w:val="21"/>
          <w:highlight w:val="none"/>
        </w:rPr>
      </w:pPr>
      <w:r>
        <w:rPr>
          <w:rFonts w:hint="eastAsia" w:hAnsi="宋体" w:cs="楷体"/>
          <w:b w:val="0"/>
          <w:bCs/>
          <w:sz w:val="21"/>
          <w:szCs w:val="21"/>
          <w:highlight w:val="none"/>
        </w:rPr>
        <w:t>注：</w:t>
      </w:r>
      <w:r>
        <w:rPr>
          <w:rFonts w:hint="eastAsia" w:hAnsi="宋体" w:cs="楷体"/>
          <w:b w:val="0"/>
          <w:bCs/>
          <w:sz w:val="21"/>
          <w:szCs w:val="21"/>
          <w:highlight w:val="none"/>
          <w:lang w:val="en-US" w:eastAsia="zh-CN"/>
        </w:rPr>
        <w:t>1.</w:t>
      </w:r>
      <w:r>
        <w:rPr>
          <w:rFonts w:hint="eastAsia" w:hAnsi="宋体" w:cs="楷体"/>
          <w:b w:val="0"/>
          <w:bCs/>
          <w:sz w:val="21"/>
          <w:szCs w:val="21"/>
          <w:highlight w:val="none"/>
        </w:rPr>
        <w:t>表中“投标报价”应与格式2</w:t>
      </w:r>
      <w:r>
        <w:rPr>
          <w:rFonts w:hint="eastAsia" w:hAnsi="宋体" w:cs="楷体"/>
          <w:b w:val="0"/>
          <w:bCs/>
          <w:sz w:val="21"/>
          <w:szCs w:val="21"/>
          <w:highlight w:val="none"/>
          <w:lang w:eastAsia="zh-CN"/>
        </w:rPr>
        <w:t>“</w:t>
      </w:r>
      <w:r>
        <w:rPr>
          <w:rFonts w:hint="eastAsia" w:hAnsi="宋体" w:cs="楷体"/>
          <w:b w:val="0"/>
          <w:bCs/>
          <w:sz w:val="21"/>
          <w:szCs w:val="21"/>
          <w:highlight w:val="none"/>
        </w:rPr>
        <w:t>分项报价表</w:t>
      </w:r>
      <w:r>
        <w:rPr>
          <w:rFonts w:hint="eastAsia" w:hAnsi="宋体" w:cs="楷体"/>
          <w:b w:val="0"/>
          <w:bCs/>
          <w:sz w:val="21"/>
          <w:szCs w:val="21"/>
          <w:highlight w:val="none"/>
          <w:lang w:eastAsia="zh-CN"/>
        </w:rPr>
        <w:t>”，</w:t>
      </w:r>
      <w:r>
        <w:rPr>
          <w:rFonts w:hint="eastAsia" w:hAnsi="宋体" w:cs="楷体"/>
          <w:b w:val="0"/>
          <w:bCs/>
          <w:sz w:val="21"/>
          <w:szCs w:val="21"/>
          <w:highlight w:val="none"/>
        </w:rPr>
        <w:t>格式</w:t>
      </w:r>
      <w:r>
        <w:rPr>
          <w:rFonts w:hint="eastAsia" w:hAnsi="宋体" w:cs="楷体"/>
          <w:b w:val="0"/>
          <w:bCs/>
          <w:sz w:val="21"/>
          <w:szCs w:val="21"/>
          <w:highlight w:val="none"/>
          <w:lang w:val="en-US" w:eastAsia="zh-CN"/>
        </w:rPr>
        <w:t>3</w:t>
      </w:r>
      <w:r>
        <w:rPr>
          <w:rFonts w:hint="eastAsia" w:hAnsi="宋体" w:cs="楷体"/>
          <w:b w:val="0"/>
          <w:bCs/>
          <w:sz w:val="21"/>
          <w:szCs w:val="21"/>
          <w:highlight w:val="none"/>
        </w:rPr>
        <w:t>“投标函”中 “投标</w:t>
      </w:r>
      <w:r>
        <w:rPr>
          <w:rFonts w:hint="eastAsia" w:hAnsi="宋体" w:cs="楷体"/>
          <w:b w:val="0"/>
          <w:bCs/>
          <w:sz w:val="21"/>
          <w:szCs w:val="21"/>
          <w:highlight w:val="none"/>
          <w:lang w:val="en-US" w:eastAsia="zh-CN"/>
        </w:rPr>
        <w:t>总价</w:t>
      </w:r>
      <w:r>
        <w:rPr>
          <w:rFonts w:hint="eastAsia" w:hAnsi="宋体" w:cs="楷体"/>
          <w:b w:val="0"/>
          <w:bCs/>
          <w:sz w:val="21"/>
          <w:szCs w:val="21"/>
          <w:highlight w:val="none"/>
        </w:rPr>
        <w:t>”一致。</w:t>
      </w:r>
    </w:p>
    <w:p w14:paraId="3E27FDE9">
      <w:pPr>
        <w:pStyle w:val="17"/>
        <w:keepNext w:val="0"/>
        <w:keepLines w:val="0"/>
        <w:pageBreakBefore w:val="0"/>
        <w:widowControl w:val="0"/>
        <w:numPr>
          <w:ilvl w:val="0"/>
          <w:numId w:val="0"/>
        </w:numPr>
        <w:kinsoku/>
        <w:wordWrap/>
        <w:overflowPunct/>
        <w:topLinePunct w:val="0"/>
        <w:autoSpaceDE/>
        <w:autoSpaceDN/>
        <w:bidi w:val="0"/>
        <w:adjustRightInd/>
        <w:snapToGrid/>
        <w:spacing w:line="480" w:lineRule="auto"/>
        <w:ind w:left="359" w:leftChars="0"/>
        <w:textAlignment w:val="auto"/>
        <w:rPr>
          <w:rFonts w:hint="eastAsia" w:hAnsi="宋体" w:cs="楷体"/>
          <w:b w:val="0"/>
          <w:bCs/>
          <w:sz w:val="21"/>
          <w:szCs w:val="21"/>
          <w:highlight w:val="none"/>
        </w:rPr>
      </w:pPr>
      <w:r>
        <w:rPr>
          <w:rFonts w:hint="eastAsia" w:hAnsi="宋体" w:cs="楷体"/>
          <w:b w:val="0"/>
          <w:bCs/>
          <w:sz w:val="21"/>
          <w:szCs w:val="21"/>
          <w:highlight w:val="none"/>
          <w:lang w:val="en-US" w:eastAsia="zh-CN"/>
        </w:rPr>
        <w:t>2.</w:t>
      </w:r>
      <w:r>
        <w:rPr>
          <w:rFonts w:hint="eastAsia" w:hAnsi="宋体" w:cs="楷体"/>
          <w:b w:val="0"/>
          <w:bCs/>
          <w:sz w:val="21"/>
          <w:szCs w:val="21"/>
          <w:highlight w:val="none"/>
        </w:rPr>
        <w:t>投标报价包括履行合同所需的全部工作费用。</w:t>
      </w:r>
    </w:p>
    <w:p w14:paraId="4A15E0DA">
      <w:pPr>
        <w:pStyle w:val="17"/>
        <w:keepNext w:val="0"/>
        <w:keepLines w:val="0"/>
        <w:pageBreakBefore w:val="0"/>
        <w:widowControl w:val="0"/>
        <w:numPr>
          <w:ilvl w:val="0"/>
          <w:numId w:val="0"/>
        </w:numPr>
        <w:kinsoku/>
        <w:wordWrap/>
        <w:overflowPunct/>
        <w:topLinePunct w:val="0"/>
        <w:autoSpaceDE/>
        <w:autoSpaceDN/>
        <w:bidi w:val="0"/>
        <w:adjustRightInd/>
        <w:snapToGrid/>
        <w:spacing w:line="480" w:lineRule="auto"/>
        <w:ind w:left="359" w:leftChars="0"/>
        <w:textAlignment w:val="auto"/>
        <w:rPr>
          <w:rFonts w:hint="eastAsia" w:hAnsi="宋体" w:cs="楷体"/>
          <w:b w:val="0"/>
          <w:bCs/>
          <w:sz w:val="21"/>
          <w:szCs w:val="21"/>
          <w:highlight w:val="none"/>
        </w:rPr>
      </w:pPr>
      <w:r>
        <w:rPr>
          <w:rFonts w:hint="eastAsia" w:hAnsi="宋体" w:cs="楷体"/>
          <w:b w:val="0"/>
          <w:bCs/>
          <w:sz w:val="21"/>
          <w:szCs w:val="21"/>
          <w:highlight w:val="none"/>
          <w:lang w:val="en-US" w:eastAsia="zh-CN"/>
        </w:rPr>
        <w:t>3.</w:t>
      </w:r>
      <w:r>
        <w:rPr>
          <w:rFonts w:hint="eastAsia" w:hAnsi="宋体" w:cs="楷体"/>
          <w:b w:val="0"/>
          <w:bCs/>
          <w:sz w:val="21"/>
          <w:szCs w:val="21"/>
          <w:highlight w:val="none"/>
        </w:rPr>
        <w:t>开标时，投标文件中开标一览表(报价表)内容与投标文件中明细表内容不一致的，以开标一览表(报价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5F4B091B">
      <w:pPr>
        <w:spacing w:line="360" w:lineRule="auto"/>
        <w:ind w:firstLine="2" w:firstLineChars="1"/>
        <w:rPr>
          <w:rFonts w:hint="eastAsia" w:ascii="宋体" w:hAnsi="宋体"/>
          <w:bCs/>
          <w:color w:val="auto"/>
          <w:sz w:val="21"/>
          <w:szCs w:val="21"/>
        </w:rPr>
      </w:pPr>
    </w:p>
    <w:p w14:paraId="2926FCE5">
      <w:pPr>
        <w:spacing w:line="360" w:lineRule="auto"/>
        <w:ind w:firstLine="2" w:firstLineChars="1"/>
        <w:rPr>
          <w:rFonts w:hint="eastAsia" w:ascii="宋体" w:hAnsi="宋体"/>
          <w:bCs/>
          <w:color w:val="auto"/>
          <w:sz w:val="21"/>
          <w:szCs w:val="21"/>
        </w:rPr>
      </w:pPr>
    </w:p>
    <w:p w14:paraId="1006D84F">
      <w:pPr>
        <w:spacing w:line="360" w:lineRule="auto"/>
        <w:ind w:firstLine="2" w:firstLineChars="1"/>
        <w:rPr>
          <w:rFonts w:hint="eastAsia" w:ascii="宋体" w:hAnsi="宋体"/>
          <w:bCs/>
          <w:color w:val="auto"/>
          <w:sz w:val="21"/>
          <w:szCs w:val="21"/>
        </w:rPr>
      </w:pPr>
    </w:p>
    <w:p w14:paraId="13EB3AF1">
      <w:pPr>
        <w:spacing w:line="360" w:lineRule="auto"/>
        <w:ind w:firstLine="2" w:firstLineChars="1"/>
        <w:rPr>
          <w:rFonts w:ascii="宋体" w:hAnsi="宋体"/>
          <w:bCs/>
          <w:color w:val="auto"/>
          <w:sz w:val="21"/>
          <w:szCs w:val="21"/>
        </w:rPr>
      </w:pPr>
      <w:r>
        <w:rPr>
          <w:rFonts w:hint="eastAsia" w:ascii="宋体" w:hAnsi="宋体"/>
          <w:bCs/>
          <w:color w:val="auto"/>
          <w:sz w:val="21"/>
          <w:szCs w:val="21"/>
        </w:rPr>
        <w:t>投标人：(加盖电子公章)</w:t>
      </w:r>
    </w:p>
    <w:p w14:paraId="281AEC0F">
      <w:pPr>
        <w:spacing w:line="360" w:lineRule="auto"/>
        <w:ind w:firstLine="2" w:firstLineChars="1"/>
        <w:rPr>
          <w:rFonts w:ascii="宋体" w:hAnsi="宋体"/>
          <w:bCs/>
          <w:color w:val="auto"/>
          <w:sz w:val="21"/>
          <w:szCs w:val="21"/>
          <w:u w:val="single"/>
        </w:rPr>
      </w:pPr>
      <w:r>
        <w:rPr>
          <w:rFonts w:hint="eastAsia" w:ascii="宋体" w:hAnsi="宋体"/>
          <w:bCs/>
          <w:color w:val="auto"/>
          <w:sz w:val="21"/>
          <w:szCs w:val="21"/>
        </w:rPr>
        <w:t>法定代表人：（电子签名或签章）</w:t>
      </w:r>
    </w:p>
    <w:p w14:paraId="57225BA0">
      <w:pPr>
        <w:spacing w:line="360" w:lineRule="auto"/>
        <w:ind w:firstLine="2" w:firstLineChars="1"/>
        <w:rPr>
          <w:rFonts w:hint="eastAsia" w:ascii="宋体" w:hAnsi="宋体"/>
          <w:bCs/>
          <w:color w:val="auto"/>
          <w:sz w:val="21"/>
          <w:szCs w:val="21"/>
        </w:rPr>
      </w:pPr>
      <w:r>
        <w:rPr>
          <w:rFonts w:hint="eastAsia" w:ascii="宋体" w:hAnsi="宋体"/>
          <w:bCs/>
          <w:color w:val="auto"/>
          <w:sz w:val="21"/>
          <w:szCs w:val="21"/>
        </w:rPr>
        <w:t>年  月  日</w:t>
      </w:r>
    </w:p>
    <w:p w14:paraId="40B9DD30">
      <w:pPr>
        <w:pStyle w:val="147"/>
        <w:snapToGrid w:val="0"/>
        <w:spacing w:before="0" w:after="0"/>
        <w:ind w:left="0" w:firstLine="0"/>
        <w:jc w:val="left"/>
        <w:rPr>
          <w:rFonts w:ascii="宋体" w:hAnsi="宋体"/>
          <w:sz w:val="24"/>
          <w:highlight w:val="none"/>
        </w:rPr>
      </w:pPr>
      <w:r>
        <w:rPr>
          <w:rFonts w:hint="eastAsia" w:hAnsi="宋体" w:cs="楷体"/>
          <w:b/>
          <w:sz w:val="24"/>
          <w:szCs w:val="24"/>
          <w:highlight w:val="none"/>
        </w:rPr>
        <w:br w:type="page"/>
      </w:r>
      <w:r>
        <w:rPr>
          <w:rFonts w:hint="eastAsia" w:ascii="宋体" w:hAnsi="宋体" w:eastAsia="宋体" w:cs="宋体"/>
          <w:b/>
          <w:sz w:val="24"/>
          <w:szCs w:val="24"/>
          <w:highlight w:val="none"/>
        </w:rPr>
        <w:t>格式2：</w:t>
      </w:r>
      <w:r>
        <w:rPr>
          <w:rFonts w:hint="eastAsia" w:ascii="宋体" w:hAnsi="宋体" w:eastAsia="宋体" w:cs="宋体"/>
          <w:sz w:val="24"/>
          <w:szCs w:val="20"/>
          <w:highlight w:val="none"/>
        </w:rPr>
        <w:t>分项报价表</w:t>
      </w:r>
    </w:p>
    <w:p w14:paraId="119DAF3B">
      <w:pPr>
        <w:spacing w:line="500" w:lineRule="exact"/>
        <w:jc w:val="center"/>
        <w:rPr>
          <w:rFonts w:ascii="宋体" w:hAnsi="宋体"/>
          <w:b/>
          <w:sz w:val="32"/>
          <w:highlight w:val="none"/>
        </w:rPr>
      </w:pPr>
      <w:r>
        <w:rPr>
          <w:rFonts w:hint="eastAsia" w:ascii="宋体" w:hAnsi="宋体"/>
          <w:b/>
          <w:sz w:val="32"/>
          <w:highlight w:val="none"/>
        </w:rPr>
        <w:t>分项报价表</w:t>
      </w:r>
    </w:p>
    <w:p w14:paraId="0521525B">
      <w:pPr>
        <w:snapToGrid w:val="0"/>
        <w:spacing w:line="360" w:lineRule="auto"/>
        <w:ind w:left="1400" w:hanging="1250" w:hangingChars="500"/>
        <w:rPr>
          <w:rFonts w:ascii="宋体" w:hAnsi="宋体"/>
          <w:b w:val="0"/>
          <w:bCs/>
          <w:spacing w:val="20"/>
          <w:sz w:val="21"/>
          <w:szCs w:val="21"/>
          <w:highlight w:val="none"/>
        </w:rPr>
      </w:pPr>
    </w:p>
    <w:p w14:paraId="628EB7D5">
      <w:pPr>
        <w:snapToGrid w:val="0"/>
        <w:spacing w:line="360" w:lineRule="auto"/>
        <w:ind w:left="1400" w:hanging="1250" w:hangingChars="500"/>
        <w:rPr>
          <w:rFonts w:ascii="宋体" w:hAnsi="宋体"/>
          <w:b w:val="0"/>
          <w:bCs/>
          <w:sz w:val="21"/>
          <w:szCs w:val="21"/>
          <w:highlight w:val="none"/>
        </w:rPr>
      </w:pPr>
      <w:r>
        <w:rPr>
          <w:rFonts w:hint="eastAsia" w:ascii="宋体" w:hAnsi="宋体"/>
          <w:b w:val="0"/>
          <w:bCs/>
          <w:spacing w:val="20"/>
          <w:sz w:val="21"/>
          <w:szCs w:val="21"/>
          <w:highlight w:val="none"/>
        </w:rPr>
        <w:t>项目名称：</w:t>
      </w:r>
      <w:r>
        <w:rPr>
          <w:rFonts w:hint="eastAsia" w:ascii="宋体" w:hAnsi="宋体"/>
          <w:b w:val="0"/>
          <w:bCs/>
          <w:sz w:val="21"/>
          <w:szCs w:val="21"/>
          <w:highlight w:val="none"/>
          <w:lang w:val="en-US" w:eastAsia="zh-CN"/>
        </w:rPr>
        <w:t xml:space="preserve"> </w:t>
      </w:r>
    </w:p>
    <w:p w14:paraId="0929ABEB">
      <w:pPr>
        <w:snapToGrid w:val="0"/>
        <w:spacing w:line="360" w:lineRule="auto"/>
        <w:ind w:left="1400" w:hanging="1250" w:hangingChars="500"/>
        <w:rPr>
          <w:rFonts w:hint="eastAsia" w:ascii="宋体" w:hAnsi="宋体" w:eastAsia="宋体"/>
          <w:b w:val="0"/>
          <w:bCs/>
          <w:spacing w:val="20"/>
          <w:sz w:val="21"/>
          <w:szCs w:val="21"/>
          <w:highlight w:val="none"/>
          <w:lang w:eastAsia="zh-CN"/>
        </w:rPr>
      </w:pPr>
      <w:r>
        <w:rPr>
          <w:rFonts w:hint="eastAsia" w:ascii="宋体" w:hAnsi="宋体"/>
          <w:b w:val="0"/>
          <w:bCs/>
          <w:spacing w:val="20"/>
          <w:sz w:val="21"/>
          <w:szCs w:val="21"/>
          <w:highlight w:val="none"/>
        </w:rPr>
        <w:t>项目编号：</w:t>
      </w:r>
      <w:r>
        <w:rPr>
          <w:rFonts w:hint="eastAsia" w:ascii="宋体" w:hAnsi="宋体"/>
          <w:b w:val="0"/>
          <w:bCs/>
          <w:spacing w:val="20"/>
          <w:sz w:val="21"/>
          <w:szCs w:val="21"/>
          <w:highlight w:val="none"/>
          <w:lang w:val="en-US" w:eastAsia="zh-CN"/>
        </w:rPr>
        <w:t xml:space="preserve"> </w:t>
      </w:r>
    </w:p>
    <w:p w14:paraId="39DC01CF">
      <w:pPr>
        <w:spacing w:line="500" w:lineRule="exact"/>
        <w:jc w:val="right"/>
        <w:rPr>
          <w:rFonts w:ascii="宋体" w:hAnsi="宋体"/>
          <w:b w:val="0"/>
          <w:bCs/>
          <w:sz w:val="21"/>
          <w:szCs w:val="21"/>
          <w:highlight w:val="none"/>
        </w:rPr>
      </w:pPr>
      <w:r>
        <w:rPr>
          <w:rFonts w:hint="eastAsia" w:ascii="宋体" w:hAnsi="宋体"/>
          <w:b w:val="0"/>
          <w:bCs/>
          <w:sz w:val="21"/>
          <w:szCs w:val="21"/>
          <w:highlight w:val="none"/>
        </w:rPr>
        <w:t>人民币/元</w:t>
      </w:r>
    </w:p>
    <w:tbl>
      <w:tblPr>
        <w:tblStyle w:val="35"/>
        <w:tblW w:w="85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4"/>
        <w:gridCol w:w="1586"/>
        <w:gridCol w:w="1675"/>
        <w:gridCol w:w="1122"/>
        <w:gridCol w:w="1064"/>
        <w:gridCol w:w="1241"/>
        <w:gridCol w:w="1168"/>
      </w:tblGrid>
      <w:tr w14:paraId="71AB0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10" w:hRule="atLeast"/>
          <w:jc w:val="center"/>
        </w:trPr>
        <w:tc>
          <w:tcPr>
            <w:tcW w:w="684" w:type="dxa"/>
            <w:tcBorders>
              <w:bottom w:val="single" w:color="000000" w:sz="4" w:space="0"/>
            </w:tcBorders>
            <w:noWrap w:val="0"/>
            <w:vAlign w:val="center"/>
          </w:tcPr>
          <w:p w14:paraId="618C3CD8">
            <w:pPr>
              <w:spacing w:line="500" w:lineRule="exact"/>
              <w:jc w:val="center"/>
              <w:rPr>
                <w:rFonts w:ascii="宋体" w:hAnsi="宋体"/>
                <w:b w:val="0"/>
                <w:bCs/>
                <w:sz w:val="21"/>
                <w:szCs w:val="21"/>
                <w:highlight w:val="none"/>
              </w:rPr>
            </w:pPr>
            <w:r>
              <w:rPr>
                <w:rFonts w:hint="eastAsia" w:ascii="宋体" w:hAnsi="宋体"/>
                <w:b w:val="0"/>
                <w:bCs/>
                <w:sz w:val="21"/>
                <w:szCs w:val="21"/>
                <w:highlight w:val="none"/>
              </w:rPr>
              <w:t>序号</w:t>
            </w:r>
          </w:p>
        </w:tc>
        <w:tc>
          <w:tcPr>
            <w:tcW w:w="1586" w:type="dxa"/>
            <w:tcBorders>
              <w:bottom w:val="single" w:color="000000" w:sz="4" w:space="0"/>
            </w:tcBorders>
            <w:noWrap w:val="0"/>
            <w:vAlign w:val="center"/>
          </w:tcPr>
          <w:p w14:paraId="0F940B1F">
            <w:pPr>
              <w:spacing w:line="500" w:lineRule="exact"/>
              <w:jc w:val="center"/>
              <w:rPr>
                <w:rFonts w:ascii="宋体" w:hAnsi="宋体"/>
                <w:b w:val="0"/>
                <w:bCs/>
                <w:sz w:val="21"/>
                <w:szCs w:val="21"/>
                <w:highlight w:val="none"/>
              </w:rPr>
            </w:pPr>
            <w:r>
              <w:rPr>
                <w:rFonts w:hint="eastAsia" w:ascii="宋体" w:hAnsi="宋体"/>
                <w:b w:val="0"/>
                <w:bCs/>
                <w:sz w:val="21"/>
                <w:szCs w:val="21"/>
                <w:highlight w:val="none"/>
              </w:rPr>
              <w:t>设备名称</w:t>
            </w:r>
          </w:p>
        </w:tc>
        <w:tc>
          <w:tcPr>
            <w:tcW w:w="1675" w:type="dxa"/>
            <w:tcBorders>
              <w:bottom w:val="single" w:color="000000" w:sz="4" w:space="0"/>
            </w:tcBorders>
            <w:noWrap w:val="0"/>
            <w:vAlign w:val="center"/>
          </w:tcPr>
          <w:p w14:paraId="7E2D61F3">
            <w:pPr>
              <w:spacing w:line="500" w:lineRule="exact"/>
              <w:jc w:val="center"/>
              <w:rPr>
                <w:rFonts w:ascii="宋体" w:hAnsi="宋体"/>
                <w:b w:val="0"/>
                <w:bCs/>
                <w:sz w:val="21"/>
                <w:szCs w:val="21"/>
                <w:highlight w:val="none"/>
              </w:rPr>
            </w:pPr>
            <w:r>
              <w:rPr>
                <w:rFonts w:hint="eastAsia" w:ascii="宋体" w:hAnsi="宋体"/>
                <w:b w:val="0"/>
                <w:bCs/>
                <w:sz w:val="21"/>
                <w:szCs w:val="21"/>
                <w:highlight w:val="none"/>
              </w:rPr>
              <w:t>品牌</w:t>
            </w:r>
          </w:p>
        </w:tc>
        <w:tc>
          <w:tcPr>
            <w:tcW w:w="1122" w:type="dxa"/>
            <w:tcBorders>
              <w:bottom w:val="single" w:color="000000" w:sz="4" w:space="0"/>
            </w:tcBorders>
            <w:noWrap w:val="0"/>
            <w:vAlign w:val="center"/>
          </w:tcPr>
          <w:p w14:paraId="3EBEE2C7">
            <w:pPr>
              <w:spacing w:line="500" w:lineRule="exact"/>
              <w:jc w:val="center"/>
              <w:rPr>
                <w:rFonts w:ascii="宋体" w:hAnsi="宋体"/>
                <w:b w:val="0"/>
                <w:bCs/>
                <w:sz w:val="21"/>
                <w:szCs w:val="21"/>
                <w:highlight w:val="none"/>
              </w:rPr>
            </w:pPr>
            <w:r>
              <w:rPr>
                <w:rFonts w:hint="eastAsia" w:ascii="宋体" w:hAnsi="宋体"/>
                <w:b w:val="0"/>
                <w:bCs/>
                <w:sz w:val="21"/>
                <w:szCs w:val="21"/>
                <w:highlight w:val="none"/>
                <w:lang w:val="en-US" w:eastAsia="zh-CN"/>
              </w:rPr>
              <w:t>规格</w:t>
            </w:r>
            <w:r>
              <w:rPr>
                <w:rFonts w:hint="eastAsia" w:ascii="宋体" w:hAnsi="宋体"/>
                <w:b w:val="0"/>
                <w:bCs/>
                <w:sz w:val="21"/>
                <w:szCs w:val="21"/>
                <w:highlight w:val="none"/>
              </w:rPr>
              <w:t>型号</w:t>
            </w:r>
          </w:p>
        </w:tc>
        <w:tc>
          <w:tcPr>
            <w:tcW w:w="1064" w:type="dxa"/>
            <w:tcBorders>
              <w:bottom w:val="single" w:color="000000" w:sz="4" w:space="0"/>
              <w:right w:val="single" w:color="auto" w:sz="4" w:space="0"/>
            </w:tcBorders>
            <w:noWrap w:val="0"/>
            <w:vAlign w:val="center"/>
          </w:tcPr>
          <w:p w14:paraId="58A7417C">
            <w:pPr>
              <w:spacing w:line="500" w:lineRule="exact"/>
              <w:jc w:val="center"/>
              <w:rPr>
                <w:rFonts w:hint="default" w:ascii="宋体" w:hAnsi="宋体" w:eastAsia="宋体"/>
                <w:b w:val="0"/>
                <w:bCs/>
                <w:sz w:val="21"/>
                <w:szCs w:val="21"/>
                <w:highlight w:val="none"/>
                <w:lang w:val="en-US" w:eastAsia="zh-CN"/>
              </w:rPr>
            </w:pPr>
            <w:r>
              <w:rPr>
                <w:rFonts w:hint="eastAsia" w:ascii="宋体" w:hAnsi="宋体"/>
                <w:b w:val="0"/>
                <w:bCs/>
                <w:sz w:val="21"/>
                <w:szCs w:val="21"/>
                <w:highlight w:val="none"/>
                <w:lang w:val="en-US" w:eastAsia="zh-CN"/>
              </w:rPr>
              <w:t>数量</w:t>
            </w:r>
          </w:p>
        </w:tc>
        <w:tc>
          <w:tcPr>
            <w:tcW w:w="1241" w:type="dxa"/>
            <w:tcBorders>
              <w:left w:val="single" w:color="auto" w:sz="4" w:space="0"/>
              <w:bottom w:val="single" w:color="000000" w:sz="4" w:space="0"/>
              <w:right w:val="single" w:color="auto" w:sz="4" w:space="0"/>
            </w:tcBorders>
            <w:noWrap w:val="0"/>
            <w:vAlign w:val="center"/>
          </w:tcPr>
          <w:p w14:paraId="00C7D0E6">
            <w:pPr>
              <w:spacing w:line="500" w:lineRule="exact"/>
              <w:jc w:val="center"/>
              <w:rPr>
                <w:rFonts w:ascii="宋体" w:hAnsi="宋体"/>
                <w:b w:val="0"/>
                <w:bCs/>
                <w:sz w:val="21"/>
                <w:szCs w:val="21"/>
                <w:highlight w:val="none"/>
              </w:rPr>
            </w:pPr>
            <w:r>
              <w:rPr>
                <w:rFonts w:hint="eastAsia" w:ascii="宋体" w:hAnsi="宋体"/>
                <w:b w:val="0"/>
                <w:bCs/>
                <w:sz w:val="21"/>
                <w:szCs w:val="21"/>
                <w:highlight w:val="none"/>
              </w:rPr>
              <w:t>单价</w:t>
            </w:r>
          </w:p>
        </w:tc>
        <w:tc>
          <w:tcPr>
            <w:tcW w:w="1168" w:type="dxa"/>
            <w:tcBorders>
              <w:left w:val="single" w:color="auto" w:sz="4" w:space="0"/>
              <w:bottom w:val="single" w:color="000000" w:sz="4" w:space="0"/>
              <w:right w:val="single" w:color="auto" w:sz="4" w:space="0"/>
            </w:tcBorders>
            <w:noWrap w:val="0"/>
            <w:vAlign w:val="center"/>
          </w:tcPr>
          <w:p w14:paraId="7313E952">
            <w:pPr>
              <w:spacing w:line="500" w:lineRule="exact"/>
              <w:jc w:val="center"/>
              <w:rPr>
                <w:rFonts w:ascii="宋体" w:hAnsi="宋体"/>
                <w:b w:val="0"/>
                <w:bCs/>
                <w:sz w:val="21"/>
                <w:szCs w:val="21"/>
                <w:highlight w:val="none"/>
              </w:rPr>
            </w:pPr>
            <w:r>
              <w:rPr>
                <w:rFonts w:hint="eastAsia" w:ascii="宋体" w:hAnsi="宋体"/>
                <w:b w:val="0"/>
                <w:bCs/>
                <w:sz w:val="21"/>
                <w:szCs w:val="21"/>
                <w:highlight w:val="none"/>
              </w:rPr>
              <w:t>总价</w:t>
            </w:r>
          </w:p>
        </w:tc>
      </w:tr>
      <w:tr w14:paraId="44616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3" w:hRule="atLeast"/>
          <w:jc w:val="center"/>
        </w:trPr>
        <w:tc>
          <w:tcPr>
            <w:tcW w:w="8540" w:type="dxa"/>
            <w:gridSpan w:val="7"/>
            <w:tcBorders>
              <w:top w:val="single" w:color="000000" w:sz="4" w:space="0"/>
              <w:bottom w:val="single" w:color="000000" w:sz="4" w:space="0"/>
              <w:right w:val="single" w:color="auto" w:sz="4" w:space="0"/>
            </w:tcBorders>
            <w:noWrap w:val="0"/>
            <w:vAlign w:val="center"/>
          </w:tcPr>
          <w:p w14:paraId="4A76688E">
            <w:pPr>
              <w:spacing w:line="500" w:lineRule="exact"/>
              <w:jc w:val="center"/>
              <w:rPr>
                <w:rFonts w:ascii="宋体" w:hAnsi="宋体"/>
                <w:b w:val="0"/>
                <w:bCs/>
                <w:sz w:val="21"/>
                <w:szCs w:val="21"/>
                <w:highlight w:val="none"/>
              </w:rPr>
            </w:pPr>
            <w:r>
              <w:rPr>
                <w:rFonts w:hint="eastAsia" w:ascii="宋体" w:hAnsi="宋体" w:eastAsia="宋体" w:cs="宋体"/>
                <w:b w:val="0"/>
                <w:bCs w:val="0"/>
                <w:i w:val="0"/>
                <w:iCs w:val="0"/>
                <w:color w:val="000000"/>
                <w:kern w:val="0"/>
                <w:sz w:val="24"/>
                <w:szCs w:val="24"/>
                <w:u w:val="none"/>
                <w:lang w:val="en-US" w:eastAsia="zh-CN" w:bidi="ar"/>
              </w:rPr>
              <w:t>网络设备</w:t>
            </w:r>
          </w:p>
        </w:tc>
      </w:tr>
      <w:tr w14:paraId="7E081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3" w:hRule="atLeast"/>
          <w:jc w:val="center"/>
        </w:trPr>
        <w:tc>
          <w:tcPr>
            <w:tcW w:w="684" w:type="dxa"/>
            <w:tcBorders>
              <w:top w:val="single" w:color="000000" w:sz="4" w:space="0"/>
              <w:bottom w:val="single" w:color="000000" w:sz="4" w:space="0"/>
            </w:tcBorders>
            <w:noWrap w:val="0"/>
            <w:vAlign w:val="center"/>
          </w:tcPr>
          <w:p w14:paraId="3B18882F">
            <w:pPr>
              <w:spacing w:line="500" w:lineRule="exact"/>
              <w:jc w:val="center"/>
              <w:rPr>
                <w:rFonts w:ascii="宋体" w:hAnsi="宋体"/>
                <w:b w:val="0"/>
                <w:bCs/>
                <w:sz w:val="21"/>
                <w:szCs w:val="21"/>
                <w:highlight w:val="none"/>
              </w:rPr>
            </w:pPr>
            <w:r>
              <w:rPr>
                <w:rFonts w:hint="eastAsia" w:ascii="宋体" w:hAnsi="宋体"/>
                <w:b w:val="0"/>
                <w:bCs/>
                <w:sz w:val="21"/>
                <w:szCs w:val="21"/>
                <w:highlight w:val="none"/>
              </w:rPr>
              <w:t>1</w:t>
            </w:r>
          </w:p>
        </w:tc>
        <w:tc>
          <w:tcPr>
            <w:tcW w:w="1586" w:type="dxa"/>
            <w:tcBorders>
              <w:top w:val="single" w:color="000000" w:sz="4" w:space="0"/>
              <w:bottom w:val="single" w:color="000000" w:sz="4" w:space="0"/>
            </w:tcBorders>
            <w:noWrap w:val="0"/>
            <w:vAlign w:val="center"/>
          </w:tcPr>
          <w:p w14:paraId="32FD0699">
            <w:pPr>
              <w:spacing w:line="500" w:lineRule="exact"/>
              <w:jc w:val="center"/>
              <w:rPr>
                <w:rFonts w:ascii="宋体" w:hAnsi="宋体"/>
                <w:b w:val="0"/>
                <w:bCs/>
                <w:sz w:val="21"/>
                <w:szCs w:val="21"/>
                <w:highlight w:val="none"/>
              </w:rPr>
            </w:pPr>
          </w:p>
        </w:tc>
        <w:tc>
          <w:tcPr>
            <w:tcW w:w="1675" w:type="dxa"/>
            <w:tcBorders>
              <w:top w:val="single" w:color="000000" w:sz="4" w:space="0"/>
              <w:bottom w:val="single" w:color="000000" w:sz="4" w:space="0"/>
            </w:tcBorders>
            <w:noWrap w:val="0"/>
            <w:vAlign w:val="center"/>
          </w:tcPr>
          <w:p w14:paraId="5C7AF1EA">
            <w:pPr>
              <w:spacing w:line="500" w:lineRule="exact"/>
              <w:jc w:val="center"/>
              <w:rPr>
                <w:rFonts w:ascii="宋体" w:hAnsi="宋体"/>
                <w:b w:val="0"/>
                <w:bCs/>
                <w:sz w:val="21"/>
                <w:szCs w:val="21"/>
                <w:highlight w:val="none"/>
              </w:rPr>
            </w:pPr>
          </w:p>
        </w:tc>
        <w:tc>
          <w:tcPr>
            <w:tcW w:w="1122" w:type="dxa"/>
            <w:tcBorders>
              <w:top w:val="single" w:color="000000" w:sz="4" w:space="0"/>
              <w:bottom w:val="single" w:color="000000" w:sz="4" w:space="0"/>
            </w:tcBorders>
            <w:noWrap w:val="0"/>
            <w:vAlign w:val="center"/>
          </w:tcPr>
          <w:p w14:paraId="4A35C063">
            <w:pPr>
              <w:spacing w:line="500" w:lineRule="exact"/>
              <w:jc w:val="center"/>
              <w:rPr>
                <w:rFonts w:ascii="宋体" w:hAnsi="宋体"/>
                <w:b w:val="0"/>
                <w:bCs/>
                <w:sz w:val="21"/>
                <w:szCs w:val="21"/>
                <w:highlight w:val="none"/>
              </w:rPr>
            </w:pPr>
          </w:p>
        </w:tc>
        <w:tc>
          <w:tcPr>
            <w:tcW w:w="1064" w:type="dxa"/>
            <w:tcBorders>
              <w:top w:val="single" w:color="000000" w:sz="4" w:space="0"/>
              <w:bottom w:val="single" w:color="000000" w:sz="4" w:space="0"/>
              <w:right w:val="single" w:color="auto" w:sz="4" w:space="0"/>
            </w:tcBorders>
            <w:noWrap w:val="0"/>
            <w:vAlign w:val="center"/>
          </w:tcPr>
          <w:p w14:paraId="3FC1009C">
            <w:pPr>
              <w:spacing w:line="500" w:lineRule="exact"/>
              <w:jc w:val="center"/>
              <w:rPr>
                <w:rFonts w:ascii="宋体" w:hAnsi="宋体"/>
                <w:b w:val="0"/>
                <w:bCs/>
                <w:sz w:val="21"/>
                <w:szCs w:val="21"/>
                <w:highlight w:val="none"/>
              </w:rPr>
            </w:pPr>
          </w:p>
        </w:tc>
        <w:tc>
          <w:tcPr>
            <w:tcW w:w="1241" w:type="dxa"/>
            <w:tcBorders>
              <w:top w:val="single" w:color="000000" w:sz="4" w:space="0"/>
              <w:left w:val="single" w:color="auto" w:sz="4" w:space="0"/>
              <w:bottom w:val="single" w:color="000000" w:sz="4" w:space="0"/>
              <w:right w:val="single" w:color="auto" w:sz="4" w:space="0"/>
            </w:tcBorders>
            <w:noWrap w:val="0"/>
            <w:vAlign w:val="center"/>
          </w:tcPr>
          <w:p w14:paraId="0BF56B39">
            <w:pPr>
              <w:spacing w:line="500" w:lineRule="exact"/>
              <w:jc w:val="center"/>
              <w:rPr>
                <w:rFonts w:ascii="宋体" w:hAnsi="宋体"/>
                <w:b w:val="0"/>
                <w:bCs/>
                <w:sz w:val="21"/>
                <w:szCs w:val="21"/>
                <w:highlight w:val="none"/>
              </w:rPr>
            </w:pPr>
          </w:p>
        </w:tc>
        <w:tc>
          <w:tcPr>
            <w:tcW w:w="1168" w:type="dxa"/>
            <w:tcBorders>
              <w:top w:val="single" w:color="000000" w:sz="4" w:space="0"/>
              <w:left w:val="single" w:color="auto" w:sz="4" w:space="0"/>
              <w:bottom w:val="single" w:color="000000" w:sz="4" w:space="0"/>
              <w:right w:val="single" w:color="auto" w:sz="4" w:space="0"/>
            </w:tcBorders>
            <w:noWrap w:val="0"/>
            <w:vAlign w:val="center"/>
          </w:tcPr>
          <w:p w14:paraId="7F9CFF41">
            <w:pPr>
              <w:spacing w:line="500" w:lineRule="exact"/>
              <w:jc w:val="center"/>
              <w:rPr>
                <w:rFonts w:ascii="宋体" w:hAnsi="宋体"/>
                <w:b w:val="0"/>
                <w:bCs/>
                <w:sz w:val="21"/>
                <w:szCs w:val="21"/>
                <w:highlight w:val="none"/>
              </w:rPr>
            </w:pPr>
          </w:p>
        </w:tc>
      </w:tr>
      <w:tr w14:paraId="5E0EC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9" w:hRule="atLeast"/>
          <w:jc w:val="center"/>
        </w:trPr>
        <w:tc>
          <w:tcPr>
            <w:tcW w:w="684" w:type="dxa"/>
            <w:tcBorders>
              <w:top w:val="single" w:color="000000" w:sz="4" w:space="0"/>
              <w:bottom w:val="single" w:color="000000" w:sz="4" w:space="0"/>
            </w:tcBorders>
            <w:noWrap w:val="0"/>
            <w:vAlign w:val="center"/>
          </w:tcPr>
          <w:p w14:paraId="5C842FE0">
            <w:pPr>
              <w:spacing w:line="500" w:lineRule="exact"/>
              <w:jc w:val="center"/>
              <w:rPr>
                <w:rFonts w:ascii="宋体" w:hAnsi="宋体"/>
                <w:b w:val="0"/>
                <w:bCs/>
                <w:sz w:val="21"/>
                <w:szCs w:val="21"/>
                <w:highlight w:val="none"/>
              </w:rPr>
            </w:pPr>
            <w:r>
              <w:rPr>
                <w:rFonts w:hint="eastAsia" w:ascii="宋体" w:hAnsi="宋体"/>
                <w:b w:val="0"/>
                <w:bCs/>
                <w:sz w:val="21"/>
                <w:szCs w:val="21"/>
                <w:highlight w:val="none"/>
              </w:rPr>
              <w:t>2</w:t>
            </w:r>
          </w:p>
        </w:tc>
        <w:tc>
          <w:tcPr>
            <w:tcW w:w="1586" w:type="dxa"/>
            <w:tcBorders>
              <w:top w:val="single" w:color="000000" w:sz="4" w:space="0"/>
              <w:bottom w:val="single" w:color="000000" w:sz="4" w:space="0"/>
            </w:tcBorders>
            <w:noWrap w:val="0"/>
            <w:vAlign w:val="center"/>
          </w:tcPr>
          <w:p w14:paraId="34102E02">
            <w:pPr>
              <w:spacing w:line="500" w:lineRule="exact"/>
              <w:jc w:val="center"/>
              <w:rPr>
                <w:rFonts w:ascii="宋体" w:hAnsi="宋体"/>
                <w:b w:val="0"/>
                <w:bCs/>
                <w:sz w:val="21"/>
                <w:szCs w:val="21"/>
                <w:highlight w:val="none"/>
              </w:rPr>
            </w:pPr>
          </w:p>
        </w:tc>
        <w:tc>
          <w:tcPr>
            <w:tcW w:w="1675" w:type="dxa"/>
            <w:tcBorders>
              <w:top w:val="single" w:color="000000" w:sz="4" w:space="0"/>
              <w:bottom w:val="single" w:color="000000" w:sz="4" w:space="0"/>
            </w:tcBorders>
            <w:noWrap w:val="0"/>
            <w:vAlign w:val="center"/>
          </w:tcPr>
          <w:p w14:paraId="2344F90B">
            <w:pPr>
              <w:spacing w:line="500" w:lineRule="exact"/>
              <w:jc w:val="center"/>
              <w:rPr>
                <w:rFonts w:ascii="宋体" w:hAnsi="宋体"/>
                <w:b w:val="0"/>
                <w:bCs/>
                <w:sz w:val="21"/>
                <w:szCs w:val="21"/>
                <w:highlight w:val="none"/>
              </w:rPr>
            </w:pPr>
          </w:p>
        </w:tc>
        <w:tc>
          <w:tcPr>
            <w:tcW w:w="1122" w:type="dxa"/>
            <w:tcBorders>
              <w:top w:val="single" w:color="000000" w:sz="4" w:space="0"/>
              <w:bottom w:val="single" w:color="000000" w:sz="4" w:space="0"/>
            </w:tcBorders>
            <w:noWrap w:val="0"/>
            <w:vAlign w:val="center"/>
          </w:tcPr>
          <w:p w14:paraId="733CD750">
            <w:pPr>
              <w:spacing w:line="500" w:lineRule="exact"/>
              <w:jc w:val="center"/>
              <w:rPr>
                <w:rFonts w:ascii="宋体" w:hAnsi="宋体"/>
                <w:b w:val="0"/>
                <w:bCs/>
                <w:sz w:val="21"/>
                <w:szCs w:val="21"/>
                <w:highlight w:val="none"/>
              </w:rPr>
            </w:pPr>
          </w:p>
        </w:tc>
        <w:tc>
          <w:tcPr>
            <w:tcW w:w="1064" w:type="dxa"/>
            <w:tcBorders>
              <w:top w:val="single" w:color="000000" w:sz="4" w:space="0"/>
              <w:bottom w:val="single" w:color="000000" w:sz="4" w:space="0"/>
              <w:right w:val="single" w:color="auto" w:sz="4" w:space="0"/>
            </w:tcBorders>
            <w:noWrap w:val="0"/>
            <w:vAlign w:val="center"/>
          </w:tcPr>
          <w:p w14:paraId="4F1526C8">
            <w:pPr>
              <w:spacing w:line="500" w:lineRule="exact"/>
              <w:jc w:val="center"/>
              <w:rPr>
                <w:rFonts w:ascii="宋体" w:hAnsi="宋体"/>
                <w:b w:val="0"/>
                <w:bCs/>
                <w:sz w:val="21"/>
                <w:szCs w:val="21"/>
                <w:highlight w:val="none"/>
              </w:rPr>
            </w:pPr>
          </w:p>
        </w:tc>
        <w:tc>
          <w:tcPr>
            <w:tcW w:w="1241" w:type="dxa"/>
            <w:tcBorders>
              <w:top w:val="single" w:color="000000" w:sz="4" w:space="0"/>
              <w:left w:val="single" w:color="auto" w:sz="4" w:space="0"/>
              <w:bottom w:val="single" w:color="000000" w:sz="4" w:space="0"/>
              <w:right w:val="single" w:color="auto" w:sz="4" w:space="0"/>
            </w:tcBorders>
            <w:noWrap w:val="0"/>
            <w:vAlign w:val="center"/>
          </w:tcPr>
          <w:p w14:paraId="0675811B">
            <w:pPr>
              <w:widowControl/>
              <w:spacing w:line="500" w:lineRule="exact"/>
              <w:jc w:val="center"/>
              <w:rPr>
                <w:rFonts w:ascii="宋体" w:hAnsi="宋体"/>
                <w:b w:val="0"/>
                <w:bCs/>
                <w:sz w:val="21"/>
                <w:szCs w:val="21"/>
                <w:highlight w:val="none"/>
              </w:rPr>
            </w:pPr>
          </w:p>
        </w:tc>
        <w:tc>
          <w:tcPr>
            <w:tcW w:w="1168" w:type="dxa"/>
            <w:tcBorders>
              <w:top w:val="single" w:color="000000" w:sz="4" w:space="0"/>
              <w:left w:val="single" w:color="auto" w:sz="4" w:space="0"/>
              <w:bottom w:val="single" w:color="000000" w:sz="4" w:space="0"/>
              <w:right w:val="single" w:color="auto" w:sz="4" w:space="0"/>
            </w:tcBorders>
            <w:noWrap w:val="0"/>
            <w:vAlign w:val="center"/>
          </w:tcPr>
          <w:p w14:paraId="7AE04E30">
            <w:pPr>
              <w:spacing w:line="500" w:lineRule="exact"/>
              <w:jc w:val="center"/>
              <w:rPr>
                <w:rFonts w:ascii="宋体" w:hAnsi="宋体"/>
                <w:b w:val="0"/>
                <w:bCs/>
                <w:sz w:val="21"/>
                <w:szCs w:val="21"/>
                <w:highlight w:val="none"/>
              </w:rPr>
            </w:pPr>
          </w:p>
        </w:tc>
      </w:tr>
      <w:tr w14:paraId="585F1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9" w:hRule="atLeast"/>
          <w:jc w:val="center"/>
        </w:trPr>
        <w:tc>
          <w:tcPr>
            <w:tcW w:w="684" w:type="dxa"/>
            <w:tcBorders>
              <w:top w:val="single" w:color="000000" w:sz="4" w:space="0"/>
              <w:bottom w:val="single" w:color="000000" w:sz="4" w:space="0"/>
            </w:tcBorders>
            <w:noWrap w:val="0"/>
            <w:vAlign w:val="center"/>
          </w:tcPr>
          <w:p w14:paraId="0209DC50">
            <w:pPr>
              <w:spacing w:line="500" w:lineRule="exact"/>
              <w:jc w:val="center"/>
              <w:rPr>
                <w:rFonts w:ascii="宋体" w:hAnsi="宋体"/>
                <w:b w:val="0"/>
                <w:bCs/>
                <w:sz w:val="21"/>
                <w:szCs w:val="21"/>
                <w:highlight w:val="none"/>
              </w:rPr>
            </w:pPr>
            <w:r>
              <w:rPr>
                <w:rFonts w:hint="eastAsia" w:ascii="宋体" w:hAnsi="宋体"/>
                <w:b w:val="0"/>
                <w:bCs/>
                <w:sz w:val="21"/>
                <w:szCs w:val="21"/>
                <w:highlight w:val="none"/>
              </w:rPr>
              <w:t>3</w:t>
            </w:r>
          </w:p>
        </w:tc>
        <w:tc>
          <w:tcPr>
            <w:tcW w:w="1586" w:type="dxa"/>
            <w:tcBorders>
              <w:top w:val="single" w:color="000000" w:sz="4" w:space="0"/>
              <w:bottom w:val="single" w:color="000000" w:sz="4" w:space="0"/>
            </w:tcBorders>
            <w:noWrap w:val="0"/>
            <w:vAlign w:val="center"/>
          </w:tcPr>
          <w:p w14:paraId="550368B8">
            <w:pPr>
              <w:spacing w:line="500" w:lineRule="exact"/>
              <w:jc w:val="center"/>
              <w:rPr>
                <w:rFonts w:ascii="宋体" w:hAnsi="宋体"/>
                <w:b w:val="0"/>
                <w:bCs/>
                <w:sz w:val="21"/>
                <w:szCs w:val="21"/>
                <w:highlight w:val="none"/>
              </w:rPr>
            </w:pPr>
          </w:p>
        </w:tc>
        <w:tc>
          <w:tcPr>
            <w:tcW w:w="1675" w:type="dxa"/>
            <w:tcBorders>
              <w:top w:val="single" w:color="000000" w:sz="4" w:space="0"/>
              <w:bottom w:val="single" w:color="000000" w:sz="4" w:space="0"/>
            </w:tcBorders>
            <w:noWrap w:val="0"/>
            <w:vAlign w:val="center"/>
          </w:tcPr>
          <w:p w14:paraId="493212D3">
            <w:pPr>
              <w:spacing w:line="500" w:lineRule="exact"/>
              <w:jc w:val="center"/>
              <w:rPr>
                <w:rFonts w:ascii="宋体" w:hAnsi="宋体"/>
                <w:b w:val="0"/>
                <w:bCs/>
                <w:sz w:val="21"/>
                <w:szCs w:val="21"/>
                <w:highlight w:val="none"/>
              </w:rPr>
            </w:pPr>
          </w:p>
        </w:tc>
        <w:tc>
          <w:tcPr>
            <w:tcW w:w="1122" w:type="dxa"/>
            <w:tcBorders>
              <w:top w:val="single" w:color="000000" w:sz="4" w:space="0"/>
              <w:bottom w:val="single" w:color="000000" w:sz="4" w:space="0"/>
            </w:tcBorders>
            <w:noWrap w:val="0"/>
            <w:vAlign w:val="center"/>
          </w:tcPr>
          <w:p w14:paraId="171F8D40">
            <w:pPr>
              <w:spacing w:line="500" w:lineRule="exact"/>
              <w:jc w:val="center"/>
              <w:rPr>
                <w:rFonts w:ascii="宋体" w:hAnsi="宋体"/>
                <w:b w:val="0"/>
                <w:bCs/>
                <w:sz w:val="21"/>
                <w:szCs w:val="21"/>
                <w:highlight w:val="none"/>
              </w:rPr>
            </w:pPr>
          </w:p>
        </w:tc>
        <w:tc>
          <w:tcPr>
            <w:tcW w:w="1064" w:type="dxa"/>
            <w:tcBorders>
              <w:top w:val="single" w:color="000000" w:sz="4" w:space="0"/>
              <w:bottom w:val="single" w:color="000000" w:sz="4" w:space="0"/>
              <w:right w:val="single" w:color="auto" w:sz="4" w:space="0"/>
            </w:tcBorders>
            <w:noWrap w:val="0"/>
            <w:vAlign w:val="center"/>
          </w:tcPr>
          <w:p w14:paraId="4702F7A1">
            <w:pPr>
              <w:spacing w:line="500" w:lineRule="exact"/>
              <w:jc w:val="center"/>
              <w:rPr>
                <w:rFonts w:ascii="宋体" w:hAnsi="宋体"/>
                <w:b w:val="0"/>
                <w:bCs/>
                <w:sz w:val="21"/>
                <w:szCs w:val="21"/>
                <w:highlight w:val="none"/>
              </w:rPr>
            </w:pPr>
          </w:p>
        </w:tc>
        <w:tc>
          <w:tcPr>
            <w:tcW w:w="1241" w:type="dxa"/>
            <w:tcBorders>
              <w:top w:val="single" w:color="000000" w:sz="4" w:space="0"/>
              <w:left w:val="single" w:color="auto" w:sz="4" w:space="0"/>
              <w:bottom w:val="single" w:color="000000" w:sz="4" w:space="0"/>
              <w:right w:val="single" w:color="auto" w:sz="4" w:space="0"/>
            </w:tcBorders>
            <w:noWrap w:val="0"/>
            <w:vAlign w:val="center"/>
          </w:tcPr>
          <w:p w14:paraId="170CF2E0">
            <w:pPr>
              <w:widowControl/>
              <w:spacing w:line="500" w:lineRule="exact"/>
              <w:jc w:val="center"/>
              <w:rPr>
                <w:rFonts w:ascii="宋体" w:hAnsi="宋体"/>
                <w:b w:val="0"/>
                <w:bCs/>
                <w:sz w:val="21"/>
                <w:szCs w:val="21"/>
                <w:highlight w:val="none"/>
              </w:rPr>
            </w:pPr>
          </w:p>
        </w:tc>
        <w:tc>
          <w:tcPr>
            <w:tcW w:w="1168" w:type="dxa"/>
            <w:tcBorders>
              <w:top w:val="single" w:color="000000" w:sz="4" w:space="0"/>
              <w:left w:val="single" w:color="auto" w:sz="4" w:space="0"/>
              <w:bottom w:val="single" w:color="000000" w:sz="4" w:space="0"/>
              <w:right w:val="single" w:color="auto" w:sz="4" w:space="0"/>
            </w:tcBorders>
            <w:noWrap w:val="0"/>
            <w:vAlign w:val="center"/>
          </w:tcPr>
          <w:p w14:paraId="0CA07D30">
            <w:pPr>
              <w:spacing w:line="500" w:lineRule="exact"/>
              <w:jc w:val="center"/>
              <w:rPr>
                <w:rFonts w:ascii="宋体" w:hAnsi="宋体"/>
                <w:b w:val="0"/>
                <w:bCs/>
                <w:sz w:val="21"/>
                <w:szCs w:val="21"/>
                <w:highlight w:val="none"/>
              </w:rPr>
            </w:pPr>
          </w:p>
        </w:tc>
      </w:tr>
      <w:tr w14:paraId="11E15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9" w:hRule="atLeast"/>
          <w:jc w:val="center"/>
        </w:trPr>
        <w:tc>
          <w:tcPr>
            <w:tcW w:w="684" w:type="dxa"/>
            <w:tcBorders>
              <w:top w:val="single" w:color="000000" w:sz="4" w:space="0"/>
              <w:bottom w:val="single" w:color="000000" w:sz="4" w:space="0"/>
            </w:tcBorders>
            <w:noWrap w:val="0"/>
            <w:vAlign w:val="center"/>
          </w:tcPr>
          <w:p w14:paraId="4531A3A9">
            <w:pPr>
              <w:spacing w:line="500" w:lineRule="exact"/>
              <w:jc w:val="center"/>
              <w:rPr>
                <w:rFonts w:ascii="宋体" w:hAnsi="宋体"/>
                <w:b w:val="0"/>
                <w:bCs/>
                <w:sz w:val="21"/>
                <w:szCs w:val="21"/>
                <w:highlight w:val="none"/>
              </w:rPr>
            </w:pPr>
            <w:r>
              <w:rPr>
                <w:rFonts w:hint="eastAsia" w:ascii="宋体" w:hAnsi="宋体"/>
                <w:b w:val="0"/>
                <w:bCs/>
                <w:sz w:val="21"/>
                <w:szCs w:val="21"/>
                <w:highlight w:val="none"/>
              </w:rPr>
              <w:t>4</w:t>
            </w:r>
          </w:p>
        </w:tc>
        <w:tc>
          <w:tcPr>
            <w:tcW w:w="1586" w:type="dxa"/>
            <w:tcBorders>
              <w:top w:val="single" w:color="000000" w:sz="4" w:space="0"/>
              <w:bottom w:val="single" w:color="000000" w:sz="4" w:space="0"/>
            </w:tcBorders>
            <w:noWrap w:val="0"/>
            <w:vAlign w:val="center"/>
          </w:tcPr>
          <w:p w14:paraId="796D7AFC">
            <w:pPr>
              <w:spacing w:line="500" w:lineRule="exact"/>
              <w:jc w:val="center"/>
              <w:rPr>
                <w:rFonts w:ascii="宋体" w:hAnsi="宋体"/>
                <w:b w:val="0"/>
                <w:bCs/>
                <w:sz w:val="21"/>
                <w:szCs w:val="21"/>
                <w:highlight w:val="none"/>
              </w:rPr>
            </w:pPr>
          </w:p>
        </w:tc>
        <w:tc>
          <w:tcPr>
            <w:tcW w:w="1675" w:type="dxa"/>
            <w:tcBorders>
              <w:top w:val="single" w:color="000000" w:sz="4" w:space="0"/>
              <w:bottom w:val="single" w:color="000000" w:sz="4" w:space="0"/>
            </w:tcBorders>
            <w:noWrap w:val="0"/>
            <w:vAlign w:val="center"/>
          </w:tcPr>
          <w:p w14:paraId="1EB3414F">
            <w:pPr>
              <w:spacing w:line="500" w:lineRule="exact"/>
              <w:jc w:val="center"/>
              <w:rPr>
                <w:rFonts w:ascii="宋体" w:hAnsi="宋体"/>
                <w:b w:val="0"/>
                <w:bCs/>
                <w:sz w:val="21"/>
                <w:szCs w:val="21"/>
                <w:highlight w:val="none"/>
              </w:rPr>
            </w:pPr>
          </w:p>
        </w:tc>
        <w:tc>
          <w:tcPr>
            <w:tcW w:w="1122" w:type="dxa"/>
            <w:tcBorders>
              <w:top w:val="single" w:color="000000" w:sz="4" w:space="0"/>
              <w:bottom w:val="single" w:color="000000" w:sz="4" w:space="0"/>
            </w:tcBorders>
            <w:noWrap w:val="0"/>
            <w:vAlign w:val="center"/>
          </w:tcPr>
          <w:p w14:paraId="2F22D120">
            <w:pPr>
              <w:spacing w:line="500" w:lineRule="exact"/>
              <w:jc w:val="center"/>
              <w:rPr>
                <w:rFonts w:ascii="宋体" w:hAnsi="宋体"/>
                <w:b w:val="0"/>
                <w:bCs/>
                <w:sz w:val="21"/>
                <w:szCs w:val="21"/>
                <w:highlight w:val="none"/>
              </w:rPr>
            </w:pPr>
          </w:p>
        </w:tc>
        <w:tc>
          <w:tcPr>
            <w:tcW w:w="1064" w:type="dxa"/>
            <w:tcBorders>
              <w:top w:val="single" w:color="000000" w:sz="4" w:space="0"/>
              <w:bottom w:val="single" w:color="000000" w:sz="4" w:space="0"/>
              <w:right w:val="single" w:color="auto" w:sz="4" w:space="0"/>
            </w:tcBorders>
            <w:noWrap w:val="0"/>
            <w:vAlign w:val="center"/>
          </w:tcPr>
          <w:p w14:paraId="73A1C5DA">
            <w:pPr>
              <w:spacing w:line="500" w:lineRule="exact"/>
              <w:jc w:val="center"/>
              <w:rPr>
                <w:rFonts w:ascii="宋体" w:hAnsi="宋体"/>
                <w:b w:val="0"/>
                <w:bCs/>
                <w:sz w:val="21"/>
                <w:szCs w:val="21"/>
                <w:highlight w:val="none"/>
              </w:rPr>
            </w:pPr>
          </w:p>
        </w:tc>
        <w:tc>
          <w:tcPr>
            <w:tcW w:w="1241" w:type="dxa"/>
            <w:tcBorders>
              <w:top w:val="single" w:color="000000" w:sz="4" w:space="0"/>
              <w:left w:val="single" w:color="auto" w:sz="4" w:space="0"/>
              <w:bottom w:val="single" w:color="000000" w:sz="4" w:space="0"/>
              <w:right w:val="single" w:color="auto" w:sz="4" w:space="0"/>
            </w:tcBorders>
            <w:noWrap w:val="0"/>
            <w:vAlign w:val="center"/>
          </w:tcPr>
          <w:p w14:paraId="020394CD">
            <w:pPr>
              <w:widowControl/>
              <w:spacing w:line="500" w:lineRule="exact"/>
              <w:jc w:val="center"/>
              <w:rPr>
                <w:rFonts w:ascii="宋体" w:hAnsi="宋体"/>
                <w:b w:val="0"/>
                <w:bCs/>
                <w:sz w:val="21"/>
                <w:szCs w:val="21"/>
                <w:highlight w:val="none"/>
              </w:rPr>
            </w:pPr>
          </w:p>
        </w:tc>
        <w:tc>
          <w:tcPr>
            <w:tcW w:w="1168" w:type="dxa"/>
            <w:tcBorders>
              <w:top w:val="single" w:color="000000" w:sz="4" w:space="0"/>
              <w:left w:val="single" w:color="auto" w:sz="4" w:space="0"/>
              <w:bottom w:val="single" w:color="000000" w:sz="4" w:space="0"/>
              <w:right w:val="single" w:color="auto" w:sz="4" w:space="0"/>
            </w:tcBorders>
            <w:noWrap w:val="0"/>
            <w:vAlign w:val="center"/>
          </w:tcPr>
          <w:p w14:paraId="2F26A085">
            <w:pPr>
              <w:spacing w:line="500" w:lineRule="exact"/>
              <w:jc w:val="center"/>
              <w:rPr>
                <w:rFonts w:ascii="宋体" w:hAnsi="宋体"/>
                <w:b w:val="0"/>
                <w:bCs/>
                <w:sz w:val="21"/>
                <w:szCs w:val="21"/>
                <w:highlight w:val="none"/>
              </w:rPr>
            </w:pPr>
          </w:p>
        </w:tc>
      </w:tr>
      <w:tr w14:paraId="0DE8F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9" w:hRule="atLeast"/>
          <w:jc w:val="center"/>
        </w:trPr>
        <w:tc>
          <w:tcPr>
            <w:tcW w:w="684" w:type="dxa"/>
            <w:tcBorders>
              <w:top w:val="single" w:color="000000" w:sz="4" w:space="0"/>
              <w:bottom w:val="single" w:color="000000" w:sz="4" w:space="0"/>
            </w:tcBorders>
            <w:noWrap w:val="0"/>
            <w:vAlign w:val="center"/>
          </w:tcPr>
          <w:p w14:paraId="4037C3DA">
            <w:pPr>
              <w:spacing w:line="500" w:lineRule="exact"/>
              <w:jc w:val="center"/>
              <w:rPr>
                <w:rFonts w:hint="default" w:ascii="宋体" w:hAnsi="宋体" w:eastAsia="宋体"/>
                <w:b w:val="0"/>
                <w:bCs/>
                <w:sz w:val="21"/>
                <w:szCs w:val="21"/>
                <w:highlight w:val="none"/>
                <w:lang w:val="en-US" w:eastAsia="zh-CN"/>
              </w:rPr>
            </w:pPr>
            <w:r>
              <w:rPr>
                <w:rFonts w:hint="eastAsia" w:ascii="宋体" w:hAnsi="宋体"/>
                <w:b w:val="0"/>
                <w:bCs/>
                <w:sz w:val="21"/>
                <w:szCs w:val="21"/>
                <w:highlight w:val="none"/>
                <w:lang w:val="en-US" w:eastAsia="zh-CN"/>
              </w:rPr>
              <w:t>....</w:t>
            </w:r>
          </w:p>
        </w:tc>
        <w:tc>
          <w:tcPr>
            <w:tcW w:w="1586" w:type="dxa"/>
            <w:tcBorders>
              <w:top w:val="single" w:color="000000" w:sz="4" w:space="0"/>
              <w:bottom w:val="single" w:color="000000" w:sz="4" w:space="0"/>
            </w:tcBorders>
            <w:noWrap w:val="0"/>
            <w:vAlign w:val="center"/>
          </w:tcPr>
          <w:p w14:paraId="2E8C91AD">
            <w:pPr>
              <w:spacing w:line="500" w:lineRule="exact"/>
              <w:jc w:val="center"/>
              <w:rPr>
                <w:rFonts w:ascii="宋体" w:hAnsi="宋体"/>
                <w:b w:val="0"/>
                <w:bCs/>
                <w:sz w:val="21"/>
                <w:szCs w:val="21"/>
                <w:highlight w:val="none"/>
              </w:rPr>
            </w:pPr>
          </w:p>
        </w:tc>
        <w:tc>
          <w:tcPr>
            <w:tcW w:w="1675" w:type="dxa"/>
            <w:tcBorders>
              <w:top w:val="single" w:color="000000" w:sz="4" w:space="0"/>
              <w:bottom w:val="single" w:color="000000" w:sz="4" w:space="0"/>
            </w:tcBorders>
            <w:noWrap w:val="0"/>
            <w:vAlign w:val="center"/>
          </w:tcPr>
          <w:p w14:paraId="2BBB7F80">
            <w:pPr>
              <w:spacing w:line="500" w:lineRule="exact"/>
              <w:jc w:val="center"/>
              <w:rPr>
                <w:rFonts w:ascii="宋体" w:hAnsi="宋体"/>
                <w:b w:val="0"/>
                <w:bCs/>
                <w:sz w:val="21"/>
                <w:szCs w:val="21"/>
                <w:highlight w:val="none"/>
              </w:rPr>
            </w:pPr>
          </w:p>
        </w:tc>
        <w:tc>
          <w:tcPr>
            <w:tcW w:w="1122" w:type="dxa"/>
            <w:tcBorders>
              <w:top w:val="single" w:color="000000" w:sz="4" w:space="0"/>
              <w:bottom w:val="single" w:color="000000" w:sz="4" w:space="0"/>
            </w:tcBorders>
            <w:noWrap w:val="0"/>
            <w:vAlign w:val="center"/>
          </w:tcPr>
          <w:p w14:paraId="327BC0AC">
            <w:pPr>
              <w:spacing w:line="500" w:lineRule="exact"/>
              <w:jc w:val="center"/>
              <w:rPr>
                <w:rFonts w:ascii="宋体" w:hAnsi="宋体"/>
                <w:b w:val="0"/>
                <w:bCs/>
                <w:sz w:val="21"/>
                <w:szCs w:val="21"/>
                <w:highlight w:val="none"/>
              </w:rPr>
            </w:pPr>
          </w:p>
        </w:tc>
        <w:tc>
          <w:tcPr>
            <w:tcW w:w="1064" w:type="dxa"/>
            <w:tcBorders>
              <w:top w:val="single" w:color="000000" w:sz="4" w:space="0"/>
              <w:bottom w:val="single" w:color="000000" w:sz="4" w:space="0"/>
              <w:right w:val="single" w:color="auto" w:sz="4" w:space="0"/>
            </w:tcBorders>
            <w:noWrap w:val="0"/>
            <w:vAlign w:val="center"/>
          </w:tcPr>
          <w:p w14:paraId="1B8BF9DF">
            <w:pPr>
              <w:spacing w:line="500" w:lineRule="exact"/>
              <w:jc w:val="center"/>
              <w:rPr>
                <w:rFonts w:ascii="宋体" w:hAnsi="宋体"/>
                <w:b w:val="0"/>
                <w:bCs/>
                <w:sz w:val="21"/>
                <w:szCs w:val="21"/>
                <w:highlight w:val="none"/>
              </w:rPr>
            </w:pPr>
          </w:p>
        </w:tc>
        <w:tc>
          <w:tcPr>
            <w:tcW w:w="1241" w:type="dxa"/>
            <w:tcBorders>
              <w:top w:val="single" w:color="000000" w:sz="4" w:space="0"/>
              <w:left w:val="single" w:color="auto" w:sz="4" w:space="0"/>
              <w:bottom w:val="single" w:color="000000" w:sz="4" w:space="0"/>
              <w:right w:val="single" w:color="auto" w:sz="4" w:space="0"/>
            </w:tcBorders>
            <w:noWrap w:val="0"/>
            <w:vAlign w:val="center"/>
          </w:tcPr>
          <w:p w14:paraId="41428625">
            <w:pPr>
              <w:widowControl/>
              <w:spacing w:line="500" w:lineRule="exact"/>
              <w:jc w:val="center"/>
              <w:rPr>
                <w:rFonts w:ascii="宋体" w:hAnsi="宋体"/>
                <w:b w:val="0"/>
                <w:bCs/>
                <w:sz w:val="21"/>
                <w:szCs w:val="21"/>
                <w:highlight w:val="none"/>
              </w:rPr>
            </w:pPr>
          </w:p>
        </w:tc>
        <w:tc>
          <w:tcPr>
            <w:tcW w:w="1168" w:type="dxa"/>
            <w:tcBorders>
              <w:top w:val="single" w:color="000000" w:sz="4" w:space="0"/>
              <w:left w:val="single" w:color="auto" w:sz="4" w:space="0"/>
              <w:bottom w:val="single" w:color="000000" w:sz="4" w:space="0"/>
              <w:right w:val="single" w:color="auto" w:sz="4" w:space="0"/>
            </w:tcBorders>
            <w:noWrap w:val="0"/>
            <w:vAlign w:val="center"/>
          </w:tcPr>
          <w:p w14:paraId="40908155">
            <w:pPr>
              <w:spacing w:line="500" w:lineRule="exact"/>
              <w:jc w:val="center"/>
              <w:rPr>
                <w:rFonts w:ascii="宋体" w:hAnsi="宋体"/>
                <w:b w:val="0"/>
                <w:bCs/>
                <w:sz w:val="21"/>
                <w:szCs w:val="21"/>
                <w:highlight w:val="none"/>
              </w:rPr>
            </w:pPr>
          </w:p>
        </w:tc>
      </w:tr>
      <w:tr w14:paraId="0F2DE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9" w:hRule="atLeast"/>
          <w:jc w:val="center"/>
        </w:trPr>
        <w:tc>
          <w:tcPr>
            <w:tcW w:w="8540" w:type="dxa"/>
            <w:gridSpan w:val="7"/>
            <w:tcBorders>
              <w:top w:val="single" w:color="000000" w:sz="4" w:space="0"/>
              <w:bottom w:val="single" w:color="000000" w:sz="4" w:space="0"/>
              <w:right w:val="single" w:color="auto" w:sz="4" w:space="0"/>
            </w:tcBorders>
            <w:noWrap w:val="0"/>
            <w:vAlign w:val="center"/>
          </w:tcPr>
          <w:p w14:paraId="44C5CD54">
            <w:pPr>
              <w:spacing w:line="500" w:lineRule="exact"/>
              <w:jc w:val="center"/>
              <w:rPr>
                <w:rFonts w:ascii="宋体" w:hAnsi="宋体"/>
                <w:b w:val="0"/>
                <w:bCs/>
                <w:sz w:val="21"/>
                <w:szCs w:val="21"/>
                <w:highlight w:val="none"/>
              </w:rPr>
            </w:pPr>
            <w:r>
              <w:rPr>
                <w:rFonts w:hint="eastAsia" w:ascii="宋体" w:hAnsi="宋体" w:eastAsia="宋体" w:cs="宋体"/>
                <w:b w:val="0"/>
                <w:bCs w:val="0"/>
                <w:i w:val="0"/>
                <w:iCs w:val="0"/>
                <w:color w:val="000000"/>
                <w:kern w:val="0"/>
                <w:sz w:val="24"/>
                <w:szCs w:val="24"/>
                <w:u w:val="none"/>
                <w:lang w:val="en-US" w:eastAsia="zh-CN" w:bidi="ar"/>
              </w:rPr>
              <w:t>安全等保</w:t>
            </w:r>
          </w:p>
        </w:tc>
      </w:tr>
      <w:tr w14:paraId="24B8C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9" w:hRule="atLeast"/>
          <w:jc w:val="center"/>
        </w:trPr>
        <w:tc>
          <w:tcPr>
            <w:tcW w:w="684" w:type="dxa"/>
            <w:tcBorders>
              <w:top w:val="single" w:color="000000" w:sz="4" w:space="0"/>
              <w:bottom w:val="single" w:color="000000" w:sz="4" w:space="0"/>
            </w:tcBorders>
            <w:noWrap w:val="0"/>
            <w:vAlign w:val="center"/>
          </w:tcPr>
          <w:p w14:paraId="41C368C4">
            <w:pPr>
              <w:spacing w:line="500" w:lineRule="exact"/>
              <w:jc w:val="center"/>
              <w:rPr>
                <w:rFonts w:hint="eastAsia" w:ascii="宋体" w:hAnsi="宋体" w:eastAsia="宋体"/>
                <w:b w:val="0"/>
                <w:bCs/>
                <w:sz w:val="21"/>
                <w:szCs w:val="21"/>
                <w:highlight w:val="none"/>
                <w:lang w:val="en-US" w:eastAsia="zh-CN"/>
              </w:rPr>
            </w:pPr>
            <w:r>
              <w:rPr>
                <w:rFonts w:hint="eastAsia" w:ascii="宋体" w:hAnsi="宋体"/>
                <w:b w:val="0"/>
                <w:bCs/>
                <w:sz w:val="21"/>
                <w:szCs w:val="21"/>
                <w:highlight w:val="none"/>
                <w:lang w:val="en-US" w:eastAsia="zh-CN"/>
              </w:rPr>
              <w:t>1</w:t>
            </w:r>
          </w:p>
        </w:tc>
        <w:tc>
          <w:tcPr>
            <w:tcW w:w="1586" w:type="dxa"/>
            <w:tcBorders>
              <w:top w:val="single" w:color="000000" w:sz="4" w:space="0"/>
              <w:bottom w:val="single" w:color="000000" w:sz="4" w:space="0"/>
            </w:tcBorders>
            <w:noWrap w:val="0"/>
            <w:vAlign w:val="center"/>
          </w:tcPr>
          <w:p w14:paraId="7CD1D65C">
            <w:pPr>
              <w:spacing w:line="500" w:lineRule="exact"/>
              <w:jc w:val="center"/>
              <w:rPr>
                <w:rFonts w:ascii="宋体" w:hAnsi="宋体"/>
                <w:b w:val="0"/>
                <w:bCs/>
                <w:sz w:val="21"/>
                <w:szCs w:val="21"/>
                <w:highlight w:val="none"/>
              </w:rPr>
            </w:pPr>
          </w:p>
        </w:tc>
        <w:tc>
          <w:tcPr>
            <w:tcW w:w="1675" w:type="dxa"/>
            <w:tcBorders>
              <w:top w:val="single" w:color="000000" w:sz="4" w:space="0"/>
              <w:bottom w:val="single" w:color="000000" w:sz="4" w:space="0"/>
            </w:tcBorders>
            <w:noWrap w:val="0"/>
            <w:vAlign w:val="center"/>
          </w:tcPr>
          <w:p w14:paraId="51030505">
            <w:pPr>
              <w:spacing w:line="500" w:lineRule="exact"/>
              <w:jc w:val="center"/>
              <w:rPr>
                <w:rFonts w:ascii="宋体" w:hAnsi="宋体"/>
                <w:b w:val="0"/>
                <w:bCs/>
                <w:sz w:val="21"/>
                <w:szCs w:val="21"/>
                <w:highlight w:val="none"/>
              </w:rPr>
            </w:pPr>
          </w:p>
        </w:tc>
        <w:tc>
          <w:tcPr>
            <w:tcW w:w="1122" w:type="dxa"/>
            <w:tcBorders>
              <w:top w:val="single" w:color="000000" w:sz="4" w:space="0"/>
              <w:bottom w:val="single" w:color="000000" w:sz="4" w:space="0"/>
            </w:tcBorders>
            <w:noWrap w:val="0"/>
            <w:vAlign w:val="center"/>
          </w:tcPr>
          <w:p w14:paraId="22591AF0">
            <w:pPr>
              <w:spacing w:line="500" w:lineRule="exact"/>
              <w:jc w:val="center"/>
              <w:rPr>
                <w:rFonts w:ascii="宋体" w:hAnsi="宋体"/>
                <w:b w:val="0"/>
                <w:bCs/>
                <w:sz w:val="21"/>
                <w:szCs w:val="21"/>
                <w:highlight w:val="none"/>
              </w:rPr>
            </w:pPr>
          </w:p>
        </w:tc>
        <w:tc>
          <w:tcPr>
            <w:tcW w:w="1064" w:type="dxa"/>
            <w:tcBorders>
              <w:top w:val="single" w:color="000000" w:sz="4" w:space="0"/>
              <w:bottom w:val="single" w:color="000000" w:sz="4" w:space="0"/>
              <w:right w:val="single" w:color="auto" w:sz="4" w:space="0"/>
            </w:tcBorders>
            <w:noWrap w:val="0"/>
            <w:vAlign w:val="center"/>
          </w:tcPr>
          <w:p w14:paraId="7ABAB301">
            <w:pPr>
              <w:spacing w:line="500" w:lineRule="exact"/>
              <w:jc w:val="center"/>
              <w:rPr>
                <w:rFonts w:ascii="宋体" w:hAnsi="宋体"/>
                <w:b w:val="0"/>
                <w:bCs/>
                <w:sz w:val="21"/>
                <w:szCs w:val="21"/>
                <w:highlight w:val="none"/>
              </w:rPr>
            </w:pPr>
          </w:p>
        </w:tc>
        <w:tc>
          <w:tcPr>
            <w:tcW w:w="1241" w:type="dxa"/>
            <w:tcBorders>
              <w:top w:val="single" w:color="000000" w:sz="4" w:space="0"/>
              <w:left w:val="single" w:color="auto" w:sz="4" w:space="0"/>
              <w:bottom w:val="single" w:color="000000" w:sz="4" w:space="0"/>
              <w:right w:val="single" w:color="auto" w:sz="4" w:space="0"/>
            </w:tcBorders>
            <w:noWrap w:val="0"/>
            <w:vAlign w:val="center"/>
          </w:tcPr>
          <w:p w14:paraId="50E527E1">
            <w:pPr>
              <w:widowControl/>
              <w:spacing w:line="500" w:lineRule="exact"/>
              <w:jc w:val="center"/>
              <w:rPr>
                <w:rFonts w:ascii="宋体" w:hAnsi="宋体"/>
                <w:b w:val="0"/>
                <w:bCs/>
                <w:sz w:val="21"/>
                <w:szCs w:val="21"/>
                <w:highlight w:val="none"/>
              </w:rPr>
            </w:pPr>
          </w:p>
        </w:tc>
        <w:tc>
          <w:tcPr>
            <w:tcW w:w="1168" w:type="dxa"/>
            <w:tcBorders>
              <w:top w:val="single" w:color="000000" w:sz="4" w:space="0"/>
              <w:left w:val="single" w:color="auto" w:sz="4" w:space="0"/>
              <w:bottom w:val="single" w:color="000000" w:sz="4" w:space="0"/>
              <w:right w:val="single" w:color="auto" w:sz="4" w:space="0"/>
            </w:tcBorders>
            <w:noWrap w:val="0"/>
            <w:vAlign w:val="center"/>
          </w:tcPr>
          <w:p w14:paraId="3185F8D6">
            <w:pPr>
              <w:spacing w:line="500" w:lineRule="exact"/>
              <w:jc w:val="center"/>
              <w:rPr>
                <w:rFonts w:ascii="宋体" w:hAnsi="宋体"/>
                <w:b w:val="0"/>
                <w:bCs/>
                <w:sz w:val="21"/>
                <w:szCs w:val="21"/>
                <w:highlight w:val="none"/>
              </w:rPr>
            </w:pPr>
          </w:p>
        </w:tc>
      </w:tr>
      <w:tr w14:paraId="53C8E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9" w:hRule="atLeast"/>
          <w:jc w:val="center"/>
        </w:trPr>
        <w:tc>
          <w:tcPr>
            <w:tcW w:w="684" w:type="dxa"/>
            <w:tcBorders>
              <w:top w:val="single" w:color="000000" w:sz="4" w:space="0"/>
              <w:bottom w:val="single" w:color="000000" w:sz="4" w:space="0"/>
            </w:tcBorders>
            <w:noWrap w:val="0"/>
            <w:vAlign w:val="center"/>
          </w:tcPr>
          <w:p w14:paraId="45A64FA3">
            <w:pPr>
              <w:spacing w:line="500" w:lineRule="exact"/>
              <w:jc w:val="center"/>
              <w:rPr>
                <w:rFonts w:hint="default" w:ascii="宋体" w:hAnsi="宋体"/>
                <w:b w:val="0"/>
                <w:bCs/>
                <w:sz w:val="21"/>
                <w:szCs w:val="21"/>
                <w:highlight w:val="none"/>
                <w:lang w:val="en-US" w:eastAsia="zh-CN"/>
              </w:rPr>
            </w:pPr>
            <w:r>
              <w:rPr>
                <w:rFonts w:hint="eastAsia" w:ascii="宋体" w:hAnsi="宋体"/>
                <w:b w:val="0"/>
                <w:bCs/>
                <w:sz w:val="21"/>
                <w:szCs w:val="21"/>
                <w:highlight w:val="none"/>
                <w:lang w:val="en-US" w:eastAsia="zh-CN"/>
              </w:rPr>
              <w:t>2</w:t>
            </w:r>
          </w:p>
        </w:tc>
        <w:tc>
          <w:tcPr>
            <w:tcW w:w="1586" w:type="dxa"/>
            <w:tcBorders>
              <w:top w:val="single" w:color="000000" w:sz="4" w:space="0"/>
              <w:bottom w:val="single" w:color="000000" w:sz="4" w:space="0"/>
            </w:tcBorders>
            <w:noWrap w:val="0"/>
            <w:vAlign w:val="center"/>
          </w:tcPr>
          <w:p w14:paraId="7F16227C">
            <w:pPr>
              <w:spacing w:line="500" w:lineRule="exact"/>
              <w:jc w:val="center"/>
              <w:rPr>
                <w:rFonts w:ascii="宋体" w:hAnsi="宋体"/>
                <w:b w:val="0"/>
                <w:bCs/>
                <w:sz w:val="21"/>
                <w:szCs w:val="21"/>
                <w:highlight w:val="none"/>
              </w:rPr>
            </w:pPr>
          </w:p>
        </w:tc>
        <w:tc>
          <w:tcPr>
            <w:tcW w:w="1675" w:type="dxa"/>
            <w:tcBorders>
              <w:top w:val="single" w:color="000000" w:sz="4" w:space="0"/>
              <w:bottom w:val="single" w:color="000000" w:sz="4" w:space="0"/>
            </w:tcBorders>
            <w:noWrap w:val="0"/>
            <w:vAlign w:val="center"/>
          </w:tcPr>
          <w:p w14:paraId="0E77B6F6">
            <w:pPr>
              <w:spacing w:line="500" w:lineRule="exact"/>
              <w:jc w:val="center"/>
              <w:rPr>
                <w:rFonts w:ascii="宋体" w:hAnsi="宋体"/>
                <w:b w:val="0"/>
                <w:bCs/>
                <w:sz w:val="21"/>
                <w:szCs w:val="21"/>
                <w:highlight w:val="none"/>
              </w:rPr>
            </w:pPr>
          </w:p>
        </w:tc>
        <w:tc>
          <w:tcPr>
            <w:tcW w:w="1122" w:type="dxa"/>
            <w:tcBorders>
              <w:top w:val="single" w:color="000000" w:sz="4" w:space="0"/>
              <w:bottom w:val="single" w:color="000000" w:sz="4" w:space="0"/>
            </w:tcBorders>
            <w:noWrap w:val="0"/>
            <w:vAlign w:val="center"/>
          </w:tcPr>
          <w:p w14:paraId="2CE3EF0B">
            <w:pPr>
              <w:spacing w:line="500" w:lineRule="exact"/>
              <w:jc w:val="center"/>
              <w:rPr>
                <w:rFonts w:ascii="宋体" w:hAnsi="宋体"/>
                <w:b w:val="0"/>
                <w:bCs/>
                <w:sz w:val="21"/>
                <w:szCs w:val="21"/>
                <w:highlight w:val="none"/>
              </w:rPr>
            </w:pPr>
          </w:p>
        </w:tc>
        <w:tc>
          <w:tcPr>
            <w:tcW w:w="1064" w:type="dxa"/>
            <w:tcBorders>
              <w:top w:val="single" w:color="000000" w:sz="4" w:space="0"/>
              <w:bottom w:val="single" w:color="000000" w:sz="4" w:space="0"/>
              <w:right w:val="single" w:color="auto" w:sz="4" w:space="0"/>
            </w:tcBorders>
            <w:noWrap w:val="0"/>
            <w:vAlign w:val="center"/>
          </w:tcPr>
          <w:p w14:paraId="07343857">
            <w:pPr>
              <w:spacing w:line="500" w:lineRule="exact"/>
              <w:jc w:val="center"/>
              <w:rPr>
                <w:rFonts w:ascii="宋体" w:hAnsi="宋体"/>
                <w:b w:val="0"/>
                <w:bCs/>
                <w:sz w:val="21"/>
                <w:szCs w:val="21"/>
                <w:highlight w:val="none"/>
              </w:rPr>
            </w:pPr>
          </w:p>
        </w:tc>
        <w:tc>
          <w:tcPr>
            <w:tcW w:w="1241" w:type="dxa"/>
            <w:tcBorders>
              <w:top w:val="single" w:color="000000" w:sz="4" w:space="0"/>
              <w:left w:val="single" w:color="auto" w:sz="4" w:space="0"/>
              <w:bottom w:val="single" w:color="000000" w:sz="4" w:space="0"/>
              <w:right w:val="single" w:color="auto" w:sz="4" w:space="0"/>
            </w:tcBorders>
            <w:noWrap w:val="0"/>
            <w:vAlign w:val="center"/>
          </w:tcPr>
          <w:p w14:paraId="5889717A">
            <w:pPr>
              <w:widowControl/>
              <w:spacing w:line="500" w:lineRule="exact"/>
              <w:jc w:val="center"/>
              <w:rPr>
                <w:rFonts w:ascii="宋体" w:hAnsi="宋体"/>
                <w:b w:val="0"/>
                <w:bCs/>
                <w:sz w:val="21"/>
                <w:szCs w:val="21"/>
                <w:highlight w:val="none"/>
              </w:rPr>
            </w:pPr>
          </w:p>
        </w:tc>
        <w:tc>
          <w:tcPr>
            <w:tcW w:w="1168" w:type="dxa"/>
            <w:tcBorders>
              <w:top w:val="single" w:color="000000" w:sz="4" w:space="0"/>
              <w:left w:val="single" w:color="auto" w:sz="4" w:space="0"/>
              <w:bottom w:val="single" w:color="000000" w:sz="4" w:space="0"/>
              <w:right w:val="single" w:color="auto" w:sz="4" w:space="0"/>
            </w:tcBorders>
            <w:noWrap w:val="0"/>
            <w:vAlign w:val="center"/>
          </w:tcPr>
          <w:p w14:paraId="00BE2A1B">
            <w:pPr>
              <w:spacing w:line="500" w:lineRule="exact"/>
              <w:jc w:val="center"/>
              <w:rPr>
                <w:rFonts w:ascii="宋体" w:hAnsi="宋体"/>
                <w:b w:val="0"/>
                <w:bCs/>
                <w:sz w:val="21"/>
                <w:szCs w:val="21"/>
                <w:highlight w:val="none"/>
              </w:rPr>
            </w:pPr>
          </w:p>
        </w:tc>
      </w:tr>
      <w:tr w14:paraId="41D9E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9" w:hRule="atLeast"/>
          <w:jc w:val="center"/>
        </w:trPr>
        <w:tc>
          <w:tcPr>
            <w:tcW w:w="684" w:type="dxa"/>
            <w:tcBorders>
              <w:top w:val="single" w:color="000000" w:sz="4" w:space="0"/>
              <w:bottom w:val="single" w:color="000000" w:sz="4" w:space="0"/>
            </w:tcBorders>
            <w:noWrap w:val="0"/>
            <w:vAlign w:val="center"/>
          </w:tcPr>
          <w:p w14:paraId="0E0FA0A1">
            <w:pPr>
              <w:spacing w:line="500" w:lineRule="exact"/>
              <w:jc w:val="center"/>
              <w:rPr>
                <w:rFonts w:hint="default" w:ascii="宋体" w:hAnsi="宋体"/>
                <w:b w:val="0"/>
                <w:bCs/>
                <w:sz w:val="21"/>
                <w:szCs w:val="21"/>
                <w:highlight w:val="none"/>
                <w:lang w:val="en-US" w:eastAsia="zh-CN"/>
              </w:rPr>
            </w:pPr>
            <w:r>
              <w:rPr>
                <w:rFonts w:hint="eastAsia" w:ascii="宋体" w:hAnsi="宋体"/>
                <w:b w:val="0"/>
                <w:bCs/>
                <w:sz w:val="21"/>
                <w:szCs w:val="21"/>
                <w:highlight w:val="none"/>
                <w:lang w:val="en-US" w:eastAsia="zh-CN"/>
              </w:rPr>
              <w:t>....</w:t>
            </w:r>
          </w:p>
        </w:tc>
        <w:tc>
          <w:tcPr>
            <w:tcW w:w="1586" w:type="dxa"/>
            <w:tcBorders>
              <w:top w:val="single" w:color="000000" w:sz="4" w:space="0"/>
              <w:bottom w:val="single" w:color="000000" w:sz="4" w:space="0"/>
            </w:tcBorders>
            <w:noWrap w:val="0"/>
            <w:vAlign w:val="center"/>
          </w:tcPr>
          <w:p w14:paraId="490E858D">
            <w:pPr>
              <w:spacing w:line="500" w:lineRule="exact"/>
              <w:jc w:val="center"/>
              <w:rPr>
                <w:rFonts w:ascii="宋体" w:hAnsi="宋体"/>
                <w:b w:val="0"/>
                <w:bCs/>
                <w:sz w:val="21"/>
                <w:szCs w:val="21"/>
                <w:highlight w:val="none"/>
              </w:rPr>
            </w:pPr>
          </w:p>
        </w:tc>
        <w:tc>
          <w:tcPr>
            <w:tcW w:w="1675" w:type="dxa"/>
            <w:tcBorders>
              <w:top w:val="single" w:color="000000" w:sz="4" w:space="0"/>
              <w:bottom w:val="single" w:color="000000" w:sz="4" w:space="0"/>
            </w:tcBorders>
            <w:noWrap w:val="0"/>
            <w:vAlign w:val="center"/>
          </w:tcPr>
          <w:p w14:paraId="36C2B80A">
            <w:pPr>
              <w:spacing w:line="500" w:lineRule="exact"/>
              <w:jc w:val="center"/>
              <w:rPr>
                <w:rFonts w:ascii="宋体" w:hAnsi="宋体"/>
                <w:b w:val="0"/>
                <w:bCs/>
                <w:sz w:val="21"/>
                <w:szCs w:val="21"/>
                <w:highlight w:val="none"/>
              </w:rPr>
            </w:pPr>
          </w:p>
        </w:tc>
        <w:tc>
          <w:tcPr>
            <w:tcW w:w="1122" w:type="dxa"/>
            <w:tcBorders>
              <w:top w:val="single" w:color="000000" w:sz="4" w:space="0"/>
              <w:bottom w:val="single" w:color="000000" w:sz="4" w:space="0"/>
            </w:tcBorders>
            <w:noWrap w:val="0"/>
            <w:vAlign w:val="center"/>
          </w:tcPr>
          <w:p w14:paraId="4D41F4D8">
            <w:pPr>
              <w:spacing w:line="500" w:lineRule="exact"/>
              <w:jc w:val="center"/>
              <w:rPr>
                <w:rFonts w:ascii="宋体" w:hAnsi="宋体"/>
                <w:b w:val="0"/>
                <w:bCs/>
                <w:sz w:val="21"/>
                <w:szCs w:val="21"/>
                <w:highlight w:val="none"/>
              </w:rPr>
            </w:pPr>
          </w:p>
        </w:tc>
        <w:tc>
          <w:tcPr>
            <w:tcW w:w="1064" w:type="dxa"/>
            <w:tcBorders>
              <w:top w:val="single" w:color="000000" w:sz="4" w:space="0"/>
              <w:bottom w:val="single" w:color="000000" w:sz="4" w:space="0"/>
              <w:right w:val="single" w:color="auto" w:sz="4" w:space="0"/>
            </w:tcBorders>
            <w:noWrap w:val="0"/>
            <w:vAlign w:val="center"/>
          </w:tcPr>
          <w:p w14:paraId="2E7EFC77">
            <w:pPr>
              <w:spacing w:line="500" w:lineRule="exact"/>
              <w:jc w:val="center"/>
              <w:rPr>
                <w:rFonts w:ascii="宋体" w:hAnsi="宋体"/>
                <w:b w:val="0"/>
                <w:bCs/>
                <w:sz w:val="21"/>
                <w:szCs w:val="21"/>
                <w:highlight w:val="none"/>
              </w:rPr>
            </w:pPr>
          </w:p>
        </w:tc>
        <w:tc>
          <w:tcPr>
            <w:tcW w:w="1241" w:type="dxa"/>
            <w:tcBorders>
              <w:top w:val="single" w:color="000000" w:sz="4" w:space="0"/>
              <w:left w:val="single" w:color="auto" w:sz="4" w:space="0"/>
              <w:bottom w:val="single" w:color="000000" w:sz="4" w:space="0"/>
              <w:right w:val="single" w:color="auto" w:sz="4" w:space="0"/>
            </w:tcBorders>
            <w:noWrap w:val="0"/>
            <w:vAlign w:val="center"/>
          </w:tcPr>
          <w:p w14:paraId="74071E08">
            <w:pPr>
              <w:widowControl/>
              <w:spacing w:line="500" w:lineRule="exact"/>
              <w:jc w:val="center"/>
              <w:rPr>
                <w:rFonts w:ascii="宋体" w:hAnsi="宋体"/>
                <w:b w:val="0"/>
                <w:bCs/>
                <w:sz w:val="21"/>
                <w:szCs w:val="21"/>
                <w:highlight w:val="none"/>
              </w:rPr>
            </w:pPr>
          </w:p>
        </w:tc>
        <w:tc>
          <w:tcPr>
            <w:tcW w:w="1168" w:type="dxa"/>
            <w:tcBorders>
              <w:top w:val="single" w:color="000000" w:sz="4" w:space="0"/>
              <w:left w:val="single" w:color="auto" w:sz="4" w:space="0"/>
              <w:bottom w:val="single" w:color="000000" w:sz="4" w:space="0"/>
              <w:right w:val="single" w:color="auto" w:sz="4" w:space="0"/>
            </w:tcBorders>
            <w:noWrap w:val="0"/>
            <w:vAlign w:val="center"/>
          </w:tcPr>
          <w:p w14:paraId="753D5A11">
            <w:pPr>
              <w:spacing w:line="500" w:lineRule="exact"/>
              <w:jc w:val="center"/>
              <w:rPr>
                <w:rFonts w:ascii="宋体" w:hAnsi="宋体"/>
                <w:b w:val="0"/>
                <w:bCs/>
                <w:sz w:val="21"/>
                <w:szCs w:val="21"/>
                <w:highlight w:val="none"/>
              </w:rPr>
            </w:pPr>
          </w:p>
        </w:tc>
      </w:tr>
      <w:tr w14:paraId="52BFD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9" w:hRule="atLeast"/>
          <w:jc w:val="center"/>
        </w:trPr>
        <w:tc>
          <w:tcPr>
            <w:tcW w:w="684" w:type="dxa"/>
            <w:tcBorders>
              <w:top w:val="single" w:color="000000" w:sz="4" w:space="0"/>
              <w:bottom w:val="single" w:color="000000" w:sz="4" w:space="0"/>
            </w:tcBorders>
            <w:noWrap w:val="0"/>
            <w:vAlign w:val="center"/>
          </w:tcPr>
          <w:p w14:paraId="739693F4">
            <w:pPr>
              <w:spacing w:line="500" w:lineRule="exact"/>
              <w:jc w:val="center"/>
              <w:rPr>
                <w:rFonts w:hint="default" w:ascii="宋体" w:hAnsi="宋体" w:eastAsia="宋体"/>
                <w:b w:val="0"/>
                <w:bCs/>
                <w:sz w:val="21"/>
                <w:szCs w:val="21"/>
                <w:highlight w:val="none"/>
                <w:lang w:val="en-US" w:eastAsia="zh-CN"/>
              </w:rPr>
            </w:pPr>
          </w:p>
        </w:tc>
        <w:tc>
          <w:tcPr>
            <w:tcW w:w="7856" w:type="dxa"/>
            <w:gridSpan w:val="6"/>
            <w:tcBorders>
              <w:top w:val="single" w:color="000000" w:sz="4" w:space="0"/>
              <w:bottom w:val="single" w:color="000000" w:sz="4" w:space="0"/>
              <w:right w:val="single" w:color="auto" w:sz="4" w:space="0"/>
            </w:tcBorders>
            <w:noWrap w:val="0"/>
            <w:vAlign w:val="center"/>
          </w:tcPr>
          <w:p w14:paraId="409F330D">
            <w:pPr>
              <w:spacing w:line="500" w:lineRule="exact"/>
              <w:jc w:val="center"/>
              <w:rPr>
                <w:rFonts w:hint="eastAsia" w:ascii="宋体" w:hAnsi="宋体" w:eastAsia="宋体"/>
                <w:b w:val="0"/>
                <w:bCs/>
                <w:sz w:val="21"/>
                <w:szCs w:val="21"/>
                <w:highlight w:val="none"/>
                <w:lang w:val="en-US" w:eastAsia="zh-CN"/>
              </w:rPr>
            </w:pPr>
            <w:r>
              <w:rPr>
                <w:rFonts w:hint="eastAsia" w:ascii="宋体" w:hAnsi="宋体"/>
                <w:b w:val="0"/>
                <w:bCs/>
                <w:sz w:val="21"/>
                <w:szCs w:val="21"/>
                <w:highlight w:val="none"/>
                <w:lang w:val="en-US" w:eastAsia="zh-CN"/>
              </w:rPr>
              <w:t>合计</w:t>
            </w:r>
          </w:p>
        </w:tc>
      </w:tr>
    </w:tbl>
    <w:p w14:paraId="69C22570">
      <w:pPr>
        <w:keepNext w:val="0"/>
        <w:keepLines w:val="0"/>
        <w:pageBreakBefore w:val="0"/>
        <w:widowControl w:val="0"/>
        <w:kinsoku/>
        <w:wordWrap/>
        <w:overflowPunct/>
        <w:topLinePunct w:val="0"/>
        <w:autoSpaceDE/>
        <w:autoSpaceDN/>
        <w:bidi w:val="0"/>
        <w:adjustRightInd/>
        <w:snapToGrid/>
        <w:spacing w:line="480" w:lineRule="auto"/>
        <w:ind w:left="210" w:hanging="210" w:hangingChars="100"/>
        <w:jc w:val="left"/>
        <w:textAlignment w:val="auto"/>
        <w:rPr>
          <w:rFonts w:hint="eastAsia" w:ascii="宋体" w:hAnsi="宋体"/>
          <w:b w:val="0"/>
          <w:bCs/>
          <w:sz w:val="21"/>
          <w:szCs w:val="21"/>
          <w:highlight w:val="none"/>
        </w:rPr>
      </w:pPr>
    </w:p>
    <w:p w14:paraId="4221ABAF">
      <w:pPr>
        <w:keepNext w:val="0"/>
        <w:keepLines w:val="0"/>
        <w:pageBreakBefore w:val="0"/>
        <w:widowControl w:val="0"/>
        <w:kinsoku/>
        <w:wordWrap/>
        <w:overflowPunct/>
        <w:topLinePunct w:val="0"/>
        <w:autoSpaceDE/>
        <w:autoSpaceDN/>
        <w:bidi w:val="0"/>
        <w:adjustRightInd/>
        <w:snapToGrid/>
        <w:spacing w:line="480" w:lineRule="auto"/>
        <w:ind w:left="210" w:hanging="210" w:hangingChars="100"/>
        <w:jc w:val="left"/>
        <w:textAlignment w:val="auto"/>
        <w:rPr>
          <w:rFonts w:hint="eastAsia" w:ascii="宋体" w:hAnsi="宋体"/>
          <w:b w:val="0"/>
          <w:bCs/>
          <w:sz w:val="21"/>
          <w:szCs w:val="21"/>
          <w:highlight w:val="none"/>
          <w:lang w:eastAsia="zh-CN"/>
        </w:rPr>
      </w:pPr>
      <w:r>
        <w:rPr>
          <w:rFonts w:hint="eastAsia" w:ascii="宋体" w:hAnsi="宋体"/>
          <w:b w:val="0"/>
          <w:bCs/>
          <w:sz w:val="21"/>
          <w:szCs w:val="21"/>
          <w:highlight w:val="none"/>
        </w:rPr>
        <w:t>注：（1）单价指设备配件及供货价格，均包含设备本身的费用、运费、税金、安装调试等费用</w:t>
      </w:r>
      <w:r>
        <w:rPr>
          <w:rFonts w:hint="eastAsia" w:ascii="宋体" w:hAnsi="宋体"/>
          <w:b w:val="0"/>
          <w:bCs/>
          <w:sz w:val="21"/>
          <w:szCs w:val="21"/>
          <w:highlight w:val="none"/>
          <w:lang w:eastAsia="zh-CN"/>
        </w:rPr>
        <w:t>；</w:t>
      </w:r>
    </w:p>
    <w:p w14:paraId="24884413">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ascii="宋体" w:hAnsi="宋体"/>
          <w:b w:val="0"/>
          <w:bCs/>
          <w:sz w:val="21"/>
          <w:szCs w:val="21"/>
          <w:highlight w:val="none"/>
        </w:rPr>
      </w:pPr>
      <w:r>
        <w:rPr>
          <w:rFonts w:hint="eastAsia" w:ascii="宋体" w:hAnsi="宋体"/>
          <w:b w:val="0"/>
          <w:bCs/>
          <w:sz w:val="21"/>
          <w:szCs w:val="21"/>
          <w:highlight w:val="none"/>
        </w:rPr>
        <w:t>（2）此表中的“总价”应于与“开标一览表”的“投标报价”一致，若不一致时，以“开标一览表”为准。</w:t>
      </w:r>
    </w:p>
    <w:p w14:paraId="63242A1F">
      <w:pPr>
        <w:keepNext w:val="0"/>
        <w:keepLines w:val="0"/>
        <w:pageBreakBefore w:val="0"/>
        <w:widowControl w:val="0"/>
        <w:kinsoku/>
        <w:wordWrap/>
        <w:overflowPunct/>
        <w:topLinePunct w:val="0"/>
        <w:autoSpaceDE/>
        <w:autoSpaceDN/>
        <w:bidi w:val="0"/>
        <w:adjustRightInd/>
        <w:snapToGrid/>
        <w:spacing w:line="480" w:lineRule="auto"/>
        <w:ind w:firstLine="2" w:firstLineChars="1"/>
        <w:textAlignment w:val="auto"/>
        <w:rPr>
          <w:rFonts w:hint="eastAsia" w:ascii="宋体" w:hAnsi="宋体"/>
          <w:bCs/>
          <w:color w:val="auto"/>
          <w:sz w:val="21"/>
          <w:szCs w:val="21"/>
          <w:lang w:val="en-US" w:eastAsia="zh-CN"/>
        </w:rPr>
      </w:pPr>
      <w:r>
        <w:rPr>
          <w:rFonts w:hint="eastAsia" w:ascii="宋体" w:hAnsi="宋体"/>
          <w:bCs/>
          <w:color w:val="auto"/>
          <w:sz w:val="21"/>
          <w:szCs w:val="21"/>
          <w:lang w:val="en-US" w:eastAsia="zh-CN"/>
        </w:rPr>
        <w:t xml:space="preserve">    （3）此表内容根据第六章参数序号顺序进行填写。</w:t>
      </w:r>
    </w:p>
    <w:p w14:paraId="256968A4">
      <w:pPr>
        <w:keepNext w:val="0"/>
        <w:keepLines w:val="0"/>
        <w:pageBreakBefore w:val="0"/>
        <w:widowControl w:val="0"/>
        <w:kinsoku/>
        <w:wordWrap/>
        <w:overflowPunct/>
        <w:topLinePunct w:val="0"/>
        <w:autoSpaceDE/>
        <w:autoSpaceDN/>
        <w:bidi w:val="0"/>
        <w:adjustRightInd/>
        <w:snapToGrid/>
        <w:spacing w:line="480" w:lineRule="auto"/>
        <w:ind w:firstLine="2" w:firstLineChars="1"/>
        <w:textAlignment w:val="auto"/>
        <w:rPr>
          <w:rFonts w:hint="default" w:ascii="宋体" w:hAnsi="宋体"/>
          <w:bCs/>
          <w:color w:val="auto"/>
          <w:sz w:val="21"/>
          <w:szCs w:val="21"/>
          <w:lang w:val="en-US" w:eastAsia="zh-CN"/>
        </w:rPr>
      </w:pPr>
      <w:r>
        <w:rPr>
          <w:rFonts w:hint="eastAsia" w:ascii="宋体" w:hAnsi="宋体"/>
          <w:bCs/>
          <w:color w:val="auto"/>
          <w:sz w:val="21"/>
          <w:szCs w:val="21"/>
          <w:lang w:val="en-US" w:eastAsia="zh-CN"/>
        </w:rPr>
        <w:t xml:space="preserve">    （4）投标人报价不得高于预算总价及所公布的分项单价，否则按废标处理。</w:t>
      </w:r>
    </w:p>
    <w:p w14:paraId="6EF69C39">
      <w:pPr>
        <w:spacing w:line="360" w:lineRule="auto"/>
        <w:ind w:firstLine="2" w:firstLineChars="1"/>
        <w:rPr>
          <w:rFonts w:hint="eastAsia" w:ascii="宋体" w:hAnsi="宋体"/>
          <w:bCs/>
          <w:color w:val="auto"/>
          <w:sz w:val="21"/>
          <w:szCs w:val="21"/>
        </w:rPr>
      </w:pPr>
    </w:p>
    <w:p w14:paraId="1159A5A6">
      <w:pPr>
        <w:spacing w:line="360" w:lineRule="auto"/>
        <w:ind w:firstLine="2" w:firstLineChars="1"/>
        <w:rPr>
          <w:rFonts w:ascii="宋体" w:hAnsi="宋体"/>
          <w:bCs/>
          <w:color w:val="auto"/>
          <w:sz w:val="21"/>
          <w:szCs w:val="21"/>
        </w:rPr>
      </w:pPr>
      <w:r>
        <w:rPr>
          <w:rFonts w:hint="eastAsia" w:ascii="宋体" w:hAnsi="宋体"/>
          <w:bCs/>
          <w:color w:val="auto"/>
          <w:sz w:val="21"/>
          <w:szCs w:val="21"/>
        </w:rPr>
        <w:t>投标人：(加盖电子公章)</w:t>
      </w:r>
    </w:p>
    <w:p w14:paraId="324119A2">
      <w:pPr>
        <w:spacing w:line="360" w:lineRule="auto"/>
        <w:ind w:firstLine="2" w:firstLineChars="1"/>
        <w:rPr>
          <w:rFonts w:ascii="宋体" w:hAnsi="宋体"/>
          <w:bCs/>
          <w:color w:val="auto"/>
          <w:sz w:val="21"/>
          <w:szCs w:val="21"/>
          <w:u w:val="single"/>
        </w:rPr>
      </w:pPr>
      <w:r>
        <w:rPr>
          <w:rFonts w:hint="eastAsia" w:ascii="宋体" w:hAnsi="宋体"/>
          <w:bCs/>
          <w:color w:val="auto"/>
          <w:sz w:val="21"/>
          <w:szCs w:val="21"/>
        </w:rPr>
        <w:t>法定代表人：（电子签名或签章）</w:t>
      </w:r>
    </w:p>
    <w:p w14:paraId="57693FAD">
      <w:pPr>
        <w:spacing w:line="360" w:lineRule="auto"/>
        <w:ind w:firstLine="2" w:firstLineChars="1"/>
        <w:rPr>
          <w:rFonts w:hint="eastAsia" w:ascii="宋体" w:hAnsi="宋体"/>
          <w:bCs/>
          <w:color w:val="auto"/>
          <w:sz w:val="21"/>
          <w:szCs w:val="21"/>
        </w:rPr>
      </w:pPr>
      <w:r>
        <w:rPr>
          <w:rFonts w:hint="eastAsia" w:ascii="宋体" w:hAnsi="宋体"/>
          <w:bCs/>
          <w:color w:val="auto"/>
          <w:sz w:val="21"/>
          <w:szCs w:val="21"/>
        </w:rPr>
        <w:t>年  月  日</w:t>
      </w:r>
    </w:p>
    <w:p w14:paraId="643C7EDD">
      <w:pPr>
        <w:snapToGrid w:val="0"/>
        <w:spacing w:line="360" w:lineRule="auto"/>
        <w:ind w:left="1400" w:hanging="1405" w:hangingChars="500"/>
        <w:rPr>
          <w:rFonts w:ascii="宋体" w:hAnsi="宋体"/>
          <w:spacing w:val="20"/>
          <w:sz w:val="24"/>
          <w:highlight w:val="none"/>
        </w:rPr>
        <w:sectPr>
          <w:headerReference r:id="rId11" w:type="default"/>
          <w:footerReference r:id="rId12" w:type="default"/>
          <w:pgSz w:w="11906" w:h="16838"/>
          <w:pgMar w:top="1440" w:right="1080" w:bottom="1440" w:left="1080" w:header="720" w:footer="720" w:gutter="0"/>
          <w:cols w:space="708" w:num="1"/>
        </w:sectPr>
      </w:pPr>
    </w:p>
    <w:p w14:paraId="1967102C">
      <w:pPr>
        <w:widowControl/>
        <w:jc w:val="left"/>
        <w:rPr>
          <w:rFonts w:ascii="宋体" w:hAnsi="宋体"/>
          <w:bCs/>
          <w:color w:val="auto"/>
          <w:sz w:val="28"/>
          <w:szCs w:val="28"/>
        </w:rPr>
      </w:pPr>
      <w:r>
        <w:rPr>
          <w:rFonts w:hint="eastAsia" w:ascii="宋体" w:hAnsi="宋体"/>
          <w:bCs/>
          <w:color w:val="auto"/>
          <w:sz w:val="28"/>
          <w:szCs w:val="28"/>
        </w:rPr>
        <w:t>格式3：</w:t>
      </w:r>
    </w:p>
    <w:p w14:paraId="0D1B32FD">
      <w:pPr>
        <w:pStyle w:val="3"/>
        <w:ind w:left="425"/>
        <w:jc w:val="center"/>
        <w:rPr>
          <w:rFonts w:hAnsi="宋体" w:cs="宋体"/>
          <w:b/>
          <w:bCs w:val="0"/>
          <w:color w:val="auto"/>
          <w:szCs w:val="21"/>
        </w:rPr>
      </w:pPr>
      <w:bookmarkStart w:id="432" w:name="_Toc488633616"/>
      <w:bookmarkStart w:id="433" w:name="_Toc489197855"/>
      <w:bookmarkStart w:id="434" w:name="_Toc26612"/>
      <w:bookmarkStart w:id="435" w:name="_Toc489145751"/>
      <w:bookmarkStart w:id="436" w:name="_Toc481694845"/>
      <w:bookmarkStart w:id="437" w:name="_Toc528186501"/>
      <w:r>
        <w:rPr>
          <w:rFonts w:hint="eastAsia" w:ascii="宋体" w:hAnsi="宋体" w:cs="宋体"/>
          <w:b/>
          <w:bCs w:val="0"/>
          <w:color w:val="auto"/>
          <w:szCs w:val="32"/>
        </w:rPr>
        <w:t>投标函</w:t>
      </w:r>
      <w:bookmarkEnd w:id="432"/>
      <w:bookmarkEnd w:id="433"/>
      <w:bookmarkEnd w:id="434"/>
      <w:bookmarkEnd w:id="435"/>
      <w:bookmarkEnd w:id="436"/>
      <w:bookmarkEnd w:id="437"/>
    </w:p>
    <w:p w14:paraId="45BE126E">
      <w:pPr>
        <w:pStyle w:val="17"/>
        <w:spacing w:line="390" w:lineRule="exact"/>
        <w:rPr>
          <w:rFonts w:hAnsi="宋体" w:cs="宋体"/>
          <w:b w:val="0"/>
          <w:bCs/>
          <w:color w:val="auto"/>
          <w:sz w:val="21"/>
          <w:szCs w:val="21"/>
        </w:rPr>
      </w:pPr>
      <w:r>
        <w:rPr>
          <w:rFonts w:hint="eastAsia" w:hAnsi="宋体" w:cs="宋体"/>
          <w:b w:val="0"/>
          <w:bCs/>
          <w:color w:val="auto"/>
          <w:sz w:val="21"/>
          <w:szCs w:val="21"/>
        </w:rPr>
        <w:t>致：</w:t>
      </w:r>
      <w:r>
        <w:rPr>
          <w:rFonts w:hint="eastAsia" w:hAnsi="宋体" w:cs="宋体"/>
          <w:b w:val="0"/>
          <w:bCs/>
          <w:color w:val="auto"/>
          <w:sz w:val="21"/>
          <w:szCs w:val="21"/>
          <w:u w:val="single"/>
        </w:rPr>
        <w:t>（</w:t>
      </w:r>
      <w:r>
        <w:rPr>
          <w:rFonts w:hint="eastAsia" w:hAnsi="宋体" w:cs="宋体"/>
          <w:b w:val="0"/>
          <w:bCs/>
          <w:color w:val="auto"/>
          <w:sz w:val="21"/>
          <w:szCs w:val="21"/>
          <w:u w:val="single"/>
          <w:lang w:eastAsia="zh-CN"/>
        </w:rPr>
        <w:t>采购人</w:t>
      </w:r>
      <w:r>
        <w:rPr>
          <w:rFonts w:hint="eastAsia" w:hAnsi="宋体" w:cs="宋体"/>
          <w:b w:val="0"/>
          <w:bCs/>
          <w:color w:val="auto"/>
          <w:sz w:val="21"/>
          <w:szCs w:val="21"/>
          <w:u w:val="single"/>
        </w:rPr>
        <w:t>名称）</w:t>
      </w:r>
    </w:p>
    <w:p w14:paraId="2248F22B">
      <w:pPr>
        <w:pStyle w:val="17"/>
        <w:spacing w:line="390" w:lineRule="exact"/>
        <w:ind w:firstLine="482"/>
        <w:rPr>
          <w:rFonts w:hAnsi="宋体" w:cs="宋体"/>
          <w:b w:val="0"/>
          <w:bCs/>
          <w:color w:val="auto"/>
          <w:sz w:val="21"/>
          <w:szCs w:val="21"/>
        </w:rPr>
      </w:pPr>
      <w:r>
        <w:rPr>
          <w:rFonts w:hint="eastAsia" w:hAnsi="宋体" w:cs="宋体"/>
          <w:b w:val="0"/>
          <w:bCs/>
          <w:color w:val="auto"/>
          <w:sz w:val="21"/>
          <w:szCs w:val="21"/>
        </w:rPr>
        <w:t>我方仔细研究了</w:t>
      </w:r>
      <w:r>
        <w:rPr>
          <w:rFonts w:hint="eastAsia" w:hAnsi="宋体" w:cs="宋体"/>
          <w:b w:val="0"/>
          <w:bCs/>
          <w:color w:val="auto"/>
          <w:sz w:val="21"/>
          <w:szCs w:val="21"/>
          <w:u w:val="single"/>
        </w:rPr>
        <w:t xml:space="preserve">（采购项目名称）   </w:t>
      </w:r>
      <w:r>
        <w:rPr>
          <w:rFonts w:hint="eastAsia" w:hAnsi="宋体" w:cs="宋体"/>
          <w:b w:val="0"/>
          <w:bCs/>
          <w:color w:val="auto"/>
          <w:sz w:val="21"/>
          <w:szCs w:val="21"/>
        </w:rPr>
        <w:t>（项目编号：）项目招标文件的全部内容，正式授权下述签字人</w:t>
      </w:r>
      <w:r>
        <w:rPr>
          <w:rFonts w:hint="eastAsia" w:hAnsi="宋体" w:cs="宋体"/>
          <w:b w:val="0"/>
          <w:bCs/>
          <w:color w:val="auto"/>
          <w:sz w:val="21"/>
          <w:szCs w:val="21"/>
          <w:u w:val="single"/>
        </w:rPr>
        <w:t xml:space="preserve">   （姓名和职务）     </w:t>
      </w:r>
      <w:r>
        <w:rPr>
          <w:rFonts w:hint="eastAsia" w:hAnsi="宋体" w:cs="宋体"/>
          <w:b w:val="0"/>
          <w:bCs/>
          <w:color w:val="auto"/>
          <w:sz w:val="21"/>
          <w:szCs w:val="21"/>
        </w:rPr>
        <w:t>全权代表投标人</w:t>
      </w:r>
      <w:r>
        <w:rPr>
          <w:rFonts w:hint="eastAsia" w:hAnsi="宋体" w:cs="宋体"/>
          <w:b w:val="0"/>
          <w:bCs/>
          <w:color w:val="auto"/>
          <w:sz w:val="21"/>
          <w:szCs w:val="21"/>
          <w:u w:val="single"/>
        </w:rPr>
        <w:t xml:space="preserve">  （投标人全称）   </w:t>
      </w:r>
      <w:r>
        <w:rPr>
          <w:rFonts w:hint="eastAsia" w:hAnsi="宋体" w:cs="宋体"/>
          <w:b w:val="0"/>
          <w:bCs/>
          <w:color w:val="auto"/>
          <w:sz w:val="21"/>
          <w:szCs w:val="21"/>
        </w:rPr>
        <w:t>参加投标，并提交投标文件正本一份。</w:t>
      </w:r>
    </w:p>
    <w:p w14:paraId="30FDC7D8">
      <w:pPr>
        <w:pStyle w:val="17"/>
        <w:spacing w:line="390" w:lineRule="exact"/>
        <w:ind w:firstLine="420"/>
        <w:rPr>
          <w:rFonts w:hAnsi="宋体" w:cs="宋体"/>
          <w:b w:val="0"/>
          <w:bCs/>
          <w:color w:val="auto"/>
          <w:sz w:val="21"/>
          <w:szCs w:val="21"/>
        </w:rPr>
      </w:pPr>
      <w:r>
        <w:rPr>
          <w:rFonts w:hint="eastAsia" w:hAnsi="宋体" w:cs="宋体"/>
          <w:b w:val="0"/>
          <w:bCs/>
          <w:color w:val="auto"/>
          <w:sz w:val="21"/>
          <w:szCs w:val="21"/>
        </w:rPr>
        <w:t>据此函，签字人兹宣布同意如下：</w:t>
      </w:r>
    </w:p>
    <w:p w14:paraId="2447758F">
      <w:pPr>
        <w:pStyle w:val="17"/>
        <w:spacing w:line="390" w:lineRule="exact"/>
        <w:ind w:firstLine="420"/>
        <w:rPr>
          <w:rFonts w:hAnsi="宋体" w:cs="宋体"/>
          <w:b w:val="0"/>
          <w:bCs/>
          <w:color w:val="auto"/>
          <w:spacing w:val="-10"/>
          <w:sz w:val="21"/>
          <w:szCs w:val="21"/>
        </w:rPr>
      </w:pPr>
      <w:r>
        <w:rPr>
          <w:rFonts w:hint="eastAsia" w:hAnsi="宋体" w:cs="宋体"/>
          <w:b w:val="0"/>
          <w:bCs/>
          <w:color w:val="auto"/>
          <w:spacing w:val="-10"/>
          <w:sz w:val="21"/>
          <w:szCs w:val="21"/>
        </w:rPr>
        <w:t>1、按招标文件货物需求及技术要求和投标报价汇总表，投标报价（大写）：</w:t>
      </w:r>
      <w:r>
        <w:rPr>
          <w:rFonts w:hint="eastAsia" w:hAnsi="宋体" w:cs="宋体"/>
          <w:b w:val="0"/>
          <w:bCs/>
          <w:color w:val="auto"/>
          <w:spacing w:val="-10"/>
          <w:sz w:val="21"/>
          <w:szCs w:val="21"/>
          <w:u w:val="single"/>
        </w:rPr>
        <w:t xml:space="preserve">      </w:t>
      </w:r>
      <w:r>
        <w:rPr>
          <w:rFonts w:hint="eastAsia" w:hAnsi="宋体" w:cs="宋体"/>
          <w:b w:val="0"/>
          <w:bCs/>
          <w:color w:val="auto"/>
          <w:spacing w:val="-10"/>
          <w:sz w:val="21"/>
          <w:szCs w:val="21"/>
        </w:rPr>
        <w:t>，（小写）：</w:t>
      </w:r>
      <w:r>
        <w:rPr>
          <w:rFonts w:hint="eastAsia" w:hAnsi="宋体" w:cs="宋体"/>
          <w:b w:val="0"/>
          <w:bCs/>
          <w:color w:val="auto"/>
          <w:spacing w:val="-10"/>
          <w:sz w:val="21"/>
          <w:szCs w:val="21"/>
          <w:u w:val="single"/>
        </w:rPr>
        <w:t xml:space="preserve">    元</w:t>
      </w:r>
      <w:r>
        <w:rPr>
          <w:rFonts w:hint="eastAsia" w:hAnsi="宋体" w:cs="宋体"/>
          <w:b w:val="0"/>
          <w:bCs/>
          <w:color w:val="auto"/>
          <w:spacing w:val="-10"/>
          <w:sz w:val="21"/>
          <w:szCs w:val="21"/>
        </w:rPr>
        <w:t>，在</w:t>
      </w:r>
      <w:r>
        <w:rPr>
          <w:rFonts w:hint="eastAsia" w:hAnsi="宋体" w:cs="宋体"/>
          <w:b w:val="0"/>
          <w:bCs/>
          <w:color w:val="auto"/>
          <w:spacing w:val="-10"/>
          <w:sz w:val="21"/>
          <w:szCs w:val="21"/>
          <w:u w:val="single"/>
        </w:rPr>
        <w:t xml:space="preserve"> （交货期）</w:t>
      </w:r>
      <w:r>
        <w:rPr>
          <w:rFonts w:hint="eastAsia" w:hAnsi="宋体" w:cs="宋体"/>
          <w:b w:val="0"/>
          <w:bCs/>
          <w:color w:val="auto"/>
          <w:spacing w:val="-10"/>
          <w:sz w:val="21"/>
          <w:szCs w:val="21"/>
        </w:rPr>
        <w:t>完成交付。</w:t>
      </w:r>
    </w:p>
    <w:p w14:paraId="502B7AF5">
      <w:pPr>
        <w:pStyle w:val="17"/>
        <w:spacing w:line="390" w:lineRule="exact"/>
        <w:ind w:firstLine="420"/>
        <w:rPr>
          <w:rFonts w:hAnsi="宋体" w:cs="宋体"/>
          <w:b w:val="0"/>
          <w:bCs/>
          <w:color w:val="auto"/>
          <w:spacing w:val="-10"/>
          <w:sz w:val="21"/>
          <w:szCs w:val="21"/>
        </w:rPr>
      </w:pPr>
      <w:r>
        <w:rPr>
          <w:rFonts w:hint="eastAsia" w:hAnsi="宋体" w:cs="宋体"/>
          <w:b w:val="0"/>
          <w:bCs/>
          <w:color w:val="auto"/>
          <w:sz w:val="21"/>
          <w:szCs w:val="21"/>
        </w:rPr>
        <w:t>2、</w:t>
      </w:r>
      <w:r>
        <w:rPr>
          <w:rFonts w:hint="eastAsia" w:hAnsi="宋体" w:cs="宋体"/>
          <w:b w:val="0"/>
          <w:bCs/>
          <w:color w:val="auto"/>
          <w:spacing w:val="-10"/>
          <w:sz w:val="21"/>
          <w:szCs w:val="21"/>
        </w:rPr>
        <w:t>我方已详细审查全部招标文件，包括</w:t>
      </w:r>
      <w:r>
        <w:rPr>
          <w:rFonts w:hint="eastAsia" w:hAnsi="宋体" w:cs="宋体"/>
          <w:b w:val="0"/>
          <w:bCs/>
          <w:color w:val="auto"/>
          <w:spacing w:val="-10"/>
          <w:sz w:val="21"/>
          <w:szCs w:val="21"/>
          <w:u w:val="single"/>
        </w:rPr>
        <w:t>（澄清文件）(如果有的话)</w:t>
      </w:r>
      <w:r>
        <w:rPr>
          <w:rFonts w:hint="eastAsia" w:hAnsi="宋体" w:cs="宋体"/>
          <w:b w:val="0"/>
          <w:bCs/>
          <w:color w:val="auto"/>
          <w:spacing w:val="-10"/>
          <w:sz w:val="21"/>
          <w:szCs w:val="21"/>
        </w:rPr>
        <w:t>。我方完全理解相关文件要求，并承担对这方面有不明及误解的后果。</w:t>
      </w:r>
    </w:p>
    <w:p w14:paraId="1472EAAB">
      <w:pPr>
        <w:pStyle w:val="17"/>
        <w:spacing w:line="390" w:lineRule="exact"/>
        <w:ind w:firstLine="420"/>
        <w:rPr>
          <w:rFonts w:hAnsi="宋体" w:cs="宋体"/>
          <w:b w:val="0"/>
          <w:bCs/>
          <w:color w:val="auto"/>
          <w:sz w:val="21"/>
          <w:szCs w:val="21"/>
        </w:rPr>
      </w:pPr>
      <w:r>
        <w:rPr>
          <w:rFonts w:hint="eastAsia" w:hAnsi="宋体" w:cs="宋体"/>
          <w:b w:val="0"/>
          <w:bCs/>
          <w:color w:val="auto"/>
          <w:sz w:val="21"/>
          <w:szCs w:val="21"/>
        </w:rPr>
        <w:t>3、在投标人须知规定的开标日期起遵循本投标文件，并在投标人须知第17.1条规定的投标文件有效期满之前均具有约束力。</w:t>
      </w:r>
    </w:p>
    <w:p w14:paraId="5E4A3B7B">
      <w:pPr>
        <w:pStyle w:val="17"/>
        <w:spacing w:line="390" w:lineRule="exact"/>
        <w:ind w:firstLine="420"/>
        <w:outlineLvl w:val="1"/>
        <w:rPr>
          <w:rFonts w:hAnsi="宋体" w:cs="宋体"/>
          <w:b w:val="0"/>
          <w:bCs/>
          <w:color w:val="auto"/>
          <w:sz w:val="21"/>
          <w:szCs w:val="21"/>
        </w:rPr>
      </w:pPr>
      <w:r>
        <w:rPr>
          <w:rFonts w:hint="eastAsia" w:hAnsi="宋体" w:cs="宋体"/>
          <w:b w:val="0"/>
          <w:bCs/>
          <w:color w:val="auto"/>
          <w:sz w:val="21"/>
          <w:szCs w:val="21"/>
        </w:rPr>
        <w:t>4、同意招标文件中关于没收投标保证金的规定。</w:t>
      </w:r>
    </w:p>
    <w:p w14:paraId="1D7763CE">
      <w:pPr>
        <w:pStyle w:val="17"/>
        <w:spacing w:line="390" w:lineRule="exact"/>
        <w:ind w:firstLine="420"/>
        <w:rPr>
          <w:rFonts w:hAnsi="宋体" w:cs="宋体"/>
          <w:b w:val="0"/>
          <w:bCs/>
          <w:color w:val="auto"/>
          <w:sz w:val="21"/>
          <w:szCs w:val="21"/>
        </w:rPr>
      </w:pPr>
      <w:r>
        <w:rPr>
          <w:rFonts w:hint="eastAsia" w:hAnsi="宋体" w:cs="宋体"/>
          <w:b w:val="0"/>
          <w:bCs/>
          <w:color w:val="auto"/>
          <w:sz w:val="21"/>
          <w:szCs w:val="21"/>
        </w:rPr>
        <w:t>5、同意应贵方要求提供与本投标有关的任何数据或资料，并保证数据和资料的完整性和真实性。</w:t>
      </w:r>
    </w:p>
    <w:p w14:paraId="1F54BDB0">
      <w:pPr>
        <w:pStyle w:val="17"/>
        <w:spacing w:line="390" w:lineRule="exact"/>
        <w:ind w:firstLine="420"/>
        <w:rPr>
          <w:rFonts w:hAnsi="宋体" w:cs="宋体"/>
          <w:b w:val="0"/>
          <w:bCs/>
          <w:color w:val="auto"/>
          <w:sz w:val="21"/>
          <w:szCs w:val="21"/>
        </w:rPr>
      </w:pPr>
      <w:r>
        <w:rPr>
          <w:rFonts w:hint="eastAsia" w:hAnsi="宋体" w:cs="宋体"/>
          <w:b w:val="0"/>
          <w:bCs/>
          <w:color w:val="auto"/>
          <w:sz w:val="21"/>
          <w:szCs w:val="21"/>
        </w:rPr>
        <w:t>6、完全理解贵方不一定要接受最低报价的投标人为中标人的行为。</w:t>
      </w:r>
    </w:p>
    <w:p w14:paraId="06451522">
      <w:pPr>
        <w:pStyle w:val="17"/>
        <w:spacing w:line="390" w:lineRule="exact"/>
        <w:ind w:firstLine="420"/>
        <w:rPr>
          <w:rFonts w:hAnsi="宋体" w:cs="宋体"/>
          <w:b w:val="0"/>
          <w:bCs/>
          <w:color w:val="auto"/>
          <w:sz w:val="21"/>
          <w:szCs w:val="21"/>
        </w:rPr>
      </w:pPr>
      <w:r>
        <w:rPr>
          <w:rFonts w:hint="eastAsia" w:hAnsi="宋体" w:cs="宋体"/>
          <w:b w:val="0"/>
          <w:bCs/>
          <w:color w:val="auto"/>
          <w:sz w:val="21"/>
          <w:szCs w:val="21"/>
        </w:rPr>
        <w:t>7．如我方中标：</w:t>
      </w:r>
    </w:p>
    <w:p w14:paraId="16FD7B1B">
      <w:pPr>
        <w:pStyle w:val="17"/>
        <w:spacing w:line="390" w:lineRule="exact"/>
        <w:ind w:firstLine="420"/>
        <w:rPr>
          <w:rFonts w:hAnsi="宋体" w:cs="宋体"/>
          <w:b w:val="0"/>
          <w:bCs/>
          <w:color w:val="auto"/>
          <w:sz w:val="21"/>
          <w:szCs w:val="21"/>
        </w:rPr>
      </w:pPr>
      <w:r>
        <w:rPr>
          <w:rFonts w:hint="eastAsia" w:hAnsi="宋体" w:cs="宋体"/>
          <w:b w:val="0"/>
          <w:bCs/>
          <w:color w:val="auto"/>
          <w:sz w:val="21"/>
          <w:szCs w:val="21"/>
        </w:rPr>
        <w:t>（1）我方承诺在收到中标通知书后，在中标通知书规定的期限内与你方签订合同，并履行相应的合同责任和义务。</w:t>
      </w:r>
    </w:p>
    <w:p w14:paraId="03FDC84F">
      <w:pPr>
        <w:pStyle w:val="17"/>
        <w:spacing w:line="390" w:lineRule="exact"/>
        <w:ind w:firstLine="420"/>
        <w:rPr>
          <w:rFonts w:hAnsi="宋体" w:cs="宋体"/>
          <w:b w:val="0"/>
          <w:bCs/>
          <w:color w:val="auto"/>
          <w:sz w:val="21"/>
          <w:szCs w:val="21"/>
        </w:rPr>
      </w:pPr>
      <w:r>
        <w:rPr>
          <w:rFonts w:hint="eastAsia" w:hAnsi="宋体" w:cs="宋体"/>
          <w:b w:val="0"/>
          <w:bCs/>
          <w:color w:val="auto"/>
          <w:sz w:val="21"/>
          <w:szCs w:val="21"/>
        </w:rPr>
        <w:t>（2）我方承诺按照招标文件规定向你方递交履约保证金。</w:t>
      </w:r>
    </w:p>
    <w:p w14:paraId="5B1DCE33">
      <w:pPr>
        <w:pStyle w:val="17"/>
        <w:spacing w:line="390" w:lineRule="exact"/>
        <w:ind w:firstLine="420"/>
        <w:rPr>
          <w:rFonts w:hAnsi="宋体" w:cs="宋体"/>
          <w:b w:val="0"/>
          <w:bCs/>
          <w:color w:val="auto"/>
          <w:sz w:val="21"/>
          <w:szCs w:val="21"/>
        </w:rPr>
      </w:pPr>
      <w:r>
        <w:rPr>
          <w:rFonts w:hint="eastAsia" w:hAnsi="宋体" w:cs="宋体"/>
          <w:b w:val="0"/>
          <w:bCs/>
          <w:color w:val="auto"/>
          <w:sz w:val="21"/>
          <w:szCs w:val="21"/>
        </w:rPr>
        <w:t>（3）我方承诺将承担售后服务及保修责任。</w:t>
      </w:r>
    </w:p>
    <w:p w14:paraId="37D428CE">
      <w:pPr>
        <w:pStyle w:val="17"/>
        <w:spacing w:line="390" w:lineRule="exact"/>
        <w:ind w:firstLine="420"/>
        <w:rPr>
          <w:rFonts w:hAnsi="宋体" w:cs="宋体"/>
          <w:b w:val="0"/>
          <w:bCs/>
          <w:color w:val="auto"/>
          <w:sz w:val="21"/>
          <w:szCs w:val="21"/>
        </w:rPr>
      </w:pPr>
      <w:r>
        <w:rPr>
          <w:rFonts w:hint="eastAsia" w:hAnsi="宋体" w:cs="宋体"/>
          <w:b w:val="0"/>
          <w:bCs/>
          <w:color w:val="auto"/>
          <w:sz w:val="21"/>
          <w:szCs w:val="21"/>
        </w:rPr>
        <w:t>8．我方在此声明，所递交的投标文件及有关资料内容完整、真实和准确。</w:t>
      </w:r>
    </w:p>
    <w:p w14:paraId="603B5EE7">
      <w:pPr>
        <w:pStyle w:val="17"/>
        <w:spacing w:line="390" w:lineRule="exact"/>
        <w:ind w:firstLine="420"/>
        <w:rPr>
          <w:rFonts w:hAnsi="宋体" w:cs="宋体"/>
          <w:b w:val="0"/>
          <w:bCs/>
          <w:color w:val="auto"/>
          <w:sz w:val="21"/>
          <w:szCs w:val="21"/>
        </w:rPr>
      </w:pPr>
      <w:r>
        <w:rPr>
          <w:rFonts w:hint="eastAsia" w:hAnsi="宋体" w:cs="宋体"/>
          <w:b w:val="0"/>
          <w:bCs/>
          <w:color w:val="auto"/>
          <w:sz w:val="21"/>
          <w:szCs w:val="21"/>
        </w:rPr>
        <w:t>9．（其他补充说明）。</w:t>
      </w:r>
    </w:p>
    <w:p w14:paraId="4A91646B">
      <w:pPr>
        <w:pStyle w:val="17"/>
        <w:spacing w:line="390" w:lineRule="exact"/>
        <w:ind w:firstLine="420"/>
        <w:rPr>
          <w:rFonts w:hAnsi="宋体" w:cs="宋体"/>
          <w:b w:val="0"/>
          <w:bCs/>
          <w:color w:val="auto"/>
          <w:sz w:val="21"/>
          <w:szCs w:val="21"/>
        </w:rPr>
      </w:pPr>
      <w:r>
        <w:rPr>
          <w:rFonts w:hint="eastAsia" w:hAnsi="宋体" w:cs="宋体"/>
          <w:b w:val="0"/>
          <w:bCs/>
          <w:color w:val="auto"/>
          <w:sz w:val="21"/>
          <w:szCs w:val="21"/>
        </w:rPr>
        <w:t>与本投标有关的正式通讯地址为：</w:t>
      </w:r>
    </w:p>
    <w:p w14:paraId="3AE9B92A">
      <w:pPr>
        <w:pStyle w:val="17"/>
        <w:spacing w:line="390" w:lineRule="exact"/>
        <w:ind w:firstLine="420"/>
        <w:rPr>
          <w:rFonts w:hAnsi="宋体" w:cs="宋体"/>
          <w:b w:val="0"/>
          <w:bCs/>
          <w:color w:val="auto"/>
          <w:sz w:val="21"/>
          <w:szCs w:val="21"/>
          <w:u w:val="single"/>
        </w:rPr>
      </w:pPr>
      <w:r>
        <w:rPr>
          <w:rFonts w:hint="eastAsia" w:hAnsi="宋体" w:cs="宋体"/>
          <w:b w:val="0"/>
          <w:bCs/>
          <w:color w:val="auto"/>
          <w:sz w:val="21"/>
          <w:szCs w:val="21"/>
        </w:rPr>
        <w:t>投标人(加盖电子公章)：</w:t>
      </w:r>
    </w:p>
    <w:p w14:paraId="585FD400">
      <w:pPr>
        <w:pStyle w:val="17"/>
        <w:spacing w:line="390" w:lineRule="exact"/>
        <w:ind w:firstLine="420"/>
        <w:rPr>
          <w:rFonts w:hAnsi="宋体" w:cs="宋体"/>
          <w:b w:val="0"/>
          <w:bCs/>
          <w:color w:val="auto"/>
          <w:sz w:val="21"/>
          <w:szCs w:val="21"/>
          <w:u w:val="single"/>
        </w:rPr>
      </w:pPr>
      <w:r>
        <w:rPr>
          <w:rFonts w:hint="eastAsia" w:hAnsi="宋体" w:cs="宋体"/>
          <w:b w:val="0"/>
          <w:bCs/>
          <w:color w:val="auto"/>
          <w:sz w:val="21"/>
          <w:szCs w:val="21"/>
        </w:rPr>
        <w:t>法定代表人（电子签名或签章）：</w:t>
      </w:r>
    </w:p>
    <w:p w14:paraId="3AD244A9">
      <w:pPr>
        <w:pStyle w:val="17"/>
        <w:spacing w:line="390" w:lineRule="exact"/>
        <w:ind w:firstLine="420"/>
        <w:rPr>
          <w:rFonts w:hAnsi="宋体" w:cs="宋体"/>
          <w:b w:val="0"/>
          <w:bCs/>
          <w:color w:val="auto"/>
          <w:sz w:val="21"/>
          <w:szCs w:val="21"/>
          <w:u w:val="single"/>
        </w:rPr>
      </w:pPr>
      <w:r>
        <w:rPr>
          <w:rFonts w:hint="eastAsia" w:hAnsi="宋体" w:cs="宋体"/>
          <w:b w:val="0"/>
          <w:bCs/>
          <w:color w:val="auto"/>
          <w:sz w:val="21"/>
          <w:szCs w:val="21"/>
        </w:rPr>
        <w:t>投标人地址：</w:t>
      </w:r>
    </w:p>
    <w:p w14:paraId="2C1A5A29">
      <w:pPr>
        <w:pStyle w:val="17"/>
        <w:spacing w:line="390" w:lineRule="exact"/>
        <w:ind w:firstLine="420"/>
        <w:rPr>
          <w:rFonts w:hAnsi="宋体" w:cs="宋体"/>
          <w:b w:val="0"/>
          <w:bCs/>
          <w:color w:val="auto"/>
          <w:sz w:val="21"/>
          <w:szCs w:val="21"/>
          <w:u w:val="single"/>
        </w:rPr>
      </w:pPr>
      <w:r>
        <w:rPr>
          <w:rFonts w:hint="eastAsia" w:hAnsi="宋体" w:cs="宋体"/>
          <w:b w:val="0"/>
          <w:bCs/>
          <w:color w:val="auto"/>
          <w:sz w:val="21"/>
          <w:szCs w:val="21"/>
        </w:rPr>
        <w:t>邮政编码：</w:t>
      </w:r>
    </w:p>
    <w:p w14:paraId="6F082589">
      <w:pPr>
        <w:pStyle w:val="17"/>
        <w:spacing w:line="390" w:lineRule="exact"/>
        <w:ind w:firstLine="420"/>
        <w:rPr>
          <w:rFonts w:hAnsi="宋体" w:cs="宋体"/>
          <w:b w:val="0"/>
          <w:bCs/>
          <w:color w:val="auto"/>
          <w:sz w:val="21"/>
          <w:szCs w:val="21"/>
          <w:u w:val="single"/>
        </w:rPr>
      </w:pPr>
      <w:r>
        <w:rPr>
          <w:rFonts w:hint="eastAsia" w:hAnsi="宋体" w:cs="宋体"/>
          <w:b w:val="0"/>
          <w:bCs/>
          <w:color w:val="auto"/>
          <w:sz w:val="21"/>
          <w:szCs w:val="21"/>
        </w:rPr>
        <w:t>电话：</w:t>
      </w:r>
    </w:p>
    <w:p w14:paraId="15C381CF">
      <w:pPr>
        <w:pStyle w:val="17"/>
        <w:spacing w:line="390" w:lineRule="exact"/>
        <w:ind w:firstLine="420"/>
        <w:rPr>
          <w:rFonts w:hAnsi="宋体" w:cs="宋体"/>
          <w:b w:val="0"/>
          <w:bCs/>
          <w:color w:val="auto"/>
          <w:sz w:val="21"/>
          <w:szCs w:val="21"/>
          <w:u w:val="single"/>
        </w:rPr>
      </w:pPr>
      <w:r>
        <w:rPr>
          <w:rFonts w:hint="eastAsia" w:hAnsi="宋体" w:cs="宋体"/>
          <w:b w:val="0"/>
          <w:bCs/>
          <w:color w:val="auto"/>
          <w:sz w:val="21"/>
          <w:szCs w:val="21"/>
        </w:rPr>
        <w:t>传真：</w:t>
      </w:r>
    </w:p>
    <w:p w14:paraId="0532B2A4">
      <w:pPr>
        <w:pStyle w:val="17"/>
        <w:spacing w:line="390" w:lineRule="exact"/>
        <w:ind w:firstLine="420"/>
        <w:rPr>
          <w:rFonts w:hAnsi="宋体" w:cs="宋体"/>
          <w:b w:val="0"/>
          <w:bCs/>
          <w:color w:val="auto"/>
          <w:sz w:val="21"/>
          <w:szCs w:val="21"/>
          <w:u w:val="single"/>
        </w:rPr>
      </w:pPr>
      <w:r>
        <w:rPr>
          <w:rFonts w:hint="eastAsia" w:hAnsi="宋体" w:cs="宋体"/>
          <w:b w:val="0"/>
          <w:bCs/>
          <w:color w:val="auto"/>
          <w:sz w:val="21"/>
          <w:szCs w:val="21"/>
        </w:rPr>
        <w:t>开户名称：</w:t>
      </w:r>
    </w:p>
    <w:p w14:paraId="0C8F7C03">
      <w:pPr>
        <w:pStyle w:val="17"/>
        <w:spacing w:line="390" w:lineRule="exact"/>
        <w:ind w:firstLine="420"/>
        <w:rPr>
          <w:rFonts w:hAnsi="宋体" w:cs="宋体"/>
          <w:b w:val="0"/>
          <w:bCs/>
          <w:color w:val="auto"/>
          <w:sz w:val="21"/>
          <w:szCs w:val="21"/>
          <w:u w:val="single"/>
        </w:rPr>
      </w:pPr>
      <w:r>
        <w:rPr>
          <w:rFonts w:hint="eastAsia" w:hAnsi="宋体" w:cs="宋体"/>
          <w:b w:val="0"/>
          <w:bCs/>
          <w:color w:val="auto"/>
          <w:sz w:val="21"/>
          <w:szCs w:val="21"/>
        </w:rPr>
        <w:t>开户银行：</w:t>
      </w:r>
    </w:p>
    <w:p w14:paraId="1F5F842E">
      <w:pPr>
        <w:pStyle w:val="17"/>
        <w:spacing w:line="390" w:lineRule="exact"/>
        <w:ind w:firstLine="420"/>
        <w:rPr>
          <w:rFonts w:hAnsi="宋体" w:cs="宋体"/>
          <w:b w:val="0"/>
          <w:bCs/>
          <w:color w:val="auto"/>
          <w:sz w:val="21"/>
          <w:szCs w:val="21"/>
          <w:u w:val="single"/>
        </w:rPr>
      </w:pPr>
      <w:r>
        <w:rPr>
          <w:rFonts w:hint="eastAsia" w:hAnsi="宋体" w:cs="宋体"/>
          <w:b w:val="0"/>
          <w:bCs/>
          <w:color w:val="auto"/>
          <w:sz w:val="21"/>
          <w:szCs w:val="21"/>
        </w:rPr>
        <w:t>账    号：</w:t>
      </w:r>
    </w:p>
    <w:p w14:paraId="3585BF77">
      <w:pPr>
        <w:widowControl/>
        <w:jc w:val="left"/>
        <w:rPr>
          <w:rFonts w:ascii="宋体" w:hAnsi="宋体"/>
          <w:b w:val="0"/>
          <w:bCs/>
          <w:color w:val="auto"/>
          <w:sz w:val="21"/>
          <w:szCs w:val="21"/>
        </w:rPr>
        <w:sectPr>
          <w:headerReference r:id="rId13" w:type="default"/>
          <w:footerReference r:id="rId14" w:type="default"/>
          <w:pgSz w:w="11906" w:h="16838"/>
          <w:pgMar w:top="1440" w:right="1080" w:bottom="1440" w:left="1080" w:header="720" w:footer="720" w:gutter="0"/>
          <w:cols w:space="708" w:num="1"/>
        </w:sectPr>
      </w:pPr>
    </w:p>
    <w:p w14:paraId="4FC3D510">
      <w:pPr>
        <w:pStyle w:val="17"/>
        <w:pageBreakBefore/>
        <w:spacing w:line="600" w:lineRule="exact"/>
        <w:rPr>
          <w:rFonts w:hAnsi="宋体" w:cs="宋体"/>
          <w:bCs/>
          <w:color w:val="auto"/>
          <w:sz w:val="28"/>
          <w:szCs w:val="28"/>
        </w:rPr>
      </w:pPr>
      <w:r>
        <w:rPr>
          <w:rFonts w:hint="eastAsia" w:hAnsi="宋体" w:cs="宋体"/>
          <w:bCs/>
          <w:color w:val="auto"/>
          <w:sz w:val="28"/>
          <w:szCs w:val="28"/>
        </w:rPr>
        <w:t>格式</w:t>
      </w:r>
      <w:r>
        <w:rPr>
          <w:rFonts w:hint="eastAsia" w:hAnsi="宋体" w:cs="宋体"/>
          <w:bCs/>
          <w:color w:val="auto"/>
          <w:sz w:val="28"/>
          <w:szCs w:val="28"/>
          <w:lang w:val="en-US" w:eastAsia="zh-CN"/>
        </w:rPr>
        <w:t>4</w:t>
      </w:r>
      <w:r>
        <w:rPr>
          <w:rFonts w:hint="eastAsia" w:hAnsi="宋体" w:cs="宋体"/>
          <w:bCs/>
          <w:color w:val="auto"/>
          <w:sz w:val="28"/>
          <w:szCs w:val="28"/>
        </w:rPr>
        <w:t>：</w:t>
      </w:r>
    </w:p>
    <w:p w14:paraId="06F72C13">
      <w:pPr>
        <w:pStyle w:val="3"/>
        <w:ind w:left="425"/>
        <w:jc w:val="center"/>
        <w:rPr>
          <w:rFonts w:ascii="宋体" w:hAnsi="宋体" w:cs="宋体"/>
          <w:color w:val="auto"/>
        </w:rPr>
      </w:pPr>
      <w:bookmarkStart w:id="438" w:name="_Toc489197867"/>
      <w:bookmarkStart w:id="439" w:name="_Toc563"/>
      <w:bookmarkStart w:id="440" w:name="_Toc528186499"/>
      <w:bookmarkStart w:id="441" w:name="_Toc488633628"/>
      <w:bookmarkStart w:id="442" w:name="_Toc489145763"/>
      <w:bookmarkStart w:id="443" w:name="_Toc481694856"/>
      <w:bookmarkStart w:id="444" w:name="_Toc213141103"/>
      <w:r>
        <w:rPr>
          <w:rFonts w:hint="eastAsia" w:ascii="宋体" w:hAnsi="宋体" w:cs="宋体"/>
          <w:color w:val="auto"/>
        </w:rPr>
        <w:t>资格证明文件</w:t>
      </w:r>
      <w:bookmarkEnd w:id="438"/>
      <w:bookmarkEnd w:id="439"/>
      <w:bookmarkEnd w:id="440"/>
      <w:bookmarkEnd w:id="441"/>
      <w:bookmarkEnd w:id="442"/>
      <w:bookmarkEnd w:id="443"/>
      <w:bookmarkEnd w:id="444"/>
    </w:p>
    <w:p w14:paraId="7A633B06">
      <w:pPr>
        <w:pStyle w:val="17"/>
        <w:keepNext w:val="0"/>
        <w:keepLines w:val="0"/>
        <w:pageBreakBefore w:val="0"/>
        <w:widowControl w:val="0"/>
        <w:kinsoku/>
        <w:wordWrap/>
        <w:overflowPunct/>
        <w:topLinePunct w:val="0"/>
        <w:autoSpaceDE/>
        <w:autoSpaceDN/>
        <w:bidi w:val="0"/>
        <w:adjustRightInd/>
        <w:snapToGrid/>
        <w:spacing w:line="480" w:lineRule="auto"/>
        <w:textAlignment w:val="auto"/>
        <w:rPr>
          <w:rFonts w:hAnsi="宋体" w:cs="宋体"/>
          <w:color w:val="auto"/>
        </w:rPr>
      </w:pPr>
    </w:p>
    <w:p w14:paraId="67B8449D">
      <w:pPr>
        <w:pStyle w:val="17"/>
        <w:keepNext w:val="0"/>
        <w:keepLines w:val="0"/>
        <w:pageBreakBefore w:val="0"/>
        <w:widowControl w:val="0"/>
        <w:numPr>
          <w:ilvl w:val="0"/>
          <w:numId w:val="3"/>
        </w:numPr>
        <w:kinsoku/>
        <w:wordWrap/>
        <w:overflowPunct/>
        <w:topLinePunct w:val="0"/>
        <w:autoSpaceDE/>
        <w:autoSpaceDN/>
        <w:bidi w:val="0"/>
        <w:adjustRightInd/>
        <w:snapToGrid/>
        <w:spacing w:line="480" w:lineRule="auto"/>
        <w:textAlignment w:val="auto"/>
        <w:rPr>
          <w:rFonts w:hAnsi="宋体" w:cs="宋体"/>
          <w:color w:val="auto"/>
          <w:sz w:val="21"/>
          <w:szCs w:val="21"/>
        </w:rPr>
      </w:pPr>
      <w:r>
        <w:rPr>
          <w:rFonts w:hint="eastAsia" w:hAnsi="宋体" w:cs="宋体"/>
          <w:color w:val="auto"/>
          <w:sz w:val="21"/>
          <w:szCs w:val="21"/>
        </w:rPr>
        <w:t>投标人应填写和提交下述规定的有关资料。</w:t>
      </w:r>
    </w:p>
    <w:p w14:paraId="088EDD44">
      <w:pPr>
        <w:pStyle w:val="17"/>
        <w:keepNext w:val="0"/>
        <w:keepLines w:val="0"/>
        <w:pageBreakBefore w:val="0"/>
        <w:widowControl w:val="0"/>
        <w:numPr>
          <w:ilvl w:val="0"/>
          <w:numId w:val="3"/>
        </w:numPr>
        <w:kinsoku/>
        <w:wordWrap/>
        <w:overflowPunct/>
        <w:topLinePunct w:val="0"/>
        <w:autoSpaceDE/>
        <w:autoSpaceDN/>
        <w:bidi w:val="0"/>
        <w:adjustRightInd/>
        <w:snapToGrid/>
        <w:spacing w:line="480" w:lineRule="auto"/>
        <w:textAlignment w:val="auto"/>
        <w:rPr>
          <w:rFonts w:hAnsi="宋体" w:cs="宋体"/>
          <w:color w:val="auto"/>
          <w:sz w:val="21"/>
          <w:szCs w:val="21"/>
        </w:rPr>
      </w:pPr>
      <w:r>
        <w:rPr>
          <w:rFonts w:hint="eastAsia" w:hAnsi="宋体" w:cs="宋体"/>
          <w:color w:val="auto"/>
          <w:sz w:val="21"/>
          <w:szCs w:val="21"/>
        </w:rPr>
        <w:t>所附格式要求填写的全部内容都必须填写。</w:t>
      </w:r>
    </w:p>
    <w:p w14:paraId="478C58CE">
      <w:pPr>
        <w:pStyle w:val="17"/>
        <w:keepNext w:val="0"/>
        <w:keepLines w:val="0"/>
        <w:pageBreakBefore w:val="0"/>
        <w:widowControl w:val="0"/>
        <w:numPr>
          <w:ilvl w:val="0"/>
          <w:numId w:val="3"/>
        </w:numPr>
        <w:kinsoku/>
        <w:wordWrap/>
        <w:overflowPunct/>
        <w:topLinePunct w:val="0"/>
        <w:autoSpaceDE/>
        <w:autoSpaceDN/>
        <w:bidi w:val="0"/>
        <w:adjustRightInd/>
        <w:snapToGrid/>
        <w:spacing w:line="480" w:lineRule="auto"/>
        <w:textAlignment w:val="auto"/>
        <w:rPr>
          <w:rFonts w:hAnsi="宋体" w:cs="宋体"/>
          <w:color w:val="auto"/>
          <w:sz w:val="21"/>
          <w:szCs w:val="21"/>
        </w:rPr>
      </w:pPr>
      <w:r>
        <w:rPr>
          <w:rFonts w:hint="eastAsia" w:hAnsi="宋体" w:cs="宋体"/>
          <w:color w:val="auto"/>
          <w:sz w:val="21"/>
          <w:szCs w:val="21"/>
        </w:rPr>
        <w:t>投标人应保证全部声明和填写的内容是真实的和正确的。</w:t>
      </w:r>
    </w:p>
    <w:p w14:paraId="55F25B8C">
      <w:pPr>
        <w:pStyle w:val="17"/>
        <w:keepNext w:val="0"/>
        <w:keepLines w:val="0"/>
        <w:pageBreakBefore w:val="0"/>
        <w:widowControl w:val="0"/>
        <w:numPr>
          <w:ilvl w:val="0"/>
          <w:numId w:val="3"/>
        </w:numPr>
        <w:tabs>
          <w:tab w:val="left" w:pos="0"/>
          <w:tab w:val="clear" w:pos="420"/>
        </w:tabs>
        <w:kinsoku/>
        <w:wordWrap/>
        <w:overflowPunct/>
        <w:topLinePunct w:val="0"/>
        <w:autoSpaceDE/>
        <w:autoSpaceDN/>
        <w:bidi w:val="0"/>
        <w:adjustRightInd/>
        <w:snapToGrid/>
        <w:spacing w:line="480" w:lineRule="auto"/>
        <w:ind w:left="0" w:firstLine="0"/>
        <w:textAlignment w:val="auto"/>
        <w:rPr>
          <w:rFonts w:hAnsi="宋体" w:cs="宋体"/>
          <w:color w:val="auto"/>
          <w:sz w:val="21"/>
          <w:szCs w:val="21"/>
        </w:rPr>
      </w:pPr>
      <w:r>
        <w:rPr>
          <w:rFonts w:hint="eastAsia" w:hAnsi="宋体" w:cs="宋体"/>
          <w:color w:val="auto"/>
          <w:sz w:val="21"/>
          <w:szCs w:val="21"/>
        </w:rPr>
        <w:t>投标人提交的材料将被保密，但不退还。</w:t>
      </w:r>
    </w:p>
    <w:p w14:paraId="6F52210B">
      <w:pPr>
        <w:widowControl/>
        <w:jc w:val="left"/>
        <w:rPr>
          <w:rFonts w:ascii="宋体" w:hAnsi="宋体"/>
          <w:b w:val="0"/>
          <w:color w:val="auto"/>
          <w:sz w:val="28"/>
          <w:szCs w:val="28"/>
        </w:rPr>
      </w:pPr>
    </w:p>
    <w:p w14:paraId="7C6AEE49">
      <w:pPr>
        <w:pStyle w:val="17"/>
        <w:spacing w:line="600" w:lineRule="exact"/>
        <w:rPr>
          <w:rFonts w:hAnsi="宋体" w:cs="宋体"/>
          <w:b w:val="0"/>
          <w:color w:val="auto"/>
          <w:sz w:val="28"/>
          <w:szCs w:val="28"/>
        </w:rPr>
      </w:pPr>
    </w:p>
    <w:p w14:paraId="779DE841">
      <w:pPr>
        <w:pStyle w:val="17"/>
        <w:spacing w:line="600" w:lineRule="exact"/>
        <w:rPr>
          <w:rFonts w:hAnsi="宋体" w:cs="宋体"/>
          <w:b w:val="0"/>
          <w:color w:val="auto"/>
          <w:sz w:val="28"/>
          <w:szCs w:val="28"/>
        </w:rPr>
      </w:pPr>
    </w:p>
    <w:p w14:paraId="73438AF2">
      <w:pPr>
        <w:pStyle w:val="17"/>
        <w:spacing w:line="600" w:lineRule="exact"/>
        <w:rPr>
          <w:rFonts w:hAnsi="宋体" w:cs="宋体"/>
          <w:b w:val="0"/>
          <w:color w:val="auto"/>
          <w:sz w:val="28"/>
          <w:szCs w:val="28"/>
        </w:rPr>
      </w:pPr>
    </w:p>
    <w:p w14:paraId="17025EE8">
      <w:pPr>
        <w:pStyle w:val="17"/>
        <w:spacing w:line="600" w:lineRule="exact"/>
        <w:rPr>
          <w:rFonts w:hAnsi="宋体" w:cs="宋体"/>
          <w:b w:val="0"/>
          <w:color w:val="auto"/>
          <w:sz w:val="28"/>
          <w:szCs w:val="28"/>
        </w:rPr>
      </w:pPr>
    </w:p>
    <w:p w14:paraId="749DFD6E">
      <w:pPr>
        <w:pStyle w:val="17"/>
        <w:spacing w:line="600" w:lineRule="exact"/>
        <w:rPr>
          <w:rFonts w:hAnsi="宋体" w:cs="宋体"/>
          <w:b w:val="0"/>
          <w:color w:val="auto"/>
          <w:sz w:val="28"/>
          <w:szCs w:val="28"/>
        </w:rPr>
      </w:pPr>
    </w:p>
    <w:p w14:paraId="70BDF605">
      <w:pPr>
        <w:pStyle w:val="17"/>
        <w:spacing w:line="600" w:lineRule="exact"/>
        <w:rPr>
          <w:rFonts w:hAnsi="宋体" w:cs="宋体"/>
          <w:b w:val="0"/>
          <w:color w:val="auto"/>
          <w:sz w:val="28"/>
          <w:szCs w:val="28"/>
        </w:rPr>
      </w:pPr>
    </w:p>
    <w:p w14:paraId="44CC9797">
      <w:pPr>
        <w:pStyle w:val="17"/>
        <w:spacing w:line="600" w:lineRule="exact"/>
        <w:rPr>
          <w:rFonts w:hAnsi="宋体" w:cs="宋体"/>
          <w:b w:val="0"/>
          <w:color w:val="auto"/>
          <w:sz w:val="28"/>
          <w:szCs w:val="28"/>
        </w:rPr>
      </w:pPr>
    </w:p>
    <w:p w14:paraId="5B323324">
      <w:pPr>
        <w:pStyle w:val="17"/>
        <w:spacing w:line="600" w:lineRule="exact"/>
        <w:rPr>
          <w:rFonts w:hAnsi="宋体" w:cs="宋体"/>
          <w:b w:val="0"/>
          <w:color w:val="auto"/>
          <w:sz w:val="28"/>
          <w:szCs w:val="28"/>
        </w:rPr>
      </w:pPr>
    </w:p>
    <w:p w14:paraId="6E70EFFD">
      <w:pPr>
        <w:pStyle w:val="17"/>
        <w:spacing w:line="600" w:lineRule="exact"/>
        <w:rPr>
          <w:rFonts w:hAnsi="宋体" w:cs="宋体"/>
          <w:b w:val="0"/>
          <w:color w:val="auto"/>
          <w:sz w:val="28"/>
          <w:szCs w:val="28"/>
        </w:rPr>
      </w:pPr>
    </w:p>
    <w:p w14:paraId="0A13FC2B">
      <w:pPr>
        <w:pStyle w:val="17"/>
        <w:spacing w:line="600" w:lineRule="exact"/>
        <w:rPr>
          <w:rFonts w:hAnsi="宋体" w:cs="宋体"/>
          <w:b w:val="0"/>
          <w:color w:val="auto"/>
          <w:sz w:val="28"/>
          <w:szCs w:val="28"/>
        </w:rPr>
      </w:pPr>
    </w:p>
    <w:p w14:paraId="3EDFBD17">
      <w:pPr>
        <w:pStyle w:val="17"/>
        <w:spacing w:line="600" w:lineRule="exact"/>
        <w:rPr>
          <w:rFonts w:hAnsi="宋体" w:cs="宋体"/>
          <w:b w:val="0"/>
          <w:color w:val="auto"/>
          <w:sz w:val="28"/>
          <w:szCs w:val="28"/>
        </w:rPr>
      </w:pPr>
    </w:p>
    <w:p w14:paraId="6A94A301">
      <w:pPr>
        <w:pStyle w:val="17"/>
        <w:spacing w:line="600" w:lineRule="exact"/>
        <w:rPr>
          <w:rFonts w:hAnsi="宋体" w:cs="宋体"/>
          <w:b w:val="0"/>
          <w:color w:val="auto"/>
          <w:sz w:val="28"/>
          <w:szCs w:val="28"/>
        </w:rPr>
      </w:pPr>
    </w:p>
    <w:p w14:paraId="4B63237B">
      <w:pPr>
        <w:pStyle w:val="17"/>
        <w:spacing w:line="600" w:lineRule="exact"/>
        <w:rPr>
          <w:rFonts w:hAnsi="宋体" w:cs="宋体"/>
          <w:b w:val="0"/>
          <w:color w:val="auto"/>
          <w:sz w:val="28"/>
          <w:szCs w:val="28"/>
        </w:rPr>
      </w:pPr>
    </w:p>
    <w:p w14:paraId="23C04866">
      <w:pPr>
        <w:pStyle w:val="17"/>
        <w:spacing w:line="600" w:lineRule="exact"/>
        <w:rPr>
          <w:rFonts w:hAnsi="宋体" w:cs="宋体"/>
          <w:b w:val="0"/>
          <w:color w:val="auto"/>
          <w:sz w:val="28"/>
          <w:szCs w:val="28"/>
        </w:rPr>
      </w:pPr>
    </w:p>
    <w:p w14:paraId="5E9DC6BE">
      <w:pPr>
        <w:pStyle w:val="17"/>
        <w:spacing w:line="600" w:lineRule="exact"/>
        <w:rPr>
          <w:rFonts w:hAnsi="宋体" w:cs="宋体"/>
          <w:b w:val="0"/>
          <w:color w:val="auto"/>
          <w:sz w:val="28"/>
          <w:szCs w:val="28"/>
        </w:rPr>
      </w:pPr>
    </w:p>
    <w:p w14:paraId="48735FC9">
      <w:pPr>
        <w:pStyle w:val="17"/>
        <w:spacing w:line="600" w:lineRule="exact"/>
        <w:rPr>
          <w:rFonts w:hint="default" w:ascii="宋体" w:hAnsi="宋体" w:eastAsia="宋体" w:cs="宋体"/>
          <w:color w:val="auto"/>
          <w:sz w:val="24"/>
          <w:highlight w:val="none"/>
          <w:lang w:val="en-US" w:eastAsia="zh-CN"/>
        </w:rPr>
      </w:pPr>
      <w:r>
        <w:rPr>
          <w:rFonts w:hint="eastAsia" w:hAnsi="宋体" w:cs="宋体"/>
          <w:bCs/>
          <w:color w:val="auto"/>
          <w:sz w:val="28"/>
          <w:szCs w:val="28"/>
        </w:rPr>
        <w:t>格式</w:t>
      </w:r>
      <w:r>
        <w:rPr>
          <w:rFonts w:hint="eastAsia" w:hAnsi="宋体" w:cs="宋体"/>
          <w:bCs/>
          <w:color w:val="auto"/>
          <w:sz w:val="28"/>
          <w:szCs w:val="28"/>
          <w:lang w:val="en-US" w:eastAsia="zh-CN"/>
        </w:rPr>
        <w:t>4</w:t>
      </w:r>
      <w:r>
        <w:rPr>
          <w:rFonts w:hint="eastAsia" w:hAnsi="宋体" w:cs="宋体"/>
          <w:bCs/>
          <w:color w:val="auto"/>
          <w:sz w:val="28"/>
          <w:szCs w:val="28"/>
        </w:rPr>
        <w:t>-1：</w:t>
      </w:r>
      <w:r>
        <w:rPr>
          <w:rFonts w:hint="eastAsia" w:ascii="宋体" w:hAnsi="宋体" w:eastAsia="宋体" w:cs="宋体"/>
          <w:color w:val="auto"/>
          <w:sz w:val="24"/>
          <w:highlight w:val="none"/>
          <w:lang w:val="zh-CN" w:eastAsia="zh-CN"/>
        </w:rPr>
        <w:t>具有独立承担民事责任的能力；（</w:t>
      </w:r>
      <w:r>
        <w:rPr>
          <w:rFonts w:hint="eastAsia" w:ascii="宋体" w:hAnsi="宋体" w:eastAsia="宋体" w:cs="Times New Roman"/>
          <w:b w:val="0"/>
          <w:bCs/>
          <w:sz w:val="24"/>
          <w:szCs w:val="24"/>
          <w:highlight w:val="none"/>
          <w:lang w:val="en-US" w:eastAsia="zh-CN"/>
        </w:rPr>
        <w:t>提供</w:t>
      </w:r>
      <w:r>
        <w:rPr>
          <w:rFonts w:hint="eastAsia" w:ascii="宋体" w:hAnsi="宋体" w:eastAsia="宋体" w:cs="Times New Roman"/>
          <w:b w:val="0"/>
          <w:bCs/>
          <w:sz w:val="24"/>
          <w:szCs w:val="24"/>
          <w:highlight w:val="none"/>
          <w:lang w:val="zh-CN" w:eastAsia="zh-CN"/>
        </w:rPr>
        <w:t>①</w:t>
      </w:r>
      <w:r>
        <w:rPr>
          <w:rFonts w:hint="eastAsia" w:ascii="宋体" w:hAnsi="宋体" w:cs="Times New Roman"/>
          <w:b w:val="0"/>
          <w:bCs/>
          <w:sz w:val="24"/>
          <w:szCs w:val="24"/>
          <w:highlight w:val="none"/>
          <w:lang w:val="en-US" w:eastAsia="zh-CN"/>
        </w:rPr>
        <w:t>供应商</w:t>
      </w:r>
      <w:r>
        <w:rPr>
          <w:rFonts w:hint="eastAsia" w:ascii="宋体" w:hAnsi="宋体" w:eastAsia="宋体" w:cs="Times New Roman"/>
          <w:b w:val="0"/>
          <w:bCs/>
          <w:sz w:val="24"/>
          <w:szCs w:val="24"/>
          <w:highlight w:val="none"/>
          <w:lang w:val="zh-CN" w:eastAsia="zh-CN"/>
        </w:rPr>
        <w:t>若为企业法人：提供“统一社会信用代码营业执照”；未换证的提供“营业执照、税务登记证、组织机构代码证或三证合一的营业 执照”；②若为事业法人：提供“统一社会信用代码法人登记证书”；未换证的提交“事业法人登记证书、组织机构代码证”；③若为其他组织：提供“对应主管部门颁发的准许执业证明文件或营业执照”；④若为自然人：提供“身份证明材料”。以上均提供复印件 。</w:t>
      </w:r>
      <w:r>
        <w:rPr>
          <w:rFonts w:hint="eastAsia" w:ascii="宋体" w:hAnsi="宋体" w:eastAsia="宋体" w:cs="宋体"/>
          <w:color w:val="auto"/>
          <w:sz w:val="24"/>
          <w:highlight w:val="none"/>
          <w:lang w:val="en-US" w:eastAsia="zh-CN"/>
        </w:rPr>
        <w:t>并加盖公章</w:t>
      </w:r>
      <w:r>
        <w:rPr>
          <w:rFonts w:hint="eastAsia" w:ascii="宋体" w:hAnsi="宋体" w:eastAsia="宋体" w:cs="宋体"/>
          <w:color w:val="auto"/>
          <w:sz w:val="24"/>
          <w:highlight w:val="none"/>
          <w:lang w:val="zh-CN" w:eastAsia="zh-CN"/>
        </w:rPr>
        <w:t>）</w:t>
      </w:r>
      <w:r>
        <w:rPr>
          <w:rFonts w:hint="eastAsia" w:hAnsi="宋体" w:cs="宋体"/>
          <w:color w:val="auto"/>
          <w:sz w:val="24"/>
          <w:highlight w:val="none"/>
          <w:lang w:val="en-US" w:eastAsia="zh-CN"/>
        </w:rPr>
        <w:t>注：若为分支机构投标的，需提供上级公司所出具的相关授权证明材料。</w:t>
      </w:r>
    </w:p>
    <w:p w14:paraId="23134C85">
      <w:pPr>
        <w:pStyle w:val="17"/>
        <w:spacing w:line="600" w:lineRule="exact"/>
        <w:rPr>
          <w:rFonts w:hint="eastAsia" w:ascii="宋体" w:hAnsi="宋体" w:eastAsia="宋体" w:cs="宋体"/>
          <w:color w:val="auto"/>
          <w:sz w:val="24"/>
          <w:highlight w:val="none"/>
          <w:lang w:val="zh-CN" w:eastAsia="zh-CN"/>
        </w:rPr>
      </w:pPr>
    </w:p>
    <w:p w14:paraId="12B5F211">
      <w:pPr>
        <w:widowControl/>
        <w:spacing w:line="440" w:lineRule="exact"/>
        <w:ind w:firstLine="480" w:firstLineChars="200"/>
        <w:jc w:val="left"/>
        <w:rPr>
          <w:rFonts w:ascii="宋体" w:hAnsi="宋体"/>
          <w:b w:val="0"/>
          <w:color w:val="auto"/>
          <w:szCs w:val="21"/>
        </w:rPr>
      </w:pPr>
      <w:r>
        <w:rPr>
          <w:rFonts w:hint="eastAsia" w:ascii="宋体" w:hAnsi="宋体"/>
          <w:b w:val="0"/>
          <w:color w:val="auto"/>
          <w:szCs w:val="21"/>
        </w:rPr>
        <w:br w:type="page"/>
      </w:r>
    </w:p>
    <w:p w14:paraId="37527889">
      <w:pPr>
        <w:pStyle w:val="17"/>
        <w:spacing w:line="600" w:lineRule="exact"/>
        <w:rPr>
          <w:rFonts w:hint="default" w:ascii="宋体" w:hAnsi="宋体" w:eastAsia="宋体" w:cs="宋体"/>
          <w:color w:val="auto"/>
          <w:sz w:val="24"/>
          <w:highlight w:val="none"/>
          <w:lang w:val="en-US" w:eastAsia="zh-CN"/>
        </w:rPr>
      </w:pPr>
      <w:r>
        <w:rPr>
          <w:rFonts w:hint="eastAsia" w:hAnsi="宋体" w:cs="宋体"/>
          <w:bCs/>
          <w:color w:val="auto"/>
          <w:sz w:val="28"/>
          <w:szCs w:val="28"/>
        </w:rPr>
        <w:t>格式</w:t>
      </w:r>
      <w:r>
        <w:rPr>
          <w:rFonts w:hint="eastAsia" w:hAnsi="宋体" w:cs="宋体"/>
          <w:bCs/>
          <w:color w:val="auto"/>
          <w:sz w:val="28"/>
          <w:szCs w:val="28"/>
          <w:lang w:val="en-US" w:eastAsia="zh-CN"/>
        </w:rPr>
        <w:t>4</w:t>
      </w:r>
      <w:r>
        <w:rPr>
          <w:rFonts w:hint="eastAsia" w:hAnsi="宋体" w:cs="宋体"/>
          <w:bCs/>
          <w:color w:val="auto"/>
          <w:sz w:val="28"/>
          <w:szCs w:val="28"/>
        </w:rPr>
        <w:t>-2：</w:t>
      </w:r>
      <w:r>
        <w:rPr>
          <w:rFonts w:hint="eastAsia" w:ascii="宋体" w:hAnsi="宋体" w:eastAsia="宋体" w:cs="宋体"/>
          <w:color w:val="auto"/>
          <w:sz w:val="24"/>
          <w:highlight w:val="none"/>
          <w:lang w:val="zh-CN" w:eastAsia="zh-CN"/>
        </w:rPr>
        <w:t>具有良好的商业信誉和健全的财务会计制度；（</w:t>
      </w:r>
      <w:r>
        <w:rPr>
          <w:rFonts w:hint="eastAsia" w:ascii="宋体" w:hAnsi="宋体"/>
          <w:kern w:val="0"/>
          <w:sz w:val="24"/>
          <w:szCs w:val="24"/>
        </w:rPr>
        <w:t>提供20</w:t>
      </w:r>
      <w:r>
        <w:rPr>
          <w:rFonts w:hint="eastAsia" w:ascii="宋体" w:hAnsi="宋体"/>
          <w:kern w:val="0"/>
          <w:sz w:val="24"/>
          <w:szCs w:val="24"/>
          <w:lang w:val="en-US" w:eastAsia="zh-CN"/>
        </w:rPr>
        <w:t>2</w:t>
      </w:r>
      <w:r>
        <w:rPr>
          <w:rFonts w:hint="eastAsia" w:hAnsi="宋体"/>
          <w:kern w:val="0"/>
          <w:sz w:val="24"/>
          <w:szCs w:val="24"/>
          <w:lang w:val="en-US" w:eastAsia="zh-CN"/>
        </w:rPr>
        <w:t>2</w:t>
      </w:r>
      <w:r>
        <w:rPr>
          <w:rFonts w:hint="eastAsia" w:ascii="宋体" w:hAnsi="宋体"/>
          <w:kern w:val="0"/>
          <w:sz w:val="24"/>
          <w:szCs w:val="24"/>
          <w:lang w:val="en-US" w:eastAsia="zh-CN"/>
        </w:rPr>
        <w:t>、202</w:t>
      </w:r>
      <w:r>
        <w:rPr>
          <w:rFonts w:hint="eastAsia" w:hAnsi="宋体"/>
          <w:kern w:val="0"/>
          <w:sz w:val="24"/>
          <w:szCs w:val="24"/>
          <w:lang w:val="en-US" w:eastAsia="zh-CN"/>
        </w:rPr>
        <w:t>3</w:t>
      </w:r>
      <w:r>
        <w:rPr>
          <w:rFonts w:hint="eastAsia" w:ascii="宋体" w:hAnsi="宋体"/>
          <w:kern w:val="0"/>
          <w:sz w:val="24"/>
          <w:szCs w:val="24"/>
          <w:lang w:val="en-US" w:eastAsia="zh-CN"/>
        </w:rPr>
        <w:t>，202</w:t>
      </w:r>
      <w:r>
        <w:rPr>
          <w:rFonts w:hint="eastAsia" w:hAnsi="宋体"/>
          <w:kern w:val="0"/>
          <w:sz w:val="24"/>
          <w:szCs w:val="24"/>
          <w:lang w:val="en-US" w:eastAsia="zh-CN"/>
        </w:rPr>
        <w:t>4</w:t>
      </w:r>
      <w:r>
        <w:rPr>
          <w:rFonts w:hint="eastAsia" w:ascii="宋体" w:hAnsi="宋体"/>
          <w:kern w:val="0"/>
          <w:sz w:val="24"/>
          <w:szCs w:val="24"/>
        </w:rPr>
        <w:t>年</w:t>
      </w:r>
      <w:r>
        <w:rPr>
          <w:rFonts w:hint="eastAsia" w:ascii="宋体" w:hAnsi="宋体"/>
          <w:kern w:val="0"/>
          <w:sz w:val="24"/>
          <w:szCs w:val="24"/>
          <w:lang w:val="en-US" w:eastAsia="zh-CN"/>
        </w:rPr>
        <w:t>任意一年</w:t>
      </w:r>
      <w:r>
        <w:rPr>
          <w:rFonts w:hint="eastAsia" w:ascii="宋体" w:hAnsi="宋体"/>
          <w:kern w:val="0"/>
          <w:sz w:val="24"/>
          <w:szCs w:val="24"/>
        </w:rPr>
        <w:t>经第三方审计的审计报告</w:t>
      </w:r>
      <w:r>
        <w:rPr>
          <w:rFonts w:hint="eastAsia" w:ascii="宋体" w:hAnsi="宋体"/>
          <w:kern w:val="0"/>
          <w:sz w:val="24"/>
          <w:szCs w:val="24"/>
          <w:lang w:val="en-US" w:eastAsia="zh-CN"/>
        </w:rPr>
        <w:t>或</w:t>
      </w:r>
      <w:r>
        <w:rPr>
          <w:rFonts w:hint="eastAsia" w:ascii="宋体" w:hAnsi="宋体"/>
          <w:kern w:val="0"/>
          <w:sz w:val="24"/>
          <w:szCs w:val="24"/>
        </w:rPr>
        <w:t>财务报表（包括审计报告、资产负债表、利润表、现金流量表），成立不满一年的，提供自成立至今经第三方审计的审计报告</w:t>
      </w:r>
      <w:r>
        <w:rPr>
          <w:rFonts w:hint="eastAsia" w:hAnsi="宋体"/>
          <w:kern w:val="0"/>
          <w:sz w:val="24"/>
          <w:szCs w:val="24"/>
          <w:lang w:val="en-US" w:eastAsia="zh-CN"/>
        </w:rPr>
        <w:t>或</w:t>
      </w:r>
      <w:r>
        <w:rPr>
          <w:rFonts w:hint="eastAsia" w:ascii="宋体" w:hAnsi="宋体"/>
          <w:kern w:val="0"/>
          <w:sz w:val="24"/>
          <w:szCs w:val="24"/>
        </w:rPr>
        <w:t>财务报表（包括审计报告、资产负债表、利润表、现金流量表）</w:t>
      </w:r>
      <w:r>
        <w:rPr>
          <w:rFonts w:hint="eastAsia" w:ascii="宋体" w:hAnsi="宋体" w:eastAsia="宋体"/>
          <w:color w:val="000000" w:themeColor="text1"/>
          <w:sz w:val="24"/>
          <w:szCs w:val="24"/>
          <w14:textFill>
            <w14:solidFill>
              <w14:schemeClr w14:val="tx1"/>
            </w14:solidFill>
          </w14:textFill>
        </w:rPr>
        <w:t>；或相关情况说明。</w:t>
      </w:r>
      <w:r>
        <w:rPr>
          <w:rFonts w:hint="eastAsia" w:ascii="宋体" w:hAnsi="宋体" w:eastAsia="宋体" w:cs="宋体"/>
          <w:color w:val="auto"/>
          <w:sz w:val="24"/>
          <w:highlight w:val="none"/>
          <w:lang w:val="en-US" w:eastAsia="zh-CN"/>
        </w:rPr>
        <w:t>并加盖公章</w:t>
      </w:r>
      <w:r>
        <w:rPr>
          <w:rFonts w:hint="eastAsia" w:ascii="宋体" w:hAnsi="宋体" w:eastAsia="宋体" w:cs="宋体"/>
          <w:color w:val="auto"/>
          <w:sz w:val="24"/>
          <w:highlight w:val="none"/>
          <w:lang w:val="zh-CN" w:eastAsia="zh-CN"/>
        </w:rPr>
        <w:t>）</w:t>
      </w:r>
      <w:r>
        <w:rPr>
          <w:rFonts w:hint="eastAsia" w:hAnsi="宋体" w:cs="宋体"/>
          <w:color w:val="auto"/>
          <w:sz w:val="24"/>
          <w:highlight w:val="none"/>
          <w:lang w:val="en-US" w:eastAsia="zh-CN"/>
        </w:rPr>
        <w:t>注：若为分支机构投标的，需提供上级公司所出具的相关授权证明材料。</w:t>
      </w:r>
    </w:p>
    <w:p w14:paraId="5F06A1A3">
      <w:pPr>
        <w:pStyle w:val="17"/>
        <w:spacing w:line="600" w:lineRule="exact"/>
        <w:rPr>
          <w:rFonts w:hint="eastAsia" w:ascii="宋体" w:hAnsi="宋体" w:eastAsia="宋体" w:cs="宋体"/>
          <w:color w:val="auto"/>
          <w:sz w:val="24"/>
          <w:highlight w:val="none"/>
          <w:lang w:val="zh-CN" w:eastAsia="zh-CN"/>
        </w:rPr>
      </w:pPr>
    </w:p>
    <w:p w14:paraId="57170FEB">
      <w:pPr>
        <w:pStyle w:val="17"/>
        <w:spacing w:line="600" w:lineRule="exact"/>
        <w:rPr>
          <w:rFonts w:hint="eastAsia" w:hAnsi="宋体" w:cs="宋体"/>
          <w:bCs/>
          <w:color w:val="auto"/>
          <w:sz w:val="28"/>
          <w:szCs w:val="28"/>
        </w:rPr>
      </w:pPr>
    </w:p>
    <w:p w14:paraId="51A41AE5">
      <w:pPr>
        <w:pStyle w:val="17"/>
        <w:spacing w:line="600" w:lineRule="exact"/>
        <w:rPr>
          <w:rFonts w:hint="eastAsia" w:hAnsi="宋体" w:cs="宋体"/>
          <w:bCs/>
          <w:color w:val="auto"/>
          <w:sz w:val="28"/>
          <w:szCs w:val="28"/>
        </w:rPr>
      </w:pPr>
    </w:p>
    <w:p w14:paraId="00DA6B83">
      <w:pPr>
        <w:pStyle w:val="17"/>
        <w:spacing w:line="600" w:lineRule="exact"/>
        <w:rPr>
          <w:rFonts w:hint="eastAsia" w:hAnsi="宋体" w:cs="宋体"/>
          <w:bCs/>
          <w:color w:val="auto"/>
          <w:sz w:val="28"/>
          <w:szCs w:val="28"/>
        </w:rPr>
      </w:pPr>
    </w:p>
    <w:p w14:paraId="7E7CF344">
      <w:pPr>
        <w:pStyle w:val="17"/>
        <w:spacing w:line="600" w:lineRule="exact"/>
        <w:rPr>
          <w:rFonts w:hint="eastAsia" w:hAnsi="宋体" w:cs="宋体"/>
          <w:bCs/>
          <w:color w:val="auto"/>
          <w:sz w:val="28"/>
          <w:szCs w:val="28"/>
        </w:rPr>
      </w:pPr>
    </w:p>
    <w:p w14:paraId="1053208E">
      <w:pPr>
        <w:pStyle w:val="17"/>
        <w:spacing w:line="600" w:lineRule="exact"/>
        <w:rPr>
          <w:rFonts w:hint="eastAsia" w:hAnsi="宋体" w:cs="宋体"/>
          <w:bCs/>
          <w:color w:val="auto"/>
          <w:sz w:val="28"/>
          <w:szCs w:val="28"/>
        </w:rPr>
      </w:pPr>
    </w:p>
    <w:p w14:paraId="6231FB81">
      <w:pPr>
        <w:pStyle w:val="17"/>
        <w:spacing w:line="600" w:lineRule="exact"/>
        <w:rPr>
          <w:rFonts w:hint="eastAsia" w:hAnsi="宋体" w:cs="宋体"/>
          <w:bCs/>
          <w:color w:val="auto"/>
          <w:sz w:val="28"/>
          <w:szCs w:val="28"/>
        </w:rPr>
      </w:pPr>
    </w:p>
    <w:p w14:paraId="7331340D">
      <w:pPr>
        <w:pStyle w:val="17"/>
        <w:spacing w:line="600" w:lineRule="exact"/>
        <w:rPr>
          <w:rFonts w:hint="eastAsia" w:hAnsi="宋体" w:cs="宋体"/>
          <w:bCs/>
          <w:color w:val="auto"/>
          <w:sz w:val="28"/>
          <w:szCs w:val="28"/>
        </w:rPr>
      </w:pPr>
    </w:p>
    <w:p w14:paraId="17A2F51B">
      <w:pPr>
        <w:pStyle w:val="17"/>
        <w:spacing w:line="600" w:lineRule="exact"/>
        <w:rPr>
          <w:rFonts w:hint="eastAsia" w:hAnsi="宋体" w:cs="宋体"/>
          <w:bCs/>
          <w:color w:val="auto"/>
          <w:sz w:val="28"/>
          <w:szCs w:val="28"/>
        </w:rPr>
      </w:pPr>
    </w:p>
    <w:p w14:paraId="2BB70CB2">
      <w:pPr>
        <w:pStyle w:val="17"/>
        <w:spacing w:line="600" w:lineRule="exact"/>
        <w:rPr>
          <w:rFonts w:hint="eastAsia" w:hAnsi="宋体" w:cs="宋体"/>
          <w:bCs/>
          <w:color w:val="auto"/>
          <w:sz w:val="28"/>
          <w:szCs w:val="28"/>
        </w:rPr>
      </w:pPr>
    </w:p>
    <w:p w14:paraId="4B43DB56">
      <w:pPr>
        <w:pStyle w:val="17"/>
        <w:spacing w:line="600" w:lineRule="exact"/>
        <w:rPr>
          <w:rFonts w:hint="eastAsia" w:hAnsi="宋体" w:cs="宋体"/>
          <w:bCs/>
          <w:color w:val="auto"/>
          <w:sz w:val="28"/>
          <w:szCs w:val="28"/>
        </w:rPr>
      </w:pPr>
    </w:p>
    <w:p w14:paraId="01581B63">
      <w:pPr>
        <w:pStyle w:val="17"/>
        <w:spacing w:line="600" w:lineRule="exact"/>
        <w:rPr>
          <w:rFonts w:hint="eastAsia" w:hAnsi="宋体" w:cs="宋体"/>
          <w:bCs/>
          <w:color w:val="auto"/>
          <w:sz w:val="28"/>
          <w:szCs w:val="28"/>
        </w:rPr>
      </w:pPr>
    </w:p>
    <w:p w14:paraId="5A223020">
      <w:pPr>
        <w:pStyle w:val="17"/>
        <w:spacing w:line="600" w:lineRule="exact"/>
        <w:rPr>
          <w:rFonts w:hint="eastAsia" w:hAnsi="宋体" w:cs="宋体"/>
          <w:bCs/>
          <w:color w:val="auto"/>
          <w:sz w:val="28"/>
          <w:szCs w:val="28"/>
        </w:rPr>
      </w:pPr>
    </w:p>
    <w:p w14:paraId="5E8202A9">
      <w:pPr>
        <w:pStyle w:val="17"/>
        <w:spacing w:line="600" w:lineRule="exact"/>
        <w:rPr>
          <w:rFonts w:hint="eastAsia" w:hAnsi="宋体" w:cs="宋体"/>
          <w:bCs/>
          <w:color w:val="auto"/>
          <w:sz w:val="28"/>
          <w:szCs w:val="28"/>
        </w:rPr>
      </w:pPr>
    </w:p>
    <w:p w14:paraId="08958B04">
      <w:pPr>
        <w:pStyle w:val="17"/>
        <w:spacing w:line="600" w:lineRule="exact"/>
        <w:rPr>
          <w:rFonts w:hint="eastAsia" w:hAnsi="宋体" w:cs="宋体"/>
          <w:bCs/>
          <w:color w:val="auto"/>
          <w:sz w:val="28"/>
          <w:szCs w:val="28"/>
        </w:rPr>
      </w:pPr>
    </w:p>
    <w:p w14:paraId="32287F9D">
      <w:pPr>
        <w:pStyle w:val="17"/>
        <w:spacing w:line="600" w:lineRule="exact"/>
        <w:rPr>
          <w:rFonts w:hint="eastAsia" w:hAnsi="宋体" w:cs="宋体"/>
          <w:bCs/>
          <w:color w:val="auto"/>
          <w:sz w:val="28"/>
          <w:szCs w:val="28"/>
        </w:rPr>
      </w:pPr>
    </w:p>
    <w:p w14:paraId="09CD858B">
      <w:pPr>
        <w:pStyle w:val="17"/>
        <w:spacing w:line="600" w:lineRule="exact"/>
        <w:rPr>
          <w:rFonts w:hint="eastAsia" w:hAnsi="宋体" w:cs="宋体"/>
          <w:bCs/>
          <w:color w:val="auto"/>
          <w:sz w:val="28"/>
          <w:szCs w:val="28"/>
        </w:rPr>
      </w:pPr>
    </w:p>
    <w:p w14:paraId="4C3DDC77">
      <w:pPr>
        <w:pStyle w:val="17"/>
        <w:spacing w:line="600" w:lineRule="exact"/>
        <w:rPr>
          <w:rFonts w:hint="eastAsia" w:hAnsi="宋体" w:cs="宋体"/>
          <w:bCs/>
          <w:color w:val="auto"/>
          <w:sz w:val="28"/>
          <w:szCs w:val="28"/>
        </w:rPr>
      </w:pPr>
    </w:p>
    <w:p w14:paraId="2CF1D1E2">
      <w:pPr>
        <w:pStyle w:val="17"/>
        <w:spacing w:line="600" w:lineRule="exact"/>
        <w:rPr>
          <w:rFonts w:ascii="宋体" w:hAnsi="宋体"/>
          <w:b w:val="0"/>
          <w:color w:val="auto"/>
          <w:szCs w:val="21"/>
        </w:rPr>
      </w:pPr>
      <w:r>
        <w:rPr>
          <w:rFonts w:hint="eastAsia" w:hAnsi="宋体" w:cs="宋体"/>
          <w:bCs/>
          <w:color w:val="auto"/>
          <w:sz w:val="28"/>
          <w:szCs w:val="28"/>
        </w:rPr>
        <w:t>格式</w:t>
      </w:r>
      <w:r>
        <w:rPr>
          <w:rFonts w:hint="eastAsia" w:hAnsi="宋体" w:cs="宋体"/>
          <w:bCs/>
          <w:color w:val="auto"/>
          <w:sz w:val="28"/>
          <w:szCs w:val="28"/>
          <w:lang w:val="en-US" w:eastAsia="zh-CN"/>
        </w:rPr>
        <w:t>4</w:t>
      </w:r>
      <w:r>
        <w:rPr>
          <w:rFonts w:hint="eastAsia" w:hAnsi="宋体" w:cs="宋体"/>
          <w:bCs/>
          <w:color w:val="auto"/>
          <w:sz w:val="28"/>
          <w:szCs w:val="28"/>
        </w:rPr>
        <w:t>-3：</w:t>
      </w:r>
      <w:r>
        <w:rPr>
          <w:rFonts w:hint="eastAsia" w:ascii="宋体" w:hAnsi="宋体" w:eastAsia="宋体" w:cs="宋体"/>
          <w:b/>
          <w:bCs/>
          <w:color w:val="auto"/>
          <w:sz w:val="24"/>
          <w:szCs w:val="24"/>
          <w:lang w:eastAsia="zh-CN"/>
        </w:rPr>
        <w:t>具有履行合同所必需的设备和专业技术能力（提供书面声明或相关证明材料）</w:t>
      </w:r>
      <w:r>
        <w:rPr>
          <w:rFonts w:hint="eastAsia" w:ascii="宋体" w:hAnsi="宋体"/>
          <w:b/>
          <w:bCs/>
          <w:color w:val="auto"/>
          <w:sz w:val="24"/>
          <w:szCs w:val="24"/>
        </w:rPr>
        <w:t>。</w:t>
      </w:r>
      <w:r>
        <w:rPr>
          <w:rFonts w:hint="eastAsia" w:ascii="宋体" w:hAnsi="宋体"/>
          <w:b w:val="0"/>
          <w:color w:val="auto"/>
          <w:szCs w:val="21"/>
        </w:rPr>
        <w:br w:type="page"/>
      </w:r>
    </w:p>
    <w:p w14:paraId="28296BCE">
      <w:pPr>
        <w:pStyle w:val="17"/>
        <w:spacing w:line="600" w:lineRule="exact"/>
        <w:rPr>
          <w:rFonts w:hint="eastAsia" w:ascii="宋体" w:hAnsi="宋体" w:eastAsia="宋体" w:cs="宋体"/>
          <w:color w:val="auto"/>
          <w:sz w:val="24"/>
          <w:szCs w:val="24"/>
          <w:highlight w:val="none"/>
          <w:lang w:val="zh-CN" w:eastAsia="zh-CN"/>
        </w:rPr>
      </w:pPr>
      <w:r>
        <w:rPr>
          <w:rFonts w:hint="eastAsia" w:hAnsi="宋体" w:cs="宋体"/>
          <w:bCs/>
          <w:color w:val="auto"/>
          <w:sz w:val="28"/>
          <w:szCs w:val="28"/>
        </w:rPr>
        <w:t>格式</w:t>
      </w:r>
      <w:r>
        <w:rPr>
          <w:rFonts w:hint="eastAsia" w:hAnsi="宋体" w:cs="宋体"/>
          <w:bCs/>
          <w:color w:val="auto"/>
          <w:sz w:val="28"/>
          <w:szCs w:val="28"/>
          <w:lang w:val="en-US" w:eastAsia="zh-CN"/>
        </w:rPr>
        <w:t>4</w:t>
      </w:r>
      <w:r>
        <w:rPr>
          <w:rFonts w:hint="eastAsia" w:hAnsi="宋体" w:cs="宋体"/>
          <w:bCs/>
          <w:color w:val="auto"/>
          <w:sz w:val="28"/>
          <w:szCs w:val="28"/>
        </w:rPr>
        <w:t>-4：</w:t>
      </w:r>
      <w:r>
        <w:rPr>
          <w:rFonts w:hint="eastAsia" w:ascii="宋体" w:hAnsi="宋体" w:eastAsia="宋体" w:cs="宋体"/>
          <w:color w:val="auto"/>
          <w:sz w:val="24"/>
          <w:szCs w:val="24"/>
          <w:highlight w:val="none"/>
          <w:lang w:val="zh-CN" w:eastAsia="zh-CN"/>
        </w:rPr>
        <w:t>有依法缴纳税收和社会保障资金的良好记录；</w:t>
      </w:r>
      <w:r>
        <w:rPr>
          <w:rFonts w:hint="eastAsia" w:ascii="宋体" w:hAnsi="宋体" w:eastAsia="宋体" w:cs="宋体"/>
          <w:b/>
          <w:bCs/>
          <w:color w:val="auto"/>
          <w:sz w:val="24"/>
          <w:szCs w:val="24"/>
          <w:lang w:eastAsia="zh-CN"/>
        </w:rPr>
        <w:t>（</w:t>
      </w:r>
      <w:r>
        <w:rPr>
          <w:rFonts w:hint="eastAsia" w:ascii="宋体" w:hAnsi="宋体" w:eastAsia="宋体" w:cs="宋体"/>
          <w:b w:val="0"/>
          <w:color w:val="auto"/>
          <w:sz w:val="24"/>
          <w:szCs w:val="24"/>
          <w:lang w:val="en-US" w:eastAsia="zh-CN"/>
        </w:rPr>
        <w:t>提供2020年至今任意连续</w:t>
      </w:r>
      <w:r>
        <w:rPr>
          <w:rFonts w:hint="eastAsia" w:ascii="宋体" w:hAnsi="宋体" w:cs="宋体"/>
          <w:b w:val="0"/>
          <w:color w:val="auto"/>
          <w:sz w:val="24"/>
          <w:szCs w:val="24"/>
          <w:lang w:val="en-US" w:eastAsia="zh-CN"/>
        </w:rPr>
        <w:t>3</w:t>
      </w:r>
      <w:r>
        <w:rPr>
          <w:rFonts w:hint="eastAsia" w:ascii="宋体" w:hAnsi="宋体" w:eastAsia="宋体" w:cs="宋体"/>
          <w:b w:val="0"/>
          <w:color w:val="auto"/>
          <w:sz w:val="24"/>
          <w:szCs w:val="24"/>
          <w:lang w:val="en-US" w:eastAsia="zh-CN"/>
        </w:rPr>
        <w:t>个月依法缴纳税收和缴纳社会保障资金的证明(成立未满</w:t>
      </w:r>
      <w:r>
        <w:rPr>
          <w:rFonts w:hint="eastAsia" w:ascii="宋体" w:hAnsi="宋体" w:cs="宋体"/>
          <w:b w:val="0"/>
          <w:color w:val="auto"/>
          <w:sz w:val="24"/>
          <w:szCs w:val="24"/>
          <w:lang w:val="en-US" w:eastAsia="zh-CN"/>
        </w:rPr>
        <w:t>3</w:t>
      </w:r>
      <w:r>
        <w:rPr>
          <w:rFonts w:hint="eastAsia" w:ascii="宋体" w:hAnsi="宋体" w:eastAsia="宋体" w:cs="宋体"/>
          <w:b w:val="0"/>
          <w:color w:val="auto"/>
          <w:sz w:val="24"/>
          <w:szCs w:val="24"/>
          <w:lang w:val="en-US" w:eastAsia="zh-CN"/>
        </w:rPr>
        <w:t>个月的提供成立以来的税收和社会保障资金缴纳凭证或相关情况说明；依法免税或不需要缴纳社会保障资金的供应商，应提供相应文件证明其依法免税或不需要缴纳社会保障资金)</w:t>
      </w:r>
      <w:r>
        <w:rPr>
          <w:rFonts w:hint="eastAsia" w:ascii="宋体" w:hAnsi="宋体" w:eastAsia="宋体" w:cs="宋体"/>
          <w:b w:val="0"/>
          <w:color w:val="auto"/>
          <w:sz w:val="24"/>
          <w:szCs w:val="24"/>
        </w:rPr>
        <w:t>；</w:t>
      </w:r>
    </w:p>
    <w:p w14:paraId="0E1EB4CB">
      <w:pPr>
        <w:pStyle w:val="17"/>
        <w:spacing w:line="600" w:lineRule="exact"/>
        <w:rPr>
          <w:rFonts w:hAnsi="宋体" w:cs="宋体"/>
          <w:b w:val="0"/>
          <w:color w:val="auto"/>
          <w:sz w:val="24"/>
          <w:szCs w:val="24"/>
        </w:rPr>
      </w:pPr>
    </w:p>
    <w:p w14:paraId="35E06918">
      <w:pPr>
        <w:pStyle w:val="17"/>
        <w:spacing w:line="600" w:lineRule="exact"/>
        <w:rPr>
          <w:rFonts w:hAnsi="宋体" w:cs="宋体"/>
          <w:b w:val="0"/>
          <w:color w:val="auto"/>
          <w:sz w:val="28"/>
          <w:szCs w:val="28"/>
        </w:rPr>
      </w:pPr>
    </w:p>
    <w:p w14:paraId="1FA297BC">
      <w:pPr>
        <w:pStyle w:val="17"/>
        <w:spacing w:line="600" w:lineRule="exact"/>
        <w:rPr>
          <w:rFonts w:hAnsi="宋体" w:cs="宋体"/>
          <w:b w:val="0"/>
          <w:color w:val="auto"/>
          <w:sz w:val="28"/>
          <w:szCs w:val="28"/>
        </w:rPr>
      </w:pPr>
    </w:p>
    <w:p w14:paraId="22D32ED4">
      <w:pPr>
        <w:pStyle w:val="17"/>
        <w:spacing w:line="600" w:lineRule="exact"/>
        <w:rPr>
          <w:rFonts w:hAnsi="宋体" w:cs="宋体"/>
          <w:b w:val="0"/>
          <w:color w:val="auto"/>
          <w:sz w:val="28"/>
          <w:szCs w:val="28"/>
        </w:rPr>
      </w:pPr>
    </w:p>
    <w:p w14:paraId="6BEAF7C6">
      <w:pPr>
        <w:pStyle w:val="17"/>
        <w:spacing w:line="600" w:lineRule="exact"/>
        <w:rPr>
          <w:rFonts w:hAnsi="宋体" w:cs="宋体"/>
          <w:b w:val="0"/>
          <w:color w:val="auto"/>
          <w:sz w:val="28"/>
          <w:szCs w:val="28"/>
        </w:rPr>
      </w:pPr>
    </w:p>
    <w:p w14:paraId="63E8AB91">
      <w:pPr>
        <w:pStyle w:val="17"/>
        <w:spacing w:line="600" w:lineRule="exact"/>
        <w:rPr>
          <w:rFonts w:hAnsi="宋体" w:cs="宋体"/>
          <w:b w:val="0"/>
          <w:color w:val="auto"/>
          <w:sz w:val="28"/>
          <w:szCs w:val="28"/>
        </w:rPr>
      </w:pPr>
    </w:p>
    <w:p w14:paraId="2C00F391">
      <w:pPr>
        <w:pStyle w:val="17"/>
        <w:spacing w:line="600" w:lineRule="exact"/>
        <w:rPr>
          <w:rFonts w:hAnsi="宋体" w:cs="宋体"/>
          <w:b w:val="0"/>
          <w:color w:val="auto"/>
          <w:sz w:val="28"/>
          <w:szCs w:val="28"/>
        </w:rPr>
      </w:pPr>
    </w:p>
    <w:p w14:paraId="333A1624">
      <w:pPr>
        <w:rPr>
          <w:color w:val="auto"/>
        </w:rPr>
      </w:pPr>
    </w:p>
    <w:p w14:paraId="14785ADB">
      <w:pPr>
        <w:pStyle w:val="17"/>
        <w:spacing w:line="600" w:lineRule="exact"/>
        <w:rPr>
          <w:rFonts w:hAnsi="宋体" w:cs="宋体"/>
          <w:b w:val="0"/>
          <w:color w:val="auto"/>
          <w:sz w:val="28"/>
          <w:szCs w:val="28"/>
        </w:rPr>
      </w:pPr>
    </w:p>
    <w:p w14:paraId="5663AA53">
      <w:pPr>
        <w:pStyle w:val="17"/>
        <w:spacing w:line="600" w:lineRule="exact"/>
        <w:rPr>
          <w:rFonts w:hAnsi="宋体" w:cs="宋体"/>
          <w:b w:val="0"/>
          <w:color w:val="auto"/>
          <w:sz w:val="28"/>
          <w:szCs w:val="28"/>
        </w:rPr>
      </w:pPr>
    </w:p>
    <w:p w14:paraId="4BC4233A">
      <w:pPr>
        <w:pStyle w:val="17"/>
        <w:spacing w:line="600" w:lineRule="exact"/>
        <w:rPr>
          <w:rFonts w:hAnsi="宋体" w:cs="宋体"/>
          <w:b w:val="0"/>
          <w:color w:val="auto"/>
          <w:sz w:val="28"/>
          <w:szCs w:val="28"/>
        </w:rPr>
      </w:pPr>
    </w:p>
    <w:p w14:paraId="31B0EA15">
      <w:pPr>
        <w:pStyle w:val="17"/>
        <w:spacing w:line="600" w:lineRule="exact"/>
        <w:rPr>
          <w:rFonts w:hAnsi="宋体" w:cs="宋体"/>
          <w:b w:val="0"/>
          <w:color w:val="auto"/>
          <w:sz w:val="28"/>
          <w:szCs w:val="28"/>
        </w:rPr>
      </w:pPr>
    </w:p>
    <w:p w14:paraId="18E9DCDF">
      <w:pPr>
        <w:pStyle w:val="17"/>
        <w:spacing w:line="600" w:lineRule="exact"/>
        <w:rPr>
          <w:rFonts w:hAnsi="宋体" w:cs="宋体"/>
          <w:b w:val="0"/>
          <w:color w:val="auto"/>
          <w:sz w:val="28"/>
          <w:szCs w:val="28"/>
        </w:rPr>
      </w:pPr>
    </w:p>
    <w:p w14:paraId="6929FAEE">
      <w:pPr>
        <w:pStyle w:val="17"/>
        <w:spacing w:line="600" w:lineRule="exact"/>
        <w:rPr>
          <w:rFonts w:hAnsi="宋体" w:cs="宋体"/>
          <w:b w:val="0"/>
          <w:color w:val="auto"/>
          <w:sz w:val="28"/>
          <w:szCs w:val="28"/>
        </w:rPr>
      </w:pPr>
    </w:p>
    <w:p w14:paraId="33E16A85">
      <w:pPr>
        <w:pStyle w:val="17"/>
        <w:spacing w:line="600" w:lineRule="exact"/>
        <w:rPr>
          <w:rFonts w:hint="eastAsia" w:hAnsi="宋体" w:cs="宋体"/>
          <w:bCs/>
          <w:color w:val="auto"/>
          <w:sz w:val="28"/>
          <w:szCs w:val="28"/>
        </w:rPr>
      </w:pPr>
    </w:p>
    <w:p w14:paraId="6D163776">
      <w:pPr>
        <w:pStyle w:val="17"/>
        <w:spacing w:line="600" w:lineRule="exact"/>
        <w:rPr>
          <w:rFonts w:hint="eastAsia" w:hAnsi="宋体" w:cs="宋体"/>
          <w:bCs/>
          <w:color w:val="auto"/>
          <w:sz w:val="28"/>
          <w:szCs w:val="28"/>
        </w:rPr>
      </w:pPr>
    </w:p>
    <w:p w14:paraId="27673EBE">
      <w:pPr>
        <w:pStyle w:val="17"/>
        <w:spacing w:line="600" w:lineRule="exact"/>
        <w:rPr>
          <w:rFonts w:hint="eastAsia" w:hAnsi="宋体" w:cs="宋体"/>
          <w:bCs/>
          <w:color w:val="auto"/>
          <w:sz w:val="28"/>
          <w:szCs w:val="28"/>
        </w:rPr>
      </w:pPr>
    </w:p>
    <w:p w14:paraId="7A43BEF2">
      <w:pPr>
        <w:pStyle w:val="17"/>
        <w:spacing w:line="600" w:lineRule="exact"/>
        <w:rPr>
          <w:rFonts w:hint="eastAsia" w:hAnsi="宋体" w:cs="宋体"/>
          <w:bCs/>
          <w:color w:val="auto"/>
          <w:sz w:val="28"/>
          <w:szCs w:val="28"/>
        </w:rPr>
      </w:pPr>
    </w:p>
    <w:p w14:paraId="773C4A9D">
      <w:pPr>
        <w:pStyle w:val="17"/>
        <w:spacing w:line="600" w:lineRule="exact"/>
        <w:rPr>
          <w:rFonts w:hint="eastAsia" w:hAnsi="宋体" w:cs="宋体"/>
          <w:bCs/>
          <w:color w:val="auto"/>
          <w:sz w:val="28"/>
          <w:szCs w:val="28"/>
        </w:rPr>
      </w:pPr>
    </w:p>
    <w:p w14:paraId="50E4D986">
      <w:pPr>
        <w:rPr>
          <w:rFonts w:hint="eastAsia" w:hAnsi="宋体" w:cs="宋体"/>
          <w:bCs/>
          <w:color w:val="auto"/>
          <w:sz w:val="28"/>
          <w:szCs w:val="28"/>
        </w:rPr>
      </w:pPr>
    </w:p>
    <w:p w14:paraId="65489C3B">
      <w:pPr>
        <w:pStyle w:val="17"/>
        <w:spacing w:line="600" w:lineRule="exact"/>
        <w:rPr>
          <w:rFonts w:hint="eastAsia" w:ascii="宋体" w:hAnsi="宋体" w:eastAsia="宋体" w:cs="宋体"/>
          <w:color w:val="auto"/>
          <w:sz w:val="24"/>
          <w:szCs w:val="24"/>
          <w:highlight w:val="none"/>
          <w:lang w:val="zh-CN" w:eastAsia="zh-CN"/>
        </w:rPr>
      </w:pPr>
      <w:r>
        <w:rPr>
          <w:rFonts w:hint="eastAsia" w:hAnsi="宋体" w:cs="宋体"/>
          <w:bCs/>
          <w:color w:val="auto"/>
          <w:sz w:val="28"/>
          <w:szCs w:val="28"/>
        </w:rPr>
        <w:t>格式</w:t>
      </w:r>
      <w:r>
        <w:rPr>
          <w:rFonts w:hint="eastAsia" w:hAnsi="宋体" w:cs="宋体"/>
          <w:bCs/>
          <w:color w:val="auto"/>
          <w:sz w:val="28"/>
          <w:szCs w:val="28"/>
          <w:lang w:val="en-US" w:eastAsia="zh-CN"/>
        </w:rPr>
        <w:t>4</w:t>
      </w:r>
      <w:r>
        <w:rPr>
          <w:rFonts w:hint="eastAsia" w:hAnsi="宋体" w:cs="宋体"/>
          <w:bCs/>
          <w:color w:val="auto"/>
          <w:sz w:val="28"/>
          <w:szCs w:val="28"/>
        </w:rPr>
        <w:t>-5：</w:t>
      </w:r>
      <w:r>
        <w:rPr>
          <w:rFonts w:hint="eastAsia" w:ascii="宋体" w:hAnsi="宋体" w:eastAsia="宋体" w:cs="宋体"/>
          <w:color w:val="auto"/>
          <w:sz w:val="24"/>
          <w:szCs w:val="24"/>
          <w:highlight w:val="none"/>
          <w:lang w:val="zh-CN" w:eastAsia="zh-CN"/>
        </w:rPr>
        <w:t>参加此采购活动前三年内，在经营活动中没有重大违法记录；</w:t>
      </w:r>
      <w:r>
        <w:rPr>
          <w:rFonts w:hint="eastAsia" w:ascii="宋体" w:hAnsi="宋体" w:eastAsia="宋体" w:cs="宋体"/>
          <w:b/>
          <w:bCs/>
          <w:color w:val="auto"/>
          <w:sz w:val="24"/>
          <w:szCs w:val="24"/>
          <w:lang w:eastAsia="zh-CN"/>
        </w:rPr>
        <w:t>（提供书面声明或相关证明材料）</w:t>
      </w:r>
      <w:r>
        <w:rPr>
          <w:rFonts w:hint="eastAsia" w:ascii="宋体" w:hAnsi="宋体"/>
          <w:b/>
          <w:bCs/>
          <w:color w:val="auto"/>
          <w:sz w:val="24"/>
          <w:szCs w:val="24"/>
        </w:rPr>
        <w:t>。</w:t>
      </w:r>
    </w:p>
    <w:p w14:paraId="687F3089">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lang w:val="zh-CN" w:eastAsia="zh-CN"/>
        </w:rPr>
      </w:pPr>
    </w:p>
    <w:p w14:paraId="3EA62489">
      <w:pPr>
        <w:pStyle w:val="4"/>
        <w:ind w:firstLine="0"/>
        <w:outlineLvl w:val="9"/>
        <w:rPr>
          <w:rFonts w:hAnsi="宋体" w:cs="宋体"/>
          <w:b w:val="0"/>
          <w:color w:val="auto"/>
          <w:sz w:val="21"/>
          <w:szCs w:val="21"/>
        </w:rPr>
      </w:pPr>
    </w:p>
    <w:p w14:paraId="6AB8D126">
      <w:pPr>
        <w:rPr>
          <w:rFonts w:ascii="宋体" w:hAnsi="宋体"/>
          <w:b w:val="0"/>
          <w:color w:val="auto"/>
          <w:sz w:val="21"/>
          <w:szCs w:val="21"/>
        </w:rPr>
      </w:pPr>
    </w:p>
    <w:p w14:paraId="1B2237BE">
      <w:pPr>
        <w:pStyle w:val="17"/>
        <w:spacing w:line="600" w:lineRule="exact"/>
        <w:rPr>
          <w:rFonts w:hint="eastAsia" w:hAnsi="宋体" w:cs="宋体"/>
          <w:bCs/>
          <w:color w:val="auto"/>
          <w:sz w:val="28"/>
          <w:szCs w:val="28"/>
        </w:rPr>
      </w:pPr>
    </w:p>
    <w:p w14:paraId="34F98233">
      <w:pPr>
        <w:pStyle w:val="17"/>
        <w:spacing w:line="600" w:lineRule="exact"/>
        <w:rPr>
          <w:rFonts w:hint="eastAsia" w:hAnsi="宋体" w:cs="宋体"/>
          <w:bCs/>
          <w:color w:val="auto"/>
          <w:sz w:val="28"/>
          <w:szCs w:val="28"/>
        </w:rPr>
      </w:pPr>
    </w:p>
    <w:p w14:paraId="060BCC55">
      <w:pPr>
        <w:pStyle w:val="17"/>
        <w:spacing w:line="600" w:lineRule="exact"/>
        <w:rPr>
          <w:rFonts w:hint="eastAsia" w:hAnsi="宋体" w:cs="宋体"/>
          <w:bCs/>
          <w:color w:val="auto"/>
          <w:sz w:val="28"/>
          <w:szCs w:val="28"/>
        </w:rPr>
      </w:pPr>
    </w:p>
    <w:p w14:paraId="1815C2B6">
      <w:pPr>
        <w:pStyle w:val="17"/>
        <w:spacing w:line="600" w:lineRule="exact"/>
        <w:rPr>
          <w:rFonts w:hint="eastAsia" w:hAnsi="宋体" w:cs="宋体"/>
          <w:bCs/>
          <w:color w:val="auto"/>
          <w:sz w:val="28"/>
          <w:szCs w:val="28"/>
        </w:rPr>
      </w:pPr>
    </w:p>
    <w:p w14:paraId="6DBA5C16">
      <w:pPr>
        <w:pStyle w:val="17"/>
        <w:spacing w:line="600" w:lineRule="exact"/>
        <w:rPr>
          <w:rFonts w:hint="eastAsia" w:hAnsi="宋体" w:cs="宋体"/>
          <w:bCs/>
          <w:color w:val="auto"/>
          <w:sz w:val="28"/>
          <w:szCs w:val="28"/>
        </w:rPr>
      </w:pPr>
    </w:p>
    <w:p w14:paraId="1D469DE9">
      <w:pPr>
        <w:pStyle w:val="17"/>
        <w:spacing w:line="600" w:lineRule="exact"/>
        <w:rPr>
          <w:rFonts w:hint="eastAsia" w:hAnsi="宋体" w:cs="宋体"/>
          <w:bCs/>
          <w:color w:val="auto"/>
          <w:sz w:val="28"/>
          <w:szCs w:val="28"/>
        </w:rPr>
      </w:pPr>
    </w:p>
    <w:p w14:paraId="1797419F">
      <w:pPr>
        <w:pStyle w:val="17"/>
        <w:spacing w:line="600" w:lineRule="exact"/>
        <w:rPr>
          <w:rFonts w:hint="eastAsia" w:hAnsi="宋体" w:cs="宋体"/>
          <w:bCs/>
          <w:color w:val="auto"/>
          <w:sz w:val="28"/>
          <w:szCs w:val="28"/>
        </w:rPr>
      </w:pPr>
    </w:p>
    <w:p w14:paraId="2C3B9CA6">
      <w:pPr>
        <w:pStyle w:val="17"/>
        <w:spacing w:line="600" w:lineRule="exact"/>
        <w:rPr>
          <w:rFonts w:hint="eastAsia" w:hAnsi="宋体" w:cs="宋体"/>
          <w:bCs/>
          <w:color w:val="auto"/>
          <w:sz w:val="28"/>
          <w:szCs w:val="28"/>
        </w:rPr>
      </w:pPr>
    </w:p>
    <w:p w14:paraId="1AFCE5D0">
      <w:pPr>
        <w:pStyle w:val="17"/>
        <w:spacing w:line="600" w:lineRule="exact"/>
        <w:rPr>
          <w:rFonts w:hint="eastAsia" w:hAnsi="宋体" w:cs="宋体"/>
          <w:bCs/>
          <w:color w:val="auto"/>
          <w:sz w:val="28"/>
          <w:szCs w:val="28"/>
        </w:rPr>
      </w:pPr>
    </w:p>
    <w:p w14:paraId="3703C121">
      <w:pPr>
        <w:pStyle w:val="17"/>
        <w:spacing w:line="600" w:lineRule="exact"/>
        <w:rPr>
          <w:rFonts w:hint="eastAsia" w:hAnsi="宋体" w:cs="宋体"/>
          <w:bCs/>
          <w:color w:val="auto"/>
          <w:sz w:val="28"/>
          <w:szCs w:val="28"/>
        </w:rPr>
      </w:pPr>
    </w:p>
    <w:p w14:paraId="10473297">
      <w:pPr>
        <w:pStyle w:val="17"/>
        <w:spacing w:line="600" w:lineRule="exact"/>
        <w:rPr>
          <w:rFonts w:hint="eastAsia" w:hAnsi="宋体" w:cs="宋体"/>
          <w:bCs/>
          <w:color w:val="auto"/>
          <w:sz w:val="28"/>
          <w:szCs w:val="28"/>
        </w:rPr>
      </w:pPr>
    </w:p>
    <w:p w14:paraId="018F7A0D">
      <w:pPr>
        <w:pStyle w:val="17"/>
        <w:spacing w:line="600" w:lineRule="exact"/>
        <w:rPr>
          <w:rFonts w:hint="eastAsia" w:hAnsi="宋体" w:cs="宋体"/>
          <w:bCs/>
          <w:color w:val="auto"/>
          <w:sz w:val="28"/>
          <w:szCs w:val="28"/>
        </w:rPr>
      </w:pPr>
    </w:p>
    <w:p w14:paraId="63FF1157">
      <w:pPr>
        <w:pStyle w:val="17"/>
        <w:spacing w:line="600" w:lineRule="exact"/>
        <w:rPr>
          <w:rFonts w:hint="eastAsia" w:hAnsi="宋体" w:cs="宋体"/>
          <w:bCs/>
          <w:color w:val="auto"/>
          <w:sz w:val="28"/>
          <w:szCs w:val="28"/>
        </w:rPr>
      </w:pPr>
    </w:p>
    <w:p w14:paraId="5804DDAD">
      <w:pPr>
        <w:pStyle w:val="17"/>
        <w:spacing w:line="600" w:lineRule="exact"/>
        <w:rPr>
          <w:rFonts w:hint="eastAsia" w:hAnsi="宋体" w:cs="宋体"/>
          <w:bCs/>
          <w:color w:val="auto"/>
          <w:sz w:val="28"/>
          <w:szCs w:val="28"/>
        </w:rPr>
      </w:pPr>
    </w:p>
    <w:p w14:paraId="73F8832A">
      <w:pPr>
        <w:rPr>
          <w:rFonts w:hint="eastAsia" w:hAnsi="宋体" w:cs="宋体"/>
          <w:bCs/>
          <w:color w:val="auto"/>
          <w:sz w:val="28"/>
          <w:szCs w:val="28"/>
        </w:rPr>
      </w:pPr>
    </w:p>
    <w:p w14:paraId="2A1584DB">
      <w:pPr>
        <w:pStyle w:val="13"/>
        <w:rPr>
          <w:rFonts w:hint="eastAsia" w:hAnsi="宋体" w:cs="宋体"/>
          <w:bCs/>
          <w:color w:val="auto"/>
          <w:sz w:val="28"/>
          <w:szCs w:val="28"/>
        </w:rPr>
      </w:pPr>
    </w:p>
    <w:p w14:paraId="7099842E">
      <w:pPr>
        <w:rPr>
          <w:rFonts w:hint="eastAsia" w:hAnsi="宋体" w:cs="宋体"/>
          <w:bCs/>
          <w:color w:val="auto"/>
          <w:sz w:val="28"/>
          <w:szCs w:val="28"/>
        </w:rPr>
      </w:pPr>
    </w:p>
    <w:p w14:paraId="36F37393">
      <w:pPr>
        <w:pStyle w:val="13"/>
        <w:rPr>
          <w:rFonts w:hint="eastAsia" w:hAnsi="宋体" w:cs="宋体"/>
          <w:bCs/>
          <w:color w:val="auto"/>
          <w:sz w:val="28"/>
          <w:szCs w:val="28"/>
        </w:rPr>
      </w:pPr>
    </w:p>
    <w:p w14:paraId="74D55EED">
      <w:pPr>
        <w:rPr>
          <w:rFonts w:hint="eastAsia" w:hAnsi="宋体" w:cs="宋体"/>
          <w:bCs/>
          <w:color w:val="auto"/>
          <w:sz w:val="28"/>
          <w:szCs w:val="28"/>
        </w:rPr>
      </w:pPr>
    </w:p>
    <w:p w14:paraId="707618C5">
      <w:pPr>
        <w:rPr>
          <w:rFonts w:hint="eastAsia" w:hAnsi="宋体" w:cs="宋体"/>
          <w:bCs/>
          <w:color w:val="auto"/>
          <w:sz w:val="28"/>
          <w:szCs w:val="28"/>
        </w:rPr>
      </w:pPr>
    </w:p>
    <w:p w14:paraId="16C00AEE">
      <w:pPr>
        <w:rPr>
          <w:rFonts w:hint="eastAsia" w:hAnsi="宋体" w:cs="宋体"/>
          <w:bCs/>
          <w:color w:val="auto"/>
          <w:sz w:val="28"/>
          <w:szCs w:val="28"/>
        </w:rPr>
      </w:pPr>
    </w:p>
    <w:p w14:paraId="2C4C4461">
      <w:pPr>
        <w:pStyle w:val="13"/>
        <w:rPr>
          <w:rFonts w:hint="eastAsia"/>
        </w:rPr>
      </w:pPr>
    </w:p>
    <w:p w14:paraId="07655471">
      <w:pPr>
        <w:pStyle w:val="17"/>
        <w:spacing w:line="600" w:lineRule="exact"/>
        <w:rPr>
          <w:rFonts w:hint="eastAsia" w:hAnsi="宋体" w:cs="宋体"/>
          <w:bCs/>
          <w:color w:val="auto"/>
          <w:sz w:val="28"/>
          <w:szCs w:val="28"/>
        </w:rPr>
        <w:sectPr>
          <w:pgSz w:w="11906" w:h="16838"/>
          <w:pgMar w:top="1440" w:right="1080" w:bottom="1440" w:left="1080" w:header="720" w:footer="720" w:gutter="0"/>
          <w:cols w:space="708" w:num="1"/>
        </w:sectPr>
      </w:pPr>
      <w:r>
        <w:rPr>
          <w:rFonts w:hint="eastAsia" w:hAnsi="宋体" w:cs="宋体"/>
          <w:bCs/>
          <w:color w:val="auto"/>
          <w:sz w:val="28"/>
          <w:szCs w:val="28"/>
        </w:rPr>
        <w:t>格式</w:t>
      </w:r>
      <w:r>
        <w:rPr>
          <w:rFonts w:hint="eastAsia" w:hAnsi="宋体" w:cs="宋体"/>
          <w:bCs/>
          <w:color w:val="auto"/>
          <w:sz w:val="28"/>
          <w:szCs w:val="28"/>
          <w:lang w:val="en-US" w:eastAsia="zh-CN"/>
        </w:rPr>
        <w:t>4</w:t>
      </w:r>
      <w:r>
        <w:rPr>
          <w:rFonts w:hint="eastAsia" w:hAnsi="宋体" w:cs="宋体"/>
          <w:bCs/>
          <w:color w:val="auto"/>
          <w:sz w:val="28"/>
          <w:szCs w:val="28"/>
        </w:rPr>
        <w:t>-6：资格条件中投标人认为需要提交的其他资料。</w:t>
      </w:r>
    </w:p>
    <w:p w14:paraId="3B7DE24E">
      <w:pPr>
        <w:spacing w:line="600" w:lineRule="exact"/>
        <w:rPr>
          <w:rFonts w:ascii="宋体" w:hAnsi="宋体"/>
          <w:b w:val="0"/>
          <w:color w:val="auto"/>
          <w:sz w:val="28"/>
          <w:szCs w:val="28"/>
        </w:rPr>
      </w:pPr>
      <w:r>
        <w:rPr>
          <w:rFonts w:hint="eastAsia" w:ascii="宋体" w:hAnsi="宋体"/>
          <w:bCs/>
          <w:color w:val="auto"/>
          <w:sz w:val="28"/>
          <w:szCs w:val="28"/>
        </w:rPr>
        <w:t>格式</w:t>
      </w:r>
      <w:r>
        <w:rPr>
          <w:rFonts w:hint="eastAsia" w:ascii="宋体" w:hAnsi="宋体"/>
          <w:bCs/>
          <w:color w:val="auto"/>
          <w:sz w:val="28"/>
          <w:szCs w:val="28"/>
          <w:lang w:val="en-US" w:eastAsia="zh-CN"/>
        </w:rPr>
        <w:t>5</w:t>
      </w:r>
      <w:r>
        <w:rPr>
          <w:rFonts w:hint="eastAsia" w:ascii="宋体" w:hAnsi="宋体"/>
          <w:bCs/>
          <w:color w:val="auto"/>
          <w:sz w:val="28"/>
          <w:szCs w:val="28"/>
        </w:rPr>
        <w:t>：</w:t>
      </w:r>
    </w:p>
    <w:p w14:paraId="29BCFF7F">
      <w:pPr>
        <w:pStyle w:val="3"/>
        <w:jc w:val="center"/>
        <w:rPr>
          <w:rFonts w:ascii="宋体" w:hAnsi="宋体" w:cs="宋体"/>
          <w:color w:val="auto"/>
        </w:rPr>
      </w:pPr>
      <w:bookmarkStart w:id="445" w:name="_Toc488633629"/>
      <w:bookmarkStart w:id="446" w:name="_Toc528186504"/>
      <w:bookmarkStart w:id="447" w:name="_Toc481694857"/>
      <w:bookmarkStart w:id="448" w:name="_Toc27437"/>
      <w:bookmarkStart w:id="449" w:name="_Toc489145764"/>
      <w:bookmarkStart w:id="450" w:name="_Toc489197868"/>
      <w:r>
        <w:rPr>
          <w:rFonts w:hint="eastAsia" w:ascii="宋体" w:hAnsi="宋体" w:cs="宋体"/>
          <w:color w:val="auto"/>
        </w:rPr>
        <w:t>法定代表人身份证明书</w:t>
      </w:r>
      <w:bookmarkEnd w:id="445"/>
      <w:bookmarkEnd w:id="446"/>
      <w:bookmarkEnd w:id="447"/>
      <w:bookmarkEnd w:id="448"/>
      <w:bookmarkEnd w:id="449"/>
      <w:bookmarkEnd w:id="450"/>
    </w:p>
    <w:p w14:paraId="2318E6E1">
      <w:pPr>
        <w:spacing w:line="440" w:lineRule="exact"/>
        <w:jc w:val="center"/>
        <w:rPr>
          <w:rFonts w:ascii="宋体" w:hAnsi="宋体"/>
          <w:b w:val="0"/>
          <w:color w:val="auto"/>
          <w:sz w:val="21"/>
          <w:szCs w:val="21"/>
        </w:rPr>
      </w:pPr>
    </w:p>
    <w:p w14:paraId="2D72CEBB">
      <w:pPr>
        <w:pStyle w:val="34"/>
        <w:ind w:left="482"/>
        <w:rPr>
          <w:color w:val="auto"/>
        </w:rPr>
      </w:pPr>
    </w:p>
    <w:p w14:paraId="12F231DF">
      <w:pPr>
        <w:tabs>
          <w:tab w:val="left" w:pos="2380"/>
          <w:tab w:val="left" w:pos="3580"/>
          <w:tab w:val="left" w:pos="4780"/>
          <w:tab w:val="left" w:pos="4900"/>
          <w:tab w:val="left" w:pos="5020"/>
        </w:tabs>
        <w:spacing w:line="480" w:lineRule="auto"/>
        <w:ind w:left="102" w:right="3470"/>
        <w:jc w:val="left"/>
        <w:rPr>
          <w:rFonts w:ascii="宋体" w:hAnsi="宋体"/>
          <w:b w:val="0"/>
          <w:color w:val="auto"/>
          <w:kern w:val="0"/>
          <w:sz w:val="21"/>
          <w:szCs w:val="21"/>
        </w:rPr>
      </w:pPr>
      <w:r>
        <w:rPr>
          <w:rFonts w:hint="eastAsia" w:ascii="宋体" w:hAnsi="宋体"/>
          <w:b w:val="0"/>
          <w:color w:val="auto"/>
          <w:kern w:val="0"/>
          <w:sz w:val="21"/>
          <w:szCs w:val="21"/>
        </w:rPr>
        <w:t>投标人名称：</w:t>
      </w:r>
      <w:r>
        <w:rPr>
          <w:rFonts w:hint="eastAsia" w:ascii="宋体" w:hAnsi="宋体"/>
          <w:b w:val="0"/>
          <w:color w:val="auto"/>
          <w:kern w:val="0"/>
          <w:sz w:val="21"/>
          <w:szCs w:val="21"/>
          <w:u w:val="single"/>
        </w:rPr>
        <w:t xml:space="preserve"> </w:t>
      </w:r>
      <w:r>
        <w:rPr>
          <w:rFonts w:hint="eastAsia" w:ascii="宋体" w:hAnsi="宋体"/>
          <w:b w:val="0"/>
          <w:color w:val="auto"/>
          <w:kern w:val="0"/>
          <w:sz w:val="21"/>
          <w:szCs w:val="21"/>
          <w:u w:val="single"/>
        </w:rPr>
        <w:tab/>
      </w:r>
      <w:r>
        <w:rPr>
          <w:rFonts w:hint="eastAsia" w:ascii="宋体" w:hAnsi="宋体"/>
          <w:b w:val="0"/>
          <w:color w:val="auto"/>
          <w:kern w:val="0"/>
          <w:sz w:val="21"/>
          <w:szCs w:val="21"/>
          <w:u w:val="single"/>
        </w:rPr>
        <w:tab/>
      </w:r>
      <w:r>
        <w:rPr>
          <w:rFonts w:hint="eastAsia" w:ascii="宋体" w:hAnsi="宋体"/>
          <w:b w:val="0"/>
          <w:color w:val="auto"/>
          <w:kern w:val="0"/>
          <w:sz w:val="21"/>
          <w:szCs w:val="21"/>
          <w:u w:val="single"/>
        </w:rPr>
        <w:tab/>
      </w:r>
      <w:r>
        <w:rPr>
          <w:rFonts w:hint="eastAsia" w:ascii="宋体" w:hAnsi="宋体"/>
          <w:b w:val="0"/>
          <w:color w:val="auto"/>
          <w:kern w:val="0"/>
          <w:sz w:val="21"/>
          <w:szCs w:val="21"/>
          <w:u w:val="single"/>
        </w:rPr>
        <w:tab/>
      </w:r>
      <w:r>
        <w:rPr>
          <w:rFonts w:hint="eastAsia" w:ascii="宋体" w:hAnsi="宋体"/>
          <w:b w:val="0"/>
          <w:color w:val="auto"/>
          <w:kern w:val="0"/>
          <w:sz w:val="21"/>
          <w:szCs w:val="21"/>
        </w:rPr>
        <w:t xml:space="preserve"> </w:t>
      </w:r>
    </w:p>
    <w:p w14:paraId="51F23CB6">
      <w:pPr>
        <w:tabs>
          <w:tab w:val="left" w:pos="2380"/>
          <w:tab w:val="left" w:pos="3580"/>
          <w:tab w:val="left" w:pos="4780"/>
          <w:tab w:val="left" w:pos="4900"/>
          <w:tab w:val="left" w:pos="5020"/>
        </w:tabs>
        <w:spacing w:line="480" w:lineRule="auto"/>
        <w:ind w:left="102" w:right="3470"/>
        <w:jc w:val="left"/>
        <w:rPr>
          <w:rFonts w:ascii="宋体" w:hAnsi="宋体"/>
          <w:b w:val="0"/>
          <w:color w:val="auto"/>
          <w:kern w:val="0"/>
          <w:sz w:val="21"/>
          <w:szCs w:val="21"/>
        </w:rPr>
      </w:pPr>
      <w:r>
        <w:rPr>
          <w:rFonts w:hint="eastAsia" w:ascii="宋体" w:hAnsi="宋体"/>
          <w:b w:val="0"/>
          <w:color w:val="auto"/>
          <w:kern w:val="0"/>
          <w:sz w:val="21"/>
          <w:szCs w:val="21"/>
        </w:rPr>
        <w:t>单位性质：</w:t>
      </w:r>
      <w:r>
        <w:rPr>
          <w:rFonts w:hint="eastAsia" w:ascii="宋体" w:hAnsi="宋体"/>
          <w:b w:val="0"/>
          <w:color w:val="auto"/>
          <w:kern w:val="0"/>
          <w:sz w:val="21"/>
          <w:szCs w:val="21"/>
          <w:u w:val="single"/>
        </w:rPr>
        <w:t xml:space="preserve"> </w:t>
      </w:r>
      <w:r>
        <w:rPr>
          <w:rFonts w:hint="eastAsia" w:ascii="宋体" w:hAnsi="宋体"/>
          <w:b w:val="0"/>
          <w:color w:val="auto"/>
          <w:kern w:val="0"/>
          <w:sz w:val="21"/>
          <w:szCs w:val="21"/>
          <w:u w:val="single"/>
        </w:rPr>
        <w:tab/>
      </w:r>
      <w:r>
        <w:rPr>
          <w:rFonts w:hint="eastAsia" w:ascii="宋体" w:hAnsi="宋体"/>
          <w:b w:val="0"/>
          <w:color w:val="auto"/>
          <w:kern w:val="0"/>
          <w:sz w:val="21"/>
          <w:szCs w:val="21"/>
          <w:u w:val="single"/>
        </w:rPr>
        <w:tab/>
      </w:r>
      <w:r>
        <w:rPr>
          <w:rFonts w:hint="eastAsia" w:ascii="宋体" w:hAnsi="宋体"/>
          <w:b w:val="0"/>
          <w:color w:val="auto"/>
          <w:kern w:val="0"/>
          <w:sz w:val="21"/>
          <w:szCs w:val="21"/>
          <w:u w:val="single"/>
        </w:rPr>
        <w:tab/>
      </w:r>
      <w:r>
        <w:rPr>
          <w:rFonts w:hint="eastAsia" w:ascii="宋体" w:hAnsi="宋体"/>
          <w:b w:val="0"/>
          <w:color w:val="auto"/>
          <w:kern w:val="0"/>
          <w:sz w:val="21"/>
          <w:szCs w:val="21"/>
          <w:u w:val="single"/>
        </w:rPr>
        <w:tab/>
      </w:r>
      <w:r>
        <w:rPr>
          <w:rFonts w:hint="eastAsia" w:ascii="宋体" w:hAnsi="宋体"/>
          <w:b w:val="0"/>
          <w:color w:val="auto"/>
          <w:kern w:val="0"/>
          <w:sz w:val="21"/>
          <w:szCs w:val="21"/>
          <w:u w:val="single"/>
        </w:rPr>
        <w:tab/>
      </w:r>
      <w:r>
        <w:rPr>
          <w:rFonts w:hint="eastAsia" w:ascii="宋体" w:hAnsi="宋体"/>
          <w:b w:val="0"/>
          <w:color w:val="auto"/>
          <w:kern w:val="0"/>
          <w:sz w:val="21"/>
          <w:szCs w:val="21"/>
        </w:rPr>
        <w:t xml:space="preserve"> </w:t>
      </w:r>
    </w:p>
    <w:p w14:paraId="5FE0723A">
      <w:pPr>
        <w:tabs>
          <w:tab w:val="left" w:pos="2380"/>
          <w:tab w:val="left" w:pos="3580"/>
          <w:tab w:val="left" w:pos="4780"/>
          <w:tab w:val="left" w:pos="4900"/>
          <w:tab w:val="left" w:pos="5020"/>
        </w:tabs>
        <w:spacing w:line="480" w:lineRule="auto"/>
        <w:ind w:left="102" w:right="3470"/>
        <w:jc w:val="left"/>
        <w:rPr>
          <w:rFonts w:ascii="宋体" w:hAnsi="宋体"/>
          <w:b w:val="0"/>
          <w:color w:val="auto"/>
          <w:kern w:val="0"/>
          <w:sz w:val="21"/>
          <w:szCs w:val="21"/>
        </w:rPr>
      </w:pPr>
      <w:r>
        <w:rPr>
          <w:rFonts w:hint="eastAsia" w:ascii="宋体" w:hAnsi="宋体"/>
          <w:b w:val="0"/>
          <w:color w:val="auto"/>
          <w:kern w:val="0"/>
          <w:sz w:val="21"/>
          <w:szCs w:val="21"/>
        </w:rPr>
        <w:t>地址：</w:t>
      </w:r>
      <w:r>
        <w:rPr>
          <w:rFonts w:hint="eastAsia" w:ascii="宋体" w:hAnsi="宋体"/>
          <w:b w:val="0"/>
          <w:color w:val="auto"/>
          <w:kern w:val="0"/>
          <w:sz w:val="21"/>
          <w:szCs w:val="21"/>
          <w:u w:val="single"/>
        </w:rPr>
        <w:t xml:space="preserve"> </w:t>
      </w:r>
      <w:r>
        <w:rPr>
          <w:rFonts w:hint="eastAsia" w:ascii="宋体" w:hAnsi="宋体"/>
          <w:b w:val="0"/>
          <w:color w:val="auto"/>
          <w:kern w:val="0"/>
          <w:sz w:val="21"/>
          <w:szCs w:val="21"/>
          <w:u w:val="single"/>
        </w:rPr>
        <w:tab/>
      </w:r>
      <w:r>
        <w:rPr>
          <w:rFonts w:hint="eastAsia" w:ascii="宋体" w:hAnsi="宋体"/>
          <w:b w:val="0"/>
          <w:color w:val="auto"/>
          <w:kern w:val="0"/>
          <w:sz w:val="21"/>
          <w:szCs w:val="21"/>
          <w:u w:val="single"/>
        </w:rPr>
        <w:tab/>
      </w:r>
      <w:r>
        <w:rPr>
          <w:rFonts w:hint="eastAsia" w:ascii="宋体" w:hAnsi="宋体"/>
          <w:b w:val="0"/>
          <w:color w:val="auto"/>
          <w:kern w:val="0"/>
          <w:sz w:val="21"/>
          <w:szCs w:val="21"/>
          <w:u w:val="single"/>
        </w:rPr>
        <w:tab/>
      </w:r>
      <w:r>
        <w:rPr>
          <w:rFonts w:hint="eastAsia" w:ascii="宋体" w:hAnsi="宋体"/>
          <w:b w:val="0"/>
          <w:color w:val="auto"/>
          <w:kern w:val="0"/>
          <w:sz w:val="21"/>
          <w:szCs w:val="21"/>
          <w:u w:val="single"/>
        </w:rPr>
        <w:tab/>
      </w:r>
      <w:r>
        <w:rPr>
          <w:rFonts w:hint="eastAsia" w:ascii="宋体" w:hAnsi="宋体"/>
          <w:b w:val="0"/>
          <w:color w:val="auto"/>
          <w:kern w:val="0"/>
          <w:sz w:val="21"/>
          <w:szCs w:val="21"/>
          <w:u w:val="single"/>
        </w:rPr>
        <w:tab/>
      </w:r>
      <w:r>
        <w:rPr>
          <w:rFonts w:hint="eastAsia" w:ascii="宋体" w:hAnsi="宋体"/>
          <w:b w:val="0"/>
          <w:color w:val="auto"/>
          <w:kern w:val="0"/>
          <w:sz w:val="21"/>
          <w:szCs w:val="21"/>
        </w:rPr>
        <w:t xml:space="preserve"> </w:t>
      </w:r>
    </w:p>
    <w:p w14:paraId="35EF4BF1">
      <w:pPr>
        <w:tabs>
          <w:tab w:val="left" w:pos="2380"/>
          <w:tab w:val="left" w:pos="3580"/>
          <w:tab w:val="left" w:pos="4780"/>
          <w:tab w:val="left" w:pos="4900"/>
          <w:tab w:val="left" w:pos="5020"/>
        </w:tabs>
        <w:spacing w:line="480" w:lineRule="auto"/>
        <w:ind w:left="102" w:right="3470"/>
        <w:jc w:val="left"/>
        <w:rPr>
          <w:rFonts w:ascii="宋体" w:hAnsi="宋体"/>
          <w:b w:val="0"/>
          <w:color w:val="auto"/>
          <w:kern w:val="0"/>
          <w:sz w:val="21"/>
          <w:szCs w:val="21"/>
        </w:rPr>
      </w:pPr>
      <w:r>
        <w:rPr>
          <w:rFonts w:hint="eastAsia" w:ascii="宋体" w:hAnsi="宋体"/>
          <w:b w:val="0"/>
          <w:color w:val="auto"/>
          <w:kern w:val="0"/>
          <w:sz w:val="21"/>
          <w:szCs w:val="21"/>
        </w:rPr>
        <w:t>成立时间：</w:t>
      </w:r>
      <w:r>
        <w:rPr>
          <w:rFonts w:hint="eastAsia" w:ascii="宋体" w:hAnsi="宋体"/>
          <w:b w:val="0"/>
          <w:color w:val="auto"/>
          <w:kern w:val="0"/>
          <w:sz w:val="21"/>
          <w:szCs w:val="21"/>
          <w:u w:val="single"/>
        </w:rPr>
        <w:t xml:space="preserve"> </w:t>
      </w:r>
      <w:r>
        <w:rPr>
          <w:rFonts w:hint="eastAsia" w:ascii="宋体" w:hAnsi="宋体"/>
          <w:b w:val="0"/>
          <w:color w:val="auto"/>
          <w:kern w:val="0"/>
          <w:sz w:val="21"/>
          <w:szCs w:val="21"/>
          <w:u w:val="single"/>
        </w:rPr>
        <w:tab/>
      </w:r>
      <w:r>
        <w:rPr>
          <w:rFonts w:hint="eastAsia" w:ascii="宋体" w:hAnsi="宋体"/>
          <w:b w:val="0"/>
          <w:color w:val="auto"/>
          <w:kern w:val="0"/>
          <w:sz w:val="21"/>
          <w:szCs w:val="21"/>
          <w:u w:val="single"/>
        </w:rPr>
        <w:t xml:space="preserve"> </w:t>
      </w:r>
      <w:r>
        <w:rPr>
          <w:rFonts w:hint="eastAsia" w:ascii="宋体" w:hAnsi="宋体"/>
          <w:b w:val="0"/>
          <w:color w:val="auto"/>
          <w:kern w:val="0"/>
          <w:sz w:val="21"/>
          <w:szCs w:val="21"/>
        </w:rPr>
        <w:t>年</w:t>
      </w:r>
      <w:r>
        <w:rPr>
          <w:rFonts w:hint="eastAsia" w:ascii="宋体" w:hAnsi="宋体"/>
          <w:b w:val="0"/>
          <w:color w:val="auto"/>
          <w:kern w:val="0"/>
          <w:sz w:val="21"/>
          <w:szCs w:val="21"/>
          <w:u w:val="single"/>
        </w:rPr>
        <w:t xml:space="preserve"> </w:t>
      </w:r>
      <w:r>
        <w:rPr>
          <w:rFonts w:hint="eastAsia" w:ascii="宋体" w:hAnsi="宋体"/>
          <w:b w:val="0"/>
          <w:color w:val="auto"/>
          <w:kern w:val="0"/>
          <w:sz w:val="21"/>
          <w:szCs w:val="21"/>
          <w:u w:val="single"/>
        </w:rPr>
        <w:tab/>
      </w:r>
      <w:r>
        <w:rPr>
          <w:rFonts w:hint="eastAsia" w:ascii="宋体" w:hAnsi="宋体"/>
          <w:b w:val="0"/>
          <w:color w:val="auto"/>
          <w:kern w:val="0"/>
          <w:sz w:val="21"/>
          <w:szCs w:val="21"/>
          <w:u w:val="single"/>
        </w:rPr>
        <w:t xml:space="preserve"> </w:t>
      </w:r>
      <w:r>
        <w:rPr>
          <w:rFonts w:hint="eastAsia" w:ascii="宋体" w:hAnsi="宋体"/>
          <w:b w:val="0"/>
          <w:color w:val="auto"/>
          <w:kern w:val="0"/>
          <w:sz w:val="21"/>
          <w:szCs w:val="21"/>
        </w:rPr>
        <w:t>月</w:t>
      </w:r>
      <w:r>
        <w:rPr>
          <w:rFonts w:hint="eastAsia" w:ascii="宋体" w:hAnsi="宋体"/>
          <w:b w:val="0"/>
          <w:color w:val="auto"/>
          <w:kern w:val="0"/>
          <w:sz w:val="21"/>
          <w:szCs w:val="21"/>
          <w:u w:val="single"/>
        </w:rPr>
        <w:t xml:space="preserve"> </w:t>
      </w:r>
      <w:r>
        <w:rPr>
          <w:rFonts w:hint="eastAsia" w:ascii="宋体" w:hAnsi="宋体"/>
          <w:b w:val="0"/>
          <w:color w:val="auto"/>
          <w:kern w:val="0"/>
          <w:sz w:val="21"/>
          <w:szCs w:val="21"/>
          <w:u w:val="single"/>
        </w:rPr>
        <w:tab/>
      </w:r>
      <w:r>
        <w:rPr>
          <w:rFonts w:hint="eastAsia" w:ascii="宋体" w:hAnsi="宋体"/>
          <w:b w:val="0"/>
          <w:color w:val="auto"/>
          <w:kern w:val="0"/>
          <w:sz w:val="21"/>
          <w:szCs w:val="21"/>
          <w:u w:val="single"/>
        </w:rPr>
        <w:t xml:space="preserve"> </w:t>
      </w:r>
      <w:r>
        <w:rPr>
          <w:rFonts w:hint="eastAsia" w:ascii="宋体" w:hAnsi="宋体"/>
          <w:b w:val="0"/>
          <w:color w:val="auto"/>
          <w:kern w:val="0"/>
          <w:sz w:val="21"/>
          <w:szCs w:val="21"/>
        </w:rPr>
        <w:t>日</w:t>
      </w:r>
    </w:p>
    <w:p w14:paraId="7CBBC246">
      <w:pPr>
        <w:tabs>
          <w:tab w:val="left" w:pos="3820"/>
          <w:tab w:val="left" w:pos="4940"/>
          <w:tab w:val="left" w:pos="6740"/>
          <w:tab w:val="left" w:pos="7815"/>
        </w:tabs>
        <w:spacing w:before="26" w:line="480" w:lineRule="auto"/>
        <w:ind w:left="102" w:right="-39"/>
        <w:jc w:val="left"/>
        <w:rPr>
          <w:rFonts w:ascii="宋体" w:hAnsi="宋体"/>
          <w:b w:val="0"/>
          <w:color w:val="auto"/>
          <w:kern w:val="0"/>
          <w:sz w:val="21"/>
          <w:szCs w:val="21"/>
          <w:u w:val="single"/>
        </w:rPr>
      </w:pPr>
      <w:r>
        <w:rPr>
          <w:rFonts w:hint="eastAsia" w:ascii="宋体" w:hAnsi="宋体"/>
          <w:b w:val="0"/>
          <w:color w:val="auto"/>
          <w:kern w:val="0"/>
          <w:sz w:val="21"/>
          <w:szCs w:val="21"/>
        </w:rPr>
        <w:t>姓名：</w:t>
      </w:r>
      <w:r>
        <w:rPr>
          <w:rFonts w:hint="eastAsia" w:ascii="宋体" w:hAnsi="宋体"/>
          <w:b w:val="0"/>
          <w:color w:val="auto"/>
          <w:kern w:val="0"/>
          <w:sz w:val="21"/>
          <w:szCs w:val="21"/>
          <w:u w:val="single"/>
        </w:rPr>
        <w:t xml:space="preserve">       </w:t>
      </w:r>
      <w:r>
        <w:rPr>
          <w:rFonts w:hint="eastAsia" w:ascii="宋体" w:hAnsi="宋体"/>
          <w:b w:val="0"/>
          <w:color w:val="auto"/>
          <w:kern w:val="0"/>
          <w:sz w:val="21"/>
          <w:szCs w:val="21"/>
        </w:rPr>
        <w:t>性别：</w:t>
      </w:r>
      <w:r>
        <w:rPr>
          <w:rFonts w:hint="eastAsia" w:ascii="宋体" w:hAnsi="宋体"/>
          <w:b w:val="0"/>
          <w:color w:val="auto"/>
          <w:kern w:val="0"/>
          <w:sz w:val="21"/>
          <w:szCs w:val="21"/>
          <w:u w:val="single"/>
        </w:rPr>
        <w:t xml:space="preserve">      </w:t>
      </w:r>
      <w:r>
        <w:rPr>
          <w:rFonts w:hint="eastAsia" w:ascii="宋体" w:hAnsi="宋体"/>
          <w:b w:val="0"/>
          <w:color w:val="auto"/>
          <w:kern w:val="0"/>
          <w:sz w:val="21"/>
          <w:szCs w:val="21"/>
        </w:rPr>
        <w:t>年龄：</w:t>
      </w:r>
      <w:r>
        <w:rPr>
          <w:rFonts w:hint="eastAsia" w:ascii="宋体" w:hAnsi="宋体"/>
          <w:b w:val="0"/>
          <w:color w:val="auto"/>
          <w:kern w:val="0"/>
          <w:sz w:val="21"/>
          <w:szCs w:val="21"/>
          <w:u w:val="single"/>
        </w:rPr>
        <w:t xml:space="preserve">     </w:t>
      </w:r>
      <w:r>
        <w:rPr>
          <w:rFonts w:hint="eastAsia" w:ascii="宋体" w:hAnsi="宋体"/>
          <w:b w:val="0"/>
          <w:color w:val="auto"/>
          <w:kern w:val="0"/>
          <w:sz w:val="21"/>
          <w:szCs w:val="21"/>
        </w:rPr>
        <w:t>职务</w:t>
      </w:r>
      <w:r>
        <w:rPr>
          <w:rFonts w:hint="eastAsia" w:ascii="宋体" w:hAnsi="宋体"/>
          <w:b w:val="0"/>
          <w:color w:val="auto"/>
          <w:spacing w:val="1"/>
          <w:kern w:val="0"/>
          <w:sz w:val="21"/>
          <w:szCs w:val="21"/>
        </w:rPr>
        <w:t>：</w:t>
      </w:r>
      <w:r>
        <w:rPr>
          <w:rFonts w:hint="eastAsia" w:ascii="宋体" w:hAnsi="宋体"/>
          <w:b w:val="0"/>
          <w:color w:val="auto"/>
          <w:spacing w:val="1"/>
          <w:kern w:val="0"/>
          <w:sz w:val="21"/>
          <w:szCs w:val="21"/>
          <w:u w:val="single"/>
        </w:rPr>
        <w:t xml:space="preserve">     </w:t>
      </w:r>
      <w:r>
        <w:rPr>
          <w:rFonts w:hint="eastAsia" w:ascii="宋体" w:hAnsi="宋体"/>
          <w:b w:val="0"/>
          <w:color w:val="auto"/>
          <w:kern w:val="0"/>
          <w:sz w:val="21"/>
          <w:szCs w:val="21"/>
          <w:u w:val="single"/>
        </w:rPr>
        <w:t xml:space="preserve">  </w:t>
      </w:r>
      <w:r>
        <w:rPr>
          <w:rFonts w:hint="eastAsia" w:ascii="宋体" w:hAnsi="宋体"/>
          <w:b w:val="0"/>
          <w:color w:val="auto"/>
          <w:kern w:val="0"/>
          <w:sz w:val="21"/>
          <w:szCs w:val="21"/>
        </w:rPr>
        <w:t>系</w:t>
      </w:r>
      <w:r>
        <w:rPr>
          <w:rFonts w:hint="eastAsia" w:ascii="宋体" w:hAnsi="宋体"/>
          <w:b w:val="0"/>
          <w:color w:val="auto"/>
          <w:kern w:val="0"/>
          <w:sz w:val="21"/>
          <w:szCs w:val="21"/>
          <w:u w:val="single"/>
        </w:rPr>
        <w:t xml:space="preserve">      </w:t>
      </w:r>
      <w:r>
        <w:rPr>
          <w:rFonts w:hint="eastAsia" w:ascii="宋体" w:hAnsi="宋体"/>
          <w:b w:val="0"/>
          <w:color w:val="auto"/>
          <w:spacing w:val="-1"/>
          <w:kern w:val="0"/>
          <w:sz w:val="21"/>
          <w:szCs w:val="21"/>
          <w:u w:val="single"/>
        </w:rPr>
        <w:t>(</w:t>
      </w:r>
      <w:r>
        <w:rPr>
          <w:rFonts w:hint="eastAsia" w:ascii="宋体" w:hAnsi="宋体"/>
          <w:b w:val="0"/>
          <w:color w:val="auto"/>
          <w:kern w:val="0"/>
          <w:sz w:val="21"/>
          <w:szCs w:val="21"/>
          <w:u w:val="single"/>
        </w:rPr>
        <w:t>投标人名称</w:t>
      </w:r>
      <w:r>
        <w:rPr>
          <w:rFonts w:hint="eastAsia" w:ascii="宋体" w:hAnsi="宋体"/>
          <w:b w:val="0"/>
          <w:color w:val="auto"/>
          <w:spacing w:val="-1"/>
          <w:kern w:val="0"/>
          <w:sz w:val="21"/>
          <w:szCs w:val="21"/>
          <w:u w:val="single"/>
        </w:rPr>
        <w:t xml:space="preserve">)   </w:t>
      </w:r>
      <w:r>
        <w:rPr>
          <w:rFonts w:hint="eastAsia" w:ascii="宋体" w:hAnsi="宋体"/>
          <w:b w:val="0"/>
          <w:color w:val="auto"/>
          <w:kern w:val="0"/>
          <w:sz w:val="21"/>
          <w:szCs w:val="21"/>
        </w:rPr>
        <w:t>的法定代表人。</w:t>
      </w:r>
    </w:p>
    <w:p w14:paraId="365D3E9E">
      <w:pPr>
        <w:spacing w:line="480" w:lineRule="auto"/>
        <w:rPr>
          <w:rFonts w:ascii="宋体" w:hAnsi="宋体"/>
          <w:b w:val="0"/>
          <w:color w:val="auto"/>
          <w:sz w:val="21"/>
          <w:szCs w:val="21"/>
        </w:rPr>
      </w:pPr>
      <w:r>
        <w:rPr>
          <w:rFonts w:hint="eastAsia" w:ascii="宋体" w:hAnsi="宋体"/>
          <w:b w:val="0"/>
          <w:color w:val="auto"/>
          <w:sz w:val="21"/>
          <w:szCs w:val="21"/>
        </w:rPr>
        <w:t>特此证明。</w:t>
      </w:r>
    </w:p>
    <w:p w14:paraId="028E22AF">
      <w:pPr>
        <w:spacing w:line="480" w:lineRule="auto"/>
        <w:rPr>
          <w:rFonts w:hint="eastAsia" w:ascii="宋体" w:hAnsi="宋体" w:eastAsia="宋体"/>
          <w:b w:val="0"/>
          <w:color w:val="auto"/>
          <w:sz w:val="21"/>
          <w:szCs w:val="21"/>
          <w:lang w:eastAsia="zh-CN"/>
        </w:rPr>
      </w:pPr>
      <w:r>
        <w:rPr>
          <w:rFonts w:hint="eastAsia" w:ascii="宋体" w:hAnsi="宋体"/>
          <w:b w:val="0"/>
          <w:bCs/>
          <w:color w:val="auto"/>
          <w:sz w:val="21"/>
          <w:szCs w:val="21"/>
        </w:rPr>
        <w:t>附：</w:t>
      </w:r>
      <w:r>
        <w:rPr>
          <w:rFonts w:hint="eastAsia" w:ascii="宋体" w:hAnsi="宋体"/>
          <w:b w:val="0"/>
          <w:color w:val="auto"/>
          <w:sz w:val="21"/>
          <w:szCs w:val="21"/>
        </w:rPr>
        <w:t>法定代表人身份证</w:t>
      </w:r>
      <w:r>
        <w:rPr>
          <w:rFonts w:hint="eastAsia" w:ascii="宋体" w:hAnsi="宋体"/>
          <w:b w:val="0"/>
          <w:color w:val="auto"/>
          <w:sz w:val="21"/>
          <w:szCs w:val="21"/>
          <w:lang w:eastAsia="zh-CN"/>
        </w:rPr>
        <w:t>扫描</w:t>
      </w:r>
      <w:r>
        <w:rPr>
          <w:rFonts w:hint="eastAsia" w:ascii="宋体" w:hAnsi="宋体"/>
          <w:b w:val="0"/>
          <w:color w:val="auto"/>
          <w:sz w:val="21"/>
          <w:szCs w:val="21"/>
        </w:rPr>
        <w:t>件</w:t>
      </w:r>
      <w:r>
        <w:rPr>
          <w:rFonts w:hint="eastAsia" w:ascii="宋体" w:hAnsi="宋体"/>
          <w:b w:val="0"/>
          <w:color w:val="auto"/>
          <w:sz w:val="21"/>
          <w:szCs w:val="21"/>
          <w:lang w:eastAsia="zh-CN"/>
        </w:rPr>
        <w:t>。</w:t>
      </w:r>
    </w:p>
    <w:p w14:paraId="0899C220">
      <w:pPr>
        <w:spacing w:line="360" w:lineRule="auto"/>
        <w:rPr>
          <w:rFonts w:ascii="宋体" w:hAnsi="宋体"/>
          <w:b w:val="0"/>
          <w:color w:val="auto"/>
          <w:sz w:val="21"/>
          <w:szCs w:val="21"/>
        </w:rPr>
      </w:pPr>
    </w:p>
    <w:p w14:paraId="66FECE9B">
      <w:pPr>
        <w:spacing w:line="360" w:lineRule="auto"/>
        <w:rPr>
          <w:rFonts w:ascii="宋体" w:hAnsi="宋体"/>
          <w:b w:val="0"/>
          <w:color w:val="auto"/>
          <w:sz w:val="21"/>
          <w:szCs w:val="21"/>
        </w:rPr>
      </w:pPr>
    </w:p>
    <w:p w14:paraId="52C57139">
      <w:pPr>
        <w:spacing w:line="360" w:lineRule="auto"/>
        <w:rPr>
          <w:rFonts w:ascii="宋体" w:hAnsi="宋体"/>
          <w:b w:val="0"/>
          <w:color w:val="auto"/>
          <w:sz w:val="21"/>
          <w:szCs w:val="21"/>
        </w:rPr>
      </w:pPr>
    </w:p>
    <w:p w14:paraId="6DF977B1">
      <w:pPr>
        <w:spacing w:line="480" w:lineRule="auto"/>
        <w:ind w:firstLine="5481" w:firstLineChars="2600"/>
        <w:rPr>
          <w:rFonts w:ascii="宋体" w:hAnsi="宋体"/>
          <w:bCs/>
          <w:color w:val="auto"/>
          <w:sz w:val="21"/>
          <w:szCs w:val="21"/>
        </w:rPr>
      </w:pPr>
      <w:r>
        <w:rPr>
          <w:rFonts w:hint="eastAsia" w:ascii="宋体" w:hAnsi="宋体"/>
          <w:bCs/>
          <w:color w:val="auto"/>
          <w:sz w:val="21"/>
          <w:szCs w:val="21"/>
        </w:rPr>
        <w:t>投标人：</w:t>
      </w:r>
      <w:r>
        <w:rPr>
          <w:rFonts w:hint="eastAsia" w:ascii="宋体" w:hAnsi="宋体"/>
          <w:bCs/>
          <w:color w:val="auto"/>
          <w:sz w:val="21"/>
          <w:szCs w:val="21"/>
          <w:u w:val="single"/>
        </w:rPr>
        <w:t xml:space="preserve">  单位名称      </w:t>
      </w:r>
      <w:r>
        <w:rPr>
          <w:rFonts w:hint="eastAsia" w:ascii="宋体" w:hAnsi="宋体"/>
          <w:bCs/>
          <w:color w:val="auto"/>
          <w:sz w:val="21"/>
          <w:szCs w:val="21"/>
        </w:rPr>
        <w:t>（</w:t>
      </w:r>
      <w:r>
        <w:rPr>
          <w:rFonts w:hint="eastAsia" w:ascii="宋体" w:hAnsi="宋体"/>
          <w:b/>
          <w:bCs w:val="0"/>
          <w:color w:val="auto"/>
          <w:sz w:val="21"/>
          <w:szCs w:val="21"/>
        </w:rPr>
        <w:t>加盖公章</w:t>
      </w:r>
      <w:r>
        <w:rPr>
          <w:rFonts w:hint="eastAsia" w:ascii="宋体" w:hAnsi="宋体"/>
          <w:bCs/>
          <w:color w:val="auto"/>
          <w:sz w:val="21"/>
          <w:szCs w:val="21"/>
        </w:rPr>
        <w:t>）</w:t>
      </w:r>
    </w:p>
    <w:p w14:paraId="11593B09">
      <w:pPr>
        <w:spacing w:line="480" w:lineRule="auto"/>
        <w:ind w:firstLine="5481" w:firstLineChars="2600"/>
        <w:rPr>
          <w:rFonts w:ascii="宋体" w:hAnsi="宋体"/>
          <w:bCs/>
          <w:color w:val="auto"/>
          <w:sz w:val="21"/>
          <w:szCs w:val="21"/>
        </w:rPr>
      </w:pPr>
      <w:r>
        <w:rPr>
          <w:rFonts w:hint="eastAsia" w:ascii="宋体" w:hAnsi="宋体"/>
          <w:bCs/>
          <w:color w:val="auto"/>
          <w:sz w:val="21"/>
          <w:szCs w:val="21"/>
          <w:u w:val="single"/>
        </w:rPr>
        <w:t xml:space="preserve">        </w:t>
      </w:r>
      <w:r>
        <w:rPr>
          <w:rFonts w:hint="eastAsia" w:ascii="宋体" w:hAnsi="宋体"/>
          <w:bCs/>
          <w:color w:val="auto"/>
          <w:sz w:val="21"/>
          <w:szCs w:val="21"/>
        </w:rPr>
        <w:t>年</w:t>
      </w:r>
      <w:r>
        <w:rPr>
          <w:rFonts w:hint="eastAsia" w:ascii="宋体" w:hAnsi="宋体"/>
          <w:bCs/>
          <w:color w:val="auto"/>
          <w:sz w:val="21"/>
          <w:szCs w:val="21"/>
          <w:u w:val="single"/>
        </w:rPr>
        <w:t xml:space="preserve">        </w:t>
      </w:r>
      <w:r>
        <w:rPr>
          <w:rFonts w:hint="eastAsia" w:ascii="宋体" w:hAnsi="宋体"/>
          <w:bCs/>
          <w:color w:val="auto"/>
          <w:sz w:val="21"/>
          <w:szCs w:val="21"/>
        </w:rPr>
        <w:t>月</w:t>
      </w:r>
      <w:r>
        <w:rPr>
          <w:rFonts w:hint="eastAsia" w:ascii="宋体" w:hAnsi="宋体"/>
          <w:bCs/>
          <w:color w:val="auto"/>
          <w:sz w:val="21"/>
          <w:szCs w:val="21"/>
          <w:u w:val="single"/>
        </w:rPr>
        <w:t xml:space="preserve">        </w:t>
      </w:r>
      <w:r>
        <w:rPr>
          <w:rFonts w:hint="eastAsia" w:ascii="宋体" w:hAnsi="宋体"/>
          <w:bCs/>
          <w:color w:val="auto"/>
          <w:sz w:val="21"/>
          <w:szCs w:val="21"/>
        </w:rPr>
        <w:t>日</w:t>
      </w:r>
    </w:p>
    <w:p w14:paraId="00B9429E">
      <w:pPr>
        <w:spacing w:line="360" w:lineRule="auto"/>
        <w:rPr>
          <w:rFonts w:ascii="宋体" w:hAnsi="宋体"/>
          <w:color w:val="auto"/>
          <w:sz w:val="21"/>
          <w:szCs w:val="21"/>
        </w:rPr>
      </w:pPr>
    </w:p>
    <w:p w14:paraId="0E825DF3">
      <w:pPr>
        <w:widowControl/>
        <w:jc w:val="left"/>
        <w:rPr>
          <w:rFonts w:ascii="宋体" w:hAnsi="宋体"/>
          <w:b w:val="0"/>
          <w:color w:val="auto"/>
          <w:sz w:val="21"/>
          <w:szCs w:val="21"/>
        </w:rPr>
      </w:pPr>
      <w:r>
        <w:rPr>
          <w:rFonts w:hint="eastAsia" w:ascii="宋体" w:hAnsi="宋体"/>
          <w:b w:val="0"/>
          <w:color w:val="auto"/>
          <w:sz w:val="21"/>
          <w:szCs w:val="21"/>
        </w:rPr>
        <w:br w:type="page"/>
      </w:r>
    </w:p>
    <w:p w14:paraId="682E5CBA">
      <w:pPr>
        <w:spacing w:line="360" w:lineRule="auto"/>
        <w:jc w:val="left"/>
        <w:rPr>
          <w:rFonts w:ascii="宋体" w:hAnsi="宋体"/>
          <w:bCs/>
          <w:color w:val="auto"/>
          <w:sz w:val="32"/>
          <w:szCs w:val="32"/>
        </w:rPr>
      </w:pPr>
      <w:r>
        <w:rPr>
          <w:rFonts w:hint="eastAsia" w:ascii="宋体" w:hAnsi="宋体"/>
          <w:bCs/>
          <w:color w:val="auto"/>
          <w:sz w:val="28"/>
          <w:szCs w:val="28"/>
        </w:rPr>
        <w:t>格式</w:t>
      </w:r>
      <w:r>
        <w:rPr>
          <w:rFonts w:hint="eastAsia" w:ascii="宋体" w:hAnsi="宋体"/>
          <w:bCs/>
          <w:color w:val="auto"/>
          <w:sz w:val="28"/>
          <w:szCs w:val="28"/>
          <w:lang w:val="en-US" w:eastAsia="zh-CN"/>
        </w:rPr>
        <w:t>6</w:t>
      </w:r>
      <w:r>
        <w:rPr>
          <w:rFonts w:hint="eastAsia" w:ascii="宋体" w:hAnsi="宋体"/>
          <w:bCs/>
          <w:color w:val="auto"/>
          <w:sz w:val="28"/>
          <w:szCs w:val="28"/>
        </w:rPr>
        <w:t>：</w:t>
      </w:r>
    </w:p>
    <w:p w14:paraId="22DEA204">
      <w:pPr>
        <w:pStyle w:val="3"/>
        <w:jc w:val="center"/>
        <w:rPr>
          <w:rFonts w:ascii="宋体" w:hAnsi="宋体" w:cs="宋体"/>
          <w:color w:val="auto"/>
        </w:rPr>
      </w:pPr>
      <w:bookmarkStart w:id="451" w:name="_Toc488633630"/>
      <w:bookmarkStart w:id="452" w:name="_Toc489145765"/>
      <w:bookmarkStart w:id="453" w:name="_Toc12180"/>
      <w:bookmarkStart w:id="454" w:name="_Toc528186505"/>
      <w:bookmarkStart w:id="455" w:name="_Toc213141107"/>
      <w:bookmarkStart w:id="456" w:name="_Toc481694858"/>
      <w:bookmarkStart w:id="457" w:name="_Toc489197869"/>
      <w:r>
        <w:rPr>
          <w:rFonts w:hint="eastAsia" w:ascii="宋体" w:hAnsi="宋体" w:cs="宋体"/>
          <w:color w:val="auto"/>
        </w:rPr>
        <w:t>法定代表人授权委托书</w:t>
      </w:r>
      <w:bookmarkEnd w:id="451"/>
      <w:bookmarkEnd w:id="452"/>
      <w:bookmarkEnd w:id="453"/>
      <w:bookmarkEnd w:id="454"/>
      <w:bookmarkEnd w:id="455"/>
      <w:bookmarkEnd w:id="456"/>
      <w:bookmarkEnd w:id="457"/>
    </w:p>
    <w:p w14:paraId="5822B6BA">
      <w:pPr>
        <w:spacing w:line="500" w:lineRule="exact"/>
        <w:ind w:firstLine="482" w:firstLineChars="200"/>
        <w:rPr>
          <w:rFonts w:ascii="宋体" w:hAnsi="宋体"/>
          <w:color w:val="auto"/>
        </w:rPr>
      </w:pPr>
    </w:p>
    <w:p w14:paraId="02637E3A">
      <w:pPr>
        <w:spacing w:line="520" w:lineRule="exact"/>
        <w:outlineLvl w:val="1"/>
        <w:rPr>
          <w:rFonts w:ascii="宋体" w:hAnsi="宋体"/>
          <w:b w:val="0"/>
          <w:bCs/>
          <w:color w:val="auto"/>
          <w:sz w:val="21"/>
          <w:szCs w:val="21"/>
        </w:rPr>
      </w:pPr>
      <w:r>
        <w:rPr>
          <w:rFonts w:hint="eastAsia" w:ascii="宋体" w:hAnsi="宋体"/>
          <w:b w:val="0"/>
          <w:bCs/>
          <w:color w:val="auto"/>
          <w:sz w:val="21"/>
          <w:szCs w:val="21"/>
        </w:rPr>
        <w:t>致：</w:t>
      </w:r>
      <w:r>
        <w:rPr>
          <w:rFonts w:hint="eastAsia" w:ascii="宋体" w:hAnsi="宋体"/>
          <w:b w:val="0"/>
          <w:bCs/>
          <w:color w:val="auto"/>
          <w:sz w:val="21"/>
          <w:szCs w:val="21"/>
          <w:u w:val="single"/>
          <w:lang w:eastAsia="zh-CN"/>
        </w:rPr>
        <w:t>采购人</w:t>
      </w:r>
      <w:r>
        <w:rPr>
          <w:rFonts w:hint="eastAsia" w:ascii="宋体" w:hAnsi="宋体"/>
          <w:b w:val="0"/>
          <w:bCs/>
          <w:color w:val="auto"/>
          <w:sz w:val="21"/>
          <w:szCs w:val="21"/>
          <w:u w:val="single"/>
        </w:rPr>
        <w:t>名称</w:t>
      </w:r>
    </w:p>
    <w:p w14:paraId="5D2449DF">
      <w:pPr>
        <w:spacing w:line="520" w:lineRule="exact"/>
        <w:ind w:firstLine="420" w:firstLineChars="200"/>
        <w:rPr>
          <w:rFonts w:ascii="宋体" w:hAnsi="宋体"/>
          <w:b w:val="0"/>
          <w:bCs/>
          <w:color w:val="auto"/>
          <w:sz w:val="21"/>
          <w:szCs w:val="21"/>
        </w:rPr>
      </w:pPr>
      <w:r>
        <w:rPr>
          <w:rFonts w:hint="eastAsia" w:ascii="宋体" w:hAnsi="宋体"/>
          <w:b w:val="0"/>
          <w:bCs/>
          <w:color w:val="auto"/>
          <w:sz w:val="21"/>
          <w:szCs w:val="21"/>
        </w:rPr>
        <w:t>本人</w:t>
      </w:r>
      <w:r>
        <w:rPr>
          <w:rFonts w:hint="eastAsia" w:ascii="宋体" w:hAnsi="宋体"/>
          <w:b w:val="0"/>
          <w:bCs/>
          <w:color w:val="auto"/>
          <w:sz w:val="21"/>
          <w:szCs w:val="21"/>
          <w:u w:val="single"/>
        </w:rPr>
        <w:t xml:space="preserve">    （姓名）  </w:t>
      </w:r>
      <w:r>
        <w:rPr>
          <w:rFonts w:hint="eastAsia" w:ascii="宋体" w:hAnsi="宋体"/>
          <w:b w:val="0"/>
          <w:bCs/>
          <w:color w:val="auto"/>
          <w:sz w:val="21"/>
          <w:szCs w:val="21"/>
        </w:rPr>
        <w:t>系</w:t>
      </w:r>
      <w:r>
        <w:rPr>
          <w:rFonts w:hint="eastAsia" w:ascii="宋体" w:hAnsi="宋体"/>
          <w:b w:val="0"/>
          <w:bCs/>
          <w:color w:val="auto"/>
          <w:sz w:val="21"/>
          <w:szCs w:val="21"/>
          <w:u w:val="single"/>
        </w:rPr>
        <w:t xml:space="preserve">  （投标人名称）   </w:t>
      </w:r>
      <w:r>
        <w:rPr>
          <w:rFonts w:hint="eastAsia" w:ascii="宋体" w:hAnsi="宋体"/>
          <w:b w:val="0"/>
          <w:bCs/>
          <w:color w:val="auto"/>
          <w:sz w:val="21"/>
          <w:szCs w:val="21"/>
        </w:rPr>
        <w:t>的法定代表人，现委托</w:t>
      </w:r>
      <w:r>
        <w:rPr>
          <w:rFonts w:hint="eastAsia" w:ascii="宋体" w:hAnsi="宋体"/>
          <w:b w:val="0"/>
          <w:bCs/>
          <w:color w:val="auto"/>
          <w:sz w:val="21"/>
          <w:szCs w:val="21"/>
          <w:u w:val="single"/>
        </w:rPr>
        <w:t xml:space="preserve">    （姓名）   </w:t>
      </w:r>
      <w:r>
        <w:rPr>
          <w:rFonts w:hint="eastAsia" w:ascii="宋体" w:hAnsi="宋体"/>
          <w:b w:val="0"/>
          <w:bCs/>
          <w:color w:val="auto"/>
          <w:sz w:val="21"/>
          <w:szCs w:val="21"/>
        </w:rPr>
        <w:t>为我方代理人。代理人根据授权，以我方名义签署、澄清、说明、补正、递交、撤回、修改</w:t>
      </w:r>
      <w:r>
        <w:rPr>
          <w:rFonts w:hint="eastAsia" w:ascii="宋体" w:hAnsi="宋体"/>
          <w:b w:val="0"/>
          <w:bCs/>
          <w:color w:val="auto"/>
          <w:sz w:val="21"/>
          <w:szCs w:val="21"/>
          <w:u w:val="single"/>
        </w:rPr>
        <w:t xml:space="preserve">    (项目名称)   </w:t>
      </w:r>
      <w:r>
        <w:rPr>
          <w:rFonts w:hint="eastAsia" w:ascii="宋体" w:hAnsi="宋体"/>
          <w:b w:val="0"/>
          <w:bCs/>
          <w:color w:val="auto"/>
          <w:sz w:val="21"/>
          <w:szCs w:val="21"/>
        </w:rPr>
        <w:t>投标文件、签订合同和处理有关事宜，其法律后果由我方承担。</w:t>
      </w:r>
    </w:p>
    <w:p w14:paraId="18751015">
      <w:pPr>
        <w:spacing w:line="520" w:lineRule="exact"/>
        <w:ind w:firstLine="420" w:firstLineChars="200"/>
        <w:rPr>
          <w:rFonts w:ascii="宋体" w:hAnsi="宋体"/>
          <w:b w:val="0"/>
          <w:bCs/>
          <w:color w:val="auto"/>
          <w:sz w:val="21"/>
          <w:szCs w:val="21"/>
        </w:rPr>
      </w:pPr>
      <w:r>
        <w:rPr>
          <w:rFonts w:hint="eastAsia" w:ascii="宋体" w:hAnsi="宋体"/>
          <w:b w:val="0"/>
          <w:bCs/>
          <w:color w:val="auto"/>
          <w:sz w:val="21"/>
          <w:szCs w:val="21"/>
        </w:rPr>
        <w:t>委托期限：</w:t>
      </w:r>
      <w:r>
        <w:rPr>
          <w:rFonts w:hint="eastAsia" w:ascii="宋体" w:hAnsi="宋体"/>
          <w:b w:val="0"/>
          <w:bCs/>
          <w:color w:val="auto"/>
          <w:sz w:val="21"/>
          <w:szCs w:val="21"/>
          <w:u w:val="single"/>
        </w:rPr>
        <w:t xml:space="preserve">      </w:t>
      </w:r>
      <w:r>
        <w:rPr>
          <w:rFonts w:hint="eastAsia" w:ascii="宋体" w:hAnsi="宋体"/>
          <w:b w:val="0"/>
          <w:bCs/>
          <w:color w:val="auto"/>
          <w:sz w:val="21"/>
          <w:szCs w:val="21"/>
        </w:rPr>
        <w:t>年</w:t>
      </w:r>
      <w:r>
        <w:rPr>
          <w:rFonts w:hint="eastAsia" w:ascii="宋体" w:hAnsi="宋体"/>
          <w:b w:val="0"/>
          <w:bCs/>
          <w:color w:val="auto"/>
          <w:sz w:val="21"/>
          <w:szCs w:val="21"/>
          <w:u w:val="single"/>
        </w:rPr>
        <w:t xml:space="preserve">     </w:t>
      </w:r>
      <w:r>
        <w:rPr>
          <w:rFonts w:hint="eastAsia" w:ascii="宋体" w:hAnsi="宋体"/>
          <w:b w:val="0"/>
          <w:bCs/>
          <w:color w:val="auto"/>
          <w:sz w:val="21"/>
          <w:szCs w:val="21"/>
        </w:rPr>
        <w:t>月</w:t>
      </w:r>
      <w:r>
        <w:rPr>
          <w:rFonts w:hint="eastAsia" w:ascii="宋体" w:hAnsi="宋体"/>
          <w:b w:val="0"/>
          <w:bCs/>
          <w:color w:val="auto"/>
          <w:sz w:val="21"/>
          <w:szCs w:val="21"/>
          <w:u w:val="single"/>
        </w:rPr>
        <w:t xml:space="preserve">    </w:t>
      </w:r>
      <w:r>
        <w:rPr>
          <w:rFonts w:hint="eastAsia" w:ascii="宋体" w:hAnsi="宋体"/>
          <w:b w:val="0"/>
          <w:bCs/>
          <w:color w:val="auto"/>
          <w:sz w:val="21"/>
          <w:szCs w:val="21"/>
        </w:rPr>
        <w:t>日至</w:t>
      </w:r>
      <w:r>
        <w:rPr>
          <w:rFonts w:hint="eastAsia" w:ascii="宋体" w:hAnsi="宋体"/>
          <w:b w:val="0"/>
          <w:bCs/>
          <w:color w:val="auto"/>
          <w:sz w:val="21"/>
          <w:szCs w:val="21"/>
          <w:u w:val="single"/>
        </w:rPr>
        <w:t xml:space="preserve">    </w:t>
      </w:r>
      <w:r>
        <w:rPr>
          <w:rFonts w:hint="eastAsia" w:ascii="宋体" w:hAnsi="宋体"/>
          <w:b w:val="0"/>
          <w:bCs/>
          <w:color w:val="auto"/>
          <w:sz w:val="21"/>
          <w:szCs w:val="21"/>
        </w:rPr>
        <w:t>年</w:t>
      </w:r>
      <w:r>
        <w:rPr>
          <w:rFonts w:hint="eastAsia" w:ascii="宋体" w:hAnsi="宋体"/>
          <w:b w:val="0"/>
          <w:bCs/>
          <w:color w:val="auto"/>
          <w:sz w:val="21"/>
          <w:szCs w:val="21"/>
          <w:u w:val="single"/>
        </w:rPr>
        <w:t xml:space="preserve">     </w:t>
      </w:r>
      <w:r>
        <w:rPr>
          <w:rFonts w:hint="eastAsia" w:ascii="宋体" w:hAnsi="宋体"/>
          <w:b w:val="0"/>
          <w:bCs/>
          <w:color w:val="auto"/>
          <w:sz w:val="21"/>
          <w:szCs w:val="21"/>
        </w:rPr>
        <w:t>月</w:t>
      </w:r>
      <w:r>
        <w:rPr>
          <w:rFonts w:hint="eastAsia" w:ascii="宋体" w:hAnsi="宋体"/>
          <w:b w:val="0"/>
          <w:bCs/>
          <w:color w:val="auto"/>
          <w:sz w:val="21"/>
          <w:szCs w:val="21"/>
          <w:u w:val="single"/>
        </w:rPr>
        <w:t xml:space="preserve">    </w:t>
      </w:r>
      <w:r>
        <w:rPr>
          <w:rFonts w:hint="eastAsia" w:ascii="宋体" w:hAnsi="宋体"/>
          <w:b w:val="0"/>
          <w:bCs/>
          <w:color w:val="auto"/>
          <w:sz w:val="21"/>
          <w:szCs w:val="21"/>
        </w:rPr>
        <w:t xml:space="preserve">日。       </w:t>
      </w:r>
    </w:p>
    <w:p w14:paraId="3F2371AB">
      <w:pPr>
        <w:spacing w:line="520" w:lineRule="exact"/>
        <w:ind w:firstLine="420" w:firstLineChars="200"/>
        <w:rPr>
          <w:rFonts w:ascii="宋体" w:hAnsi="宋体"/>
          <w:b w:val="0"/>
          <w:bCs/>
          <w:color w:val="auto"/>
          <w:sz w:val="21"/>
          <w:szCs w:val="21"/>
        </w:rPr>
      </w:pPr>
      <w:r>
        <w:rPr>
          <w:rFonts w:hint="eastAsia" w:ascii="宋体" w:hAnsi="宋体"/>
          <w:b w:val="0"/>
          <w:bCs/>
          <w:color w:val="auto"/>
          <w:sz w:val="21"/>
          <w:szCs w:val="21"/>
        </w:rPr>
        <w:t>代理人无转委托权。</w:t>
      </w:r>
    </w:p>
    <w:p w14:paraId="2EFF0425">
      <w:pPr>
        <w:rPr>
          <w:rFonts w:ascii="宋体" w:hAnsi="宋体"/>
          <w:b w:val="0"/>
          <w:bCs/>
          <w:color w:val="auto"/>
          <w:sz w:val="21"/>
          <w:szCs w:val="21"/>
        </w:rPr>
      </w:pPr>
    </w:p>
    <w:p w14:paraId="3DE2DE11">
      <w:pPr>
        <w:rPr>
          <w:rFonts w:ascii="宋体" w:hAnsi="宋体"/>
          <w:b w:val="0"/>
          <w:bCs/>
          <w:color w:val="auto"/>
          <w:sz w:val="21"/>
          <w:szCs w:val="21"/>
        </w:rPr>
      </w:pPr>
      <w:r>
        <w:rPr>
          <w:rFonts w:hint="eastAsia" w:ascii="宋体" w:hAnsi="宋体"/>
          <w:b w:val="0"/>
          <w:bCs/>
          <w:color w:val="auto"/>
          <w:sz w:val="21"/>
          <w:szCs w:val="21"/>
        </w:rPr>
        <w:t>附：授权代理人身份证</w:t>
      </w:r>
      <w:r>
        <w:rPr>
          <w:rFonts w:hint="eastAsia" w:ascii="宋体" w:hAnsi="宋体"/>
          <w:b w:val="0"/>
          <w:color w:val="auto"/>
          <w:sz w:val="21"/>
          <w:szCs w:val="21"/>
          <w:lang w:eastAsia="zh-CN"/>
        </w:rPr>
        <w:t>扫描</w:t>
      </w:r>
      <w:r>
        <w:rPr>
          <w:rFonts w:hint="eastAsia" w:ascii="宋体" w:hAnsi="宋体"/>
          <w:b w:val="0"/>
          <w:bCs/>
          <w:color w:val="auto"/>
          <w:sz w:val="21"/>
          <w:szCs w:val="21"/>
        </w:rPr>
        <w:t>件</w:t>
      </w:r>
    </w:p>
    <w:p w14:paraId="219BA70B">
      <w:pPr>
        <w:pStyle w:val="34"/>
        <w:ind w:left="482"/>
        <w:rPr>
          <w:rFonts w:ascii="宋体" w:hAnsi="宋体" w:cs="宋体"/>
          <w:bCs/>
          <w:color w:val="auto"/>
          <w:szCs w:val="21"/>
        </w:rPr>
      </w:pPr>
    </w:p>
    <w:p w14:paraId="38373D3A">
      <w:pPr>
        <w:pStyle w:val="34"/>
        <w:ind w:left="482"/>
        <w:rPr>
          <w:rFonts w:ascii="宋体" w:hAnsi="宋体" w:cs="宋体"/>
          <w:bCs/>
          <w:color w:val="auto"/>
          <w:szCs w:val="21"/>
        </w:rPr>
      </w:pPr>
    </w:p>
    <w:p w14:paraId="322E36BC">
      <w:pPr>
        <w:pStyle w:val="34"/>
        <w:ind w:left="482"/>
        <w:rPr>
          <w:rFonts w:ascii="宋体" w:hAnsi="宋体" w:cs="宋体"/>
          <w:bCs/>
          <w:color w:val="auto"/>
          <w:szCs w:val="21"/>
        </w:rPr>
      </w:pPr>
    </w:p>
    <w:p w14:paraId="627A512A">
      <w:pPr>
        <w:spacing w:line="500" w:lineRule="exact"/>
        <w:ind w:left="4320" w:leftChars="1800"/>
        <w:rPr>
          <w:rFonts w:ascii="宋体" w:hAnsi="宋体"/>
          <w:color w:val="auto"/>
          <w:sz w:val="21"/>
          <w:szCs w:val="21"/>
        </w:rPr>
      </w:pPr>
    </w:p>
    <w:p w14:paraId="33D1894E">
      <w:pPr>
        <w:spacing w:line="480" w:lineRule="auto"/>
        <w:ind w:left="4320" w:leftChars="1800"/>
        <w:rPr>
          <w:rFonts w:ascii="宋体" w:hAnsi="宋体"/>
          <w:color w:val="auto"/>
          <w:sz w:val="21"/>
          <w:szCs w:val="21"/>
        </w:rPr>
      </w:pPr>
      <w:r>
        <w:rPr>
          <w:rFonts w:hint="eastAsia" w:ascii="宋体" w:hAnsi="宋体"/>
          <w:color w:val="auto"/>
          <w:sz w:val="21"/>
          <w:szCs w:val="21"/>
        </w:rPr>
        <w:t>投  标 人：</w:t>
      </w:r>
      <w:r>
        <w:rPr>
          <w:rFonts w:hint="eastAsia" w:ascii="宋体" w:hAnsi="宋体"/>
          <w:color w:val="auto"/>
          <w:sz w:val="21"/>
          <w:szCs w:val="21"/>
          <w:u w:val="single"/>
        </w:rPr>
        <w:t>(单位名称）（</w:t>
      </w:r>
      <w:r>
        <w:rPr>
          <w:rFonts w:hint="eastAsia" w:ascii="宋体" w:hAnsi="宋体"/>
          <w:b/>
          <w:bCs w:val="0"/>
          <w:color w:val="auto"/>
          <w:sz w:val="21"/>
          <w:szCs w:val="21"/>
        </w:rPr>
        <w:t>加盖公章</w:t>
      </w:r>
      <w:r>
        <w:rPr>
          <w:rFonts w:hint="eastAsia" w:ascii="宋体" w:hAnsi="宋体"/>
          <w:color w:val="auto"/>
          <w:sz w:val="21"/>
          <w:szCs w:val="21"/>
          <w:u w:val="single"/>
        </w:rPr>
        <w:t xml:space="preserve">）   </w:t>
      </w:r>
    </w:p>
    <w:p w14:paraId="3913D4B8">
      <w:pPr>
        <w:spacing w:line="480" w:lineRule="auto"/>
        <w:ind w:left="4320" w:leftChars="1800"/>
        <w:rPr>
          <w:rFonts w:ascii="宋体" w:hAnsi="宋体"/>
          <w:color w:val="auto"/>
          <w:sz w:val="21"/>
          <w:szCs w:val="21"/>
          <w:u w:val="single"/>
        </w:rPr>
      </w:pPr>
      <w:r>
        <w:rPr>
          <w:rFonts w:hint="eastAsia" w:ascii="宋体" w:hAnsi="宋体"/>
          <w:color w:val="auto"/>
          <w:sz w:val="21"/>
          <w:szCs w:val="21"/>
        </w:rPr>
        <w:t>法定代表人：</w:t>
      </w:r>
      <w:r>
        <w:rPr>
          <w:rFonts w:hint="eastAsia" w:ascii="宋体" w:hAnsi="宋体"/>
          <w:color w:val="auto"/>
          <w:sz w:val="21"/>
          <w:szCs w:val="21"/>
          <w:u w:val="single"/>
        </w:rPr>
        <w:t xml:space="preserve">        （签章或签名）            </w:t>
      </w:r>
    </w:p>
    <w:p w14:paraId="5DCA0220">
      <w:pPr>
        <w:spacing w:line="480" w:lineRule="auto"/>
        <w:ind w:left="4320" w:leftChars="1800"/>
        <w:rPr>
          <w:rFonts w:hint="eastAsia" w:ascii="宋体" w:hAnsi="宋体"/>
          <w:color w:val="auto"/>
          <w:sz w:val="21"/>
          <w:szCs w:val="21"/>
          <w:u w:val="single"/>
        </w:rPr>
        <w:sectPr>
          <w:pgSz w:w="11906" w:h="16838"/>
          <w:pgMar w:top="1440" w:right="1080" w:bottom="1440" w:left="1080" w:header="720" w:footer="720" w:gutter="0"/>
          <w:cols w:space="708" w:num="1"/>
        </w:sectPr>
      </w:pPr>
      <w:r>
        <w:rPr>
          <w:rFonts w:hint="eastAsia" w:ascii="宋体" w:hAnsi="宋体"/>
          <w:color w:val="auto"/>
          <w:sz w:val="21"/>
          <w:szCs w:val="21"/>
        </w:rPr>
        <w:t>日     期：</w:t>
      </w:r>
      <w:r>
        <w:rPr>
          <w:rFonts w:hint="eastAsia" w:ascii="宋体" w:hAnsi="宋体"/>
          <w:color w:val="auto"/>
          <w:sz w:val="21"/>
          <w:szCs w:val="21"/>
          <w:u w:val="single"/>
        </w:rPr>
        <w:t xml:space="preserve">       年     月     日</w:t>
      </w:r>
    </w:p>
    <w:p w14:paraId="3E9DE21E">
      <w:pPr>
        <w:spacing w:line="600" w:lineRule="exact"/>
        <w:rPr>
          <w:rFonts w:ascii="宋体" w:hAnsi="宋体"/>
          <w:bCs/>
          <w:color w:val="auto"/>
          <w:sz w:val="28"/>
          <w:szCs w:val="28"/>
        </w:rPr>
      </w:pPr>
      <w:r>
        <w:rPr>
          <w:rFonts w:hint="eastAsia" w:ascii="宋体" w:hAnsi="宋体"/>
          <w:bCs/>
          <w:color w:val="auto"/>
          <w:sz w:val="28"/>
          <w:szCs w:val="28"/>
        </w:rPr>
        <w:t>格式</w:t>
      </w:r>
      <w:r>
        <w:rPr>
          <w:rFonts w:hint="eastAsia" w:ascii="宋体" w:hAnsi="宋体"/>
          <w:bCs/>
          <w:color w:val="auto"/>
          <w:sz w:val="28"/>
          <w:szCs w:val="28"/>
          <w:lang w:val="en-US" w:eastAsia="zh-CN"/>
        </w:rPr>
        <w:t>7</w:t>
      </w:r>
      <w:r>
        <w:rPr>
          <w:rFonts w:hint="eastAsia" w:ascii="宋体" w:hAnsi="宋体"/>
          <w:bCs/>
          <w:color w:val="auto"/>
          <w:sz w:val="28"/>
          <w:szCs w:val="28"/>
        </w:rPr>
        <w:t>：</w:t>
      </w:r>
    </w:p>
    <w:p w14:paraId="7371DF01">
      <w:pPr>
        <w:tabs>
          <w:tab w:val="left" w:pos="5580"/>
        </w:tabs>
        <w:spacing w:line="240" w:lineRule="atLeast"/>
        <w:jc w:val="center"/>
        <w:rPr>
          <w:rFonts w:ascii="宋体" w:hAnsi="宋体"/>
          <w:b w:val="0"/>
          <w:color w:val="auto"/>
          <w:sz w:val="28"/>
        </w:rPr>
      </w:pPr>
    </w:p>
    <w:p w14:paraId="7576739D">
      <w:pPr>
        <w:pStyle w:val="3"/>
        <w:jc w:val="center"/>
        <w:rPr>
          <w:rFonts w:ascii="宋体" w:hAnsi="宋体" w:cs="宋体"/>
          <w:color w:val="auto"/>
        </w:rPr>
      </w:pPr>
      <w:bookmarkStart w:id="458" w:name="_Toc489145767"/>
      <w:bookmarkStart w:id="459" w:name="_Toc488633632"/>
      <w:bookmarkStart w:id="460" w:name="_Toc481694860"/>
      <w:bookmarkStart w:id="461" w:name="_Toc489197871"/>
      <w:bookmarkStart w:id="462" w:name="_Toc2484"/>
      <w:bookmarkStart w:id="463" w:name="_Toc528186510"/>
      <w:bookmarkStart w:id="464" w:name="_Toc213141108"/>
      <w:r>
        <w:rPr>
          <w:rFonts w:hint="eastAsia" w:ascii="宋体" w:hAnsi="宋体" w:cs="宋体"/>
          <w:color w:val="auto"/>
        </w:rPr>
        <w:t>投标人信息</w:t>
      </w:r>
      <w:bookmarkEnd w:id="458"/>
      <w:bookmarkEnd w:id="459"/>
      <w:bookmarkEnd w:id="460"/>
      <w:bookmarkEnd w:id="461"/>
      <w:bookmarkEnd w:id="462"/>
      <w:bookmarkEnd w:id="463"/>
      <w:bookmarkEnd w:id="464"/>
    </w:p>
    <w:p w14:paraId="22B3CFCC">
      <w:pPr>
        <w:keepNext w:val="0"/>
        <w:keepLines w:val="0"/>
        <w:pageBreakBefore w:val="0"/>
        <w:widowControl w:val="0"/>
        <w:kinsoku/>
        <w:wordWrap/>
        <w:overflowPunct/>
        <w:topLinePunct w:val="0"/>
        <w:autoSpaceDE/>
        <w:autoSpaceDN/>
        <w:bidi w:val="0"/>
        <w:adjustRightInd/>
        <w:snapToGrid/>
        <w:spacing w:line="330" w:lineRule="exact"/>
        <w:ind w:left="357" w:hanging="357"/>
        <w:textAlignment w:val="auto"/>
        <w:rPr>
          <w:rFonts w:ascii="宋体" w:hAnsi="宋体"/>
          <w:b w:val="0"/>
          <w:bCs/>
          <w:color w:val="auto"/>
          <w:sz w:val="21"/>
          <w:szCs w:val="21"/>
        </w:rPr>
      </w:pPr>
      <w:r>
        <w:rPr>
          <w:rFonts w:hint="eastAsia" w:ascii="宋体" w:hAnsi="宋体"/>
          <w:b w:val="0"/>
          <w:bCs/>
          <w:color w:val="auto"/>
          <w:sz w:val="21"/>
          <w:szCs w:val="21"/>
        </w:rPr>
        <w:t>名称及概况：</w:t>
      </w:r>
    </w:p>
    <w:p w14:paraId="01245D36">
      <w:pPr>
        <w:keepNext w:val="0"/>
        <w:keepLines w:val="0"/>
        <w:pageBreakBefore w:val="0"/>
        <w:widowControl w:val="0"/>
        <w:numPr>
          <w:ilvl w:val="1"/>
          <w:numId w:val="0"/>
        </w:numPr>
        <w:kinsoku/>
        <w:wordWrap/>
        <w:overflowPunct/>
        <w:topLinePunct w:val="0"/>
        <w:autoSpaceDE/>
        <w:autoSpaceDN/>
        <w:bidi w:val="0"/>
        <w:adjustRightInd/>
        <w:snapToGrid/>
        <w:spacing w:line="330" w:lineRule="exact"/>
        <w:textAlignment w:val="auto"/>
        <w:rPr>
          <w:rFonts w:ascii="宋体" w:hAnsi="宋体"/>
          <w:b w:val="0"/>
          <w:bCs/>
          <w:color w:val="auto"/>
          <w:sz w:val="21"/>
          <w:szCs w:val="21"/>
        </w:rPr>
      </w:pPr>
      <w:r>
        <w:rPr>
          <w:rFonts w:hint="eastAsia" w:ascii="宋体" w:hAnsi="宋体"/>
          <w:b w:val="0"/>
          <w:bCs/>
          <w:color w:val="auto"/>
          <w:sz w:val="21"/>
          <w:szCs w:val="21"/>
        </w:rPr>
        <w:t>投标人名称：</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p>
    <w:p w14:paraId="165F7472">
      <w:pPr>
        <w:keepNext w:val="0"/>
        <w:keepLines w:val="0"/>
        <w:pageBreakBefore w:val="0"/>
        <w:widowControl w:val="0"/>
        <w:numPr>
          <w:ilvl w:val="1"/>
          <w:numId w:val="0"/>
        </w:numPr>
        <w:kinsoku/>
        <w:wordWrap/>
        <w:overflowPunct/>
        <w:topLinePunct w:val="0"/>
        <w:autoSpaceDE/>
        <w:autoSpaceDN/>
        <w:bidi w:val="0"/>
        <w:adjustRightInd/>
        <w:snapToGrid/>
        <w:spacing w:line="330" w:lineRule="exact"/>
        <w:textAlignment w:val="auto"/>
        <w:rPr>
          <w:rFonts w:hint="eastAsia" w:ascii="宋体" w:hAnsi="宋体" w:eastAsia="宋体"/>
          <w:b w:val="0"/>
          <w:bCs/>
          <w:color w:val="auto"/>
          <w:sz w:val="21"/>
          <w:szCs w:val="21"/>
          <w:u w:val="single"/>
          <w:lang w:eastAsia="zh-CN"/>
        </w:rPr>
      </w:pPr>
      <w:r>
        <w:rPr>
          <w:rFonts w:hint="eastAsia" w:ascii="宋体" w:hAnsi="宋体"/>
          <w:b w:val="0"/>
          <w:bCs/>
          <w:color w:val="auto"/>
          <w:sz w:val="21"/>
          <w:szCs w:val="21"/>
        </w:rPr>
        <w:t>地址：</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p>
    <w:p w14:paraId="05B34E20">
      <w:pPr>
        <w:keepNext w:val="0"/>
        <w:keepLines w:val="0"/>
        <w:pageBreakBefore w:val="0"/>
        <w:widowControl w:val="0"/>
        <w:numPr>
          <w:ilvl w:val="1"/>
          <w:numId w:val="0"/>
        </w:numPr>
        <w:kinsoku/>
        <w:wordWrap/>
        <w:overflowPunct/>
        <w:topLinePunct w:val="0"/>
        <w:autoSpaceDE/>
        <w:autoSpaceDN/>
        <w:bidi w:val="0"/>
        <w:adjustRightInd/>
        <w:snapToGrid/>
        <w:spacing w:line="330" w:lineRule="exact"/>
        <w:textAlignment w:val="auto"/>
        <w:rPr>
          <w:rFonts w:ascii="宋体" w:hAnsi="宋体"/>
          <w:b w:val="0"/>
          <w:bCs/>
          <w:color w:val="auto"/>
          <w:sz w:val="21"/>
          <w:szCs w:val="21"/>
        </w:rPr>
      </w:pPr>
      <w:r>
        <w:rPr>
          <w:rFonts w:hint="eastAsia" w:ascii="宋体" w:hAnsi="宋体"/>
          <w:b w:val="0"/>
          <w:bCs/>
          <w:color w:val="auto"/>
          <w:sz w:val="21"/>
          <w:szCs w:val="21"/>
        </w:rPr>
        <w:t>经营范围：</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p>
    <w:p w14:paraId="20AE79E3">
      <w:pPr>
        <w:keepNext w:val="0"/>
        <w:keepLines w:val="0"/>
        <w:pageBreakBefore w:val="0"/>
        <w:widowControl w:val="0"/>
        <w:numPr>
          <w:ilvl w:val="1"/>
          <w:numId w:val="0"/>
        </w:numPr>
        <w:kinsoku/>
        <w:wordWrap/>
        <w:overflowPunct/>
        <w:topLinePunct w:val="0"/>
        <w:autoSpaceDE/>
        <w:autoSpaceDN/>
        <w:bidi w:val="0"/>
        <w:adjustRightInd/>
        <w:snapToGrid/>
        <w:spacing w:line="330" w:lineRule="exact"/>
        <w:textAlignment w:val="auto"/>
        <w:rPr>
          <w:rFonts w:ascii="宋体" w:hAnsi="宋体"/>
          <w:b w:val="0"/>
          <w:bCs/>
          <w:color w:val="auto"/>
          <w:sz w:val="21"/>
          <w:szCs w:val="21"/>
        </w:rPr>
      </w:pPr>
      <w:r>
        <w:rPr>
          <w:rFonts w:hint="eastAsia" w:ascii="宋体" w:hAnsi="宋体"/>
          <w:b w:val="0"/>
          <w:bCs/>
          <w:color w:val="auto"/>
          <w:sz w:val="21"/>
          <w:szCs w:val="21"/>
        </w:rPr>
        <w:t>成立或注册日期：</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p>
    <w:p w14:paraId="43060789">
      <w:pPr>
        <w:keepNext w:val="0"/>
        <w:keepLines w:val="0"/>
        <w:pageBreakBefore w:val="0"/>
        <w:widowControl w:val="0"/>
        <w:numPr>
          <w:ilvl w:val="1"/>
          <w:numId w:val="0"/>
        </w:numPr>
        <w:kinsoku/>
        <w:wordWrap/>
        <w:overflowPunct/>
        <w:topLinePunct w:val="0"/>
        <w:autoSpaceDE/>
        <w:autoSpaceDN/>
        <w:bidi w:val="0"/>
        <w:adjustRightInd/>
        <w:snapToGrid/>
        <w:spacing w:line="330" w:lineRule="exact"/>
        <w:textAlignment w:val="auto"/>
        <w:rPr>
          <w:rFonts w:ascii="宋体" w:hAnsi="宋体"/>
          <w:b w:val="0"/>
          <w:bCs/>
          <w:color w:val="auto"/>
          <w:sz w:val="21"/>
          <w:szCs w:val="21"/>
        </w:rPr>
      </w:pPr>
      <w:r>
        <w:rPr>
          <w:rFonts w:hint="eastAsia" w:ascii="宋体" w:hAnsi="宋体"/>
          <w:b w:val="0"/>
          <w:bCs/>
          <w:color w:val="auto"/>
          <w:sz w:val="21"/>
          <w:szCs w:val="21"/>
        </w:rPr>
        <w:t>注册资本：</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p>
    <w:p w14:paraId="042A879A">
      <w:pPr>
        <w:keepNext w:val="0"/>
        <w:keepLines w:val="0"/>
        <w:pageBreakBefore w:val="0"/>
        <w:widowControl w:val="0"/>
        <w:numPr>
          <w:ilvl w:val="1"/>
          <w:numId w:val="0"/>
        </w:numPr>
        <w:kinsoku/>
        <w:wordWrap/>
        <w:overflowPunct/>
        <w:topLinePunct w:val="0"/>
        <w:autoSpaceDE/>
        <w:autoSpaceDN/>
        <w:bidi w:val="0"/>
        <w:adjustRightInd/>
        <w:snapToGrid/>
        <w:spacing w:line="330" w:lineRule="exact"/>
        <w:textAlignment w:val="auto"/>
        <w:rPr>
          <w:rFonts w:ascii="宋体" w:hAnsi="宋体"/>
          <w:b w:val="0"/>
          <w:bCs/>
          <w:color w:val="auto"/>
          <w:sz w:val="21"/>
          <w:szCs w:val="21"/>
        </w:rPr>
      </w:pPr>
      <w:r>
        <w:rPr>
          <w:rFonts w:hint="eastAsia" w:ascii="宋体" w:hAnsi="宋体"/>
          <w:b w:val="0"/>
          <w:bCs/>
          <w:color w:val="auto"/>
          <w:sz w:val="21"/>
          <w:szCs w:val="21"/>
        </w:rPr>
        <w:t>近期资产负债情况(到</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rPr>
        <w:t>年</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rPr>
        <w:t>月</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rPr>
        <w:t>日止)</w:t>
      </w:r>
    </w:p>
    <w:p w14:paraId="56443238">
      <w:pPr>
        <w:keepNext w:val="0"/>
        <w:keepLines w:val="0"/>
        <w:pageBreakBefore w:val="0"/>
        <w:widowControl w:val="0"/>
        <w:kinsoku/>
        <w:wordWrap/>
        <w:overflowPunct/>
        <w:topLinePunct w:val="0"/>
        <w:autoSpaceDE/>
        <w:autoSpaceDN/>
        <w:bidi w:val="0"/>
        <w:adjustRightInd/>
        <w:snapToGrid/>
        <w:spacing w:line="330" w:lineRule="exact"/>
        <w:ind w:left="840"/>
        <w:textAlignment w:val="auto"/>
        <w:rPr>
          <w:rFonts w:ascii="宋体" w:hAnsi="宋体"/>
          <w:b w:val="0"/>
          <w:bCs/>
          <w:color w:val="auto"/>
          <w:sz w:val="21"/>
          <w:szCs w:val="21"/>
          <w:u w:val="single"/>
        </w:rPr>
      </w:pPr>
      <w:r>
        <w:rPr>
          <w:rFonts w:hint="eastAsia" w:ascii="宋体" w:hAnsi="宋体"/>
          <w:b w:val="0"/>
          <w:bCs/>
          <w:color w:val="auto"/>
          <w:sz w:val="21"/>
          <w:szCs w:val="21"/>
        </w:rPr>
        <w:t>①固定资产:</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p>
    <w:p w14:paraId="119F9E8A">
      <w:pPr>
        <w:keepNext w:val="0"/>
        <w:keepLines w:val="0"/>
        <w:pageBreakBefore w:val="0"/>
        <w:widowControl w:val="0"/>
        <w:kinsoku/>
        <w:wordWrap/>
        <w:overflowPunct/>
        <w:topLinePunct w:val="0"/>
        <w:autoSpaceDE/>
        <w:autoSpaceDN/>
        <w:bidi w:val="0"/>
        <w:adjustRightInd/>
        <w:snapToGrid/>
        <w:spacing w:line="330" w:lineRule="exact"/>
        <w:ind w:left="840"/>
        <w:textAlignment w:val="auto"/>
        <w:rPr>
          <w:rFonts w:ascii="宋体" w:hAnsi="宋体"/>
          <w:b w:val="0"/>
          <w:bCs/>
          <w:color w:val="auto"/>
          <w:sz w:val="21"/>
          <w:szCs w:val="21"/>
        </w:rPr>
      </w:pPr>
      <w:r>
        <w:rPr>
          <w:rFonts w:hint="eastAsia" w:ascii="宋体" w:hAnsi="宋体"/>
          <w:b w:val="0"/>
          <w:bCs/>
          <w:color w:val="auto"/>
          <w:sz w:val="21"/>
          <w:szCs w:val="21"/>
        </w:rPr>
        <w:t>②流动资产:</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p>
    <w:p w14:paraId="52AEC497">
      <w:pPr>
        <w:keepNext w:val="0"/>
        <w:keepLines w:val="0"/>
        <w:pageBreakBefore w:val="0"/>
        <w:widowControl w:val="0"/>
        <w:kinsoku/>
        <w:wordWrap/>
        <w:overflowPunct/>
        <w:topLinePunct w:val="0"/>
        <w:autoSpaceDE/>
        <w:autoSpaceDN/>
        <w:bidi w:val="0"/>
        <w:adjustRightInd/>
        <w:snapToGrid/>
        <w:spacing w:line="330" w:lineRule="exact"/>
        <w:ind w:left="840"/>
        <w:textAlignment w:val="auto"/>
        <w:rPr>
          <w:rFonts w:ascii="宋体" w:hAnsi="宋体"/>
          <w:b w:val="0"/>
          <w:bCs/>
          <w:color w:val="auto"/>
          <w:sz w:val="21"/>
          <w:szCs w:val="21"/>
          <w:u w:val="single"/>
        </w:rPr>
      </w:pPr>
      <w:r>
        <w:rPr>
          <w:rFonts w:hint="eastAsia" w:ascii="宋体" w:hAnsi="宋体"/>
          <w:b w:val="0"/>
          <w:bCs/>
          <w:color w:val="auto"/>
          <w:sz w:val="21"/>
          <w:szCs w:val="21"/>
        </w:rPr>
        <w:t>③长期负债:</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p>
    <w:p w14:paraId="2FD647C7">
      <w:pPr>
        <w:keepNext w:val="0"/>
        <w:keepLines w:val="0"/>
        <w:pageBreakBefore w:val="0"/>
        <w:widowControl w:val="0"/>
        <w:kinsoku/>
        <w:wordWrap/>
        <w:overflowPunct/>
        <w:topLinePunct w:val="0"/>
        <w:autoSpaceDE/>
        <w:autoSpaceDN/>
        <w:bidi w:val="0"/>
        <w:adjustRightInd/>
        <w:snapToGrid/>
        <w:spacing w:line="330" w:lineRule="exact"/>
        <w:ind w:left="840"/>
        <w:textAlignment w:val="auto"/>
        <w:rPr>
          <w:rFonts w:ascii="宋体" w:hAnsi="宋体"/>
          <w:b w:val="0"/>
          <w:bCs/>
          <w:color w:val="auto"/>
          <w:sz w:val="21"/>
          <w:szCs w:val="21"/>
          <w:u w:val="single"/>
        </w:rPr>
      </w:pPr>
      <w:r>
        <w:rPr>
          <w:rFonts w:hint="eastAsia" w:ascii="宋体" w:hAnsi="宋体"/>
          <w:b w:val="0"/>
          <w:bCs/>
          <w:color w:val="auto"/>
          <w:sz w:val="21"/>
          <w:szCs w:val="21"/>
        </w:rPr>
        <w:t>④流动负债:</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p>
    <w:p w14:paraId="22AD3CC4">
      <w:pPr>
        <w:keepNext w:val="0"/>
        <w:keepLines w:val="0"/>
        <w:pageBreakBefore w:val="0"/>
        <w:widowControl w:val="0"/>
        <w:kinsoku/>
        <w:wordWrap/>
        <w:overflowPunct/>
        <w:topLinePunct w:val="0"/>
        <w:autoSpaceDE/>
        <w:autoSpaceDN/>
        <w:bidi w:val="0"/>
        <w:adjustRightInd/>
        <w:snapToGrid/>
        <w:spacing w:line="330" w:lineRule="exact"/>
        <w:ind w:left="840"/>
        <w:textAlignment w:val="auto"/>
        <w:rPr>
          <w:rFonts w:ascii="宋体" w:hAnsi="宋体"/>
          <w:b w:val="0"/>
          <w:bCs/>
          <w:color w:val="auto"/>
          <w:sz w:val="21"/>
          <w:szCs w:val="21"/>
          <w:u w:val="single"/>
        </w:rPr>
      </w:pPr>
      <w:r>
        <w:rPr>
          <w:rFonts w:hint="eastAsia" w:ascii="宋体" w:hAnsi="宋体"/>
          <w:b w:val="0"/>
          <w:bCs/>
          <w:color w:val="auto"/>
          <w:sz w:val="21"/>
          <w:szCs w:val="21"/>
        </w:rPr>
        <w:t>⑤净值:</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p>
    <w:p w14:paraId="596EFE9C">
      <w:pPr>
        <w:keepNext w:val="0"/>
        <w:keepLines w:val="0"/>
        <w:pageBreakBefore w:val="0"/>
        <w:widowControl w:val="0"/>
        <w:numPr>
          <w:ilvl w:val="1"/>
          <w:numId w:val="0"/>
        </w:numPr>
        <w:kinsoku/>
        <w:wordWrap/>
        <w:overflowPunct/>
        <w:topLinePunct w:val="0"/>
        <w:autoSpaceDE/>
        <w:autoSpaceDN/>
        <w:bidi w:val="0"/>
        <w:adjustRightInd/>
        <w:snapToGrid/>
        <w:spacing w:line="330" w:lineRule="exact"/>
        <w:textAlignment w:val="auto"/>
        <w:rPr>
          <w:rFonts w:ascii="宋体" w:hAnsi="宋体"/>
          <w:b w:val="0"/>
          <w:bCs/>
          <w:color w:val="auto"/>
          <w:sz w:val="21"/>
          <w:szCs w:val="21"/>
        </w:rPr>
      </w:pPr>
      <w:r>
        <w:rPr>
          <w:rFonts w:hint="eastAsia" w:ascii="宋体" w:hAnsi="宋体"/>
          <w:b w:val="0"/>
          <w:bCs/>
          <w:color w:val="auto"/>
          <w:sz w:val="21"/>
          <w:szCs w:val="21"/>
        </w:rPr>
        <w:t>法定代表人（主要负责人）姓名：</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p>
    <w:p w14:paraId="507A2FE8">
      <w:pPr>
        <w:keepNext w:val="0"/>
        <w:keepLines w:val="0"/>
        <w:pageBreakBefore w:val="0"/>
        <w:widowControl w:val="0"/>
        <w:numPr>
          <w:ilvl w:val="1"/>
          <w:numId w:val="0"/>
        </w:numPr>
        <w:kinsoku/>
        <w:wordWrap/>
        <w:overflowPunct/>
        <w:topLinePunct w:val="0"/>
        <w:autoSpaceDE/>
        <w:autoSpaceDN/>
        <w:bidi w:val="0"/>
        <w:adjustRightInd/>
        <w:snapToGrid/>
        <w:spacing w:line="330" w:lineRule="exact"/>
        <w:textAlignment w:val="auto"/>
        <w:rPr>
          <w:rFonts w:ascii="宋体" w:hAnsi="宋体"/>
          <w:b w:val="0"/>
          <w:bCs/>
          <w:color w:val="auto"/>
          <w:sz w:val="21"/>
          <w:szCs w:val="21"/>
        </w:rPr>
      </w:pPr>
      <w:r>
        <w:rPr>
          <w:rFonts w:hint="eastAsia" w:ascii="宋体" w:hAnsi="宋体"/>
          <w:b w:val="0"/>
          <w:bCs/>
          <w:color w:val="auto"/>
          <w:sz w:val="21"/>
          <w:szCs w:val="21"/>
        </w:rPr>
        <w:t>联系人：         联系电话：      联系传真：          联系邮箱：</w:t>
      </w:r>
    </w:p>
    <w:p w14:paraId="639AD1BC">
      <w:pPr>
        <w:keepNext w:val="0"/>
        <w:keepLines w:val="0"/>
        <w:pageBreakBefore w:val="0"/>
        <w:widowControl w:val="0"/>
        <w:kinsoku/>
        <w:wordWrap/>
        <w:overflowPunct/>
        <w:topLinePunct w:val="0"/>
        <w:autoSpaceDE/>
        <w:autoSpaceDN/>
        <w:bidi w:val="0"/>
        <w:adjustRightInd/>
        <w:snapToGrid/>
        <w:spacing w:line="330" w:lineRule="exact"/>
        <w:textAlignment w:val="auto"/>
        <w:outlineLvl w:val="1"/>
        <w:rPr>
          <w:rFonts w:ascii="宋体" w:hAnsi="宋体"/>
          <w:b w:val="0"/>
          <w:bCs/>
          <w:color w:val="auto"/>
          <w:sz w:val="21"/>
          <w:szCs w:val="21"/>
        </w:rPr>
      </w:pPr>
      <w:r>
        <w:rPr>
          <w:rFonts w:hint="eastAsia" w:ascii="宋体" w:hAnsi="宋体"/>
          <w:b w:val="0"/>
          <w:bCs/>
          <w:color w:val="auto"/>
          <w:sz w:val="21"/>
          <w:szCs w:val="21"/>
        </w:rPr>
        <w:t>2.近3年销售情况：</w:t>
      </w:r>
    </w:p>
    <w:p w14:paraId="57AA56D0">
      <w:pPr>
        <w:keepNext w:val="0"/>
        <w:keepLines w:val="0"/>
        <w:pageBreakBefore w:val="0"/>
        <w:widowControl w:val="0"/>
        <w:kinsoku/>
        <w:wordWrap/>
        <w:overflowPunct/>
        <w:topLinePunct w:val="0"/>
        <w:autoSpaceDE/>
        <w:autoSpaceDN/>
        <w:bidi w:val="0"/>
        <w:adjustRightInd/>
        <w:snapToGrid/>
        <w:spacing w:line="330" w:lineRule="exact"/>
        <w:textAlignment w:val="auto"/>
        <w:rPr>
          <w:rFonts w:ascii="宋体" w:hAnsi="宋体"/>
          <w:b w:val="0"/>
          <w:bCs/>
          <w:color w:val="auto"/>
          <w:sz w:val="21"/>
          <w:szCs w:val="21"/>
          <w:u w:val="single"/>
        </w:rPr>
      </w:pPr>
      <w:r>
        <w:rPr>
          <w:rFonts w:hint="eastAsia" w:ascii="宋体" w:hAnsi="宋体"/>
          <w:b w:val="0"/>
          <w:bCs/>
          <w:color w:val="auto"/>
          <w:sz w:val="21"/>
          <w:szCs w:val="21"/>
        </w:rPr>
        <w:t>（1）</w:t>
      </w:r>
      <w:r>
        <w:rPr>
          <w:rFonts w:hint="eastAsia" w:ascii="宋体" w:hAnsi="宋体"/>
          <w:b w:val="0"/>
          <w:bCs/>
          <w:color w:val="auto"/>
          <w:sz w:val="21"/>
          <w:szCs w:val="21"/>
          <w:u w:val="single"/>
        </w:rPr>
        <w:t>(项目名称)</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rPr>
        <w:tab/>
      </w:r>
      <w:r>
        <w:rPr>
          <w:rFonts w:hint="eastAsia" w:ascii="宋体" w:hAnsi="宋体"/>
          <w:b w:val="0"/>
          <w:bCs/>
          <w:color w:val="auto"/>
          <w:sz w:val="21"/>
          <w:szCs w:val="21"/>
          <w:u w:val="single"/>
        </w:rPr>
        <w:t>(合同金额)</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p>
    <w:p w14:paraId="67A221C5">
      <w:pPr>
        <w:keepNext w:val="0"/>
        <w:keepLines w:val="0"/>
        <w:pageBreakBefore w:val="0"/>
        <w:widowControl w:val="0"/>
        <w:kinsoku/>
        <w:wordWrap/>
        <w:overflowPunct/>
        <w:topLinePunct w:val="0"/>
        <w:autoSpaceDE/>
        <w:autoSpaceDN/>
        <w:bidi w:val="0"/>
        <w:adjustRightInd/>
        <w:snapToGrid/>
        <w:spacing w:line="330" w:lineRule="exact"/>
        <w:textAlignment w:val="auto"/>
        <w:rPr>
          <w:rFonts w:ascii="宋体" w:hAnsi="宋体"/>
          <w:b w:val="0"/>
          <w:bCs/>
          <w:color w:val="auto"/>
          <w:sz w:val="21"/>
          <w:szCs w:val="21"/>
          <w:u w:val="single"/>
        </w:rPr>
      </w:pPr>
      <w:r>
        <w:rPr>
          <w:rFonts w:hint="eastAsia" w:ascii="宋体" w:hAnsi="宋体"/>
          <w:b w:val="0"/>
          <w:bCs/>
          <w:color w:val="auto"/>
          <w:sz w:val="21"/>
          <w:szCs w:val="21"/>
        </w:rPr>
        <w:t>（2）</w:t>
      </w:r>
      <w:r>
        <w:rPr>
          <w:rFonts w:hint="eastAsia" w:ascii="宋体" w:hAnsi="宋体"/>
          <w:b w:val="0"/>
          <w:bCs/>
          <w:color w:val="auto"/>
          <w:sz w:val="21"/>
          <w:szCs w:val="21"/>
          <w:u w:val="single"/>
        </w:rPr>
        <w:t>(项目名称)</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rPr>
        <w:tab/>
      </w:r>
      <w:r>
        <w:rPr>
          <w:rFonts w:hint="eastAsia" w:ascii="宋体" w:hAnsi="宋体"/>
          <w:b w:val="0"/>
          <w:bCs/>
          <w:color w:val="auto"/>
          <w:sz w:val="21"/>
          <w:szCs w:val="21"/>
          <w:u w:val="single"/>
        </w:rPr>
        <w:t>(合同金额)</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p>
    <w:p w14:paraId="43C7C101">
      <w:pPr>
        <w:keepNext w:val="0"/>
        <w:keepLines w:val="0"/>
        <w:pageBreakBefore w:val="0"/>
        <w:widowControl w:val="0"/>
        <w:kinsoku/>
        <w:wordWrap/>
        <w:overflowPunct/>
        <w:topLinePunct w:val="0"/>
        <w:autoSpaceDE/>
        <w:autoSpaceDN/>
        <w:bidi w:val="0"/>
        <w:adjustRightInd/>
        <w:snapToGrid/>
        <w:spacing w:line="330" w:lineRule="exact"/>
        <w:textAlignment w:val="auto"/>
        <w:rPr>
          <w:rFonts w:ascii="宋体" w:hAnsi="宋体"/>
          <w:b w:val="0"/>
          <w:bCs/>
          <w:color w:val="auto"/>
          <w:sz w:val="21"/>
          <w:szCs w:val="21"/>
          <w:u w:val="single"/>
        </w:rPr>
      </w:pPr>
      <w:r>
        <w:rPr>
          <w:rFonts w:hint="eastAsia" w:ascii="宋体" w:hAnsi="宋体"/>
          <w:b w:val="0"/>
          <w:bCs/>
          <w:color w:val="auto"/>
          <w:sz w:val="21"/>
          <w:szCs w:val="21"/>
        </w:rPr>
        <w:t>（3）</w:t>
      </w:r>
      <w:r>
        <w:rPr>
          <w:rFonts w:hint="eastAsia" w:ascii="宋体" w:hAnsi="宋体"/>
          <w:b w:val="0"/>
          <w:bCs/>
          <w:color w:val="auto"/>
          <w:sz w:val="21"/>
          <w:szCs w:val="21"/>
          <w:u w:val="single"/>
        </w:rPr>
        <w:t>(项目名称)</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rPr>
        <w:tab/>
      </w:r>
      <w:r>
        <w:rPr>
          <w:rFonts w:hint="eastAsia" w:ascii="宋体" w:hAnsi="宋体"/>
          <w:b w:val="0"/>
          <w:bCs/>
          <w:color w:val="auto"/>
          <w:sz w:val="21"/>
          <w:szCs w:val="21"/>
          <w:u w:val="single"/>
        </w:rPr>
        <w:t>(合同金额)</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p>
    <w:p w14:paraId="2487F5B2">
      <w:pPr>
        <w:keepNext w:val="0"/>
        <w:keepLines w:val="0"/>
        <w:pageBreakBefore w:val="0"/>
        <w:widowControl w:val="0"/>
        <w:kinsoku/>
        <w:wordWrap/>
        <w:overflowPunct/>
        <w:topLinePunct w:val="0"/>
        <w:autoSpaceDE/>
        <w:autoSpaceDN/>
        <w:bidi w:val="0"/>
        <w:adjustRightInd/>
        <w:snapToGrid/>
        <w:spacing w:line="330" w:lineRule="exact"/>
        <w:textAlignment w:val="auto"/>
        <w:rPr>
          <w:rFonts w:ascii="宋体" w:hAnsi="宋体"/>
          <w:b w:val="0"/>
          <w:bCs/>
          <w:color w:val="auto"/>
          <w:sz w:val="21"/>
          <w:szCs w:val="21"/>
          <w:u w:val="single"/>
        </w:rPr>
      </w:pPr>
      <w:r>
        <w:rPr>
          <w:rFonts w:hint="eastAsia" w:ascii="宋体" w:hAnsi="宋体"/>
          <w:b w:val="0"/>
          <w:bCs/>
          <w:color w:val="auto"/>
          <w:sz w:val="21"/>
          <w:szCs w:val="21"/>
        </w:rPr>
        <w:t>（4）</w:t>
      </w:r>
      <w:r>
        <w:rPr>
          <w:rFonts w:hint="eastAsia" w:ascii="宋体" w:hAnsi="宋体"/>
          <w:b w:val="0"/>
          <w:bCs/>
          <w:color w:val="auto"/>
          <w:sz w:val="21"/>
          <w:szCs w:val="21"/>
          <w:u w:val="single"/>
        </w:rPr>
        <w:t>(项目名称)</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rPr>
        <w:tab/>
      </w:r>
      <w:r>
        <w:rPr>
          <w:rFonts w:hint="eastAsia" w:ascii="宋体" w:hAnsi="宋体"/>
          <w:b w:val="0"/>
          <w:bCs/>
          <w:color w:val="auto"/>
          <w:sz w:val="21"/>
          <w:szCs w:val="21"/>
          <w:u w:val="single"/>
        </w:rPr>
        <w:t>(合同金额)</w:t>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r>
        <w:rPr>
          <w:rFonts w:hint="eastAsia" w:ascii="宋体" w:hAnsi="宋体"/>
          <w:b w:val="0"/>
          <w:bCs/>
          <w:color w:val="auto"/>
          <w:sz w:val="21"/>
          <w:szCs w:val="21"/>
          <w:u w:val="single"/>
        </w:rPr>
        <w:tab/>
      </w:r>
    </w:p>
    <w:p w14:paraId="15C58318">
      <w:pPr>
        <w:keepNext w:val="0"/>
        <w:keepLines w:val="0"/>
        <w:pageBreakBefore w:val="0"/>
        <w:widowControl w:val="0"/>
        <w:kinsoku/>
        <w:wordWrap/>
        <w:overflowPunct/>
        <w:topLinePunct w:val="0"/>
        <w:autoSpaceDE/>
        <w:autoSpaceDN/>
        <w:bidi w:val="0"/>
        <w:adjustRightInd/>
        <w:snapToGrid/>
        <w:spacing w:line="330" w:lineRule="exact"/>
        <w:textAlignment w:val="auto"/>
        <w:outlineLvl w:val="1"/>
        <w:rPr>
          <w:rFonts w:ascii="宋体" w:hAnsi="宋体"/>
          <w:b w:val="0"/>
          <w:bCs/>
          <w:color w:val="auto"/>
          <w:sz w:val="21"/>
          <w:szCs w:val="21"/>
        </w:rPr>
      </w:pPr>
      <w:r>
        <w:rPr>
          <w:rFonts w:hint="eastAsia" w:ascii="宋体" w:hAnsi="宋体"/>
          <w:b w:val="0"/>
          <w:bCs/>
          <w:color w:val="auto"/>
          <w:sz w:val="21"/>
          <w:szCs w:val="21"/>
        </w:rPr>
        <w:t>3. 近三年的年营业额</w:t>
      </w:r>
    </w:p>
    <w:p w14:paraId="2BE170F6">
      <w:pPr>
        <w:keepNext w:val="0"/>
        <w:keepLines w:val="0"/>
        <w:pageBreakBefore w:val="0"/>
        <w:widowControl w:val="0"/>
        <w:kinsoku/>
        <w:wordWrap/>
        <w:overflowPunct/>
        <w:topLinePunct w:val="0"/>
        <w:autoSpaceDE/>
        <w:autoSpaceDN/>
        <w:bidi w:val="0"/>
        <w:adjustRightInd/>
        <w:snapToGrid/>
        <w:spacing w:line="330" w:lineRule="exact"/>
        <w:textAlignment w:val="auto"/>
        <w:rPr>
          <w:rFonts w:ascii="宋体" w:hAnsi="宋体"/>
          <w:b w:val="0"/>
          <w:bCs/>
          <w:color w:val="auto"/>
          <w:sz w:val="21"/>
          <w:szCs w:val="21"/>
        </w:rPr>
      </w:pPr>
      <w:r>
        <w:rPr>
          <w:rFonts w:hint="eastAsia" w:ascii="宋体" w:hAnsi="宋体"/>
          <w:b w:val="0"/>
          <w:bCs/>
          <w:color w:val="auto"/>
          <w:sz w:val="21"/>
          <w:szCs w:val="21"/>
        </w:rPr>
        <w:t xml:space="preserve">    年份  </w:t>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总额</w:t>
      </w:r>
    </w:p>
    <w:p w14:paraId="1D3120CE">
      <w:pPr>
        <w:keepNext w:val="0"/>
        <w:keepLines w:val="0"/>
        <w:pageBreakBefore w:val="0"/>
        <w:widowControl w:val="0"/>
        <w:kinsoku/>
        <w:wordWrap/>
        <w:overflowPunct/>
        <w:topLinePunct w:val="0"/>
        <w:autoSpaceDE/>
        <w:autoSpaceDN/>
        <w:bidi w:val="0"/>
        <w:adjustRightInd/>
        <w:snapToGrid/>
        <w:spacing w:line="330" w:lineRule="exact"/>
        <w:textAlignment w:val="auto"/>
        <w:rPr>
          <w:rFonts w:ascii="宋体" w:hAnsi="宋体"/>
          <w:b w:val="0"/>
          <w:bCs/>
          <w:color w:val="auto"/>
          <w:sz w:val="21"/>
          <w:szCs w:val="21"/>
        </w:rPr>
      </w:pPr>
      <w:r>
        <w:rPr>
          <w:rFonts w:hint="eastAsia" w:ascii="宋体" w:hAnsi="宋体"/>
          <w:b w:val="0"/>
          <w:bCs/>
          <w:color w:val="auto"/>
          <w:sz w:val="21"/>
          <w:szCs w:val="21"/>
          <w:u w:val="single"/>
        </w:rPr>
        <w:t>20</w:t>
      </w:r>
      <w:r>
        <w:rPr>
          <w:rFonts w:hint="eastAsia" w:ascii="宋体" w:hAnsi="宋体"/>
          <w:b w:val="0"/>
          <w:bCs/>
          <w:color w:val="auto"/>
          <w:sz w:val="21"/>
          <w:szCs w:val="21"/>
          <w:u w:val="single"/>
          <w:lang w:val="en-US" w:eastAsia="zh-CN"/>
        </w:rPr>
        <w:t>22</w:t>
      </w:r>
      <w:r>
        <w:rPr>
          <w:rFonts w:hint="eastAsia" w:ascii="宋体" w:hAnsi="宋体"/>
          <w:b w:val="0"/>
          <w:bCs/>
          <w:color w:val="auto"/>
          <w:sz w:val="21"/>
          <w:szCs w:val="21"/>
          <w:u w:val="single"/>
        </w:rPr>
        <w:tab/>
      </w:r>
      <w:r>
        <w:rPr>
          <w:rFonts w:hint="eastAsia" w:ascii="宋体" w:hAnsi="宋体"/>
          <w:b w:val="0"/>
          <w:bCs/>
          <w:color w:val="auto"/>
          <w:sz w:val="21"/>
          <w:szCs w:val="21"/>
          <w:u w:val="single"/>
        </w:rPr>
        <w:t xml:space="preserve">  （万元）</w:t>
      </w:r>
      <w:r>
        <w:rPr>
          <w:rFonts w:hint="eastAsia" w:ascii="宋体" w:hAnsi="宋体"/>
          <w:b w:val="0"/>
          <w:bCs/>
          <w:color w:val="auto"/>
          <w:sz w:val="21"/>
          <w:szCs w:val="21"/>
        </w:rPr>
        <w:tab/>
      </w:r>
    </w:p>
    <w:p w14:paraId="1D67682C">
      <w:pPr>
        <w:keepNext w:val="0"/>
        <w:keepLines w:val="0"/>
        <w:pageBreakBefore w:val="0"/>
        <w:widowControl w:val="0"/>
        <w:kinsoku/>
        <w:wordWrap/>
        <w:overflowPunct/>
        <w:topLinePunct w:val="0"/>
        <w:autoSpaceDE/>
        <w:autoSpaceDN/>
        <w:bidi w:val="0"/>
        <w:adjustRightInd/>
        <w:snapToGrid/>
        <w:spacing w:line="330" w:lineRule="exact"/>
        <w:textAlignment w:val="auto"/>
        <w:rPr>
          <w:rFonts w:ascii="宋体" w:hAnsi="宋体"/>
          <w:b w:val="0"/>
          <w:bCs/>
          <w:color w:val="auto"/>
          <w:sz w:val="21"/>
          <w:szCs w:val="21"/>
          <w:u w:val="single"/>
        </w:rPr>
      </w:pPr>
      <w:r>
        <w:rPr>
          <w:rFonts w:hint="eastAsia" w:ascii="宋体" w:hAnsi="宋体"/>
          <w:b w:val="0"/>
          <w:bCs/>
          <w:color w:val="auto"/>
          <w:sz w:val="21"/>
          <w:szCs w:val="21"/>
          <w:u w:val="single"/>
        </w:rPr>
        <w:t>20</w:t>
      </w:r>
      <w:r>
        <w:rPr>
          <w:rFonts w:hint="eastAsia" w:ascii="宋体" w:hAnsi="宋体"/>
          <w:b w:val="0"/>
          <w:bCs/>
          <w:color w:val="auto"/>
          <w:sz w:val="21"/>
          <w:szCs w:val="21"/>
          <w:u w:val="single"/>
          <w:lang w:val="en-US" w:eastAsia="zh-CN"/>
        </w:rPr>
        <w:t>23</w:t>
      </w:r>
      <w:r>
        <w:rPr>
          <w:rFonts w:hint="eastAsia" w:ascii="宋体" w:hAnsi="宋体"/>
          <w:b w:val="0"/>
          <w:bCs/>
          <w:color w:val="auto"/>
          <w:sz w:val="21"/>
          <w:szCs w:val="21"/>
          <w:u w:val="single"/>
        </w:rPr>
        <w:t xml:space="preserve">    （万元）</w:t>
      </w:r>
      <w:r>
        <w:rPr>
          <w:rFonts w:hint="eastAsia" w:ascii="宋体" w:hAnsi="宋体"/>
          <w:b w:val="0"/>
          <w:bCs/>
          <w:color w:val="auto"/>
          <w:sz w:val="21"/>
          <w:szCs w:val="21"/>
        </w:rPr>
        <w:tab/>
      </w:r>
    </w:p>
    <w:p w14:paraId="7AC85130">
      <w:pPr>
        <w:keepNext w:val="0"/>
        <w:keepLines w:val="0"/>
        <w:pageBreakBefore w:val="0"/>
        <w:widowControl w:val="0"/>
        <w:kinsoku/>
        <w:wordWrap/>
        <w:overflowPunct/>
        <w:topLinePunct w:val="0"/>
        <w:autoSpaceDE/>
        <w:autoSpaceDN/>
        <w:bidi w:val="0"/>
        <w:adjustRightInd/>
        <w:snapToGrid/>
        <w:spacing w:line="330" w:lineRule="exact"/>
        <w:textAlignment w:val="auto"/>
        <w:rPr>
          <w:rFonts w:ascii="宋体" w:hAnsi="宋体"/>
          <w:b w:val="0"/>
          <w:bCs/>
          <w:color w:val="auto"/>
          <w:sz w:val="21"/>
          <w:szCs w:val="21"/>
        </w:rPr>
      </w:pPr>
      <w:r>
        <w:rPr>
          <w:rFonts w:hint="eastAsia" w:ascii="宋体" w:hAnsi="宋体"/>
          <w:b w:val="0"/>
          <w:bCs/>
          <w:color w:val="auto"/>
          <w:sz w:val="21"/>
          <w:szCs w:val="21"/>
          <w:u w:val="single"/>
        </w:rPr>
        <w:t>20</w:t>
      </w:r>
      <w:r>
        <w:rPr>
          <w:rFonts w:hint="eastAsia" w:ascii="宋体" w:hAnsi="宋体"/>
          <w:b w:val="0"/>
          <w:bCs/>
          <w:color w:val="auto"/>
          <w:sz w:val="21"/>
          <w:szCs w:val="21"/>
          <w:u w:val="single"/>
          <w:lang w:val="en-US" w:eastAsia="zh-CN"/>
        </w:rPr>
        <w:t>24</w:t>
      </w:r>
      <w:r>
        <w:rPr>
          <w:rFonts w:hint="eastAsia" w:ascii="宋体" w:hAnsi="宋体"/>
          <w:b w:val="0"/>
          <w:bCs/>
          <w:color w:val="auto"/>
          <w:sz w:val="21"/>
          <w:szCs w:val="21"/>
          <w:u w:val="single"/>
        </w:rPr>
        <w:t xml:space="preserve">     （万元）</w:t>
      </w:r>
    </w:p>
    <w:p w14:paraId="40655545">
      <w:pPr>
        <w:keepNext w:val="0"/>
        <w:keepLines w:val="0"/>
        <w:pageBreakBefore w:val="0"/>
        <w:widowControl w:val="0"/>
        <w:kinsoku/>
        <w:wordWrap/>
        <w:overflowPunct/>
        <w:topLinePunct w:val="0"/>
        <w:autoSpaceDE/>
        <w:autoSpaceDN/>
        <w:bidi w:val="0"/>
        <w:adjustRightInd/>
        <w:snapToGrid/>
        <w:spacing w:line="330" w:lineRule="exact"/>
        <w:textAlignment w:val="auto"/>
        <w:rPr>
          <w:rFonts w:ascii="宋体" w:hAnsi="宋体"/>
          <w:b w:val="0"/>
          <w:bCs/>
          <w:color w:val="auto"/>
          <w:sz w:val="21"/>
          <w:szCs w:val="21"/>
        </w:rPr>
      </w:pPr>
      <w:r>
        <w:rPr>
          <w:rFonts w:hint="eastAsia" w:ascii="宋体" w:hAnsi="宋体"/>
          <w:b w:val="0"/>
          <w:bCs/>
          <w:color w:val="auto"/>
          <w:sz w:val="21"/>
          <w:szCs w:val="21"/>
        </w:rPr>
        <w:t>4. 开户银行和基本账号:</w:t>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p>
    <w:p w14:paraId="764A4BF5">
      <w:pPr>
        <w:keepNext w:val="0"/>
        <w:keepLines w:val="0"/>
        <w:pageBreakBefore w:val="0"/>
        <w:widowControl w:val="0"/>
        <w:kinsoku/>
        <w:wordWrap/>
        <w:overflowPunct/>
        <w:topLinePunct w:val="0"/>
        <w:autoSpaceDE/>
        <w:autoSpaceDN/>
        <w:bidi w:val="0"/>
        <w:adjustRightInd/>
        <w:snapToGrid/>
        <w:spacing w:line="330" w:lineRule="exact"/>
        <w:textAlignment w:val="auto"/>
        <w:rPr>
          <w:rFonts w:ascii="宋体" w:hAnsi="宋体"/>
          <w:b w:val="0"/>
          <w:bCs/>
          <w:color w:val="auto"/>
          <w:sz w:val="21"/>
          <w:szCs w:val="21"/>
        </w:rPr>
      </w:pPr>
      <w:r>
        <w:rPr>
          <w:rFonts w:hint="eastAsia" w:ascii="宋体" w:hAnsi="宋体"/>
          <w:b w:val="0"/>
          <w:bCs/>
          <w:color w:val="auto"/>
          <w:sz w:val="21"/>
          <w:szCs w:val="21"/>
        </w:rPr>
        <w:t>5. 投标人所属的集团公司：（如有）</w:t>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p>
    <w:p w14:paraId="47D3AF0D">
      <w:pPr>
        <w:keepNext w:val="0"/>
        <w:keepLines w:val="0"/>
        <w:pageBreakBefore w:val="0"/>
        <w:widowControl w:val="0"/>
        <w:kinsoku/>
        <w:wordWrap/>
        <w:overflowPunct/>
        <w:topLinePunct w:val="0"/>
        <w:autoSpaceDE/>
        <w:autoSpaceDN/>
        <w:bidi w:val="0"/>
        <w:adjustRightInd/>
        <w:snapToGrid/>
        <w:spacing w:line="330" w:lineRule="exact"/>
        <w:textAlignment w:val="auto"/>
        <w:rPr>
          <w:rFonts w:ascii="宋体" w:hAnsi="宋体"/>
          <w:b w:val="0"/>
          <w:bCs/>
          <w:color w:val="auto"/>
          <w:sz w:val="21"/>
          <w:szCs w:val="21"/>
        </w:rPr>
      </w:pPr>
      <w:r>
        <w:rPr>
          <w:rFonts w:hint="eastAsia" w:ascii="宋体" w:hAnsi="宋体"/>
          <w:b w:val="0"/>
          <w:bCs/>
          <w:color w:val="auto"/>
          <w:sz w:val="21"/>
          <w:szCs w:val="21"/>
        </w:rPr>
        <w:t>6. 投标人规模：微型企业□  小型企业□  中型企业□  大型企业□</w:t>
      </w:r>
    </w:p>
    <w:p w14:paraId="6EC287B0">
      <w:pPr>
        <w:keepNext w:val="0"/>
        <w:keepLines w:val="0"/>
        <w:pageBreakBefore w:val="0"/>
        <w:widowControl w:val="0"/>
        <w:kinsoku/>
        <w:wordWrap/>
        <w:overflowPunct/>
        <w:topLinePunct w:val="0"/>
        <w:autoSpaceDE/>
        <w:autoSpaceDN/>
        <w:bidi w:val="0"/>
        <w:adjustRightInd/>
        <w:snapToGrid/>
        <w:spacing w:line="330" w:lineRule="exact"/>
        <w:jc w:val="left"/>
        <w:textAlignment w:val="auto"/>
        <w:rPr>
          <w:rFonts w:hint="eastAsia" w:ascii="宋体" w:hAnsi="宋体" w:eastAsia="宋体"/>
          <w:b w:val="0"/>
          <w:bCs/>
          <w:color w:val="auto"/>
          <w:sz w:val="21"/>
          <w:szCs w:val="21"/>
          <w:lang w:eastAsia="zh-CN"/>
        </w:rPr>
      </w:pPr>
      <w:r>
        <w:rPr>
          <w:rFonts w:hint="eastAsia" w:ascii="宋体" w:hAnsi="宋体"/>
          <w:b w:val="0"/>
          <w:bCs/>
          <w:color w:val="auto"/>
          <w:sz w:val="21"/>
          <w:szCs w:val="21"/>
        </w:rPr>
        <w:t>7. 公司管理体系认证：</w:t>
      </w:r>
    </w:p>
    <w:p w14:paraId="3792ECF7">
      <w:pPr>
        <w:keepNext w:val="0"/>
        <w:keepLines w:val="0"/>
        <w:pageBreakBefore w:val="0"/>
        <w:widowControl w:val="0"/>
        <w:kinsoku/>
        <w:wordWrap/>
        <w:overflowPunct/>
        <w:topLinePunct w:val="0"/>
        <w:autoSpaceDE/>
        <w:autoSpaceDN/>
        <w:bidi w:val="0"/>
        <w:adjustRightInd/>
        <w:snapToGrid/>
        <w:spacing w:line="330" w:lineRule="exact"/>
        <w:jc w:val="left"/>
        <w:textAlignment w:val="auto"/>
        <w:rPr>
          <w:rFonts w:ascii="宋体" w:hAnsi="宋体"/>
          <w:b w:val="0"/>
          <w:bCs/>
          <w:color w:val="auto"/>
          <w:sz w:val="21"/>
          <w:szCs w:val="21"/>
        </w:rPr>
      </w:pPr>
      <w:r>
        <w:rPr>
          <w:rFonts w:hint="eastAsia" w:ascii="宋体" w:hAnsi="宋体"/>
          <w:b w:val="0"/>
          <w:bCs/>
          <w:color w:val="auto"/>
          <w:sz w:val="21"/>
          <w:szCs w:val="21"/>
        </w:rPr>
        <w:t>8. 公司资质及各类生产、经营许可：</w:t>
      </w:r>
    </w:p>
    <w:p w14:paraId="41223BA9">
      <w:pPr>
        <w:keepNext w:val="0"/>
        <w:keepLines w:val="0"/>
        <w:pageBreakBefore w:val="0"/>
        <w:widowControl w:val="0"/>
        <w:kinsoku/>
        <w:wordWrap/>
        <w:overflowPunct/>
        <w:topLinePunct w:val="0"/>
        <w:autoSpaceDE/>
        <w:autoSpaceDN/>
        <w:bidi w:val="0"/>
        <w:adjustRightInd/>
        <w:snapToGrid/>
        <w:spacing w:line="330" w:lineRule="exact"/>
        <w:textAlignment w:val="auto"/>
        <w:rPr>
          <w:rFonts w:ascii="宋体" w:hAnsi="宋体"/>
          <w:b w:val="0"/>
          <w:bCs/>
          <w:color w:val="auto"/>
          <w:sz w:val="21"/>
          <w:szCs w:val="21"/>
        </w:rPr>
      </w:pPr>
      <w:r>
        <w:rPr>
          <w:rFonts w:hint="eastAsia" w:ascii="宋体" w:hAnsi="宋体"/>
          <w:b w:val="0"/>
          <w:bCs/>
          <w:color w:val="auto"/>
          <w:sz w:val="21"/>
          <w:szCs w:val="21"/>
        </w:rPr>
        <w:t>9. 其他情况：</w:t>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r>
        <w:rPr>
          <w:rFonts w:hint="eastAsia" w:ascii="宋体" w:hAnsi="宋体"/>
          <w:b w:val="0"/>
          <w:bCs/>
          <w:color w:val="auto"/>
          <w:sz w:val="21"/>
          <w:szCs w:val="21"/>
        </w:rPr>
        <w:tab/>
      </w:r>
    </w:p>
    <w:p w14:paraId="6961B1A5">
      <w:pPr>
        <w:keepNext w:val="0"/>
        <w:keepLines w:val="0"/>
        <w:pageBreakBefore w:val="0"/>
        <w:widowControl w:val="0"/>
        <w:kinsoku/>
        <w:wordWrap/>
        <w:overflowPunct/>
        <w:topLinePunct w:val="0"/>
        <w:autoSpaceDE/>
        <w:autoSpaceDN/>
        <w:bidi w:val="0"/>
        <w:adjustRightInd/>
        <w:snapToGrid/>
        <w:spacing w:line="330" w:lineRule="exact"/>
        <w:textAlignment w:val="auto"/>
        <w:rPr>
          <w:rFonts w:ascii="宋体" w:hAnsi="宋体"/>
          <w:color w:val="auto"/>
          <w:sz w:val="21"/>
          <w:szCs w:val="21"/>
        </w:rPr>
      </w:pPr>
      <w:r>
        <w:rPr>
          <w:rFonts w:hint="eastAsia" w:ascii="宋体" w:hAnsi="宋体"/>
          <w:b w:val="0"/>
          <w:bCs/>
          <w:color w:val="auto"/>
          <w:sz w:val="21"/>
          <w:szCs w:val="21"/>
        </w:rPr>
        <w:t>兹证明上述声明是真实、正确的，并提供了全部能提供的资料和数据，我们同意遵照贵方要求出示有关证明文件。</w:t>
      </w:r>
    </w:p>
    <w:p w14:paraId="74299884">
      <w:pPr>
        <w:spacing w:line="360" w:lineRule="auto"/>
        <w:ind w:firstLine="2" w:firstLineChars="1"/>
        <w:rPr>
          <w:rFonts w:hint="eastAsia" w:ascii="宋体" w:hAnsi="宋体"/>
          <w:color w:val="auto"/>
          <w:sz w:val="21"/>
          <w:szCs w:val="21"/>
        </w:rPr>
      </w:pPr>
    </w:p>
    <w:p w14:paraId="1BE4A74A">
      <w:pPr>
        <w:spacing w:line="360" w:lineRule="auto"/>
        <w:ind w:firstLine="2" w:firstLineChars="1"/>
        <w:rPr>
          <w:rFonts w:ascii="宋体" w:hAnsi="宋体"/>
          <w:color w:val="auto"/>
          <w:sz w:val="21"/>
          <w:szCs w:val="21"/>
        </w:rPr>
      </w:pPr>
      <w:r>
        <w:rPr>
          <w:rFonts w:hint="eastAsia" w:ascii="宋体" w:hAnsi="宋体"/>
          <w:color w:val="auto"/>
          <w:sz w:val="21"/>
          <w:szCs w:val="21"/>
        </w:rPr>
        <w:t>投标人(加盖公章)：</w:t>
      </w:r>
    </w:p>
    <w:p w14:paraId="76B94FB2">
      <w:pPr>
        <w:spacing w:line="360" w:lineRule="auto"/>
        <w:ind w:firstLine="2" w:firstLineChars="1"/>
        <w:rPr>
          <w:rFonts w:ascii="宋体" w:hAnsi="宋体"/>
          <w:color w:val="auto"/>
          <w:sz w:val="21"/>
          <w:szCs w:val="21"/>
        </w:rPr>
      </w:pPr>
      <w:r>
        <w:rPr>
          <w:rFonts w:hint="eastAsia" w:ascii="宋体" w:hAnsi="宋体"/>
          <w:color w:val="auto"/>
          <w:sz w:val="21"/>
          <w:szCs w:val="21"/>
        </w:rPr>
        <w:t>法定代表人（签名或签章）：</w:t>
      </w:r>
    </w:p>
    <w:p w14:paraId="452A83A4">
      <w:pPr>
        <w:spacing w:line="360" w:lineRule="auto"/>
        <w:ind w:firstLine="2" w:firstLineChars="1"/>
        <w:rPr>
          <w:rFonts w:ascii="宋体" w:hAnsi="宋体"/>
          <w:color w:val="auto"/>
          <w:sz w:val="21"/>
          <w:szCs w:val="21"/>
        </w:rPr>
      </w:pPr>
      <w:r>
        <w:rPr>
          <w:rFonts w:hint="eastAsia" w:ascii="宋体" w:hAnsi="宋体"/>
          <w:color w:val="auto"/>
          <w:sz w:val="21"/>
          <w:szCs w:val="21"/>
        </w:rPr>
        <w:t>年月日</w:t>
      </w:r>
    </w:p>
    <w:p w14:paraId="2585817C">
      <w:pPr>
        <w:spacing w:line="600" w:lineRule="exact"/>
        <w:rPr>
          <w:rFonts w:ascii="宋体" w:hAnsi="宋体"/>
          <w:bCs/>
          <w:color w:val="auto"/>
          <w:sz w:val="28"/>
          <w:szCs w:val="28"/>
        </w:rPr>
      </w:pPr>
      <w:r>
        <w:rPr>
          <w:rFonts w:hint="eastAsia" w:ascii="宋体" w:hAnsi="宋体"/>
          <w:b w:val="0"/>
          <w:color w:val="auto"/>
          <w:sz w:val="21"/>
          <w:szCs w:val="21"/>
        </w:rPr>
        <w:br w:type="page"/>
      </w:r>
      <w:r>
        <w:rPr>
          <w:rFonts w:hint="eastAsia" w:ascii="宋体" w:hAnsi="宋体"/>
          <w:bCs/>
          <w:color w:val="auto"/>
          <w:sz w:val="28"/>
          <w:szCs w:val="28"/>
        </w:rPr>
        <w:t>格式</w:t>
      </w:r>
      <w:r>
        <w:rPr>
          <w:rFonts w:hint="eastAsia" w:ascii="宋体" w:hAnsi="宋体"/>
          <w:bCs/>
          <w:color w:val="auto"/>
          <w:sz w:val="28"/>
          <w:szCs w:val="28"/>
          <w:lang w:val="en-US" w:eastAsia="zh-CN"/>
        </w:rPr>
        <w:t>8</w:t>
      </w:r>
      <w:r>
        <w:rPr>
          <w:rFonts w:hint="eastAsia" w:ascii="宋体" w:hAnsi="宋体"/>
          <w:bCs/>
          <w:color w:val="auto"/>
          <w:sz w:val="28"/>
          <w:szCs w:val="28"/>
        </w:rPr>
        <w:t>：</w:t>
      </w:r>
      <w:bookmarkStart w:id="465" w:name="_Toc26791"/>
    </w:p>
    <w:p w14:paraId="7876C10B">
      <w:pPr>
        <w:pStyle w:val="3"/>
        <w:jc w:val="center"/>
        <w:rPr>
          <w:rFonts w:ascii="宋体" w:hAnsi="宋体" w:cs="宋体"/>
          <w:color w:val="auto"/>
          <w:highlight w:val="none"/>
        </w:rPr>
      </w:pPr>
      <w:r>
        <w:rPr>
          <w:rFonts w:hint="eastAsia" w:ascii="宋体" w:hAnsi="宋体" w:cs="宋体"/>
          <w:color w:val="auto"/>
          <w:highlight w:val="none"/>
        </w:rPr>
        <w:t>《中小企业声明函》</w:t>
      </w:r>
      <w:bookmarkEnd w:id="465"/>
    </w:p>
    <w:p w14:paraId="26BA5913">
      <w:pPr>
        <w:widowControl/>
        <w:spacing w:line="360" w:lineRule="auto"/>
        <w:ind w:firstLine="480" w:firstLineChars="200"/>
        <w:jc w:val="center"/>
        <w:rPr>
          <w:rFonts w:ascii="宋体" w:hAnsi="宋体"/>
          <w:b w:val="0"/>
          <w:bCs/>
          <w:color w:val="000000" w:themeColor="text1"/>
          <w14:textFill>
            <w14:solidFill>
              <w14:schemeClr w14:val="tx1"/>
            </w14:solidFill>
          </w14:textFill>
        </w:rPr>
      </w:pPr>
      <w:bookmarkStart w:id="466" w:name="_Toc419059324"/>
      <w:r>
        <w:rPr>
          <w:rFonts w:hint="eastAsia" w:ascii="宋体" w:hAnsi="宋体"/>
          <w:b w:val="0"/>
          <w:bCs/>
          <w:color w:val="000000" w:themeColor="text1"/>
          <w14:textFill>
            <w14:solidFill>
              <w14:schemeClr w14:val="tx1"/>
            </w14:solidFill>
          </w14:textFill>
        </w:rPr>
        <w:t>（不符合条件的不得填写）</w:t>
      </w:r>
    </w:p>
    <w:p w14:paraId="7612E8F7">
      <w:pPr>
        <w:widowControl/>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本公司郑重声明，根据《政府采购促进中小企业发展管理办法》（财库[2020]46号）的规定</w:t>
      </w:r>
      <w:r>
        <w:rPr>
          <w:rFonts w:hint="eastAsia" w:ascii="宋体" w:hAnsi="宋体"/>
          <w:b w:val="0"/>
          <w:bCs/>
          <w:color w:val="auto"/>
          <w:sz w:val="21"/>
          <w:szCs w:val="21"/>
          <w:lang w:eastAsia="zh-CN"/>
        </w:rPr>
        <w:t>，</w:t>
      </w:r>
      <w:r>
        <w:rPr>
          <w:rFonts w:hint="eastAsia" w:ascii="宋体" w:hAnsi="宋体"/>
          <w:b w:val="0"/>
          <w:bCs/>
          <w:color w:val="auto"/>
          <w:sz w:val="21"/>
          <w:szCs w:val="21"/>
        </w:rPr>
        <w:t>本公司参加</w:t>
      </w:r>
      <w:r>
        <w:rPr>
          <w:rFonts w:hint="eastAsia" w:ascii="宋体" w:hAnsi="宋体"/>
          <w:b w:val="0"/>
          <w:bCs/>
          <w:color w:val="auto"/>
          <w:sz w:val="21"/>
          <w:szCs w:val="21"/>
          <w:u w:val="single"/>
        </w:rPr>
        <w:t>（单位名称）</w:t>
      </w:r>
      <w:r>
        <w:rPr>
          <w:rFonts w:hint="eastAsia" w:ascii="宋体" w:hAnsi="宋体"/>
          <w:b w:val="0"/>
          <w:bCs/>
          <w:color w:val="auto"/>
          <w:sz w:val="21"/>
          <w:szCs w:val="21"/>
        </w:rPr>
        <w:t>的</w:t>
      </w:r>
      <w:r>
        <w:rPr>
          <w:rFonts w:hint="eastAsia" w:ascii="宋体" w:hAnsi="宋体"/>
          <w:b w:val="0"/>
          <w:bCs/>
          <w:color w:val="auto"/>
          <w:sz w:val="21"/>
          <w:szCs w:val="21"/>
          <w:u w:val="single"/>
        </w:rPr>
        <w:t>（项目名称）</w:t>
      </w:r>
      <w:r>
        <w:rPr>
          <w:rFonts w:hint="eastAsia" w:ascii="宋体" w:hAnsi="宋体"/>
          <w:b w:val="0"/>
          <w:bCs/>
          <w:color w:val="auto"/>
          <w:sz w:val="21"/>
          <w:szCs w:val="21"/>
          <w:u w:val="none"/>
        </w:rPr>
        <w:t>采购活动</w:t>
      </w:r>
      <w:r>
        <w:rPr>
          <w:rFonts w:hint="eastAsia" w:ascii="宋体" w:hAnsi="宋体"/>
          <w:b w:val="0"/>
          <w:bCs/>
          <w:color w:val="auto"/>
          <w:sz w:val="21"/>
          <w:szCs w:val="21"/>
        </w:rPr>
        <w:t>，提供的货物全部由符合政策要求的中小企业制造。相关企业的具体情况如下：</w:t>
      </w:r>
    </w:p>
    <w:p w14:paraId="5DDDEFBC">
      <w:pPr>
        <w:widowControl/>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1.</w:t>
      </w:r>
      <w:r>
        <w:rPr>
          <w:rFonts w:hint="eastAsia" w:ascii="宋体" w:hAnsi="宋体"/>
          <w:b w:val="0"/>
          <w:bCs/>
          <w:color w:val="auto"/>
          <w:sz w:val="21"/>
          <w:szCs w:val="21"/>
          <w:u w:val="single"/>
        </w:rPr>
        <w:t>（标的名称）</w:t>
      </w:r>
      <w:r>
        <w:rPr>
          <w:rFonts w:hint="eastAsia" w:ascii="宋体" w:hAnsi="宋体"/>
          <w:b w:val="0"/>
          <w:bCs/>
          <w:color w:val="auto"/>
          <w:sz w:val="21"/>
          <w:szCs w:val="21"/>
        </w:rPr>
        <w:t>，属于</w:t>
      </w:r>
      <w:r>
        <w:rPr>
          <w:rFonts w:hint="eastAsia" w:ascii="宋体" w:hAnsi="宋体"/>
          <w:b w:val="0"/>
          <w:bCs/>
          <w:color w:val="auto"/>
          <w:sz w:val="21"/>
          <w:szCs w:val="21"/>
          <w:lang w:eastAsia="zh-CN"/>
        </w:rPr>
        <w:t>（</w:t>
      </w:r>
      <w:r>
        <w:rPr>
          <w:rFonts w:hint="eastAsia" w:ascii="宋体" w:hAnsi="宋体"/>
          <w:b w:val="0"/>
          <w:bCs/>
          <w:color w:val="auto"/>
          <w:sz w:val="21"/>
          <w:szCs w:val="21"/>
          <w:u w:val="single"/>
        </w:rPr>
        <w:t>采购文件中明确的所属行业</w:t>
      </w:r>
      <w:r>
        <w:rPr>
          <w:rFonts w:hint="eastAsia" w:ascii="宋体" w:hAnsi="宋体"/>
          <w:b w:val="0"/>
          <w:bCs/>
          <w:color w:val="auto"/>
          <w:sz w:val="21"/>
          <w:szCs w:val="21"/>
          <w:lang w:eastAsia="zh-CN"/>
        </w:rPr>
        <w:t>）行业</w:t>
      </w:r>
      <w:r>
        <w:rPr>
          <w:rFonts w:hint="eastAsia" w:ascii="宋体" w:hAnsi="宋体"/>
          <w:b w:val="0"/>
          <w:bCs/>
          <w:color w:val="auto"/>
          <w:sz w:val="21"/>
          <w:szCs w:val="21"/>
        </w:rPr>
        <w:t>；制造商为</w:t>
      </w:r>
      <w:r>
        <w:rPr>
          <w:rFonts w:hint="eastAsia" w:ascii="宋体" w:hAnsi="宋体"/>
          <w:b w:val="0"/>
          <w:bCs/>
          <w:color w:val="auto"/>
          <w:sz w:val="21"/>
          <w:szCs w:val="21"/>
          <w:u w:val="single"/>
        </w:rPr>
        <w:t>（企业名称）</w:t>
      </w:r>
      <w:r>
        <w:rPr>
          <w:rFonts w:hint="eastAsia" w:ascii="宋体" w:hAnsi="宋体"/>
          <w:b w:val="0"/>
          <w:bCs/>
          <w:color w:val="auto"/>
          <w:sz w:val="21"/>
          <w:szCs w:val="21"/>
        </w:rPr>
        <w:t>，从业人员</w:t>
      </w:r>
      <w:r>
        <w:rPr>
          <w:rFonts w:hint="eastAsia" w:ascii="宋体" w:hAnsi="宋体"/>
          <w:b w:val="0"/>
          <w:bCs/>
          <w:color w:val="auto"/>
          <w:sz w:val="21"/>
          <w:szCs w:val="21"/>
          <w:u w:val="single"/>
        </w:rPr>
        <w:t xml:space="preserve">    </w:t>
      </w:r>
      <w:r>
        <w:rPr>
          <w:rFonts w:hint="eastAsia" w:ascii="宋体" w:hAnsi="宋体"/>
          <w:b w:val="0"/>
          <w:bCs/>
          <w:color w:val="auto"/>
          <w:sz w:val="21"/>
          <w:szCs w:val="21"/>
        </w:rPr>
        <w:t>人，营业收入为</w:t>
      </w:r>
      <w:r>
        <w:rPr>
          <w:rFonts w:hint="eastAsia" w:ascii="宋体" w:hAnsi="宋体"/>
          <w:b w:val="0"/>
          <w:bCs/>
          <w:color w:val="auto"/>
          <w:sz w:val="21"/>
          <w:szCs w:val="21"/>
          <w:u w:val="single"/>
        </w:rPr>
        <w:t xml:space="preserve">        </w:t>
      </w:r>
      <w:r>
        <w:rPr>
          <w:rFonts w:hint="eastAsia" w:ascii="宋体" w:hAnsi="宋体"/>
          <w:b w:val="0"/>
          <w:bCs/>
          <w:color w:val="auto"/>
          <w:sz w:val="21"/>
          <w:szCs w:val="21"/>
        </w:rPr>
        <w:t>万元，资产总额为</w:t>
      </w:r>
      <w:r>
        <w:rPr>
          <w:rFonts w:hint="eastAsia" w:ascii="宋体" w:hAnsi="宋体"/>
          <w:b w:val="0"/>
          <w:bCs/>
          <w:color w:val="auto"/>
          <w:sz w:val="21"/>
          <w:szCs w:val="21"/>
          <w:u w:val="single"/>
        </w:rPr>
        <w:t xml:space="preserve">       </w:t>
      </w:r>
      <w:r>
        <w:rPr>
          <w:rFonts w:hint="eastAsia" w:ascii="宋体" w:hAnsi="宋体"/>
          <w:b w:val="0"/>
          <w:bCs/>
          <w:color w:val="auto"/>
          <w:sz w:val="21"/>
          <w:szCs w:val="21"/>
        </w:rPr>
        <w:t>万元，属于</w:t>
      </w:r>
      <w:r>
        <w:rPr>
          <w:rFonts w:hint="eastAsia" w:ascii="宋体" w:hAnsi="宋体"/>
          <w:b w:val="0"/>
          <w:bCs/>
          <w:color w:val="auto"/>
          <w:sz w:val="21"/>
          <w:szCs w:val="21"/>
          <w:u w:val="single"/>
        </w:rPr>
        <w:t>（中型企业、小型企业、微型企业）</w:t>
      </w:r>
      <w:r>
        <w:rPr>
          <w:rFonts w:hint="eastAsia" w:ascii="宋体" w:hAnsi="宋体"/>
          <w:b w:val="0"/>
          <w:bCs/>
          <w:color w:val="auto"/>
          <w:sz w:val="21"/>
          <w:szCs w:val="21"/>
        </w:rPr>
        <w:t>。</w:t>
      </w:r>
    </w:p>
    <w:p w14:paraId="0241BD81">
      <w:pPr>
        <w:widowControl/>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2.</w:t>
      </w:r>
      <w:r>
        <w:rPr>
          <w:rFonts w:hint="eastAsia" w:ascii="宋体" w:hAnsi="宋体"/>
          <w:b w:val="0"/>
          <w:bCs/>
          <w:color w:val="auto"/>
          <w:sz w:val="21"/>
          <w:szCs w:val="21"/>
          <w:u w:val="single"/>
        </w:rPr>
        <w:t>（标的名称）</w:t>
      </w:r>
      <w:r>
        <w:rPr>
          <w:rFonts w:hint="eastAsia" w:ascii="宋体" w:hAnsi="宋体"/>
          <w:b w:val="0"/>
          <w:bCs/>
          <w:color w:val="auto"/>
          <w:sz w:val="21"/>
          <w:szCs w:val="21"/>
        </w:rPr>
        <w:t>，属于</w:t>
      </w:r>
      <w:r>
        <w:rPr>
          <w:rFonts w:hint="eastAsia" w:ascii="宋体" w:hAnsi="宋体"/>
          <w:b w:val="0"/>
          <w:bCs/>
          <w:color w:val="auto"/>
          <w:sz w:val="21"/>
          <w:szCs w:val="21"/>
          <w:lang w:eastAsia="zh-CN"/>
        </w:rPr>
        <w:t>（</w:t>
      </w:r>
      <w:r>
        <w:rPr>
          <w:rFonts w:hint="eastAsia" w:ascii="宋体" w:hAnsi="宋体"/>
          <w:b w:val="0"/>
          <w:bCs/>
          <w:color w:val="auto"/>
          <w:sz w:val="21"/>
          <w:szCs w:val="21"/>
          <w:u w:val="single"/>
        </w:rPr>
        <w:t>采购文件中明确的所属行业</w:t>
      </w:r>
      <w:r>
        <w:rPr>
          <w:rFonts w:hint="eastAsia" w:ascii="宋体" w:hAnsi="宋体"/>
          <w:b w:val="0"/>
          <w:bCs/>
          <w:color w:val="auto"/>
          <w:sz w:val="21"/>
          <w:szCs w:val="21"/>
          <w:lang w:eastAsia="zh-CN"/>
        </w:rPr>
        <w:t>）行业，</w:t>
      </w:r>
      <w:r>
        <w:rPr>
          <w:rFonts w:hint="eastAsia" w:ascii="宋体" w:hAnsi="宋体"/>
          <w:b w:val="0"/>
          <w:bCs/>
          <w:color w:val="auto"/>
          <w:sz w:val="21"/>
          <w:szCs w:val="21"/>
        </w:rPr>
        <w:t>从业人员</w:t>
      </w:r>
      <w:r>
        <w:rPr>
          <w:rFonts w:hint="eastAsia" w:ascii="宋体" w:hAnsi="宋体"/>
          <w:b w:val="0"/>
          <w:bCs/>
          <w:color w:val="auto"/>
          <w:sz w:val="21"/>
          <w:szCs w:val="21"/>
          <w:u w:val="single"/>
        </w:rPr>
        <w:t xml:space="preserve">    </w:t>
      </w:r>
      <w:r>
        <w:rPr>
          <w:rFonts w:hint="eastAsia" w:ascii="宋体" w:hAnsi="宋体"/>
          <w:b w:val="0"/>
          <w:bCs/>
          <w:color w:val="auto"/>
          <w:sz w:val="21"/>
          <w:szCs w:val="21"/>
        </w:rPr>
        <w:t>人，营业收入为</w:t>
      </w:r>
      <w:r>
        <w:rPr>
          <w:rFonts w:hint="eastAsia" w:ascii="宋体" w:hAnsi="宋体"/>
          <w:b w:val="0"/>
          <w:bCs/>
          <w:color w:val="auto"/>
          <w:sz w:val="21"/>
          <w:szCs w:val="21"/>
          <w:u w:val="single"/>
        </w:rPr>
        <w:t xml:space="preserve">       </w:t>
      </w:r>
      <w:r>
        <w:rPr>
          <w:rFonts w:hint="eastAsia" w:ascii="宋体" w:hAnsi="宋体"/>
          <w:b w:val="0"/>
          <w:bCs/>
          <w:color w:val="auto"/>
          <w:sz w:val="21"/>
          <w:szCs w:val="21"/>
        </w:rPr>
        <w:t>万元，资产总额为</w:t>
      </w:r>
      <w:r>
        <w:rPr>
          <w:rFonts w:hint="eastAsia" w:ascii="宋体" w:hAnsi="宋体"/>
          <w:b w:val="0"/>
          <w:bCs/>
          <w:color w:val="auto"/>
          <w:sz w:val="21"/>
          <w:szCs w:val="21"/>
          <w:u w:val="single"/>
        </w:rPr>
        <w:t xml:space="preserve">       </w:t>
      </w:r>
      <w:r>
        <w:rPr>
          <w:rFonts w:hint="eastAsia" w:ascii="宋体" w:hAnsi="宋体"/>
          <w:b w:val="0"/>
          <w:bCs/>
          <w:color w:val="auto"/>
          <w:sz w:val="21"/>
          <w:szCs w:val="21"/>
        </w:rPr>
        <w:t>万元，属于</w:t>
      </w:r>
      <w:r>
        <w:rPr>
          <w:rFonts w:hint="eastAsia" w:ascii="宋体" w:hAnsi="宋体"/>
          <w:b w:val="0"/>
          <w:bCs/>
          <w:color w:val="auto"/>
          <w:sz w:val="21"/>
          <w:szCs w:val="21"/>
          <w:u w:val="single"/>
        </w:rPr>
        <w:t>（中型企业、小型企业、微型企业）</w:t>
      </w:r>
      <w:r>
        <w:rPr>
          <w:rFonts w:hint="eastAsia" w:ascii="宋体" w:hAnsi="宋体"/>
          <w:b w:val="0"/>
          <w:bCs/>
          <w:color w:val="auto"/>
          <w:sz w:val="21"/>
          <w:szCs w:val="21"/>
        </w:rPr>
        <w:t>。</w:t>
      </w:r>
    </w:p>
    <w:p w14:paraId="32A57B32">
      <w:pPr>
        <w:widowControl/>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w:t>
      </w:r>
    </w:p>
    <w:p w14:paraId="29A7379F">
      <w:pPr>
        <w:widowControl/>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以上企业，不属于大企业的分支机构，不存在控股股东为大企业的情形，也不存在与大企业的负责人为同一人的情形。</w:t>
      </w:r>
    </w:p>
    <w:p w14:paraId="02D9EA4F">
      <w:pPr>
        <w:widowControl/>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本企业对上述声明内容的真实性负责。如有虚假，将依法承担相应责任。</w:t>
      </w:r>
    </w:p>
    <w:p w14:paraId="59FC184B">
      <w:pPr>
        <w:widowControl/>
        <w:spacing w:line="480" w:lineRule="auto"/>
        <w:ind w:firstLine="1265" w:firstLineChars="600"/>
        <w:rPr>
          <w:rFonts w:ascii="宋体" w:hAnsi="宋体"/>
          <w:color w:val="auto"/>
          <w:sz w:val="21"/>
          <w:szCs w:val="21"/>
        </w:rPr>
      </w:pPr>
    </w:p>
    <w:p w14:paraId="7B6B68A7">
      <w:pPr>
        <w:widowControl/>
        <w:spacing w:line="480" w:lineRule="auto"/>
        <w:ind w:firstLine="1265" w:firstLineChars="600"/>
        <w:rPr>
          <w:rFonts w:ascii="宋体" w:hAnsi="宋体"/>
          <w:color w:val="auto"/>
          <w:sz w:val="21"/>
          <w:szCs w:val="21"/>
        </w:rPr>
      </w:pPr>
    </w:p>
    <w:p w14:paraId="0544F4D5">
      <w:pPr>
        <w:widowControl/>
        <w:spacing w:line="480" w:lineRule="auto"/>
        <w:ind w:firstLine="1265" w:firstLineChars="600"/>
        <w:rPr>
          <w:rFonts w:ascii="宋体" w:hAnsi="宋体"/>
          <w:color w:val="auto"/>
          <w:sz w:val="21"/>
          <w:szCs w:val="21"/>
        </w:rPr>
      </w:pPr>
    </w:p>
    <w:p w14:paraId="61BB8F67">
      <w:pPr>
        <w:widowControl/>
        <w:spacing w:line="480" w:lineRule="auto"/>
        <w:rPr>
          <w:rFonts w:ascii="宋体" w:hAnsi="宋体"/>
          <w:color w:val="auto"/>
          <w:sz w:val="21"/>
          <w:szCs w:val="21"/>
        </w:rPr>
      </w:pPr>
      <w:r>
        <w:rPr>
          <w:rFonts w:hint="eastAsia" w:ascii="宋体" w:hAnsi="宋体"/>
          <w:color w:val="auto"/>
          <w:sz w:val="21"/>
          <w:szCs w:val="21"/>
        </w:rPr>
        <w:t>投标人（加盖公章）：</w:t>
      </w:r>
    </w:p>
    <w:p w14:paraId="79E82C60">
      <w:pPr>
        <w:widowControl/>
        <w:spacing w:line="480" w:lineRule="auto"/>
        <w:rPr>
          <w:rFonts w:ascii="宋体" w:hAnsi="宋体"/>
          <w:color w:val="auto"/>
          <w:sz w:val="21"/>
          <w:szCs w:val="21"/>
        </w:rPr>
      </w:pPr>
      <w:r>
        <w:rPr>
          <w:rFonts w:hint="eastAsia" w:ascii="宋体" w:hAnsi="宋体"/>
          <w:color w:val="auto"/>
          <w:sz w:val="21"/>
          <w:szCs w:val="21"/>
        </w:rPr>
        <w:t>日  期：</w:t>
      </w:r>
    </w:p>
    <w:p w14:paraId="3256BC50">
      <w:pPr>
        <w:widowControl/>
        <w:spacing w:line="480" w:lineRule="auto"/>
        <w:rPr>
          <w:rFonts w:ascii="宋体" w:hAnsi="宋体"/>
          <w:color w:val="auto"/>
          <w:sz w:val="21"/>
          <w:szCs w:val="21"/>
        </w:rPr>
      </w:pPr>
      <w:r>
        <w:rPr>
          <w:rFonts w:hint="eastAsia" w:ascii="宋体" w:hAnsi="宋体"/>
          <w:color w:val="auto"/>
          <w:sz w:val="21"/>
          <w:szCs w:val="21"/>
        </w:rPr>
        <w:t xml:space="preserve">                       </w:t>
      </w:r>
    </w:p>
    <w:p w14:paraId="6E099FF1">
      <w:pPr>
        <w:pStyle w:val="34"/>
        <w:ind w:left="0" w:leftChars="0" w:firstLine="0" w:firstLineChars="0"/>
        <w:rPr>
          <w:rFonts w:ascii="宋体" w:hAnsi="宋体" w:cs="宋体"/>
          <w:color w:val="auto"/>
          <w:szCs w:val="21"/>
        </w:rPr>
      </w:pPr>
    </w:p>
    <w:p w14:paraId="4A400515">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b w:val="0"/>
          <w:color w:val="auto"/>
          <w:sz w:val="21"/>
          <w:szCs w:val="21"/>
        </w:rPr>
      </w:pPr>
      <w:r>
        <w:rPr>
          <w:rFonts w:hint="eastAsia" w:ascii="宋体" w:hAnsi="宋体"/>
          <w:b w:val="0"/>
          <w:color w:val="auto"/>
          <w:sz w:val="21"/>
          <w:szCs w:val="21"/>
        </w:rPr>
        <w:t>注：1.从业人员、营业收入、资产总额填报上一年度数据，无上一年度数据的新成立企业可不填报。</w:t>
      </w:r>
    </w:p>
    <w:bookmarkEnd w:id="466"/>
    <w:p w14:paraId="1C43AD4A">
      <w:pPr>
        <w:keepNext w:val="0"/>
        <w:keepLines w:val="0"/>
        <w:pageBreakBefore w:val="0"/>
        <w:widowControl/>
        <w:kinsoku/>
        <w:wordWrap/>
        <w:overflowPunct/>
        <w:topLinePunct w:val="0"/>
        <w:autoSpaceDE/>
        <w:autoSpaceDN/>
        <w:bidi w:val="0"/>
        <w:adjustRightInd/>
        <w:snapToGrid/>
        <w:spacing w:line="360" w:lineRule="auto"/>
        <w:ind w:firstLine="409" w:firstLineChars="195"/>
        <w:textAlignment w:val="auto"/>
        <w:rPr>
          <w:rFonts w:ascii="宋体" w:hAnsi="宋体"/>
          <w:b w:val="0"/>
          <w:color w:val="auto"/>
          <w:sz w:val="21"/>
          <w:szCs w:val="21"/>
        </w:rPr>
      </w:pPr>
      <w:r>
        <w:rPr>
          <w:rFonts w:hint="eastAsia" w:ascii="宋体" w:hAnsi="宋体"/>
          <w:b w:val="0"/>
          <w:color w:val="auto"/>
          <w:sz w:val="21"/>
          <w:szCs w:val="21"/>
        </w:rPr>
        <w:t>2.不享受中小企业优先采购政策的投标人不需填写《中小企业声明函》。对于提供《中小企业声明函》但经查实不符合中小企业条件的投标人，将追究其虚假投标的法律责任。</w:t>
      </w:r>
    </w:p>
    <w:p w14:paraId="0CB5C0B9">
      <w:pPr>
        <w:keepNext w:val="0"/>
        <w:keepLines w:val="0"/>
        <w:pageBreakBefore w:val="0"/>
        <w:widowControl/>
        <w:kinsoku/>
        <w:wordWrap/>
        <w:overflowPunct/>
        <w:topLinePunct w:val="0"/>
        <w:autoSpaceDE/>
        <w:autoSpaceDN/>
        <w:bidi w:val="0"/>
        <w:adjustRightInd/>
        <w:snapToGrid/>
        <w:spacing w:line="360" w:lineRule="auto"/>
        <w:ind w:firstLine="409" w:firstLineChars="195"/>
        <w:textAlignment w:val="auto"/>
        <w:rPr>
          <w:rFonts w:hint="eastAsia" w:ascii="宋体" w:hAnsi="宋体" w:eastAsia="宋体" w:cs="宋体"/>
          <w:b w:val="0"/>
          <w:color w:val="auto"/>
          <w:sz w:val="21"/>
          <w:szCs w:val="21"/>
        </w:rPr>
      </w:pPr>
      <w:r>
        <w:rPr>
          <w:rFonts w:hint="eastAsia" w:ascii="宋体" w:hAnsi="宋体"/>
          <w:b w:val="0"/>
          <w:color w:val="auto"/>
          <w:sz w:val="21"/>
          <w:szCs w:val="21"/>
        </w:rPr>
        <w:t>3.投标人须核对《关于印发中小企业划型标准规定的通知》（工信部联企业〔2011〕300号）规定的中小企业划型标准，如实填写声明函。所声明的从业人员人数或营业收入金额不符合中小企业划型标准规定或未按招标文件明确的所属行业填写的，评标委员会将不予进行价格扣除。根据政府采购主管部门关于政</w:t>
      </w:r>
      <w:r>
        <w:rPr>
          <w:rFonts w:hint="eastAsia" w:ascii="宋体" w:hAnsi="宋体" w:eastAsia="宋体" w:cs="宋体"/>
          <w:b w:val="0"/>
          <w:color w:val="auto"/>
          <w:sz w:val="21"/>
          <w:szCs w:val="21"/>
        </w:rPr>
        <w:t>府采购信息公示的相关要求，如中标单位为小型（或微型）企业，其投标文件中所提供的小微企业声明函（证明材料）和中标、成交公告同时一并公示，请各投标单位如实提供及填写。</w:t>
      </w:r>
    </w:p>
    <w:p w14:paraId="7C2DFF2C">
      <w:pPr>
        <w:keepNext w:val="0"/>
        <w:keepLines w:val="0"/>
        <w:pageBreakBefore w:val="0"/>
        <w:widowControl/>
        <w:kinsoku/>
        <w:wordWrap/>
        <w:overflowPunct/>
        <w:topLinePunct w:val="0"/>
        <w:autoSpaceDE/>
        <w:autoSpaceDN/>
        <w:bidi w:val="0"/>
        <w:adjustRightInd/>
        <w:snapToGrid/>
        <w:spacing w:line="360" w:lineRule="auto"/>
        <w:ind w:firstLine="409" w:firstLineChars="195"/>
        <w:textAlignment w:val="auto"/>
        <w:rPr>
          <w:rFonts w:hint="eastAsia" w:ascii="宋体" w:hAnsi="宋体" w:eastAsia="宋体" w:cs="宋体"/>
          <w:b w:val="0"/>
          <w:color w:val="auto"/>
          <w:sz w:val="21"/>
          <w:szCs w:val="21"/>
        </w:rPr>
      </w:pPr>
      <w:r>
        <w:rPr>
          <w:rFonts w:hint="eastAsia" w:ascii="宋体" w:hAnsi="宋体" w:eastAsia="宋体" w:cs="宋体"/>
          <w:b w:val="0"/>
          <w:color w:val="auto"/>
          <w:sz w:val="21"/>
          <w:szCs w:val="21"/>
          <w:lang w:val="en-US" w:eastAsia="zh-CN"/>
        </w:rPr>
        <w:t>4.</w:t>
      </w:r>
      <w:r>
        <w:rPr>
          <w:rFonts w:hint="eastAsia" w:ascii="宋体" w:hAnsi="宋体" w:eastAsia="宋体" w:cs="宋体"/>
          <w:b w:val="0"/>
          <w:color w:val="auto"/>
          <w:sz w:val="21"/>
          <w:szCs w:val="21"/>
        </w:rPr>
        <w:t>所属行业应为《中小企业划型标准规定》中的工业</w:t>
      </w:r>
    </w:p>
    <w:p w14:paraId="3D3EB1D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bCs/>
          <w:color w:val="auto"/>
          <w:sz w:val="32"/>
          <w:szCs w:val="32"/>
        </w:rPr>
      </w:pPr>
    </w:p>
    <w:p w14:paraId="5FF63805">
      <w:pPr>
        <w:widowControl/>
        <w:jc w:val="left"/>
        <w:rPr>
          <w:rFonts w:ascii="宋体" w:hAnsi="宋体"/>
          <w:bCs/>
          <w:color w:val="auto"/>
          <w:sz w:val="32"/>
          <w:szCs w:val="32"/>
        </w:rPr>
      </w:pPr>
      <w:r>
        <w:rPr>
          <w:rFonts w:hint="eastAsia" w:ascii="宋体" w:hAnsi="宋体"/>
          <w:bCs/>
          <w:color w:val="auto"/>
          <w:sz w:val="32"/>
          <w:szCs w:val="32"/>
        </w:rPr>
        <w:t>格式</w:t>
      </w:r>
      <w:r>
        <w:rPr>
          <w:rFonts w:hint="eastAsia" w:ascii="宋体" w:hAnsi="宋体"/>
          <w:bCs/>
          <w:color w:val="auto"/>
          <w:sz w:val="32"/>
          <w:szCs w:val="32"/>
          <w:lang w:val="en-US" w:eastAsia="zh-CN"/>
        </w:rPr>
        <w:t>9</w:t>
      </w:r>
      <w:r>
        <w:rPr>
          <w:rFonts w:hint="eastAsia" w:ascii="宋体" w:hAnsi="宋体"/>
          <w:bCs/>
          <w:color w:val="auto"/>
          <w:sz w:val="32"/>
          <w:szCs w:val="32"/>
        </w:rPr>
        <w:t>：</w:t>
      </w:r>
    </w:p>
    <w:p w14:paraId="022D58F3">
      <w:pPr>
        <w:pStyle w:val="3"/>
        <w:spacing w:after="240" w:afterLines="100"/>
        <w:jc w:val="center"/>
        <w:rPr>
          <w:rFonts w:hint="eastAsia" w:ascii="宋体" w:hAnsi="宋体" w:cs="宋体"/>
          <w:color w:val="auto"/>
        </w:rPr>
      </w:pPr>
      <w:bookmarkStart w:id="467" w:name="_Toc9736"/>
      <w:r>
        <w:rPr>
          <w:rFonts w:hint="eastAsia" w:ascii="宋体" w:hAnsi="宋体" w:cs="宋体"/>
          <w:color w:val="auto"/>
        </w:rPr>
        <w:t>《残疾人福利性单位声明函》</w:t>
      </w:r>
      <w:bookmarkEnd w:id="467"/>
    </w:p>
    <w:p w14:paraId="24B3EABB">
      <w:pPr>
        <w:widowControl/>
        <w:spacing w:line="360" w:lineRule="auto"/>
        <w:ind w:firstLine="480" w:firstLineChars="200"/>
        <w:jc w:val="center"/>
        <w:rPr>
          <w:rFonts w:hint="eastAsia" w:ascii="宋体" w:hAnsi="宋体" w:eastAsia="宋体" w:cs="宋体"/>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（不符合条件的不得填写）</w:t>
      </w:r>
    </w:p>
    <w:p w14:paraId="173849B7">
      <w:pPr>
        <w:spacing w:line="588" w:lineRule="exact"/>
        <w:ind w:firstLine="444" w:firstLineChars="200"/>
        <w:rPr>
          <w:rFonts w:ascii="宋体" w:hAnsi="宋体"/>
          <w:b w:val="0"/>
          <w:bCs/>
          <w:color w:val="auto"/>
          <w:spacing w:val="6"/>
          <w:sz w:val="21"/>
          <w:szCs w:val="21"/>
        </w:rPr>
      </w:pPr>
      <w:r>
        <w:rPr>
          <w:rFonts w:hint="eastAsia" w:ascii="宋体" w:hAnsi="宋体"/>
          <w:b w:val="0"/>
          <w:bCs/>
          <w:color w:val="auto"/>
          <w:spacing w:val="6"/>
          <w:sz w:val="21"/>
          <w:szCs w:val="21"/>
        </w:rPr>
        <w:t>本单位郑重声明，根据《财政部 民政部 中国残疾人联合会关于促进残疾人就业政府采购政策的通知》（财库</w:t>
      </w:r>
      <w:r>
        <w:rPr>
          <w:rFonts w:hint="eastAsia" w:ascii="宋体" w:hAnsi="宋体"/>
          <w:b w:val="0"/>
          <w:bCs/>
          <w:color w:val="auto"/>
          <w:sz w:val="21"/>
          <w:szCs w:val="21"/>
        </w:rPr>
        <w:t>〔2017〕 141</w:t>
      </w:r>
      <w:r>
        <w:rPr>
          <w:rFonts w:hint="eastAsia" w:ascii="宋体" w:hAnsi="宋体"/>
          <w:b w:val="0"/>
          <w:bCs/>
          <w:color w:val="auto"/>
          <w:spacing w:val="6"/>
          <w:sz w:val="21"/>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C8E104">
      <w:pPr>
        <w:spacing w:line="588" w:lineRule="exact"/>
        <w:ind w:firstLine="444" w:firstLineChars="200"/>
        <w:rPr>
          <w:rFonts w:ascii="宋体" w:hAnsi="宋体"/>
          <w:color w:val="auto"/>
          <w:spacing w:val="6"/>
          <w:sz w:val="21"/>
          <w:szCs w:val="21"/>
        </w:rPr>
      </w:pPr>
      <w:r>
        <w:rPr>
          <w:rFonts w:hint="eastAsia" w:ascii="宋体" w:hAnsi="宋体"/>
          <w:b w:val="0"/>
          <w:bCs/>
          <w:color w:val="auto"/>
          <w:spacing w:val="6"/>
          <w:sz w:val="21"/>
          <w:szCs w:val="21"/>
        </w:rPr>
        <w:t>本单位对上述声明的真实性负责。如有虚假，将依法承担相应责任。</w:t>
      </w:r>
    </w:p>
    <w:p w14:paraId="68803F66">
      <w:pPr>
        <w:spacing w:line="588" w:lineRule="exact"/>
        <w:ind w:firstLine="446" w:firstLineChars="200"/>
        <w:rPr>
          <w:rFonts w:ascii="宋体" w:hAnsi="宋体"/>
          <w:color w:val="auto"/>
          <w:spacing w:val="6"/>
          <w:sz w:val="21"/>
          <w:szCs w:val="21"/>
        </w:rPr>
      </w:pPr>
    </w:p>
    <w:p w14:paraId="36A60230">
      <w:pPr>
        <w:spacing w:line="588" w:lineRule="exact"/>
        <w:ind w:firstLine="446" w:firstLineChars="200"/>
        <w:rPr>
          <w:rFonts w:ascii="宋体" w:hAnsi="宋体"/>
          <w:color w:val="auto"/>
          <w:spacing w:val="6"/>
          <w:sz w:val="21"/>
          <w:szCs w:val="21"/>
        </w:rPr>
      </w:pPr>
    </w:p>
    <w:p w14:paraId="5A465109">
      <w:pPr>
        <w:spacing w:line="360" w:lineRule="auto"/>
        <w:ind w:firstLine="2" w:firstLineChars="1"/>
        <w:rPr>
          <w:rFonts w:ascii="宋体" w:hAnsi="宋体"/>
          <w:color w:val="auto"/>
          <w:sz w:val="21"/>
          <w:szCs w:val="21"/>
        </w:rPr>
      </w:pPr>
      <w:r>
        <w:rPr>
          <w:rFonts w:hint="eastAsia" w:ascii="宋体" w:hAnsi="宋体"/>
          <w:color w:val="auto"/>
          <w:sz w:val="21"/>
          <w:szCs w:val="21"/>
        </w:rPr>
        <w:t>投标人(加盖公章)：</w:t>
      </w:r>
    </w:p>
    <w:p w14:paraId="5FCF43E4">
      <w:pPr>
        <w:spacing w:line="360" w:lineRule="auto"/>
        <w:ind w:firstLine="2" w:firstLineChars="1"/>
        <w:rPr>
          <w:rFonts w:ascii="宋体" w:hAnsi="宋体"/>
          <w:color w:val="auto"/>
          <w:sz w:val="21"/>
          <w:szCs w:val="21"/>
        </w:rPr>
      </w:pPr>
      <w:r>
        <w:rPr>
          <w:rFonts w:hint="eastAsia" w:ascii="宋体" w:hAnsi="宋体"/>
          <w:color w:val="auto"/>
          <w:sz w:val="21"/>
          <w:szCs w:val="21"/>
        </w:rPr>
        <w:t>法定代表人（签名或签章）：</w:t>
      </w:r>
    </w:p>
    <w:p w14:paraId="7F3CC51D">
      <w:pPr>
        <w:spacing w:line="360" w:lineRule="auto"/>
        <w:ind w:firstLine="2" w:firstLineChars="1"/>
        <w:rPr>
          <w:rFonts w:ascii="宋体" w:hAnsi="宋体"/>
          <w:color w:val="auto"/>
          <w:sz w:val="21"/>
          <w:szCs w:val="21"/>
        </w:rPr>
      </w:pPr>
      <w:r>
        <w:rPr>
          <w:rFonts w:hint="eastAsia" w:ascii="宋体" w:hAnsi="宋体"/>
          <w:color w:val="auto"/>
          <w:sz w:val="21"/>
          <w:szCs w:val="21"/>
        </w:rPr>
        <w:t>年月日</w:t>
      </w:r>
    </w:p>
    <w:p w14:paraId="7AB3A4F4">
      <w:pPr>
        <w:spacing w:line="432" w:lineRule="auto"/>
        <w:ind w:firstLine="422" w:firstLineChars="200"/>
        <w:rPr>
          <w:rFonts w:ascii="宋体" w:hAnsi="宋体"/>
          <w:color w:val="auto"/>
          <w:sz w:val="21"/>
          <w:szCs w:val="21"/>
        </w:rPr>
      </w:pPr>
      <w:r>
        <w:rPr>
          <w:rFonts w:hint="eastAsia" w:ascii="宋体" w:hAnsi="宋体"/>
          <w:color w:val="auto"/>
          <w:sz w:val="21"/>
          <w:szCs w:val="21"/>
        </w:rPr>
        <w:t>　　</w:t>
      </w:r>
    </w:p>
    <w:p w14:paraId="099F3ED8">
      <w:pPr>
        <w:rPr>
          <w:rFonts w:ascii="宋体" w:hAnsi="宋体"/>
          <w:b w:val="0"/>
          <w:color w:val="auto"/>
          <w:sz w:val="21"/>
          <w:szCs w:val="21"/>
        </w:rPr>
      </w:pPr>
    </w:p>
    <w:p w14:paraId="4EE1B02B">
      <w:pPr>
        <w:rPr>
          <w:rFonts w:ascii="宋体" w:hAnsi="宋体"/>
          <w:b w:val="0"/>
          <w:color w:val="auto"/>
          <w:sz w:val="21"/>
          <w:szCs w:val="21"/>
        </w:rPr>
      </w:pPr>
      <w:r>
        <w:rPr>
          <w:rFonts w:hint="eastAsia" w:ascii="宋体" w:hAnsi="宋体"/>
          <w:b w:val="0"/>
          <w:color w:val="auto"/>
          <w:sz w:val="21"/>
          <w:szCs w:val="21"/>
        </w:rPr>
        <w:t>　　</w:t>
      </w:r>
    </w:p>
    <w:p w14:paraId="46B4D72A">
      <w:pPr>
        <w:spacing w:line="360" w:lineRule="auto"/>
        <w:rPr>
          <w:rFonts w:ascii="宋体" w:hAnsi="宋体"/>
          <w:bCs/>
          <w:color w:val="auto"/>
          <w:sz w:val="21"/>
          <w:szCs w:val="21"/>
        </w:rPr>
      </w:pPr>
    </w:p>
    <w:p w14:paraId="71D918EF">
      <w:pPr>
        <w:spacing w:line="360" w:lineRule="auto"/>
        <w:rPr>
          <w:rFonts w:ascii="宋体" w:hAnsi="宋体"/>
          <w:b w:val="0"/>
          <w:color w:val="auto"/>
          <w:sz w:val="21"/>
          <w:szCs w:val="21"/>
        </w:rPr>
      </w:pPr>
      <w:r>
        <w:rPr>
          <w:rFonts w:hint="eastAsia" w:ascii="宋体" w:hAnsi="宋体"/>
          <w:b w:val="0"/>
          <w:bCs w:val="0"/>
          <w:color w:val="auto"/>
          <w:sz w:val="21"/>
          <w:szCs w:val="21"/>
        </w:rPr>
        <w:t>注：符合条件的残疾人福利性单位在参加政府采购活动时，应当</w:t>
      </w:r>
      <w:r>
        <w:rPr>
          <w:rFonts w:hint="eastAsia" w:ascii="宋体" w:hAnsi="宋体"/>
          <w:b w:val="0"/>
          <w:bCs w:val="0"/>
          <w:color w:val="auto"/>
          <w:sz w:val="21"/>
          <w:szCs w:val="21"/>
          <w:lang w:eastAsia="zh-CN"/>
        </w:rPr>
        <w:t>按（符合《三部门联合发布关于促进残疾人就业政府采购政策的通知》（财库〔2017〕141号）</w:t>
      </w:r>
      <w:r>
        <w:rPr>
          <w:rFonts w:hint="eastAsia" w:ascii="宋体" w:hAnsi="宋体"/>
          <w:b w:val="0"/>
          <w:bCs w:val="0"/>
          <w:color w:val="auto"/>
          <w:sz w:val="21"/>
          <w:szCs w:val="21"/>
        </w:rPr>
        <w:t>提供规定的《残疾人福利性单位声明函》，并对声明的真实性负责。</w:t>
      </w:r>
      <w:r>
        <w:rPr>
          <w:rFonts w:hint="eastAsia" w:ascii="宋体" w:hAnsi="宋体"/>
          <w:b w:val="0"/>
          <w:bCs w:val="0"/>
          <w:color w:val="auto"/>
          <w:sz w:val="21"/>
          <w:szCs w:val="21"/>
          <w:lang w:eastAsia="zh-CN"/>
        </w:rPr>
        <w:t>招标代理</w:t>
      </w:r>
      <w:r>
        <w:rPr>
          <w:rFonts w:hint="eastAsia" w:ascii="宋体" w:hAnsi="宋体"/>
          <w:b w:val="0"/>
          <w:bCs w:val="0"/>
          <w:color w:val="auto"/>
          <w:sz w:val="21"/>
          <w:szCs w:val="21"/>
        </w:rPr>
        <w:t>机构在随中标、成交结果同时公告其《残疾人福利性单位声明函》，接受社会监督。投标人提供的《残疾人福利性单位声明函》与事实不符的，依照《政府采购法》第七十七条第一款的规定追究法律责任。</w:t>
      </w:r>
      <w:r>
        <w:rPr>
          <w:rFonts w:hint="eastAsia" w:ascii="宋体" w:hAnsi="宋体"/>
          <w:b w:val="0"/>
          <w:color w:val="auto"/>
          <w:sz w:val="21"/>
          <w:szCs w:val="21"/>
        </w:rPr>
        <w:br w:type="page"/>
      </w:r>
    </w:p>
    <w:p w14:paraId="1C64A5E9">
      <w:pPr>
        <w:tabs>
          <w:tab w:val="left" w:pos="5580"/>
        </w:tabs>
        <w:spacing w:line="240" w:lineRule="atLeast"/>
        <w:rPr>
          <w:rFonts w:ascii="宋体" w:hAnsi="宋体"/>
          <w:bCs/>
          <w:color w:val="auto"/>
          <w:sz w:val="32"/>
        </w:rPr>
      </w:pPr>
      <w:r>
        <w:rPr>
          <w:rFonts w:hint="eastAsia" w:ascii="宋体" w:hAnsi="宋体"/>
          <w:bCs/>
          <w:color w:val="auto"/>
          <w:sz w:val="32"/>
        </w:rPr>
        <w:t>格式</w:t>
      </w:r>
      <w:r>
        <w:rPr>
          <w:rFonts w:hint="eastAsia" w:ascii="宋体" w:hAnsi="宋体"/>
          <w:bCs/>
          <w:color w:val="auto"/>
          <w:sz w:val="32"/>
          <w:lang w:val="en-US" w:eastAsia="zh-CN"/>
        </w:rPr>
        <w:t>10</w:t>
      </w:r>
      <w:r>
        <w:rPr>
          <w:rFonts w:hint="eastAsia" w:ascii="宋体" w:hAnsi="宋体"/>
          <w:bCs/>
          <w:color w:val="auto"/>
          <w:sz w:val="32"/>
        </w:rPr>
        <w:t>：</w:t>
      </w:r>
    </w:p>
    <w:p w14:paraId="6CE01D29">
      <w:pPr>
        <w:pStyle w:val="3"/>
        <w:spacing w:after="240" w:afterLines="100"/>
        <w:jc w:val="center"/>
        <w:rPr>
          <w:rFonts w:hint="eastAsia" w:ascii="宋体" w:hAnsi="宋体" w:cs="宋体"/>
          <w:color w:val="auto"/>
        </w:rPr>
      </w:pPr>
      <w:bookmarkStart w:id="468" w:name="_Toc460"/>
      <w:r>
        <w:rPr>
          <w:rFonts w:hint="eastAsia" w:ascii="宋体" w:hAnsi="宋体" w:cs="宋体"/>
          <w:color w:val="auto"/>
        </w:rPr>
        <w:t>《监狱企业证明文件》</w:t>
      </w:r>
      <w:bookmarkEnd w:id="468"/>
    </w:p>
    <w:p w14:paraId="4F821319">
      <w:pPr>
        <w:widowControl/>
        <w:spacing w:line="360" w:lineRule="auto"/>
        <w:ind w:firstLine="480" w:firstLineChars="200"/>
        <w:jc w:val="center"/>
        <w:rPr>
          <w:rFonts w:hint="eastAsia" w:ascii="宋体" w:hAnsi="宋体" w:eastAsia="宋体" w:cs="宋体"/>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（不符合条件的不得填写）</w:t>
      </w:r>
    </w:p>
    <w:p w14:paraId="7FDEB2FA">
      <w:pPr>
        <w:spacing w:line="588" w:lineRule="exact"/>
        <w:ind w:firstLine="444" w:firstLineChars="200"/>
        <w:rPr>
          <w:rFonts w:ascii="宋体" w:hAnsi="宋体"/>
          <w:b w:val="0"/>
          <w:bCs/>
          <w:color w:val="auto"/>
          <w:spacing w:val="6"/>
          <w:sz w:val="21"/>
          <w:szCs w:val="21"/>
        </w:rPr>
      </w:pPr>
      <w:r>
        <w:rPr>
          <w:rFonts w:hint="eastAsia" w:ascii="宋体" w:hAnsi="宋体"/>
          <w:b w:val="0"/>
          <w:bCs/>
          <w:color w:val="auto"/>
          <w:spacing w:val="6"/>
          <w:sz w:val="21"/>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78CC080">
      <w:pPr>
        <w:spacing w:line="588" w:lineRule="exact"/>
        <w:ind w:firstLine="444" w:firstLineChars="200"/>
        <w:rPr>
          <w:rFonts w:ascii="宋体" w:hAnsi="宋体"/>
          <w:b w:val="0"/>
          <w:bCs/>
          <w:color w:val="auto"/>
          <w:spacing w:val="6"/>
          <w:sz w:val="21"/>
          <w:szCs w:val="21"/>
        </w:rPr>
      </w:pPr>
      <w:r>
        <w:rPr>
          <w:rFonts w:hint="eastAsia" w:ascii="宋体" w:hAnsi="宋体"/>
          <w:b w:val="0"/>
          <w:bCs/>
          <w:color w:val="auto"/>
          <w:spacing w:val="6"/>
          <w:sz w:val="21"/>
          <w:szCs w:val="21"/>
        </w:rPr>
        <w:t>监狱企业参加政府采购活动时，应当提供由省级以上监狱管理局、戒毒管理局（含新疆生产建设兵团）出具的属于监狱企业的证明文件。</w:t>
      </w:r>
    </w:p>
    <w:p w14:paraId="4C107D97">
      <w:pPr>
        <w:widowControl/>
        <w:jc w:val="left"/>
        <w:rPr>
          <w:rFonts w:ascii="宋体" w:hAnsi="宋体"/>
          <w:b w:val="0"/>
          <w:color w:val="auto"/>
          <w:sz w:val="21"/>
          <w:szCs w:val="21"/>
        </w:rPr>
      </w:pPr>
    </w:p>
    <w:p w14:paraId="327B87E8">
      <w:pPr>
        <w:spacing w:line="588" w:lineRule="exact"/>
        <w:ind w:firstLine="446" w:firstLineChars="200"/>
        <w:rPr>
          <w:rFonts w:ascii="宋体" w:hAnsi="宋体"/>
          <w:color w:val="auto"/>
          <w:spacing w:val="6"/>
          <w:sz w:val="21"/>
          <w:szCs w:val="21"/>
        </w:rPr>
      </w:pPr>
    </w:p>
    <w:p w14:paraId="31DB6C1F">
      <w:pPr>
        <w:spacing w:line="360" w:lineRule="auto"/>
        <w:ind w:firstLine="2" w:firstLineChars="1"/>
        <w:rPr>
          <w:rFonts w:ascii="宋体" w:hAnsi="宋体"/>
          <w:color w:val="auto"/>
          <w:sz w:val="21"/>
          <w:szCs w:val="21"/>
        </w:rPr>
      </w:pPr>
      <w:r>
        <w:rPr>
          <w:rFonts w:hint="eastAsia" w:ascii="宋体" w:hAnsi="宋体"/>
          <w:color w:val="auto"/>
          <w:sz w:val="21"/>
          <w:szCs w:val="21"/>
        </w:rPr>
        <w:t>投标人(加盖公章)：</w:t>
      </w:r>
    </w:p>
    <w:p w14:paraId="1718E4BD">
      <w:pPr>
        <w:spacing w:line="360" w:lineRule="auto"/>
        <w:ind w:firstLine="2" w:firstLineChars="1"/>
        <w:rPr>
          <w:rFonts w:ascii="宋体" w:hAnsi="宋体"/>
          <w:color w:val="auto"/>
          <w:sz w:val="21"/>
          <w:szCs w:val="21"/>
        </w:rPr>
      </w:pPr>
      <w:r>
        <w:rPr>
          <w:rFonts w:hint="eastAsia" w:ascii="宋体" w:hAnsi="宋体"/>
          <w:color w:val="auto"/>
          <w:sz w:val="21"/>
          <w:szCs w:val="21"/>
        </w:rPr>
        <w:t>法定代表人（签名或签章）：</w:t>
      </w:r>
    </w:p>
    <w:p w14:paraId="0B9F2C71">
      <w:pPr>
        <w:spacing w:line="360" w:lineRule="auto"/>
        <w:ind w:firstLine="2" w:firstLineChars="1"/>
        <w:rPr>
          <w:rFonts w:ascii="宋体" w:hAnsi="宋体"/>
          <w:color w:val="auto"/>
          <w:sz w:val="21"/>
          <w:szCs w:val="21"/>
        </w:rPr>
      </w:pPr>
      <w:r>
        <w:rPr>
          <w:rFonts w:hint="eastAsia" w:ascii="宋体" w:hAnsi="宋体"/>
          <w:color w:val="auto"/>
          <w:sz w:val="21"/>
          <w:szCs w:val="21"/>
        </w:rPr>
        <w:t>年月日</w:t>
      </w:r>
    </w:p>
    <w:p w14:paraId="69ED4E3B">
      <w:pPr>
        <w:rPr>
          <w:rFonts w:ascii="宋体" w:hAnsi="宋体"/>
          <w:b w:val="0"/>
          <w:color w:val="auto"/>
          <w:sz w:val="21"/>
          <w:szCs w:val="21"/>
        </w:rPr>
      </w:pPr>
    </w:p>
    <w:p w14:paraId="7D490059">
      <w:pPr>
        <w:pStyle w:val="34"/>
        <w:ind w:left="482"/>
        <w:rPr>
          <w:rFonts w:ascii="宋体" w:hAnsi="宋体"/>
          <w:color w:val="auto"/>
          <w:szCs w:val="21"/>
        </w:rPr>
      </w:pPr>
    </w:p>
    <w:p w14:paraId="765880AF">
      <w:pPr>
        <w:pStyle w:val="34"/>
        <w:ind w:left="482"/>
        <w:rPr>
          <w:rFonts w:hint="eastAsia" w:ascii="宋体" w:hAnsi="宋体" w:eastAsia="宋体" w:cs="宋体"/>
          <w:b w:val="0"/>
          <w:bCs w:val="0"/>
          <w:color w:val="auto"/>
          <w:kern w:val="2"/>
          <w:sz w:val="21"/>
          <w:szCs w:val="21"/>
          <w:lang w:val="en-US" w:eastAsia="zh-CN" w:bidi="ar-SA"/>
        </w:rPr>
      </w:pPr>
    </w:p>
    <w:p w14:paraId="514171D8">
      <w:pPr>
        <w:widowControl/>
        <w:spacing w:line="360" w:lineRule="auto"/>
        <w:jc w:val="left"/>
        <w:sectPr>
          <w:pgSz w:w="11906" w:h="16838"/>
          <w:pgMar w:top="1440" w:right="1080" w:bottom="1440" w:left="1080" w:header="720" w:footer="720" w:gutter="0"/>
          <w:cols w:space="708" w:num="1"/>
        </w:sectPr>
      </w:pPr>
      <w:r>
        <w:rPr>
          <w:rFonts w:hint="eastAsia" w:ascii="宋体" w:hAnsi="宋体" w:eastAsia="宋体" w:cs="宋体"/>
          <w:b w:val="0"/>
          <w:bCs w:val="0"/>
          <w:color w:val="auto"/>
          <w:kern w:val="2"/>
          <w:sz w:val="21"/>
          <w:szCs w:val="21"/>
          <w:lang w:val="en-US" w:eastAsia="zh-CN" w:bidi="ar-SA"/>
        </w:rPr>
        <w:t>注：符合条件的监狱企业在参加政府采购活动时，应当按《财政部 司法部关于政府采购支持监狱企业发展有关问题的通知》（财库[2014]68号）提供规定的《监狱企业证明文件》。</w:t>
      </w:r>
    </w:p>
    <w:p w14:paraId="390786CA">
      <w:pPr>
        <w:pStyle w:val="3"/>
        <w:jc w:val="left"/>
        <w:rPr>
          <w:rFonts w:ascii="宋体" w:hAnsi="宋体" w:cs="宋体"/>
          <w:color w:val="auto"/>
        </w:rPr>
      </w:pPr>
      <w:bookmarkStart w:id="469" w:name="_Toc173645778"/>
      <w:bookmarkStart w:id="470" w:name="_Toc648"/>
      <w:bookmarkStart w:id="471" w:name="_Toc409426545"/>
      <w:bookmarkStart w:id="472" w:name="_Toc24704"/>
      <w:r>
        <w:rPr>
          <w:rFonts w:hint="eastAsia" w:ascii="宋体" w:hAnsi="宋体" w:cs="宋体"/>
          <w:bCs/>
          <w:color w:val="auto"/>
          <w:spacing w:val="0"/>
          <w:sz w:val="28"/>
          <w:szCs w:val="28"/>
        </w:rPr>
        <w:t>格式</w:t>
      </w:r>
      <w:r>
        <w:rPr>
          <w:rFonts w:hint="eastAsia" w:ascii="宋体" w:hAnsi="宋体" w:cs="宋体"/>
          <w:bCs/>
          <w:color w:val="auto"/>
          <w:spacing w:val="0"/>
          <w:sz w:val="28"/>
          <w:szCs w:val="28"/>
          <w:lang w:val="en-US" w:eastAsia="zh-CN"/>
        </w:rPr>
        <w:t>11</w:t>
      </w:r>
      <w:r>
        <w:rPr>
          <w:rFonts w:hint="eastAsia" w:ascii="宋体" w:hAnsi="宋体" w:cs="宋体"/>
          <w:bCs/>
          <w:color w:val="auto"/>
          <w:spacing w:val="0"/>
          <w:sz w:val="28"/>
          <w:szCs w:val="28"/>
        </w:rPr>
        <w:t>：</w:t>
      </w:r>
      <w:r>
        <w:rPr>
          <w:rFonts w:hint="eastAsia" w:ascii="宋体" w:hAnsi="宋体" w:cs="宋体"/>
          <w:color w:val="auto"/>
        </w:rPr>
        <w:t xml:space="preserve">  </w:t>
      </w:r>
    </w:p>
    <w:p w14:paraId="6CE0703A">
      <w:pPr>
        <w:pStyle w:val="3"/>
        <w:jc w:val="center"/>
        <w:rPr>
          <w:rFonts w:ascii="宋体" w:hAnsi="宋体" w:cs="宋体"/>
          <w:color w:val="auto"/>
        </w:rPr>
      </w:pPr>
      <w:r>
        <w:rPr>
          <w:rFonts w:hint="eastAsia" w:ascii="宋体" w:hAnsi="宋体" w:cs="宋体"/>
          <w:color w:val="auto"/>
        </w:rPr>
        <w:t>投标</w:t>
      </w:r>
      <w:bookmarkEnd w:id="469"/>
      <w:r>
        <w:rPr>
          <w:rFonts w:hint="eastAsia" w:ascii="宋体" w:hAnsi="宋体" w:cs="宋体"/>
          <w:color w:val="auto"/>
        </w:rPr>
        <w:t>人基本情况表</w:t>
      </w:r>
      <w:bookmarkEnd w:id="470"/>
      <w:bookmarkEnd w:id="471"/>
      <w:bookmarkEnd w:id="472"/>
    </w:p>
    <w:tbl>
      <w:tblPr>
        <w:tblStyle w:val="35"/>
        <w:tblW w:w="91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60"/>
        <w:gridCol w:w="1903"/>
        <w:gridCol w:w="1584"/>
        <w:gridCol w:w="1806"/>
        <w:gridCol w:w="1926"/>
      </w:tblGrid>
      <w:tr w14:paraId="58F65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1960" w:type="dxa"/>
            <w:vAlign w:val="center"/>
          </w:tcPr>
          <w:p w14:paraId="0FB3E2D9">
            <w:pPr>
              <w:jc w:val="center"/>
              <w:rPr>
                <w:rFonts w:ascii="宋体" w:hAnsi="宋体"/>
                <w:b w:val="0"/>
                <w:bCs/>
                <w:color w:val="auto"/>
                <w:sz w:val="21"/>
                <w:szCs w:val="21"/>
              </w:rPr>
            </w:pPr>
            <w:r>
              <w:rPr>
                <w:rFonts w:hint="eastAsia" w:ascii="宋体" w:hAnsi="宋体"/>
                <w:b w:val="0"/>
                <w:bCs/>
                <w:color w:val="auto"/>
                <w:sz w:val="21"/>
                <w:szCs w:val="21"/>
              </w:rPr>
              <w:t>投标人名称</w:t>
            </w:r>
          </w:p>
        </w:tc>
        <w:tc>
          <w:tcPr>
            <w:tcW w:w="7219" w:type="dxa"/>
            <w:gridSpan w:val="4"/>
            <w:vAlign w:val="center"/>
          </w:tcPr>
          <w:p w14:paraId="19CAF453">
            <w:pPr>
              <w:jc w:val="center"/>
              <w:rPr>
                <w:rFonts w:ascii="宋体" w:hAnsi="宋体"/>
                <w:b w:val="0"/>
                <w:bCs/>
                <w:color w:val="auto"/>
                <w:sz w:val="21"/>
                <w:szCs w:val="21"/>
              </w:rPr>
            </w:pPr>
          </w:p>
        </w:tc>
      </w:tr>
      <w:tr w14:paraId="57C09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1960" w:type="dxa"/>
            <w:vAlign w:val="center"/>
          </w:tcPr>
          <w:p w14:paraId="1BF30583">
            <w:pPr>
              <w:jc w:val="center"/>
              <w:rPr>
                <w:rFonts w:ascii="宋体" w:hAnsi="宋体"/>
                <w:b w:val="0"/>
                <w:bCs/>
                <w:color w:val="auto"/>
                <w:sz w:val="21"/>
                <w:szCs w:val="21"/>
              </w:rPr>
            </w:pPr>
            <w:r>
              <w:rPr>
                <w:rFonts w:hint="eastAsia" w:ascii="宋体" w:hAnsi="宋体"/>
                <w:b w:val="0"/>
                <w:bCs/>
                <w:color w:val="auto"/>
                <w:sz w:val="21"/>
                <w:szCs w:val="21"/>
              </w:rPr>
              <w:t>注册地址</w:t>
            </w:r>
          </w:p>
        </w:tc>
        <w:tc>
          <w:tcPr>
            <w:tcW w:w="3487" w:type="dxa"/>
            <w:gridSpan w:val="2"/>
            <w:vAlign w:val="center"/>
          </w:tcPr>
          <w:p w14:paraId="779351EE">
            <w:pPr>
              <w:jc w:val="center"/>
              <w:rPr>
                <w:rFonts w:ascii="宋体" w:hAnsi="宋体"/>
                <w:b w:val="0"/>
                <w:bCs/>
                <w:color w:val="auto"/>
                <w:sz w:val="21"/>
                <w:szCs w:val="21"/>
              </w:rPr>
            </w:pPr>
          </w:p>
        </w:tc>
        <w:tc>
          <w:tcPr>
            <w:tcW w:w="1806" w:type="dxa"/>
            <w:vAlign w:val="center"/>
          </w:tcPr>
          <w:p w14:paraId="7D75687A">
            <w:pPr>
              <w:ind w:firstLine="105" w:firstLineChars="50"/>
              <w:jc w:val="center"/>
              <w:rPr>
                <w:rFonts w:ascii="宋体" w:hAnsi="宋体"/>
                <w:b w:val="0"/>
                <w:bCs/>
                <w:color w:val="auto"/>
                <w:sz w:val="21"/>
                <w:szCs w:val="21"/>
              </w:rPr>
            </w:pPr>
            <w:r>
              <w:rPr>
                <w:rFonts w:hint="eastAsia" w:ascii="宋体" w:hAnsi="宋体"/>
                <w:b w:val="0"/>
                <w:bCs/>
                <w:color w:val="auto"/>
                <w:sz w:val="21"/>
                <w:szCs w:val="21"/>
              </w:rPr>
              <w:t>邮政编码</w:t>
            </w:r>
          </w:p>
        </w:tc>
        <w:tc>
          <w:tcPr>
            <w:tcW w:w="1926" w:type="dxa"/>
            <w:vAlign w:val="center"/>
          </w:tcPr>
          <w:p w14:paraId="174E4B70">
            <w:pPr>
              <w:jc w:val="center"/>
              <w:rPr>
                <w:rFonts w:ascii="宋体" w:hAnsi="宋体"/>
                <w:b w:val="0"/>
                <w:bCs/>
                <w:color w:val="auto"/>
                <w:sz w:val="21"/>
                <w:szCs w:val="21"/>
              </w:rPr>
            </w:pPr>
          </w:p>
        </w:tc>
      </w:tr>
      <w:tr w14:paraId="3845B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1960" w:type="dxa"/>
            <w:vMerge w:val="restart"/>
            <w:vAlign w:val="center"/>
          </w:tcPr>
          <w:p w14:paraId="3A301DB3">
            <w:pPr>
              <w:jc w:val="center"/>
              <w:rPr>
                <w:rFonts w:ascii="宋体" w:hAnsi="宋体"/>
                <w:b w:val="0"/>
                <w:bCs/>
                <w:color w:val="auto"/>
                <w:sz w:val="21"/>
                <w:szCs w:val="21"/>
              </w:rPr>
            </w:pPr>
            <w:r>
              <w:rPr>
                <w:rFonts w:hint="eastAsia" w:ascii="宋体" w:hAnsi="宋体"/>
                <w:b w:val="0"/>
                <w:bCs/>
                <w:color w:val="auto"/>
                <w:sz w:val="21"/>
                <w:szCs w:val="21"/>
              </w:rPr>
              <w:t>联系方式</w:t>
            </w:r>
          </w:p>
        </w:tc>
        <w:tc>
          <w:tcPr>
            <w:tcW w:w="1903" w:type="dxa"/>
            <w:vAlign w:val="center"/>
          </w:tcPr>
          <w:p w14:paraId="664BFA57">
            <w:pPr>
              <w:ind w:firstLine="210" w:firstLineChars="100"/>
              <w:jc w:val="center"/>
              <w:rPr>
                <w:rFonts w:ascii="宋体" w:hAnsi="宋体"/>
                <w:b w:val="0"/>
                <w:bCs/>
                <w:color w:val="auto"/>
                <w:sz w:val="21"/>
                <w:szCs w:val="21"/>
              </w:rPr>
            </w:pPr>
            <w:r>
              <w:rPr>
                <w:rFonts w:hint="eastAsia" w:ascii="宋体" w:hAnsi="宋体"/>
                <w:b w:val="0"/>
                <w:bCs/>
                <w:color w:val="auto"/>
                <w:sz w:val="21"/>
                <w:szCs w:val="21"/>
              </w:rPr>
              <w:t>联系人</w:t>
            </w:r>
          </w:p>
        </w:tc>
        <w:tc>
          <w:tcPr>
            <w:tcW w:w="1584" w:type="dxa"/>
            <w:vAlign w:val="center"/>
          </w:tcPr>
          <w:p w14:paraId="493BC6A0">
            <w:pPr>
              <w:jc w:val="center"/>
              <w:rPr>
                <w:rFonts w:ascii="宋体" w:hAnsi="宋体"/>
                <w:b w:val="0"/>
                <w:bCs/>
                <w:color w:val="auto"/>
                <w:sz w:val="21"/>
                <w:szCs w:val="21"/>
              </w:rPr>
            </w:pPr>
          </w:p>
        </w:tc>
        <w:tc>
          <w:tcPr>
            <w:tcW w:w="1806" w:type="dxa"/>
            <w:vAlign w:val="center"/>
          </w:tcPr>
          <w:p w14:paraId="2FC10464">
            <w:pPr>
              <w:jc w:val="center"/>
              <w:rPr>
                <w:rFonts w:ascii="宋体" w:hAnsi="宋体"/>
                <w:b w:val="0"/>
                <w:bCs/>
                <w:color w:val="auto"/>
                <w:sz w:val="21"/>
                <w:szCs w:val="21"/>
              </w:rPr>
            </w:pPr>
            <w:r>
              <w:rPr>
                <w:rFonts w:hint="eastAsia" w:ascii="宋体" w:hAnsi="宋体"/>
                <w:b w:val="0"/>
                <w:bCs/>
                <w:color w:val="auto"/>
                <w:sz w:val="21"/>
                <w:szCs w:val="21"/>
              </w:rPr>
              <w:t>电话</w:t>
            </w:r>
          </w:p>
        </w:tc>
        <w:tc>
          <w:tcPr>
            <w:tcW w:w="1926" w:type="dxa"/>
            <w:vAlign w:val="center"/>
          </w:tcPr>
          <w:p w14:paraId="18A3488E">
            <w:pPr>
              <w:jc w:val="center"/>
              <w:rPr>
                <w:rFonts w:ascii="宋体" w:hAnsi="宋体"/>
                <w:b w:val="0"/>
                <w:bCs/>
                <w:color w:val="auto"/>
                <w:sz w:val="21"/>
                <w:szCs w:val="21"/>
              </w:rPr>
            </w:pPr>
          </w:p>
        </w:tc>
      </w:tr>
      <w:tr w14:paraId="4C3D2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1960" w:type="dxa"/>
            <w:vMerge w:val="continue"/>
            <w:vAlign w:val="center"/>
          </w:tcPr>
          <w:p w14:paraId="2E04C081">
            <w:pPr>
              <w:jc w:val="center"/>
              <w:rPr>
                <w:rFonts w:ascii="宋体" w:hAnsi="宋体"/>
                <w:b w:val="0"/>
                <w:bCs/>
                <w:color w:val="auto"/>
                <w:sz w:val="21"/>
                <w:szCs w:val="21"/>
              </w:rPr>
            </w:pPr>
          </w:p>
        </w:tc>
        <w:tc>
          <w:tcPr>
            <w:tcW w:w="1903" w:type="dxa"/>
            <w:vAlign w:val="center"/>
          </w:tcPr>
          <w:p w14:paraId="3242586E">
            <w:pPr>
              <w:ind w:firstLine="630" w:firstLineChars="300"/>
              <w:rPr>
                <w:rFonts w:ascii="宋体" w:hAnsi="宋体"/>
                <w:b w:val="0"/>
                <w:bCs/>
                <w:color w:val="auto"/>
                <w:sz w:val="21"/>
                <w:szCs w:val="21"/>
              </w:rPr>
            </w:pPr>
            <w:r>
              <w:rPr>
                <w:rFonts w:hint="eastAsia" w:ascii="宋体" w:hAnsi="宋体"/>
                <w:b w:val="0"/>
                <w:bCs/>
                <w:color w:val="auto"/>
                <w:sz w:val="21"/>
                <w:szCs w:val="21"/>
              </w:rPr>
              <w:t>传真</w:t>
            </w:r>
          </w:p>
        </w:tc>
        <w:tc>
          <w:tcPr>
            <w:tcW w:w="1584" w:type="dxa"/>
            <w:vAlign w:val="center"/>
          </w:tcPr>
          <w:p w14:paraId="395FB44E">
            <w:pPr>
              <w:jc w:val="center"/>
              <w:rPr>
                <w:rFonts w:ascii="宋体" w:hAnsi="宋体"/>
                <w:b w:val="0"/>
                <w:bCs/>
                <w:color w:val="auto"/>
                <w:sz w:val="21"/>
                <w:szCs w:val="21"/>
              </w:rPr>
            </w:pPr>
          </w:p>
        </w:tc>
        <w:tc>
          <w:tcPr>
            <w:tcW w:w="1806" w:type="dxa"/>
            <w:vAlign w:val="center"/>
          </w:tcPr>
          <w:p w14:paraId="4290BF43">
            <w:pPr>
              <w:jc w:val="center"/>
              <w:rPr>
                <w:rFonts w:ascii="宋体" w:hAnsi="宋体"/>
                <w:b w:val="0"/>
                <w:bCs/>
                <w:color w:val="auto"/>
                <w:sz w:val="21"/>
                <w:szCs w:val="21"/>
              </w:rPr>
            </w:pPr>
            <w:r>
              <w:rPr>
                <w:rFonts w:hint="eastAsia" w:ascii="宋体" w:hAnsi="宋体"/>
                <w:b w:val="0"/>
                <w:bCs/>
                <w:color w:val="auto"/>
                <w:sz w:val="21"/>
                <w:szCs w:val="21"/>
              </w:rPr>
              <w:t>网址</w:t>
            </w:r>
          </w:p>
        </w:tc>
        <w:tc>
          <w:tcPr>
            <w:tcW w:w="1926" w:type="dxa"/>
            <w:vAlign w:val="center"/>
          </w:tcPr>
          <w:p w14:paraId="7429ECF3">
            <w:pPr>
              <w:jc w:val="center"/>
              <w:rPr>
                <w:rFonts w:ascii="宋体" w:hAnsi="宋体"/>
                <w:b w:val="0"/>
                <w:bCs/>
                <w:color w:val="auto"/>
                <w:sz w:val="21"/>
                <w:szCs w:val="21"/>
              </w:rPr>
            </w:pPr>
          </w:p>
        </w:tc>
      </w:tr>
      <w:tr w14:paraId="2253A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1960" w:type="dxa"/>
            <w:vAlign w:val="center"/>
          </w:tcPr>
          <w:p w14:paraId="407B71EB">
            <w:pPr>
              <w:jc w:val="center"/>
              <w:rPr>
                <w:rFonts w:ascii="宋体" w:hAnsi="宋体"/>
                <w:b w:val="0"/>
                <w:bCs/>
                <w:color w:val="auto"/>
                <w:sz w:val="21"/>
                <w:szCs w:val="21"/>
              </w:rPr>
            </w:pPr>
            <w:r>
              <w:rPr>
                <w:rFonts w:hint="eastAsia" w:ascii="宋体" w:hAnsi="宋体"/>
                <w:b w:val="0"/>
                <w:bCs/>
                <w:color w:val="auto"/>
                <w:sz w:val="21"/>
                <w:szCs w:val="21"/>
              </w:rPr>
              <w:t>法定代表人</w:t>
            </w:r>
          </w:p>
        </w:tc>
        <w:tc>
          <w:tcPr>
            <w:tcW w:w="1903" w:type="dxa"/>
            <w:vAlign w:val="center"/>
          </w:tcPr>
          <w:p w14:paraId="0AF9DD3D">
            <w:pPr>
              <w:jc w:val="center"/>
              <w:rPr>
                <w:rFonts w:ascii="宋体" w:hAnsi="宋体"/>
                <w:b w:val="0"/>
                <w:bCs/>
                <w:color w:val="auto"/>
                <w:sz w:val="21"/>
                <w:szCs w:val="21"/>
              </w:rPr>
            </w:pPr>
            <w:r>
              <w:rPr>
                <w:rFonts w:hint="eastAsia" w:ascii="宋体" w:hAnsi="宋体"/>
                <w:b w:val="0"/>
                <w:bCs/>
                <w:color w:val="auto"/>
                <w:sz w:val="21"/>
                <w:szCs w:val="21"/>
              </w:rPr>
              <w:t>姓名</w:t>
            </w:r>
          </w:p>
        </w:tc>
        <w:tc>
          <w:tcPr>
            <w:tcW w:w="1584" w:type="dxa"/>
            <w:vAlign w:val="center"/>
          </w:tcPr>
          <w:p w14:paraId="62438882">
            <w:pPr>
              <w:jc w:val="center"/>
              <w:rPr>
                <w:rFonts w:ascii="宋体" w:hAnsi="宋体"/>
                <w:b w:val="0"/>
                <w:bCs/>
                <w:color w:val="auto"/>
                <w:sz w:val="21"/>
                <w:szCs w:val="21"/>
              </w:rPr>
            </w:pPr>
          </w:p>
        </w:tc>
        <w:tc>
          <w:tcPr>
            <w:tcW w:w="1806" w:type="dxa"/>
            <w:vAlign w:val="center"/>
          </w:tcPr>
          <w:p w14:paraId="536BC964">
            <w:pPr>
              <w:jc w:val="center"/>
              <w:rPr>
                <w:rFonts w:ascii="宋体" w:hAnsi="宋体"/>
                <w:b w:val="0"/>
                <w:bCs/>
                <w:color w:val="auto"/>
                <w:sz w:val="21"/>
                <w:szCs w:val="21"/>
              </w:rPr>
            </w:pPr>
            <w:r>
              <w:rPr>
                <w:rFonts w:hint="eastAsia" w:ascii="宋体" w:hAnsi="宋体"/>
                <w:b w:val="0"/>
                <w:bCs/>
                <w:color w:val="auto"/>
                <w:sz w:val="21"/>
                <w:szCs w:val="21"/>
              </w:rPr>
              <w:t>电话</w:t>
            </w:r>
          </w:p>
        </w:tc>
        <w:tc>
          <w:tcPr>
            <w:tcW w:w="1926" w:type="dxa"/>
            <w:vAlign w:val="center"/>
          </w:tcPr>
          <w:p w14:paraId="7A8F01FE">
            <w:pPr>
              <w:jc w:val="center"/>
              <w:rPr>
                <w:rFonts w:ascii="宋体" w:hAnsi="宋体"/>
                <w:b w:val="0"/>
                <w:bCs/>
                <w:color w:val="auto"/>
                <w:sz w:val="21"/>
                <w:szCs w:val="21"/>
              </w:rPr>
            </w:pPr>
          </w:p>
        </w:tc>
      </w:tr>
      <w:tr w14:paraId="5D97A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1960" w:type="dxa"/>
            <w:vAlign w:val="center"/>
          </w:tcPr>
          <w:p w14:paraId="444E2E6B">
            <w:pPr>
              <w:jc w:val="center"/>
              <w:rPr>
                <w:rFonts w:ascii="宋体" w:hAnsi="宋体"/>
                <w:b w:val="0"/>
                <w:bCs/>
                <w:color w:val="auto"/>
                <w:sz w:val="21"/>
                <w:szCs w:val="21"/>
              </w:rPr>
            </w:pPr>
            <w:r>
              <w:rPr>
                <w:rFonts w:hint="eastAsia" w:ascii="宋体" w:hAnsi="宋体"/>
                <w:b w:val="0"/>
                <w:bCs/>
                <w:color w:val="auto"/>
                <w:sz w:val="21"/>
                <w:szCs w:val="21"/>
              </w:rPr>
              <w:t>成立时间</w:t>
            </w:r>
          </w:p>
        </w:tc>
        <w:tc>
          <w:tcPr>
            <w:tcW w:w="1903" w:type="dxa"/>
            <w:vAlign w:val="center"/>
          </w:tcPr>
          <w:p w14:paraId="0DE4ED26">
            <w:pPr>
              <w:jc w:val="center"/>
              <w:rPr>
                <w:rFonts w:ascii="宋体" w:hAnsi="宋体"/>
                <w:b w:val="0"/>
                <w:bCs/>
                <w:color w:val="auto"/>
                <w:sz w:val="21"/>
                <w:szCs w:val="21"/>
              </w:rPr>
            </w:pPr>
          </w:p>
        </w:tc>
        <w:tc>
          <w:tcPr>
            <w:tcW w:w="5316" w:type="dxa"/>
            <w:gridSpan w:val="3"/>
            <w:vAlign w:val="center"/>
          </w:tcPr>
          <w:p w14:paraId="287A0053">
            <w:pPr>
              <w:jc w:val="center"/>
              <w:rPr>
                <w:rFonts w:ascii="宋体" w:hAnsi="宋体"/>
                <w:b w:val="0"/>
                <w:bCs/>
                <w:color w:val="auto"/>
                <w:sz w:val="21"/>
                <w:szCs w:val="21"/>
              </w:rPr>
            </w:pPr>
            <w:r>
              <w:rPr>
                <w:rFonts w:hint="eastAsia" w:ascii="宋体" w:hAnsi="宋体"/>
                <w:b w:val="0"/>
                <w:bCs/>
                <w:color w:val="auto"/>
                <w:sz w:val="21"/>
                <w:szCs w:val="21"/>
              </w:rPr>
              <w:t>员工总人数：</w:t>
            </w:r>
          </w:p>
        </w:tc>
      </w:tr>
      <w:tr w14:paraId="2DBD2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1960" w:type="dxa"/>
            <w:vAlign w:val="center"/>
          </w:tcPr>
          <w:p w14:paraId="029382B3">
            <w:pPr>
              <w:jc w:val="center"/>
              <w:rPr>
                <w:rFonts w:ascii="宋体" w:hAnsi="宋体"/>
                <w:b w:val="0"/>
                <w:bCs/>
                <w:color w:val="auto"/>
                <w:sz w:val="21"/>
                <w:szCs w:val="21"/>
              </w:rPr>
            </w:pPr>
            <w:r>
              <w:rPr>
                <w:rFonts w:hint="eastAsia" w:ascii="宋体" w:hAnsi="宋体"/>
                <w:b w:val="0"/>
                <w:bCs/>
                <w:color w:val="auto"/>
                <w:sz w:val="21"/>
                <w:szCs w:val="21"/>
              </w:rPr>
              <w:t>营业执照号</w:t>
            </w:r>
          </w:p>
        </w:tc>
        <w:tc>
          <w:tcPr>
            <w:tcW w:w="7219" w:type="dxa"/>
            <w:gridSpan w:val="4"/>
            <w:vAlign w:val="center"/>
          </w:tcPr>
          <w:p w14:paraId="6837C43F">
            <w:pPr>
              <w:jc w:val="center"/>
              <w:rPr>
                <w:rFonts w:ascii="宋体" w:hAnsi="宋体"/>
                <w:b w:val="0"/>
                <w:bCs/>
                <w:color w:val="auto"/>
                <w:sz w:val="21"/>
                <w:szCs w:val="21"/>
              </w:rPr>
            </w:pPr>
          </w:p>
        </w:tc>
      </w:tr>
      <w:tr w14:paraId="18312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1960" w:type="dxa"/>
            <w:vAlign w:val="center"/>
          </w:tcPr>
          <w:p w14:paraId="5E8E52E4">
            <w:pPr>
              <w:jc w:val="center"/>
              <w:rPr>
                <w:rFonts w:ascii="宋体" w:hAnsi="宋体"/>
                <w:b w:val="0"/>
                <w:bCs/>
                <w:color w:val="auto"/>
                <w:sz w:val="21"/>
                <w:szCs w:val="21"/>
              </w:rPr>
            </w:pPr>
            <w:r>
              <w:rPr>
                <w:rFonts w:hint="eastAsia" w:ascii="宋体" w:hAnsi="宋体"/>
                <w:b w:val="0"/>
                <w:bCs/>
                <w:color w:val="auto"/>
                <w:sz w:val="21"/>
                <w:szCs w:val="21"/>
              </w:rPr>
              <w:t>注册资金</w:t>
            </w:r>
          </w:p>
        </w:tc>
        <w:tc>
          <w:tcPr>
            <w:tcW w:w="7219" w:type="dxa"/>
            <w:gridSpan w:val="4"/>
            <w:tcBorders>
              <w:bottom w:val="single" w:color="auto" w:sz="4" w:space="0"/>
            </w:tcBorders>
            <w:vAlign w:val="center"/>
          </w:tcPr>
          <w:p w14:paraId="497B7694">
            <w:pPr>
              <w:jc w:val="center"/>
              <w:rPr>
                <w:rFonts w:ascii="宋体" w:hAnsi="宋体"/>
                <w:b w:val="0"/>
                <w:bCs/>
                <w:color w:val="auto"/>
                <w:sz w:val="21"/>
                <w:szCs w:val="21"/>
              </w:rPr>
            </w:pPr>
          </w:p>
        </w:tc>
      </w:tr>
      <w:tr w14:paraId="39048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960" w:type="dxa"/>
            <w:vAlign w:val="center"/>
          </w:tcPr>
          <w:p w14:paraId="222248DF">
            <w:pPr>
              <w:jc w:val="center"/>
              <w:rPr>
                <w:rFonts w:ascii="宋体" w:hAnsi="宋体"/>
                <w:b w:val="0"/>
                <w:bCs/>
                <w:color w:val="auto"/>
                <w:sz w:val="21"/>
                <w:szCs w:val="21"/>
              </w:rPr>
            </w:pPr>
            <w:r>
              <w:rPr>
                <w:rFonts w:hint="eastAsia" w:ascii="宋体" w:hAnsi="宋体"/>
                <w:b w:val="0"/>
                <w:bCs/>
                <w:color w:val="auto"/>
                <w:sz w:val="21"/>
                <w:szCs w:val="21"/>
              </w:rPr>
              <w:t>基本账户开户银行</w:t>
            </w:r>
          </w:p>
        </w:tc>
        <w:tc>
          <w:tcPr>
            <w:tcW w:w="7219" w:type="dxa"/>
            <w:gridSpan w:val="4"/>
            <w:tcBorders>
              <w:top w:val="single" w:color="auto" w:sz="4" w:space="0"/>
            </w:tcBorders>
            <w:vAlign w:val="center"/>
          </w:tcPr>
          <w:p w14:paraId="27F2A5AD">
            <w:pPr>
              <w:jc w:val="center"/>
              <w:rPr>
                <w:rFonts w:ascii="宋体" w:hAnsi="宋体"/>
                <w:b w:val="0"/>
                <w:bCs/>
                <w:color w:val="auto"/>
                <w:sz w:val="21"/>
                <w:szCs w:val="21"/>
              </w:rPr>
            </w:pPr>
          </w:p>
        </w:tc>
      </w:tr>
      <w:tr w14:paraId="77059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1960" w:type="dxa"/>
            <w:vAlign w:val="center"/>
          </w:tcPr>
          <w:p w14:paraId="76DD2884">
            <w:pPr>
              <w:jc w:val="center"/>
              <w:rPr>
                <w:rFonts w:ascii="宋体" w:hAnsi="宋体"/>
                <w:b w:val="0"/>
                <w:bCs/>
                <w:color w:val="auto"/>
                <w:sz w:val="21"/>
                <w:szCs w:val="21"/>
              </w:rPr>
            </w:pPr>
            <w:r>
              <w:rPr>
                <w:rFonts w:hint="eastAsia" w:ascii="宋体" w:hAnsi="宋体"/>
                <w:b w:val="0"/>
                <w:bCs/>
                <w:color w:val="auto"/>
                <w:sz w:val="21"/>
                <w:szCs w:val="21"/>
              </w:rPr>
              <w:t>账号</w:t>
            </w:r>
          </w:p>
        </w:tc>
        <w:tc>
          <w:tcPr>
            <w:tcW w:w="7219" w:type="dxa"/>
            <w:gridSpan w:val="4"/>
            <w:vAlign w:val="center"/>
          </w:tcPr>
          <w:p w14:paraId="3452A482">
            <w:pPr>
              <w:jc w:val="center"/>
              <w:rPr>
                <w:rFonts w:ascii="宋体" w:hAnsi="宋体"/>
                <w:b w:val="0"/>
                <w:bCs/>
                <w:color w:val="auto"/>
                <w:sz w:val="21"/>
                <w:szCs w:val="21"/>
              </w:rPr>
            </w:pPr>
          </w:p>
        </w:tc>
      </w:tr>
      <w:tr w14:paraId="567E9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7" w:hRule="atLeast"/>
          <w:jc w:val="center"/>
        </w:trPr>
        <w:tc>
          <w:tcPr>
            <w:tcW w:w="1960" w:type="dxa"/>
            <w:vAlign w:val="center"/>
          </w:tcPr>
          <w:p w14:paraId="6782DC7A">
            <w:pPr>
              <w:jc w:val="center"/>
              <w:rPr>
                <w:rFonts w:ascii="宋体" w:hAnsi="宋体"/>
                <w:b w:val="0"/>
                <w:bCs/>
                <w:color w:val="auto"/>
                <w:sz w:val="21"/>
                <w:szCs w:val="21"/>
              </w:rPr>
            </w:pPr>
            <w:r>
              <w:rPr>
                <w:rFonts w:hint="eastAsia" w:ascii="宋体" w:hAnsi="宋体"/>
                <w:b w:val="0"/>
                <w:bCs/>
                <w:color w:val="auto"/>
                <w:sz w:val="21"/>
                <w:szCs w:val="21"/>
              </w:rPr>
              <w:t>范 围</w:t>
            </w:r>
          </w:p>
        </w:tc>
        <w:tc>
          <w:tcPr>
            <w:tcW w:w="7219" w:type="dxa"/>
            <w:gridSpan w:val="4"/>
            <w:vAlign w:val="center"/>
          </w:tcPr>
          <w:p w14:paraId="54290D16">
            <w:pPr>
              <w:jc w:val="center"/>
              <w:rPr>
                <w:rFonts w:ascii="宋体" w:hAnsi="宋体"/>
                <w:b w:val="0"/>
                <w:bCs/>
                <w:color w:val="auto"/>
                <w:sz w:val="21"/>
                <w:szCs w:val="21"/>
              </w:rPr>
            </w:pPr>
          </w:p>
        </w:tc>
      </w:tr>
      <w:tr w14:paraId="315B6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jc w:val="center"/>
        </w:trPr>
        <w:tc>
          <w:tcPr>
            <w:tcW w:w="1960" w:type="dxa"/>
            <w:vAlign w:val="center"/>
          </w:tcPr>
          <w:p w14:paraId="5123A8C5">
            <w:pPr>
              <w:jc w:val="center"/>
              <w:rPr>
                <w:rFonts w:ascii="宋体" w:hAnsi="宋体"/>
                <w:b w:val="0"/>
                <w:bCs/>
                <w:color w:val="auto"/>
                <w:sz w:val="21"/>
                <w:szCs w:val="21"/>
              </w:rPr>
            </w:pPr>
            <w:r>
              <w:rPr>
                <w:rFonts w:hint="eastAsia" w:ascii="宋体" w:hAnsi="宋体"/>
                <w:b w:val="0"/>
                <w:bCs/>
                <w:color w:val="auto"/>
                <w:sz w:val="21"/>
                <w:szCs w:val="21"/>
              </w:rPr>
              <w:t>备 注</w:t>
            </w:r>
          </w:p>
        </w:tc>
        <w:tc>
          <w:tcPr>
            <w:tcW w:w="7219" w:type="dxa"/>
            <w:gridSpan w:val="4"/>
          </w:tcPr>
          <w:p w14:paraId="7AAA2139">
            <w:pPr>
              <w:rPr>
                <w:rFonts w:ascii="宋体" w:hAnsi="宋体"/>
                <w:b w:val="0"/>
                <w:bCs/>
                <w:color w:val="auto"/>
                <w:sz w:val="21"/>
                <w:szCs w:val="21"/>
              </w:rPr>
            </w:pPr>
          </w:p>
        </w:tc>
      </w:tr>
    </w:tbl>
    <w:p w14:paraId="1343FAD5">
      <w:pPr>
        <w:spacing w:line="400" w:lineRule="exact"/>
        <w:ind w:firstLine="210" w:firstLineChars="100"/>
        <w:rPr>
          <w:rFonts w:ascii="宋体" w:hAnsi="宋体"/>
          <w:b w:val="0"/>
          <w:bCs w:val="0"/>
          <w:color w:val="auto"/>
          <w:sz w:val="21"/>
          <w:szCs w:val="21"/>
        </w:rPr>
      </w:pPr>
      <w:r>
        <w:rPr>
          <w:rFonts w:hint="eastAsia" w:ascii="宋体" w:hAnsi="宋体"/>
          <w:b w:val="0"/>
          <w:bCs w:val="0"/>
          <w:color w:val="auto"/>
          <w:sz w:val="21"/>
          <w:szCs w:val="21"/>
        </w:rPr>
        <w:t>注:1.本表后应附有营业执照、基本账户开户许可证等相关证书复印件。</w:t>
      </w:r>
    </w:p>
    <w:p w14:paraId="10843433">
      <w:pPr>
        <w:spacing w:line="400" w:lineRule="exact"/>
        <w:ind w:firstLine="735" w:firstLineChars="350"/>
        <w:outlineLvl w:val="1"/>
        <w:rPr>
          <w:rFonts w:ascii="宋体" w:hAnsi="宋体"/>
          <w:b w:val="0"/>
          <w:bCs w:val="0"/>
          <w:color w:val="auto"/>
          <w:sz w:val="21"/>
          <w:szCs w:val="21"/>
        </w:rPr>
      </w:pPr>
      <w:r>
        <w:rPr>
          <w:rFonts w:hint="eastAsia" w:ascii="宋体" w:hAnsi="宋体"/>
          <w:b w:val="0"/>
          <w:bCs w:val="0"/>
          <w:color w:val="auto"/>
          <w:sz w:val="21"/>
          <w:szCs w:val="21"/>
        </w:rPr>
        <w:t>2.若企业变更的，应附有变更证明复印件；</w:t>
      </w:r>
    </w:p>
    <w:p w14:paraId="2D0BBC33">
      <w:pPr>
        <w:spacing w:line="400" w:lineRule="exact"/>
        <w:ind w:firstLine="735" w:firstLineChars="350"/>
        <w:rPr>
          <w:rFonts w:ascii="宋体" w:hAnsi="宋体"/>
          <w:b w:val="0"/>
          <w:bCs w:val="0"/>
          <w:color w:val="auto"/>
          <w:sz w:val="21"/>
          <w:szCs w:val="21"/>
        </w:rPr>
      </w:pPr>
      <w:r>
        <w:rPr>
          <w:rFonts w:hint="eastAsia" w:ascii="宋体" w:hAnsi="宋体"/>
          <w:b w:val="0"/>
          <w:bCs w:val="0"/>
          <w:color w:val="auto"/>
          <w:sz w:val="21"/>
          <w:szCs w:val="21"/>
        </w:rPr>
        <w:t>3.若在有效期内不需年审、年检、复查的地区需出具相关部门的证明；</w:t>
      </w:r>
    </w:p>
    <w:p w14:paraId="2A830793">
      <w:pPr>
        <w:spacing w:line="400" w:lineRule="exact"/>
        <w:ind w:firstLine="735" w:firstLineChars="350"/>
        <w:rPr>
          <w:rFonts w:ascii="宋体" w:hAnsi="宋体"/>
          <w:b w:val="0"/>
          <w:bCs w:val="0"/>
          <w:color w:val="auto"/>
          <w:sz w:val="21"/>
          <w:szCs w:val="21"/>
        </w:rPr>
      </w:pPr>
      <w:r>
        <w:rPr>
          <w:rFonts w:hint="eastAsia" w:ascii="宋体" w:hAnsi="宋体"/>
          <w:b w:val="0"/>
          <w:bCs w:val="0"/>
          <w:color w:val="auto"/>
          <w:sz w:val="21"/>
          <w:szCs w:val="21"/>
        </w:rPr>
        <w:t>4.投标人认为必须附的其他资料。</w:t>
      </w:r>
    </w:p>
    <w:p w14:paraId="42754259">
      <w:pPr>
        <w:spacing w:line="400" w:lineRule="exact"/>
        <w:ind w:firstLine="735" w:firstLineChars="350"/>
        <w:rPr>
          <w:rFonts w:ascii="宋体" w:hAnsi="宋体"/>
          <w:b w:val="0"/>
          <w:bCs w:val="0"/>
          <w:color w:val="auto"/>
          <w:sz w:val="21"/>
          <w:szCs w:val="21"/>
        </w:rPr>
      </w:pPr>
      <w:r>
        <w:rPr>
          <w:rFonts w:hint="eastAsia" w:ascii="宋体" w:hAnsi="宋体"/>
          <w:b w:val="0"/>
          <w:bCs w:val="0"/>
          <w:color w:val="auto"/>
          <w:sz w:val="21"/>
          <w:szCs w:val="21"/>
        </w:rPr>
        <w:t>5.以上复印件彩印。</w:t>
      </w:r>
    </w:p>
    <w:p w14:paraId="0126B8AD">
      <w:pPr>
        <w:pStyle w:val="34"/>
        <w:ind w:left="482"/>
        <w:rPr>
          <w:rFonts w:ascii="宋体" w:hAnsi="宋体" w:cs="宋体"/>
          <w:color w:val="auto"/>
          <w:szCs w:val="21"/>
        </w:rPr>
      </w:pPr>
    </w:p>
    <w:p w14:paraId="305731C5">
      <w:pPr>
        <w:pStyle w:val="34"/>
        <w:ind w:left="0" w:leftChars="0" w:firstLine="0" w:firstLineChars="0"/>
        <w:rPr>
          <w:rFonts w:ascii="宋体" w:hAnsi="宋体" w:cs="宋体"/>
          <w:color w:val="auto"/>
          <w:szCs w:val="21"/>
        </w:rPr>
      </w:pPr>
    </w:p>
    <w:p w14:paraId="6CE02F2A">
      <w:pPr>
        <w:pStyle w:val="34"/>
        <w:ind w:left="482"/>
        <w:rPr>
          <w:rFonts w:ascii="宋体" w:hAnsi="宋体" w:cs="宋体"/>
          <w:color w:val="auto"/>
          <w:szCs w:val="21"/>
        </w:rPr>
      </w:pPr>
    </w:p>
    <w:p w14:paraId="335E4DA6">
      <w:pPr>
        <w:spacing w:line="360" w:lineRule="auto"/>
        <w:ind w:firstLine="2" w:firstLineChars="1"/>
        <w:rPr>
          <w:rFonts w:ascii="宋体" w:hAnsi="宋体"/>
          <w:color w:val="auto"/>
          <w:sz w:val="21"/>
          <w:szCs w:val="21"/>
        </w:rPr>
      </w:pPr>
      <w:r>
        <w:rPr>
          <w:rFonts w:hint="eastAsia" w:ascii="宋体" w:hAnsi="宋体"/>
          <w:color w:val="auto"/>
          <w:sz w:val="21"/>
          <w:szCs w:val="21"/>
        </w:rPr>
        <w:t>投标人(加盖公章)：</w:t>
      </w:r>
    </w:p>
    <w:p w14:paraId="359D5D22">
      <w:pPr>
        <w:spacing w:line="360" w:lineRule="auto"/>
        <w:ind w:firstLine="2" w:firstLineChars="1"/>
        <w:rPr>
          <w:rFonts w:ascii="宋体" w:hAnsi="宋体"/>
          <w:color w:val="auto"/>
          <w:sz w:val="21"/>
          <w:szCs w:val="21"/>
        </w:rPr>
      </w:pPr>
      <w:r>
        <w:rPr>
          <w:rFonts w:hint="eastAsia" w:ascii="宋体" w:hAnsi="宋体"/>
          <w:color w:val="auto"/>
          <w:sz w:val="21"/>
          <w:szCs w:val="21"/>
        </w:rPr>
        <w:t>法定代表人（签名或签章）：</w:t>
      </w:r>
    </w:p>
    <w:p w14:paraId="6B2566C7">
      <w:pPr>
        <w:spacing w:line="360" w:lineRule="auto"/>
        <w:ind w:firstLine="2" w:firstLineChars="1"/>
        <w:rPr>
          <w:rFonts w:ascii="宋体" w:hAnsi="宋体"/>
          <w:color w:val="auto"/>
          <w:sz w:val="21"/>
          <w:szCs w:val="21"/>
        </w:rPr>
      </w:pPr>
      <w:r>
        <w:rPr>
          <w:rFonts w:hint="eastAsia" w:ascii="宋体" w:hAnsi="宋体"/>
          <w:color w:val="auto"/>
          <w:sz w:val="21"/>
          <w:szCs w:val="21"/>
        </w:rPr>
        <w:t>年月日</w:t>
      </w:r>
    </w:p>
    <w:p w14:paraId="34E4D2EB">
      <w:pPr>
        <w:pStyle w:val="34"/>
        <w:ind w:left="482"/>
        <w:rPr>
          <w:rFonts w:ascii="宋体" w:hAnsi="宋体" w:cs="宋体"/>
          <w:color w:val="auto"/>
          <w:szCs w:val="21"/>
        </w:rPr>
        <w:sectPr>
          <w:pgSz w:w="11906" w:h="16838"/>
          <w:pgMar w:top="1440" w:right="1080" w:bottom="1440" w:left="1080" w:header="720" w:footer="720" w:gutter="0"/>
          <w:cols w:space="708" w:num="1"/>
        </w:sectPr>
      </w:pPr>
    </w:p>
    <w:p w14:paraId="0B27B263">
      <w:pPr>
        <w:rPr>
          <w:rFonts w:ascii="宋体" w:hAnsi="宋体"/>
          <w:bCs/>
          <w:color w:val="auto"/>
          <w:sz w:val="28"/>
          <w:szCs w:val="28"/>
        </w:rPr>
      </w:pPr>
      <w:r>
        <w:rPr>
          <w:rFonts w:hint="eastAsia" w:ascii="宋体" w:hAnsi="宋体"/>
          <w:bCs/>
          <w:color w:val="auto"/>
          <w:sz w:val="28"/>
          <w:szCs w:val="28"/>
        </w:rPr>
        <w:t>格式</w:t>
      </w:r>
      <w:r>
        <w:rPr>
          <w:rFonts w:hint="eastAsia" w:ascii="宋体" w:hAnsi="宋体"/>
          <w:bCs/>
          <w:color w:val="auto"/>
          <w:sz w:val="28"/>
          <w:szCs w:val="28"/>
          <w:lang w:val="en-US" w:eastAsia="zh-CN"/>
        </w:rPr>
        <w:t>12</w:t>
      </w:r>
      <w:r>
        <w:rPr>
          <w:rFonts w:hint="eastAsia" w:ascii="宋体" w:hAnsi="宋体"/>
          <w:bCs/>
          <w:color w:val="auto"/>
          <w:sz w:val="28"/>
          <w:szCs w:val="28"/>
        </w:rPr>
        <w:t>：</w:t>
      </w:r>
    </w:p>
    <w:p w14:paraId="6EBB7B70">
      <w:pPr>
        <w:pStyle w:val="3"/>
        <w:jc w:val="center"/>
        <w:rPr>
          <w:rFonts w:hint="eastAsia" w:ascii="宋体" w:hAnsi="宋体" w:cs="宋体"/>
          <w:color w:val="auto"/>
        </w:rPr>
      </w:pPr>
      <w:r>
        <w:rPr>
          <w:rFonts w:hint="eastAsia" w:ascii="宋体" w:hAnsi="宋体" w:cs="宋体"/>
          <w:color w:val="auto"/>
        </w:rPr>
        <w:t>商务条款偏离表</w:t>
      </w:r>
    </w:p>
    <w:p w14:paraId="445AF6FC"/>
    <w:p w14:paraId="29F07AE7">
      <w:pPr>
        <w:keepNext w:val="0"/>
        <w:keepLines w:val="0"/>
        <w:pageBreakBefore w:val="0"/>
        <w:widowControl w:val="0"/>
        <w:kinsoku/>
        <w:wordWrap/>
        <w:overflowPunct/>
        <w:topLinePunct w:val="0"/>
        <w:autoSpaceDE/>
        <w:autoSpaceDN/>
        <w:bidi w:val="0"/>
        <w:adjustRightInd/>
        <w:snapToGrid/>
        <w:spacing w:line="480" w:lineRule="auto"/>
        <w:ind w:firstLine="422" w:firstLineChars="200"/>
        <w:textAlignment w:val="auto"/>
        <w:rPr>
          <w:rFonts w:ascii="宋体" w:hAnsi="宋体"/>
          <w:color w:val="auto"/>
          <w:sz w:val="21"/>
          <w:szCs w:val="21"/>
        </w:rPr>
      </w:pPr>
      <w:r>
        <w:rPr>
          <w:rFonts w:hint="eastAsia" w:ascii="宋体" w:hAnsi="宋体"/>
          <w:color w:val="auto"/>
          <w:sz w:val="21"/>
          <w:szCs w:val="21"/>
        </w:rPr>
        <w:t>投标人应逐条对应招标文件第六章“</w:t>
      </w:r>
      <w:r>
        <w:rPr>
          <w:rFonts w:hint="eastAsia" w:ascii="宋体" w:hAnsi="宋体"/>
          <w:bCs/>
          <w:color w:val="auto"/>
          <w:sz w:val="21"/>
          <w:szCs w:val="21"/>
        </w:rPr>
        <w:t>采购内容”</w:t>
      </w:r>
      <w:r>
        <w:rPr>
          <w:rFonts w:hint="eastAsia" w:ascii="宋体" w:hAnsi="宋体"/>
          <w:color w:val="auto"/>
          <w:sz w:val="21"/>
          <w:szCs w:val="21"/>
        </w:rPr>
        <w:t>和第三章“合同书样式及主要条款”中要求的商务条件，包括交货期、付款方式、服务地点、履约保证金等内容，并根据实际投标情况如实填写本表格。</w:t>
      </w:r>
    </w:p>
    <w:p w14:paraId="0CC8F26D">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cs="宋体"/>
          <w:b w:val="0"/>
          <w:bCs/>
          <w:color w:val="auto"/>
          <w:sz w:val="21"/>
          <w:szCs w:val="21"/>
          <w:lang w:eastAsia="zh-CN"/>
        </w:rPr>
      </w:pPr>
      <w:r>
        <w:rPr>
          <w:rFonts w:hint="eastAsia" w:ascii="宋体" w:hAnsi="宋体"/>
          <w:b w:val="0"/>
          <w:color w:val="auto"/>
          <w:sz w:val="21"/>
          <w:szCs w:val="21"/>
        </w:rPr>
        <w:t>项目名称：</w:t>
      </w:r>
      <w:r>
        <w:rPr>
          <w:rFonts w:hint="eastAsia" w:ascii="宋体" w:hAnsi="宋体" w:cs="宋体"/>
          <w:b w:val="0"/>
          <w:bCs/>
          <w:color w:val="auto"/>
          <w:sz w:val="21"/>
          <w:szCs w:val="21"/>
          <w:lang w:eastAsia="zh-CN"/>
        </w:rPr>
        <w:t>滇西应用技术大学普洱茶学院数智化校园建设项目</w:t>
      </w:r>
    </w:p>
    <w:tbl>
      <w:tblPr>
        <w:tblStyle w:val="35"/>
        <w:tblW w:w="9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344"/>
        <w:gridCol w:w="1713"/>
        <w:gridCol w:w="2496"/>
        <w:gridCol w:w="2871"/>
        <w:gridCol w:w="1338"/>
      </w:tblGrid>
      <w:tr w14:paraId="570F0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56" w:hRule="atLeast"/>
          <w:jc w:val="center"/>
        </w:trPr>
        <w:tc>
          <w:tcPr>
            <w:tcW w:w="1344" w:type="dxa"/>
            <w:vAlign w:val="center"/>
          </w:tcPr>
          <w:p w14:paraId="1504A93E">
            <w:pPr>
              <w:jc w:val="center"/>
              <w:rPr>
                <w:rFonts w:ascii="宋体" w:hAnsi="宋体"/>
                <w:b w:val="0"/>
                <w:color w:val="auto"/>
                <w:sz w:val="21"/>
                <w:szCs w:val="21"/>
              </w:rPr>
            </w:pPr>
            <w:r>
              <w:rPr>
                <w:rFonts w:hint="eastAsia" w:hAnsi="宋体" w:cs="宋体"/>
                <w:b w:val="0"/>
                <w:bCs/>
                <w:color w:val="auto"/>
                <w:sz w:val="21"/>
                <w:szCs w:val="21"/>
                <w:lang w:val="en-US" w:eastAsia="zh-CN"/>
              </w:rPr>
              <w:t>标段名称：</w:t>
            </w:r>
            <w:r>
              <w:rPr>
                <w:rFonts w:hint="eastAsia" w:ascii="宋体" w:hAnsi="宋体"/>
                <w:b w:val="0"/>
                <w:color w:val="auto"/>
                <w:sz w:val="21"/>
                <w:szCs w:val="21"/>
                <w:lang w:val="en-US" w:eastAsia="zh-CN"/>
              </w:rPr>
              <w:t>滇西应用技术大学普洱茶学院数智化校园建设项目</w:t>
            </w:r>
            <w:r>
              <w:rPr>
                <w:rFonts w:hint="eastAsia" w:ascii="宋体" w:hAnsi="宋体"/>
                <w:b w:val="0"/>
                <w:color w:val="auto"/>
                <w:sz w:val="21"/>
                <w:szCs w:val="21"/>
              </w:rPr>
              <w:t>序号</w:t>
            </w:r>
          </w:p>
        </w:tc>
        <w:tc>
          <w:tcPr>
            <w:tcW w:w="1713" w:type="dxa"/>
            <w:vAlign w:val="center"/>
          </w:tcPr>
          <w:p w14:paraId="27698983">
            <w:pPr>
              <w:jc w:val="center"/>
              <w:rPr>
                <w:rFonts w:ascii="宋体" w:hAnsi="宋体"/>
                <w:b w:val="0"/>
                <w:color w:val="auto"/>
                <w:sz w:val="21"/>
                <w:szCs w:val="21"/>
              </w:rPr>
            </w:pPr>
            <w:r>
              <w:rPr>
                <w:rFonts w:hint="eastAsia" w:ascii="宋体" w:hAnsi="宋体"/>
                <w:b w:val="0"/>
                <w:color w:val="auto"/>
                <w:sz w:val="21"/>
                <w:szCs w:val="21"/>
              </w:rPr>
              <w:t>招标文件页码及条目号</w:t>
            </w:r>
          </w:p>
        </w:tc>
        <w:tc>
          <w:tcPr>
            <w:tcW w:w="2496" w:type="dxa"/>
            <w:vAlign w:val="center"/>
          </w:tcPr>
          <w:p w14:paraId="20AA2804">
            <w:pPr>
              <w:jc w:val="center"/>
              <w:rPr>
                <w:rFonts w:ascii="宋体" w:hAnsi="宋体"/>
                <w:b w:val="0"/>
                <w:color w:val="auto"/>
                <w:sz w:val="21"/>
                <w:szCs w:val="21"/>
              </w:rPr>
            </w:pPr>
            <w:r>
              <w:rPr>
                <w:rFonts w:hint="eastAsia" w:ascii="宋体" w:hAnsi="宋体"/>
                <w:b w:val="0"/>
                <w:color w:val="auto"/>
                <w:sz w:val="21"/>
                <w:szCs w:val="21"/>
              </w:rPr>
              <w:t>招标文件的商务条款</w:t>
            </w:r>
          </w:p>
        </w:tc>
        <w:tc>
          <w:tcPr>
            <w:tcW w:w="2871" w:type="dxa"/>
            <w:vAlign w:val="center"/>
          </w:tcPr>
          <w:p w14:paraId="2674F296">
            <w:pPr>
              <w:jc w:val="center"/>
              <w:rPr>
                <w:rFonts w:ascii="宋体" w:hAnsi="宋体"/>
                <w:b w:val="0"/>
                <w:color w:val="auto"/>
                <w:sz w:val="21"/>
                <w:szCs w:val="21"/>
              </w:rPr>
            </w:pPr>
            <w:r>
              <w:rPr>
                <w:rFonts w:hint="eastAsia" w:ascii="宋体" w:hAnsi="宋体"/>
                <w:b w:val="0"/>
                <w:color w:val="auto"/>
                <w:sz w:val="21"/>
                <w:szCs w:val="21"/>
              </w:rPr>
              <w:t>投标文件的商务条款</w:t>
            </w:r>
          </w:p>
        </w:tc>
        <w:tc>
          <w:tcPr>
            <w:tcW w:w="1338" w:type="dxa"/>
            <w:vAlign w:val="center"/>
          </w:tcPr>
          <w:p w14:paraId="337DFBC0">
            <w:pPr>
              <w:jc w:val="center"/>
              <w:rPr>
                <w:rFonts w:ascii="宋体" w:hAnsi="宋体"/>
                <w:b w:val="0"/>
                <w:color w:val="auto"/>
                <w:sz w:val="21"/>
                <w:szCs w:val="21"/>
              </w:rPr>
            </w:pPr>
            <w:r>
              <w:rPr>
                <w:rFonts w:hint="eastAsia" w:ascii="宋体" w:hAnsi="宋体"/>
                <w:b w:val="0"/>
                <w:color w:val="auto"/>
                <w:sz w:val="21"/>
                <w:szCs w:val="21"/>
              </w:rPr>
              <w:t>响应情况说明</w:t>
            </w:r>
          </w:p>
        </w:tc>
      </w:tr>
      <w:tr w14:paraId="59BF1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52" w:hRule="atLeast"/>
          <w:jc w:val="center"/>
        </w:trPr>
        <w:tc>
          <w:tcPr>
            <w:tcW w:w="1344" w:type="dxa"/>
          </w:tcPr>
          <w:p w14:paraId="1264DBA0">
            <w:pPr>
              <w:rPr>
                <w:rFonts w:ascii="宋体" w:hAnsi="宋体"/>
                <w:color w:val="auto"/>
                <w:sz w:val="21"/>
                <w:szCs w:val="21"/>
              </w:rPr>
            </w:pPr>
          </w:p>
        </w:tc>
        <w:tc>
          <w:tcPr>
            <w:tcW w:w="1713" w:type="dxa"/>
          </w:tcPr>
          <w:p w14:paraId="34864C91">
            <w:pPr>
              <w:rPr>
                <w:rFonts w:ascii="宋体" w:hAnsi="宋体"/>
                <w:color w:val="auto"/>
                <w:sz w:val="21"/>
                <w:szCs w:val="21"/>
              </w:rPr>
            </w:pPr>
          </w:p>
        </w:tc>
        <w:tc>
          <w:tcPr>
            <w:tcW w:w="2496" w:type="dxa"/>
          </w:tcPr>
          <w:p w14:paraId="5D911914">
            <w:pPr>
              <w:rPr>
                <w:rFonts w:ascii="宋体" w:hAnsi="宋体"/>
                <w:color w:val="auto"/>
                <w:sz w:val="21"/>
                <w:szCs w:val="21"/>
              </w:rPr>
            </w:pPr>
          </w:p>
        </w:tc>
        <w:tc>
          <w:tcPr>
            <w:tcW w:w="2871" w:type="dxa"/>
          </w:tcPr>
          <w:p w14:paraId="1D3F3D78">
            <w:pPr>
              <w:rPr>
                <w:rFonts w:ascii="宋体" w:hAnsi="宋体"/>
                <w:color w:val="auto"/>
                <w:sz w:val="21"/>
                <w:szCs w:val="21"/>
              </w:rPr>
            </w:pPr>
          </w:p>
        </w:tc>
        <w:tc>
          <w:tcPr>
            <w:tcW w:w="1338" w:type="dxa"/>
          </w:tcPr>
          <w:p w14:paraId="22BA09BC">
            <w:pPr>
              <w:rPr>
                <w:rFonts w:ascii="宋体" w:hAnsi="宋体"/>
                <w:color w:val="auto"/>
                <w:sz w:val="21"/>
                <w:szCs w:val="21"/>
              </w:rPr>
            </w:pPr>
          </w:p>
        </w:tc>
      </w:tr>
      <w:tr w14:paraId="79446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4" w:hRule="atLeast"/>
          <w:jc w:val="center"/>
        </w:trPr>
        <w:tc>
          <w:tcPr>
            <w:tcW w:w="1344" w:type="dxa"/>
          </w:tcPr>
          <w:p w14:paraId="08794611">
            <w:pPr>
              <w:rPr>
                <w:rFonts w:ascii="宋体" w:hAnsi="宋体"/>
                <w:color w:val="auto"/>
                <w:sz w:val="21"/>
                <w:szCs w:val="21"/>
              </w:rPr>
            </w:pPr>
          </w:p>
        </w:tc>
        <w:tc>
          <w:tcPr>
            <w:tcW w:w="1713" w:type="dxa"/>
          </w:tcPr>
          <w:p w14:paraId="6C2EA500">
            <w:pPr>
              <w:rPr>
                <w:rFonts w:ascii="宋体" w:hAnsi="宋体"/>
                <w:color w:val="auto"/>
                <w:sz w:val="21"/>
                <w:szCs w:val="21"/>
              </w:rPr>
            </w:pPr>
          </w:p>
        </w:tc>
        <w:tc>
          <w:tcPr>
            <w:tcW w:w="2496" w:type="dxa"/>
          </w:tcPr>
          <w:p w14:paraId="057A300E">
            <w:pPr>
              <w:rPr>
                <w:rFonts w:ascii="宋体" w:hAnsi="宋体"/>
                <w:color w:val="auto"/>
                <w:sz w:val="21"/>
                <w:szCs w:val="21"/>
              </w:rPr>
            </w:pPr>
          </w:p>
        </w:tc>
        <w:tc>
          <w:tcPr>
            <w:tcW w:w="2871" w:type="dxa"/>
          </w:tcPr>
          <w:p w14:paraId="0031782F">
            <w:pPr>
              <w:pStyle w:val="34"/>
              <w:ind w:left="482"/>
              <w:rPr>
                <w:rFonts w:ascii="宋体" w:hAnsi="宋体"/>
                <w:color w:val="auto"/>
                <w:sz w:val="21"/>
                <w:szCs w:val="21"/>
              </w:rPr>
            </w:pPr>
          </w:p>
        </w:tc>
        <w:tc>
          <w:tcPr>
            <w:tcW w:w="1338" w:type="dxa"/>
          </w:tcPr>
          <w:p w14:paraId="113F9871">
            <w:pPr>
              <w:rPr>
                <w:rFonts w:ascii="宋体" w:hAnsi="宋体"/>
                <w:color w:val="auto"/>
                <w:sz w:val="21"/>
                <w:szCs w:val="21"/>
              </w:rPr>
            </w:pPr>
          </w:p>
        </w:tc>
      </w:tr>
      <w:tr w14:paraId="5CA7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52" w:hRule="atLeast"/>
          <w:jc w:val="center"/>
        </w:trPr>
        <w:tc>
          <w:tcPr>
            <w:tcW w:w="1344" w:type="dxa"/>
          </w:tcPr>
          <w:p w14:paraId="3F846D1E">
            <w:pPr>
              <w:rPr>
                <w:rFonts w:ascii="宋体" w:hAnsi="宋体"/>
                <w:color w:val="auto"/>
                <w:sz w:val="21"/>
                <w:szCs w:val="21"/>
              </w:rPr>
            </w:pPr>
          </w:p>
        </w:tc>
        <w:tc>
          <w:tcPr>
            <w:tcW w:w="1713" w:type="dxa"/>
          </w:tcPr>
          <w:p w14:paraId="2291C061">
            <w:pPr>
              <w:rPr>
                <w:rFonts w:ascii="宋体" w:hAnsi="宋体"/>
                <w:color w:val="auto"/>
                <w:sz w:val="21"/>
                <w:szCs w:val="21"/>
              </w:rPr>
            </w:pPr>
          </w:p>
        </w:tc>
        <w:tc>
          <w:tcPr>
            <w:tcW w:w="2496" w:type="dxa"/>
          </w:tcPr>
          <w:p w14:paraId="512827DB">
            <w:pPr>
              <w:rPr>
                <w:rFonts w:ascii="宋体" w:hAnsi="宋体"/>
                <w:color w:val="auto"/>
                <w:sz w:val="21"/>
                <w:szCs w:val="21"/>
              </w:rPr>
            </w:pPr>
          </w:p>
        </w:tc>
        <w:tc>
          <w:tcPr>
            <w:tcW w:w="2871" w:type="dxa"/>
          </w:tcPr>
          <w:p w14:paraId="7787B394">
            <w:pPr>
              <w:rPr>
                <w:rFonts w:ascii="宋体" w:hAnsi="宋体"/>
                <w:color w:val="auto"/>
                <w:sz w:val="21"/>
                <w:szCs w:val="21"/>
              </w:rPr>
            </w:pPr>
          </w:p>
        </w:tc>
        <w:tc>
          <w:tcPr>
            <w:tcW w:w="1338" w:type="dxa"/>
          </w:tcPr>
          <w:p w14:paraId="35F5A0B9">
            <w:pPr>
              <w:rPr>
                <w:rFonts w:ascii="宋体" w:hAnsi="宋体"/>
                <w:color w:val="auto"/>
                <w:sz w:val="21"/>
                <w:szCs w:val="21"/>
              </w:rPr>
            </w:pPr>
          </w:p>
        </w:tc>
      </w:tr>
      <w:tr w14:paraId="4CF89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52" w:hRule="atLeast"/>
          <w:jc w:val="center"/>
        </w:trPr>
        <w:tc>
          <w:tcPr>
            <w:tcW w:w="1344" w:type="dxa"/>
          </w:tcPr>
          <w:p w14:paraId="79A5F7CD">
            <w:pPr>
              <w:rPr>
                <w:rFonts w:ascii="宋体" w:hAnsi="宋体"/>
                <w:color w:val="auto"/>
                <w:sz w:val="21"/>
                <w:szCs w:val="21"/>
              </w:rPr>
            </w:pPr>
          </w:p>
        </w:tc>
        <w:tc>
          <w:tcPr>
            <w:tcW w:w="1713" w:type="dxa"/>
          </w:tcPr>
          <w:p w14:paraId="2E57E980">
            <w:pPr>
              <w:rPr>
                <w:rFonts w:ascii="宋体" w:hAnsi="宋体"/>
                <w:color w:val="auto"/>
                <w:sz w:val="21"/>
                <w:szCs w:val="21"/>
              </w:rPr>
            </w:pPr>
          </w:p>
        </w:tc>
        <w:tc>
          <w:tcPr>
            <w:tcW w:w="2496" w:type="dxa"/>
          </w:tcPr>
          <w:p w14:paraId="02782343">
            <w:pPr>
              <w:rPr>
                <w:rFonts w:ascii="宋体" w:hAnsi="宋体"/>
                <w:color w:val="auto"/>
                <w:sz w:val="21"/>
                <w:szCs w:val="21"/>
              </w:rPr>
            </w:pPr>
          </w:p>
        </w:tc>
        <w:tc>
          <w:tcPr>
            <w:tcW w:w="2871" w:type="dxa"/>
          </w:tcPr>
          <w:p w14:paraId="4644B83C">
            <w:pPr>
              <w:rPr>
                <w:rFonts w:ascii="宋体" w:hAnsi="宋体"/>
                <w:color w:val="auto"/>
                <w:sz w:val="21"/>
                <w:szCs w:val="21"/>
              </w:rPr>
            </w:pPr>
          </w:p>
        </w:tc>
        <w:tc>
          <w:tcPr>
            <w:tcW w:w="1338" w:type="dxa"/>
          </w:tcPr>
          <w:p w14:paraId="4FAC474C">
            <w:pPr>
              <w:rPr>
                <w:rFonts w:ascii="宋体" w:hAnsi="宋体"/>
                <w:color w:val="auto"/>
                <w:sz w:val="21"/>
                <w:szCs w:val="21"/>
              </w:rPr>
            </w:pPr>
          </w:p>
        </w:tc>
      </w:tr>
      <w:tr w14:paraId="1786E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52" w:hRule="atLeast"/>
          <w:jc w:val="center"/>
        </w:trPr>
        <w:tc>
          <w:tcPr>
            <w:tcW w:w="1344" w:type="dxa"/>
          </w:tcPr>
          <w:p w14:paraId="414A25A6">
            <w:pPr>
              <w:rPr>
                <w:rFonts w:ascii="宋体" w:hAnsi="宋体"/>
                <w:color w:val="auto"/>
                <w:sz w:val="21"/>
                <w:szCs w:val="21"/>
              </w:rPr>
            </w:pPr>
          </w:p>
        </w:tc>
        <w:tc>
          <w:tcPr>
            <w:tcW w:w="1713" w:type="dxa"/>
          </w:tcPr>
          <w:p w14:paraId="164BCFC1">
            <w:pPr>
              <w:rPr>
                <w:rFonts w:ascii="宋体" w:hAnsi="宋体"/>
                <w:color w:val="auto"/>
                <w:sz w:val="21"/>
                <w:szCs w:val="21"/>
              </w:rPr>
            </w:pPr>
          </w:p>
        </w:tc>
        <w:tc>
          <w:tcPr>
            <w:tcW w:w="2496" w:type="dxa"/>
          </w:tcPr>
          <w:p w14:paraId="69756476">
            <w:pPr>
              <w:rPr>
                <w:rFonts w:ascii="宋体" w:hAnsi="宋体"/>
                <w:color w:val="auto"/>
                <w:sz w:val="21"/>
                <w:szCs w:val="21"/>
              </w:rPr>
            </w:pPr>
          </w:p>
        </w:tc>
        <w:tc>
          <w:tcPr>
            <w:tcW w:w="2871" w:type="dxa"/>
          </w:tcPr>
          <w:p w14:paraId="066D6EFD">
            <w:pPr>
              <w:rPr>
                <w:rFonts w:ascii="宋体" w:hAnsi="宋体"/>
                <w:color w:val="auto"/>
                <w:sz w:val="21"/>
                <w:szCs w:val="21"/>
              </w:rPr>
            </w:pPr>
          </w:p>
        </w:tc>
        <w:tc>
          <w:tcPr>
            <w:tcW w:w="1338" w:type="dxa"/>
          </w:tcPr>
          <w:p w14:paraId="3CD4AB6D">
            <w:pPr>
              <w:rPr>
                <w:rFonts w:ascii="宋体" w:hAnsi="宋体"/>
                <w:color w:val="auto"/>
                <w:sz w:val="21"/>
                <w:szCs w:val="21"/>
              </w:rPr>
            </w:pPr>
          </w:p>
        </w:tc>
      </w:tr>
    </w:tbl>
    <w:p w14:paraId="044A3B83">
      <w:pPr>
        <w:spacing w:line="360" w:lineRule="auto"/>
        <w:ind w:firstLine="2" w:firstLineChars="1"/>
        <w:rPr>
          <w:rFonts w:ascii="宋体" w:hAnsi="宋体"/>
          <w:bCs/>
          <w:color w:val="auto"/>
          <w:sz w:val="21"/>
          <w:szCs w:val="21"/>
        </w:rPr>
      </w:pPr>
    </w:p>
    <w:p w14:paraId="458CC834">
      <w:pPr>
        <w:spacing w:line="360" w:lineRule="auto"/>
        <w:ind w:firstLine="2" w:firstLineChars="1"/>
        <w:rPr>
          <w:rFonts w:ascii="宋体" w:hAnsi="宋体"/>
          <w:b w:val="0"/>
          <w:bCs w:val="0"/>
          <w:color w:val="auto"/>
          <w:sz w:val="21"/>
          <w:szCs w:val="21"/>
        </w:rPr>
      </w:pPr>
      <w:r>
        <w:rPr>
          <w:rFonts w:hint="eastAsia" w:ascii="宋体" w:hAnsi="宋体"/>
          <w:b w:val="0"/>
          <w:bCs w:val="0"/>
          <w:color w:val="auto"/>
          <w:sz w:val="21"/>
          <w:szCs w:val="21"/>
        </w:rPr>
        <w:t>注：1.表格中“序号”一列，投标人须逐条对应第三章《合同条款前附表》中商务条款的序号。</w:t>
      </w:r>
    </w:p>
    <w:p w14:paraId="35323F21">
      <w:pPr>
        <w:spacing w:line="360" w:lineRule="auto"/>
        <w:ind w:firstLine="420" w:firstLineChars="200"/>
        <w:rPr>
          <w:rFonts w:ascii="宋体" w:hAnsi="宋体"/>
          <w:b w:val="0"/>
          <w:bCs w:val="0"/>
          <w:color w:val="auto"/>
          <w:sz w:val="21"/>
          <w:szCs w:val="21"/>
        </w:rPr>
      </w:pPr>
      <w:r>
        <w:rPr>
          <w:rFonts w:hint="eastAsia" w:ascii="宋体" w:hAnsi="宋体"/>
          <w:b w:val="0"/>
          <w:bCs w:val="0"/>
          <w:color w:val="auto"/>
          <w:sz w:val="21"/>
          <w:szCs w:val="21"/>
        </w:rPr>
        <w:t>2.表格中“招标文件商务条款”一列，投标人须逐条对应第三章《合同条款前附表》中的商务条款。</w:t>
      </w:r>
    </w:p>
    <w:p w14:paraId="475304CB">
      <w:pPr>
        <w:spacing w:line="360" w:lineRule="auto"/>
        <w:ind w:left="418" w:leftChars="174"/>
        <w:rPr>
          <w:rFonts w:ascii="宋体" w:hAnsi="宋体"/>
          <w:b w:val="0"/>
          <w:bCs w:val="0"/>
          <w:color w:val="auto"/>
          <w:sz w:val="21"/>
          <w:szCs w:val="21"/>
        </w:rPr>
      </w:pPr>
      <w:r>
        <w:rPr>
          <w:rFonts w:hint="eastAsia" w:ascii="宋体" w:hAnsi="宋体"/>
          <w:b w:val="0"/>
          <w:bCs w:val="0"/>
          <w:color w:val="auto"/>
          <w:sz w:val="21"/>
          <w:szCs w:val="21"/>
        </w:rPr>
        <w:t>3.表格中“投标文件响应情况”一列，投标人须逐条对第三章《合同条款前附表》中的商务条款作出全面、真实的反映，若投标文件中响应情况与第三章《合同条款前附表》中的商务条款不符或无有效证明， 而投标人又未在投标文件中作出说明和解释的，评标委员会在评审时可以视为不响应该条商务条款的规定。</w:t>
      </w:r>
    </w:p>
    <w:p w14:paraId="36F69F6F">
      <w:pPr>
        <w:spacing w:line="360" w:lineRule="auto"/>
        <w:ind w:left="418" w:leftChars="174"/>
        <w:rPr>
          <w:rFonts w:ascii="宋体" w:hAnsi="宋体"/>
          <w:b w:val="0"/>
          <w:bCs w:val="0"/>
          <w:color w:val="auto"/>
          <w:sz w:val="21"/>
          <w:szCs w:val="21"/>
        </w:rPr>
      </w:pPr>
      <w:r>
        <w:rPr>
          <w:rFonts w:hint="eastAsia" w:ascii="宋体" w:hAnsi="宋体"/>
          <w:b w:val="0"/>
          <w:bCs w:val="0"/>
          <w:color w:val="auto"/>
          <w:sz w:val="21"/>
          <w:szCs w:val="21"/>
        </w:rPr>
        <w:t>4.表格中“偏离”一列，投标人只能如实填写“正偏离”、“负偏离”或“无偏离”。凡响应内容高于第三章《合同条款前附表》中的商务条款要求的，按“正偏离”填写；低于第三章《合同条款前附表》中的商务条款要求的，按“负偏离”填写；满足第三章《合同条款前附表》中的商务条款要求的，按“无偏离”填写。</w:t>
      </w:r>
    </w:p>
    <w:p w14:paraId="6C94B76B">
      <w:pPr>
        <w:spacing w:line="360" w:lineRule="auto"/>
        <w:ind w:firstLine="420" w:firstLineChars="200"/>
        <w:rPr>
          <w:rFonts w:hint="eastAsia" w:ascii="宋体" w:hAnsi="宋体"/>
          <w:b w:val="0"/>
          <w:bCs w:val="0"/>
          <w:color w:val="auto"/>
          <w:sz w:val="21"/>
          <w:szCs w:val="21"/>
        </w:rPr>
      </w:pPr>
      <w:r>
        <w:rPr>
          <w:rFonts w:hint="eastAsia" w:ascii="宋体" w:hAnsi="宋体"/>
          <w:b w:val="0"/>
          <w:bCs w:val="0"/>
          <w:color w:val="auto"/>
          <w:sz w:val="21"/>
          <w:szCs w:val="21"/>
        </w:rPr>
        <w:t>5.投标人可根据第三章《合同条款前附表》中的商务条款拓展本表，但不得改变格式。</w:t>
      </w:r>
    </w:p>
    <w:p w14:paraId="708E54C0">
      <w:pPr>
        <w:spacing w:line="360" w:lineRule="auto"/>
        <w:ind w:firstLine="2" w:firstLineChars="1"/>
        <w:rPr>
          <w:rFonts w:ascii="宋体" w:hAnsi="宋体"/>
          <w:color w:val="auto"/>
          <w:sz w:val="21"/>
          <w:szCs w:val="21"/>
        </w:rPr>
      </w:pPr>
    </w:p>
    <w:p w14:paraId="419B27BB">
      <w:pPr>
        <w:spacing w:line="360" w:lineRule="auto"/>
        <w:ind w:firstLine="2" w:firstLineChars="1"/>
        <w:rPr>
          <w:rFonts w:ascii="宋体" w:hAnsi="宋体"/>
          <w:color w:val="auto"/>
          <w:sz w:val="21"/>
          <w:szCs w:val="21"/>
        </w:rPr>
      </w:pPr>
      <w:r>
        <w:rPr>
          <w:rFonts w:hint="eastAsia" w:ascii="宋体" w:hAnsi="宋体"/>
          <w:color w:val="auto"/>
          <w:sz w:val="21"/>
          <w:szCs w:val="21"/>
        </w:rPr>
        <w:t>投标人(加盖公章)：</w:t>
      </w:r>
    </w:p>
    <w:p w14:paraId="260DA65E">
      <w:pPr>
        <w:spacing w:line="360" w:lineRule="auto"/>
        <w:ind w:firstLine="2" w:firstLineChars="1"/>
        <w:rPr>
          <w:rFonts w:ascii="宋体" w:hAnsi="宋体"/>
          <w:color w:val="auto"/>
          <w:sz w:val="21"/>
          <w:szCs w:val="21"/>
        </w:rPr>
      </w:pPr>
      <w:r>
        <w:rPr>
          <w:rFonts w:hint="eastAsia" w:ascii="宋体" w:hAnsi="宋体"/>
          <w:color w:val="auto"/>
          <w:sz w:val="21"/>
          <w:szCs w:val="21"/>
        </w:rPr>
        <w:t>法定代表人（签名或签章）：</w:t>
      </w:r>
    </w:p>
    <w:p w14:paraId="310A31D9">
      <w:pPr>
        <w:spacing w:line="360" w:lineRule="auto"/>
        <w:ind w:firstLine="2" w:firstLineChars="1"/>
        <w:rPr>
          <w:rFonts w:ascii="宋体" w:hAnsi="宋体"/>
          <w:color w:val="auto"/>
          <w:sz w:val="21"/>
          <w:szCs w:val="21"/>
        </w:rPr>
      </w:pPr>
      <w:r>
        <w:rPr>
          <w:rFonts w:hint="eastAsia" w:ascii="宋体" w:hAnsi="宋体"/>
          <w:color w:val="auto"/>
          <w:sz w:val="21"/>
          <w:szCs w:val="21"/>
        </w:rPr>
        <w:t>年月日</w:t>
      </w:r>
    </w:p>
    <w:p w14:paraId="52464217">
      <w:pPr>
        <w:widowControl/>
        <w:jc w:val="left"/>
        <w:rPr>
          <w:rFonts w:hint="eastAsia" w:ascii="宋体" w:hAnsi="宋体"/>
          <w:bCs/>
          <w:color w:val="auto"/>
          <w:sz w:val="28"/>
          <w:szCs w:val="28"/>
        </w:rPr>
        <w:sectPr>
          <w:footerReference r:id="rId15" w:type="default"/>
          <w:pgSz w:w="11906" w:h="16838"/>
          <w:pgMar w:top="1440" w:right="1080" w:bottom="1440" w:left="1080" w:header="720" w:footer="720" w:gutter="0"/>
          <w:cols w:space="708" w:num="1"/>
        </w:sectPr>
      </w:pPr>
      <w:r>
        <w:rPr>
          <w:rFonts w:hint="eastAsia" w:ascii="宋体" w:hAnsi="宋体"/>
          <w:color w:val="auto"/>
          <w:sz w:val="21"/>
          <w:szCs w:val="21"/>
          <w:u w:val="single"/>
        </w:rPr>
        <w:br w:type="page"/>
      </w:r>
    </w:p>
    <w:p w14:paraId="5E2AD4F1">
      <w:pPr>
        <w:widowControl/>
        <w:jc w:val="left"/>
        <w:rPr>
          <w:rFonts w:ascii="宋体" w:hAnsi="宋体"/>
          <w:bCs/>
          <w:color w:val="auto"/>
          <w:sz w:val="28"/>
          <w:szCs w:val="28"/>
        </w:rPr>
      </w:pPr>
      <w:r>
        <w:rPr>
          <w:rFonts w:hint="eastAsia" w:ascii="宋体" w:hAnsi="宋体"/>
          <w:bCs/>
          <w:color w:val="auto"/>
          <w:sz w:val="28"/>
          <w:szCs w:val="28"/>
        </w:rPr>
        <w:t>格式</w:t>
      </w:r>
      <w:r>
        <w:rPr>
          <w:rFonts w:hint="eastAsia" w:ascii="宋体" w:hAnsi="宋体"/>
          <w:bCs/>
          <w:color w:val="auto"/>
          <w:sz w:val="28"/>
          <w:szCs w:val="28"/>
          <w:lang w:val="en-US" w:eastAsia="zh-CN"/>
        </w:rPr>
        <w:t>13</w:t>
      </w:r>
      <w:r>
        <w:rPr>
          <w:rFonts w:hint="eastAsia" w:ascii="宋体" w:hAnsi="宋体"/>
          <w:bCs/>
          <w:color w:val="auto"/>
          <w:sz w:val="28"/>
          <w:szCs w:val="28"/>
        </w:rPr>
        <w:t>：</w:t>
      </w:r>
    </w:p>
    <w:p w14:paraId="0F178C9B">
      <w:pPr>
        <w:spacing w:line="600" w:lineRule="exact"/>
        <w:jc w:val="left"/>
        <w:rPr>
          <w:rFonts w:ascii="宋体" w:hAnsi="宋体"/>
          <w:b w:val="0"/>
          <w:color w:val="auto"/>
          <w:sz w:val="28"/>
          <w:szCs w:val="28"/>
        </w:rPr>
      </w:pPr>
    </w:p>
    <w:p w14:paraId="0BFD1D38">
      <w:pPr>
        <w:pStyle w:val="3"/>
        <w:jc w:val="center"/>
        <w:rPr>
          <w:rFonts w:ascii="宋体" w:hAnsi="宋体" w:cs="宋体"/>
          <w:color w:val="auto"/>
        </w:rPr>
      </w:pPr>
      <w:bookmarkStart w:id="473" w:name="_Toc576"/>
      <w:r>
        <w:rPr>
          <w:rFonts w:hint="eastAsia" w:ascii="宋体" w:hAnsi="宋体" w:cs="宋体"/>
          <w:color w:val="auto"/>
        </w:rPr>
        <w:t>质量保证书</w:t>
      </w:r>
      <w:bookmarkEnd w:id="473"/>
    </w:p>
    <w:p w14:paraId="52867147">
      <w:pPr>
        <w:spacing w:line="360" w:lineRule="auto"/>
        <w:rPr>
          <w:rFonts w:ascii="宋体" w:hAnsi="宋体"/>
          <w:color w:val="auto"/>
          <w:sz w:val="21"/>
          <w:szCs w:val="21"/>
        </w:rPr>
      </w:pPr>
      <w:r>
        <w:rPr>
          <w:rFonts w:hint="eastAsia" w:ascii="宋体" w:hAnsi="宋体"/>
          <w:color w:val="auto"/>
          <w:sz w:val="21"/>
          <w:szCs w:val="21"/>
        </w:rPr>
        <w:t>致：</w:t>
      </w:r>
      <w:r>
        <w:rPr>
          <w:rFonts w:hint="eastAsia" w:ascii="宋体" w:hAnsi="宋体"/>
          <w:color w:val="auto"/>
          <w:sz w:val="21"/>
          <w:szCs w:val="21"/>
          <w:u w:val="single"/>
        </w:rPr>
        <w:t>（</w:t>
      </w:r>
      <w:r>
        <w:rPr>
          <w:rFonts w:hint="eastAsia" w:ascii="宋体" w:hAnsi="宋体"/>
          <w:color w:val="auto"/>
          <w:sz w:val="21"/>
          <w:szCs w:val="21"/>
          <w:u w:val="single"/>
          <w:lang w:eastAsia="zh-CN"/>
        </w:rPr>
        <w:t>采购人</w:t>
      </w:r>
      <w:r>
        <w:rPr>
          <w:rFonts w:hint="eastAsia" w:ascii="宋体" w:hAnsi="宋体"/>
          <w:color w:val="auto"/>
          <w:sz w:val="21"/>
          <w:szCs w:val="21"/>
          <w:u w:val="single"/>
        </w:rPr>
        <w:t>）</w:t>
      </w:r>
    </w:p>
    <w:p w14:paraId="2647ABBC">
      <w:pPr>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本保证书作为</w:t>
      </w:r>
      <w:r>
        <w:rPr>
          <w:rFonts w:hint="eastAsia" w:ascii="宋体" w:hAnsi="宋体"/>
          <w:b w:val="0"/>
          <w:bCs/>
          <w:color w:val="auto"/>
          <w:sz w:val="21"/>
          <w:szCs w:val="21"/>
          <w:u w:val="single"/>
        </w:rPr>
        <w:t xml:space="preserve">   （投标人名称）   </w:t>
      </w:r>
      <w:r>
        <w:rPr>
          <w:rFonts w:hint="eastAsia" w:ascii="宋体" w:hAnsi="宋体"/>
          <w:b w:val="0"/>
          <w:bCs/>
          <w:color w:val="auto"/>
          <w:sz w:val="21"/>
          <w:szCs w:val="21"/>
        </w:rPr>
        <w:t>对</w:t>
      </w:r>
      <w:r>
        <w:rPr>
          <w:rFonts w:hint="eastAsia" w:ascii="宋体" w:hAnsi="宋体"/>
          <w:b w:val="0"/>
          <w:bCs/>
          <w:color w:val="auto"/>
          <w:sz w:val="21"/>
          <w:szCs w:val="21"/>
          <w:u w:val="single"/>
        </w:rPr>
        <w:t>(项目名称）</w:t>
      </w:r>
      <w:r>
        <w:rPr>
          <w:rFonts w:hint="eastAsia" w:ascii="宋体" w:hAnsi="宋体"/>
          <w:b w:val="0"/>
          <w:bCs/>
          <w:color w:val="auto"/>
          <w:sz w:val="21"/>
          <w:szCs w:val="21"/>
        </w:rPr>
        <w:t>（项目编号：</w:t>
      </w:r>
      <w:r>
        <w:rPr>
          <w:rFonts w:hint="eastAsia" w:ascii="宋体" w:hAnsi="宋体"/>
          <w:b w:val="0"/>
          <w:bCs/>
          <w:color w:val="auto"/>
          <w:sz w:val="21"/>
          <w:szCs w:val="21"/>
          <w:u w:val="single"/>
        </w:rPr>
        <w:t xml:space="preserve">               </w:t>
      </w:r>
      <w:r>
        <w:rPr>
          <w:rFonts w:hint="eastAsia" w:ascii="宋体" w:hAnsi="宋体"/>
          <w:b w:val="0"/>
          <w:bCs/>
          <w:color w:val="auto"/>
          <w:sz w:val="21"/>
          <w:szCs w:val="21"/>
        </w:rPr>
        <w:t>）公开招标提供的质量和服务的保证。</w:t>
      </w:r>
    </w:p>
    <w:p w14:paraId="142A78BE">
      <w:pPr>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我方承诺提供以下质量保证并承担相应的法律责任：</w:t>
      </w:r>
    </w:p>
    <w:p w14:paraId="214E121D">
      <w:pPr>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1. 提供的货物是全新的、符合国家质量标准、国家有关部门手续完备、具有生产厂家质量保证书（或合格证明）的设备；</w:t>
      </w:r>
    </w:p>
    <w:p w14:paraId="41CAB9D0">
      <w:pPr>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2. 提供的货物符合投标文件承诺和所签合同规定的技术要求；</w:t>
      </w:r>
    </w:p>
    <w:p w14:paraId="08423C9C">
      <w:pPr>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3. 保证“售后服务承诺”全部内容的满足；</w:t>
      </w:r>
    </w:p>
    <w:p w14:paraId="5B0E7A9C">
      <w:pPr>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4、按指定的地点统一交货，验收测试按国家相关的规定和标准执行，一次性通过验收。</w:t>
      </w:r>
    </w:p>
    <w:p w14:paraId="3B251335">
      <w:pPr>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5、涉及特种设备或国家有明确要求的采购内容须按相关规定执行。</w:t>
      </w:r>
    </w:p>
    <w:p w14:paraId="590ABE80">
      <w:pPr>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6. 对提供的货物，我单位承诺的性能保证如下：（请详细列明）</w:t>
      </w:r>
    </w:p>
    <w:p w14:paraId="4B2E7840">
      <w:pPr>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_______________________________________________________________________</w:t>
      </w:r>
    </w:p>
    <w:p w14:paraId="700604A9">
      <w:pPr>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_______________________________________________________________________</w:t>
      </w:r>
    </w:p>
    <w:p w14:paraId="16D72BBF">
      <w:pPr>
        <w:spacing w:line="360" w:lineRule="auto"/>
        <w:ind w:firstLine="420" w:firstLineChars="200"/>
        <w:rPr>
          <w:rFonts w:ascii="宋体" w:hAnsi="宋体"/>
          <w:b w:val="0"/>
          <w:bCs/>
          <w:color w:val="auto"/>
          <w:sz w:val="21"/>
          <w:szCs w:val="21"/>
        </w:rPr>
      </w:pPr>
      <w:r>
        <w:rPr>
          <w:rFonts w:hint="eastAsia" w:ascii="宋体" w:hAnsi="宋体"/>
          <w:b w:val="0"/>
          <w:bCs/>
          <w:color w:val="auto"/>
          <w:sz w:val="21"/>
          <w:szCs w:val="21"/>
        </w:rPr>
        <w:t>本保证书自开标之日起有效，如我方中标则至货物保质期满为止有效。</w:t>
      </w:r>
    </w:p>
    <w:p w14:paraId="2BA9D2D6">
      <w:pPr>
        <w:spacing w:line="360" w:lineRule="auto"/>
        <w:ind w:firstLine="422" w:firstLineChars="200"/>
        <w:rPr>
          <w:rFonts w:ascii="宋体" w:hAnsi="宋体"/>
          <w:color w:val="auto"/>
          <w:sz w:val="21"/>
          <w:szCs w:val="21"/>
        </w:rPr>
      </w:pPr>
    </w:p>
    <w:p w14:paraId="5618C67A">
      <w:pPr>
        <w:rPr>
          <w:rFonts w:ascii="宋体" w:hAnsi="宋体"/>
          <w:color w:val="auto"/>
          <w:sz w:val="21"/>
          <w:szCs w:val="21"/>
        </w:rPr>
      </w:pPr>
    </w:p>
    <w:p w14:paraId="5AC463D7">
      <w:pPr>
        <w:rPr>
          <w:rFonts w:ascii="宋体" w:hAnsi="宋体"/>
          <w:color w:val="auto"/>
          <w:sz w:val="21"/>
          <w:szCs w:val="21"/>
        </w:rPr>
      </w:pPr>
    </w:p>
    <w:p w14:paraId="69D614C1">
      <w:pPr>
        <w:spacing w:line="360" w:lineRule="auto"/>
        <w:ind w:firstLine="422" w:firstLineChars="200"/>
        <w:rPr>
          <w:rFonts w:ascii="宋体" w:hAnsi="宋体"/>
          <w:color w:val="auto"/>
          <w:sz w:val="21"/>
          <w:szCs w:val="21"/>
        </w:rPr>
      </w:pPr>
    </w:p>
    <w:p w14:paraId="0B39DAD6">
      <w:pPr>
        <w:spacing w:line="360" w:lineRule="auto"/>
        <w:ind w:firstLine="2" w:firstLineChars="1"/>
        <w:rPr>
          <w:rFonts w:ascii="宋体" w:hAnsi="宋体"/>
          <w:color w:val="auto"/>
          <w:sz w:val="21"/>
          <w:szCs w:val="21"/>
        </w:rPr>
      </w:pPr>
      <w:r>
        <w:rPr>
          <w:rFonts w:hint="eastAsia" w:ascii="宋体" w:hAnsi="宋体"/>
          <w:color w:val="auto"/>
          <w:sz w:val="21"/>
          <w:szCs w:val="21"/>
        </w:rPr>
        <w:t>投标人(加盖公章)：</w:t>
      </w:r>
    </w:p>
    <w:p w14:paraId="0160A22B">
      <w:pPr>
        <w:spacing w:line="360" w:lineRule="auto"/>
        <w:ind w:firstLine="2" w:firstLineChars="1"/>
        <w:rPr>
          <w:rFonts w:ascii="宋体" w:hAnsi="宋体"/>
          <w:color w:val="auto"/>
          <w:sz w:val="21"/>
          <w:szCs w:val="21"/>
        </w:rPr>
      </w:pPr>
      <w:r>
        <w:rPr>
          <w:rFonts w:hint="eastAsia" w:ascii="宋体" w:hAnsi="宋体"/>
          <w:color w:val="auto"/>
          <w:sz w:val="21"/>
          <w:szCs w:val="21"/>
        </w:rPr>
        <w:t>法定代表人（签名或签章）：</w:t>
      </w:r>
    </w:p>
    <w:p w14:paraId="4A7F6C4D">
      <w:pPr>
        <w:spacing w:line="360" w:lineRule="auto"/>
        <w:ind w:firstLine="2" w:firstLineChars="1"/>
        <w:rPr>
          <w:rFonts w:ascii="宋体" w:hAnsi="宋体"/>
          <w:color w:val="auto"/>
          <w:sz w:val="21"/>
          <w:szCs w:val="21"/>
        </w:rPr>
      </w:pPr>
      <w:r>
        <w:rPr>
          <w:rFonts w:hint="eastAsia" w:ascii="宋体" w:hAnsi="宋体"/>
          <w:color w:val="auto"/>
          <w:sz w:val="21"/>
          <w:szCs w:val="21"/>
        </w:rPr>
        <w:t>年月日</w:t>
      </w:r>
    </w:p>
    <w:p w14:paraId="1E7F74B3">
      <w:pPr>
        <w:spacing w:line="360" w:lineRule="auto"/>
        <w:ind w:firstLine="482" w:firstLineChars="200"/>
        <w:rPr>
          <w:rFonts w:ascii="宋体" w:hAnsi="宋体"/>
          <w:color w:val="auto"/>
        </w:rPr>
      </w:pPr>
    </w:p>
    <w:p w14:paraId="43EEBD30">
      <w:pPr>
        <w:spacing w:line="360" w:lineRule="auto"/>
        <w:jc w:val="left"/>
        <w:rPr>
          <w:rFonts w:ascii="宋体" w:hAnsi="宋体"/>
          <w:b w:val="0"/>
          <w:bCs/>
          <w:color w:val="auto"/>
          <w:sz w:val="32"/>
          <w:szCs w:val="32"/>
        </w:rPr>
      </w:pPr>
      <w:r>
        <w:rPr>
          <w:rFonts w:hint="eastAsia" w:ascii="宋体" w:hAnsi="宋体"/>
          <w:color w:val="auto"/>
          <w:sz w:val="32"/>
          <w:szCs w:val="32"/>
        </w:rPr>
        <w:br w:type="page"/>
      </w:r>
      <w:r>
        <w:rPr>
          <w:rFonts w:hint="eastAsia" w:ascii="宋体" w:hAnsi="宋体"/>
          <w:color w:val="auto"/>
          <w:sz w:val="32"/>
          <w:szCs w:val="32"/>
        </w:rPr>
        <w:t>格式</w:t>
      </w:r>
      <w:r>
        <w:rPr>
          <w:rFonts w:hint="eastAsia" w:ascii="宋体" w:hAnsi="宋体"/>
          <w:color w:val="auto"/>
          <w:sz w:val="32"/>
          <w:szCs w:val="32"/>
          <w:lang w:val="en-US" w:eastAsia="zh-CN"/>
        </w:rPr>
        <w:t>14</w:t>
      </w:r>
      <w:r>
        <w:rPr>
          <w:rFonts w:hint="eastAsia" w:ascii="宋体" w:hAnsi="宋体"/>
          <w:color w:val="auto"/>
          <w:sz w:val="32"/>
          <w:szCs w:val="32"/>
        </w:rPr>
        <w:t>：</w:t>
      </w:r>
    </w:p>
    <w:p w14:paraId="27AB2FFA">
      <w:pPr>
        <w:spacing w:line="360" w:lineRule="auto"/>
        <w:jc w:val="center"/>
        <w:rPr>
          <w:rFonts w:hint="eastAsia" w:ascii="宋体" w:hAnsi="宋体" w:cs="宋体"/>
          <w:sz w:val="32"/>
          <w:szCs w:val="32"/>
          <w:highlight w:val="none"/>
        </w:rPr>
      </w:pPr>
      <w:r>
        <w:rPr>
          <w:rFonts w:hint="eastAsia" w:ascii="宋体" w:hAnsi="宋体" w:cs="宋体"/>
          <w:sz w:val="32"/>
          <w:szCs w:val="32"/>
          <w:highlight w:val="none"/>
        </w:rPr>
        <w:t>人员培训方案</w:t>
      </w:r>
    </w:p>
    <w:p w14:paraId="040D5DBB">
      <w:pPr>
        <w:spacing w:line="360" w:lineRule="auto"/>
        <w:jc w:val="center"/>
        <w:rPr>
          <w:rFonts w:ascii="宋体" w:hAnsi="宋体"/>
          <w:color w:val="auto"/>
          <w:sz w:val="21"/>
          <w:szCs w:val="21"/>
        </w:rPr>
      </w:pPr>
      <w:r>
        <w:rPr>
          <w:rFonts w:hint="eastAsia" w:ascii="宋体" w:hAnsi="宋体"/>
          <w:color w:val="auto"/>
          <w:sz w:val="21"/>
          <w:szCs w:val="21"/>
        </w:rPr>
        <w:t>（由投标人自行编写）</w:t>
      </w:r>
    </w:p>
    <w:p w14:paraId="50D7D189">
      <w:pPr>
        <w:spacing w:line="360" w:lineRule="auto"/>
        <w:rPr>
          <w:rFonts w:ascii="宋体" w:hAnsi="宋体"/>
          <w:color w:val="auto"/>
          <w:sz w:val="21"/>
          <w:szCs w:val="21"/>
        </w:rPr>
      </w:pPr>
    </w:p>
    <w:p w14:paraId="65B9AAB5">
      <w:pPr>
        <w:spacing w:line="360" w:lineRule="auto"/>
        <w:rPr>
          <w:rFonts w:ascii="宋体" w:hAnsi="宋体"/>
          <w:color w:val="auto"/>
          <w:sz w:val="21"/>
          <w:szCs w:val="21"/>
        </w:rPr>
      </w:pPr>
    </w:p>
    <w:p w14:paraId="30963DF9">
      <w:pPr>
        <w:spacing w:line="360" w:lineRule="auto"/>
        <w:rPr>
          <w:rFonts w:ascii="宋体" w:hAnsi="宋体"/>
          <w:color w:val="auto"/>
          <w:sz w:val="21"/>
          <w:szCs w:val="21"/>
        </w:rPr>
      </w:pPr>
    </w:p>
    <w:p w14:paraId="5D4E2F28">
      <w:pPr>
        <w:spacing w:line="360" w:lineRule="auto"/>
        <w:rPr>
          <w:rFonts w:ascii="宋体" w:hAnsi="宋体"/>
          <w:color w:val="auto"/>
          <w:sz w:val="21"/>
          <w:szCs w:val="21"/>
        </w:rPr>
      </w:pPr>
    </w:p>
    <w:p w14:paraId="09C3E337">
      <w:pPr>
        <w:spacing w:line="360" w:lineRule="auto"/>
        <w:rPr>
          <w:rFonts w:ascii="宋体" w:hAnsi="宋体"/>
          <w:color w:val="auto"/>
          <w:sz w:val="21"/>
          <w:szCs w:val="21"/>
        </w:rPr>
      </w:pPr>
    </w:p>
    <w:p w14:paraId="6F96C65B">
      <w:pPr>
        <w:spacing w:line="360" w:lineRule="auto"/>
        <w:rPr>
          <w:rFonts w:ascii="宋体" w:hAnsi="宋体"/>
          <w:color w:val="auto"/>
          <w:sz w:val="21"/>
          <w:szCs w:val="21"/>
        </w:rPr>
      </w:pPr>
    </w:p>
    <w:p w14:paraId="287993C5">
      <w:pPr>
        <w:spacing w:line="360" w:lineRule="auto"/>
        <w:rPr>
          <w:rFonts w:ascii="宋体" w:hAnsi="宋体"/>
          <w:color w:val="auto"/>
          <w:sz w:val="21"/>
          <w:szCs w:val="21"/>
        </w:rPr>
      </w:pPr>
    </w:p>
    <w:p w14:paraId="0DD41F3B">
      <w:pPr>
        <w:spacing w:line="360" w:lineRule="auto"/>
        <w:rPr>
          <w:rFonts w:ascii="宋体" w:hAnsi="宋体"/>
          <w:color w:val="auto"/>
          <w:sz w:val="21"/>
          <w:szCs w:val="21"/>
        </w:rPr>
      </w:pPr>
    </w:p>
    <w:p w14:paraId="660902F8">
      <w:pPr>
        <w:spacing w:line="360" w:lineRule="auto"/>
        <w:rPr>
          <w:rFonts w:ascii="宋体" w:hAnsi="宋体"/>
          <w:color w:val="auto"/>
          <w:sz w:val="21"/>
          <w:szCs w:val="21"/>
        </w:rPr>
      </w:pPr>
    </w:p>
    <w:p w14:paraId="3384BDD3">
      <w:pPr>
        <w:spacing w:line="360" w:lineRule="auto"/>
        <w:rPr>
          <w:rFonts w:ascii="宋体" w:hAnsi="宋体"/>
          <w:color w:val="auto"/>
          <w:sz w:val="21"/>
          <w:szCs w:val="21"/>
        </w:rPr>
      </w:pPr>
    </w:p>
    <w:p w14:paraId="7FDA4DBB">
      <w:pPr>
        <w:spacing w:line="360" w:lineRule="auto"/>
        <w:ind w:firstLine="2" w:firstLineChars="1"/>
        <w:rPr>
          <w:rFonts w:ascii="宋体" w:hAnsi="宋体"/>
          <w:color w:val="auto"/>
          <w:sz w:val="21"/>
          <w:szCs w:val="21"/>
        </w:rPr>
      </w:pPr>
      <w:r>
        <w:rPr>
          <w:rFonts w:hint="eastAsia" w:ascii="宋体" w:hAnsi="宋体"/>
          <w:color w:val="auto"/>
          <w:sz w:val="21"/>
          <w:szCs w:val="21"/>
        </w:rPr>
        <w:t>投标人(加盖公章)：</w:t>
      </w:r>
    </w:p>
    <w:p w14:paraId="28394D4D">
      <w:pPr>
        <w:spacing w:line="360" w:lineRule="auto"/>
        <w:ind w:firstLine="2" w:firstLineChars="1"/>
        <w:rPr>
          <w:rFonts w:ascii="宋体" w:hAnsi="宋体"/>
          <w:color w:val="auto"/>
          <w:sz w:val="21"/>
          <w:szCs w:val="21"/>
        </w:rPr>
      </w:pPr>
      <w:r>
        <w:rPr>
          <w:rFonts w:hint="eastAsia" w:ascii="宋体" w:hAnsi="宋体"/>
          <w:color w:val="auto"/>
          <w:sz w:val="21"/>
          <w:szCs w:val="21"/>
        </w:rPr>
        <w:t>法定代表人（签名或签章）：</w:t>
      </w:r>
    </w:p>
    <w:p w14:paraId="478DFA47">
      <w:pPr>
        <w:spacing w:line="360" w:lineRule="auto"/>
        <w:ind w:firstLine="2" w:firstLineChars="1"/>
        <w:rPr>
          <w:rFonts w:ascii="宋体" w:hAnsi="宋体"/>
          <w:color w:val="auto"/>
          <w:sz w:val="21"/>
          <w:szCs w:val="21"/>
        </w:rPr>
      </w:pPr>
      <w:r>
        <w:rPr>
          <w:rFonts w:hint="eastAsia" w:ascii="宋体" w:hAnsi="宋体"/>
          <w:color w:val="auto"/>
          <w:sz w:val="21"/>
          <w:szCs w:val="21"/>
        </w:rPr>
        <w:t>年月日</w:t>
      </w:r>
    </w:p>
    <w:p w14:paraId="653899C9">
      <w:pPr>
        <w:widowControl/>
        <w:jc w:val="left"/>
        <w:rPr>
          <w:rFonts w:ascii="宋体" w:hAnsi="宋体"/>
          <w:color w:val="auto"/>
          <w:sz w:val="21"/>
          <w:szCs w:val="21"/>
        </w:rPr>
      </w:pPr>
      <w:r>
        <w:rPr>
          <w:rFonts w:hint="eastAsia" w:ascii="宋体" w:hAnsi="宋体"/>
          <w:color w:val="auto"/>
          <w:sz w:val="21"/>
          <w:szCs w:val="21"/>
        </w:rPr>
        <w:br w:type="page"/>
      </w:r>
    </w:p>
    <w:p w14:paraId="57E35D6A">
      <w:pPr>
        <w:spacing w:line="360" w:lineRule="auto"/>
        <w:jc w:val="left"/>
        <w:rPr>
          <w:rFonts w:ascii="宋体" w:hAnsi="宋体"/>
          <w:color w:val="auto"/>
          <w:sz w:val="32"/>
          <w:szCs w:val="32"/>
        </w:rPr>
      </w:pPr>
      <w:r>
        <w:rPr>
          <w:rFonts w:hint="eastAsia" w:ascii="宋体" w:hAnsi="宋体"/>
          <w:color w:val="auto"/>
          <w:sz w:val="32"/>
          <w:szCs w:val="32"/>
        </w:rPr>
        <w:t>格式1</w:t>
      </w:r>
      <w:r>
        <w:rPr>
          <w:rFonts w:hint="eastAsia" w:ascii="宋体" w:hAnsi="宋体"/>
          <w:color w:val="auto"/>
          <w:sz w:val="32"/>
          <w:szCs w:val="32"/>
          <w:lang w:val="en-US" w:eastAsia="zh-CN"/>
        </w:rPr>
        <w:t>5</w:t>
      </w:r>
      <w:r>
        <w:rPr>
          <w:rFonts w:hint="eastAsia" w:ascii="宋体" w:hAnsi="宋体"/>
          <w:color w:val="auto"/>
          <w:sz w:val="32"/>
          <w:szCs w:val="32"/>
        </w:rPr>
        <w:t>：</w:t>
      </w:r>
    </w:p>
    <w:p w14:paraId="7AB7F862">
      <w:pPr>
        <w:pStyle w:val="3"/>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售后服务方案及保障措施</w:t>
      </w:r>
    </w:p>
    <w:p w14:paraId="3F802362">
      <w:pPr>
        <w:spacing w:line="360" w:lineRule="auto"/>
        <w:jc w:val="center"/>
        <w:rPr>
          <w:rFonts w:ascii="宋体" w:hAnsi="宋体"/>
          <w:color w:val="auto"/>
          <w:sz w:val="22"/>
          <w:szCs w:val="21"/>
        </w:rPr>
      </w:pPr>
      <w:r>
        <w:rPr>
          <w:rFonts w:hint="eastAsia" w:ascii="宋体" w:hAnsi="宋体"/>
          <w:color w:val="auto"/>
          <w:sz w:val="22"/>
          <w:szCs w:val="21"/>
        </w:rPr>
        <w:t>（由投标人自行编写）</w:t>
      </w:r>
    </w:p>
    <w:p w14:paraId="0B87EAAA">
      <w:pPr>
        <w:spacing w:line="360" w:lineRule="auto"/>
        <w:rPr>
          <w:rFonts w:ascii="宋体" w:hAnsi="宋体"/>
          <w:color w:val="auto"/>
        </w:rPr>
      </w:pPr>
    </w:p>
    <w:p w14:paraId="698D2D41">
      <w:pPr>
        <w:spacing w:line="360" w:lineRule="auto"/>
        <w:rPr>
          <w:rFonts w:ascii="宋体" w:hAnsi="宋体"/>
          <w:color w:val="auto"/>
        </w:rPr>
      </w:pPr>
    </w:p>
    <w:p w14:paraId="693C5B1B">
      <w:pPr>
        <w:spacing w:line="360" w:lineRule="auto"/>
        <w:rPr>
          <w:rFonts w:ascii="宋体" w:hAnsi="宋体"/>
          <w:color w:val="auto"/>
        </w:rPr>
      </w:pPr>
    </w:p>
    <w:p w14:paraId="476134FE">
      <w:pPr>
        <w:spacing w:line="360" w:lineRule="auto"/>
        <w:rPr>
          <w:rFonts w:ascii="宋体" w:hAnsi="宋体"/>
          <w:color w:val="auto"/>
        </w:rPr>
      </w:pPr>
    </w:p>
    <w:p w14:paraId="5A4DA55B">
      <w:pPr>
        <w:spacing w:line="360" w:lineRule="auto"/>
        <w:rPr>
          <w:rFonts w:ascii="宋体" w:hAnsi="宋体"/>
          <w:color w:val="auto"/>
        </w:rPr>
      </w:pPr>
    </w:p>
    <w:p w14:paraId="320F53DC">
      <w:pPr>
        <w:spacing w:line="360" w:lineRule="auto"/>
        <w:rPr>
          <w:rFonts w:ascii="宋体" w:hAnsi="宋体"/>
          <w:color w:val="auto"/>
        </w:rPr>
      </w:pPr>
    </w:p>
    <w:p w14:paraId="16A6F616">
      <w:pPr>
        <w:spacing w:line="360" w:lineRule="auto"/>
        <w:rPr>
          <w:rFonts w:ascii="宋体" w:hAnsi="宋体"/>
          <w:color w:val="auto"/>
        </w:rPr>
      </w:pPr>
    </w:p>
    <w:p w14:paraId="33884651">
      <w:pPr>
        <w:spacing w:line="360" w:lineRule="auto"/>
        <w:rPr>
          <w:rFonts w:ascii="宋体" w:hAnsi="宋体"/>
          <w:color w:val="auto"/>
        </w:rPr>
      </w:pPr>
    </w:p>
    <w:p w14:paraId="42A40B07">
      <w:pPr>
        <w:spacing w:line="360" w:lineRule="auto"/>
        <w:rPr>
          <w:rFonts w:ascii="宋体" w:hAnsi="宋体"/>
          <w:color w:val="auto"/>
        </w:rPr>
      </w:pPr>
    </w:p>
    <w:p w14:paraId="7B2E7AB8">
      <w:pPr>
        <w:spacing w:line="360" w:lineRule="auto"/>
        <w:rPr>
          <w:rFonts w:ascii="宋体" w:hAnsi="宋体"/>
          <w:color w:val="auto"/>
          <w:sz w:val="21"/>
          <w:szCs w:val="21"/>
        </w:rPr>
      </w:pPr>
    </w:p>
    <w:p w14:paraId="6584C567">
      <w:pPr>
        <w:spacing w:line="360" w:lineRule="auto"/>
        <w:ind w:firstLine="2" w:firstLineChars="1"/>
        <w:rPr>
          <w:rFonts w:ascii="宋体" w:hAnsi="宋体"/>
          <w:color w:val="auto"/>
          <w:sz w:val="21"/>
          <w:szCs w:val="21"/>
        </w:rPr>
      </w:pPr>
      <w:r>
        <w:rPr>
          <w:rFonts w:hint="eastAsia" w:ascii="宋体" w:hAnsi="宋体"/>
          <w:color w:val="auto"/>
          <w:sz w:val="21"/>
          <w:szCs w:val="21"/>
        </w:rPr>
        <w:t>投标人(加盖公章)：</w:t>
      </w:r>
    </w:p>
    <w:p w14:paraId="2BC7A337">
      <w:pPr>
        <w:spacing w:line="360" w:lineRule="auto"/>
        <w:ind w:firstLine="2" w:firstLineChars="1"/>
        <w:rPr>
          <w:rFonts w:ascii="宋体" w:hAnsi="宋体"/>
          <w:color w:val="auto"/>
          <w:sz w:val="21"/>
          <w:szCs w:val="21"/>
        </w:rPr>
      </w:pPr>
      <w:r>
        <w:rPr>
          <w:rFonts w:hint="eastAsia" w:ascii="宋体" w:hAnsi="宋体"/>
          <w:color w:val="auto"/>
          <w:sz w:val="21"/>
          <w:szCs w:val="21"/>
        </w:rPr>
        <w:t>法定代表人（签名或签章）：</w:t>
      </w:r>
    </w:p>
    <w:p w14:paraId="74A16DEE">
      <w:pPr>
        <w:spacing w:line="360" w:lineRule="auto"/>
        <w:ind w:firstLine="2" w:firstLineChars="1"/>
        <w:rPr>
          <w:rFonts w:ascii="宋体" w:hAnsi="宋体"/>
          <w:color w:val="auto"/>
          <w:sz w:val="21"/>
          <w:szCs w:val="21"/>
        </w:rPr>
      </w:pPr>
      <w:r>
        <w:rPr>
          <w:rFonts w:hint="eastAsia" w:ascii="宋体" w:hAnsi="宋体"/>
          <w:color w:val="auto"/>
          <w:sz w:val="21"/>
          <w:szCs w:val="21"/>
        </w:rPr>
        <w:t>年月日</w:t>
      </w:r>
    </w:p>
    <w:p w14:paraId="1B318130">
      <w:pPr>
        <w:spacing w:line="360" w:lineRule="auto"/>
        <w:jc w:val="left"/>
        <w:rPr>
          <w:rFonts w:ascii="宋体" w:hAnsi="宋体"/>
          <w:b w:val="0"/>
          <w:bCs/>
          <w:color w:val="auto"/>
          <w:sz w:val="32"/>
          <w:szCs w:val="32"/>
        </w:rPr>
        <w:sectPr>
          <w:footerReference r:id="rId16" w:type="default"/>
          <w:pgSz w:w="11906" w:h="16838"/>
          <w:pgMar w:top="1440" w:right="1080" w:bottom="1440" w:left="1080" w:header="720" w:footer="720" w:gutter="0"/>
          <w:cols w:space="708" w:num="1"/>
        </w:sectPr>
      </w:pPr>
    </w:p>
    <w:p w14:paraId="5135F8C5">
      <w:pPr>
        <w:spacing w:line="360" w:lineRule="auto"/>
        <w:jc w:val="left"/>
        <w:rPr>
          <w:rFonts w:ascii="宋体" w:hAnsi="宋体"/>
          <w:color w:val="auto"/>
          <w:sz w:val="32"/>
          <w:szCs w:val="32"/>
        </w:rPr>
      </w:pPr>
      <w:r>
        <w:rPr>
          <w:rFonts w:hint="eastAsia" w:ascii="宋体" w:hAnsi="宋体"/>
          <w:color w:val="auto"/>
          <w:sz w:val="32"/>
          <w:szCs w:val="32"/>
        </w:rPr>
        <w:t>格式1</w:t>
      </w:r>
      <w:r>
        <w:rPr>
          <w:rFonts w:hint="eastAsia" w:ascii="宋体" w:hAnsi="宋体"/>
          <w:color w:val="auto"/>
          <w:sz w:val="32"/>
          <w:szCs w:val="32"/>
          <w:lang w:val="en-US" w:eastAsia="zh-CN"/>
        </w:rPr>
        <w:t>6</w:t>
      </w:r>
      <w:r>
        <w:rPr>
          <w:rFonts w:hint="eastAsia" w:ascii="宋体" w:hAnsi="宋体"/>
          <w:color w:val="auto"/>
          <w:sz w:val="32"/>
          <w:szCs w:val="32"/>
        </w:rPr>
        <w:t>：</w:t>
      </w:r>
    </w:p>
    <w:p w14:paraId="44D44C7C">
      <w:pPr>
        <w:jc w:val="center"/>
        <w:rPr>
          <w:rFonts w:hint="eastAsia" w:ascii="宋体" w:hAnsi="宋体" w:eastAsia="宋体" w:cs="宋体"/>
          <w:b/>
          <w:color w:val="auto"/>
          <w:spacing w:val="40"/>
          <w:kern w:val="2"/>
          <w:sz w:val="32"/>
          <w:szCs w:val="24"/>
          <w:lang w:val="en-US" w:eastAsia="zh-CN" w:bidi="ar-SA"/>
        </w:rPr>
      </w:pPr>
      <w:r>
        <w:rPr>
          <w:rFonts w:hint="eastAsia" w:ascii="宋体" w:hAnsi="宋体" w:eastAsia="宋体" w:cs="宋体"/>
          <w:b/>
          <w:color w:val="auto"/>
          <w:spacing w:val="40"/>
          <w:kern w:val="2"/>
          <w:sz w:val="32"/>
          <w:szCs w:val="24"/>
          <w:lang w:val="en-US" w:eastAsia="zh-CN" w:bidi="ar-SA"/>
        </w:rPr>
        <w:t>质量保证</w:t>
      </w:r>
      <w:r>
        <w:rPr>
          <w:rFonts w:hint="eastAsia" w:ascii="宋体" w:hAnsi="宋体" w:cs="宋体"/>
          <w:b/>
          <w:color w:val="auto"/>
          <w:spacing w:val="40"/>
          <w:kern w:val="2"/>
          <w:sz w:val="32"/>
          <w:szCs w:val="24"/>
          <w:lang w:val="en-US" w:eastAsia="zh-CN" w:bidi="ar-SA"/>
        </w:rPr>
        <w:t>及承诺</w:t>
      </w:r>
    </w:p>
    <w:p w14:paraId="4DFE7458">
      <w:pPr>
        <w:spacing w:line="360" w:lineRule="auto"/>
        <w:jc w:val="center"/>
        <w:rPr>
          <w:rFonts w:ascii="宋体" w:hAnsi="宋体"/>
          <w:color w:val="auto"/>
          <w:sz w:val="22"/>
          <w:szCs w:val="21"/>
        </w:rPr>
      </w:pPr>
      <w:r>
        <w:rPr>
          <w:rFonts w:hint="eastAsia" w:ascii="宋体" w:hAnsi="宋体"/>
          <w:color w:val="auto"/>
          <w:sz w:val="22"/>
          <w:szCs w:val="21"/>
        </w:rPr>
        <w:t>（由投标人自行编写）</w:t>
      </w:r>
    </w:p>
    <w:p w14:paraId="599E7626">
      <w:pPr>
        <w:pStyle w:val="13"/>
        <w:rPr>
          <w:color w:val="auto"/>
        </w:rPr>
      </w:pPr>
    </w:p>
    <w:p w14:paraId="6826B17F">
      <w:pPr>
        <w:pStyle w:val="15"/>
        <w:rPr>
          <w:color w:val="auto"/>
        </w:rPr>
      </w:pPr>
    </w:p>
    <w:p w14:paraId="3264C6BC">
      <w:pPr>
        <w:rPr>
          <w:color w:val="auto"/>
        </w:rPr>
      </w:pPr>
    </w:p>
    <w:p w14:paraId="7C5E8A02">
      <w:pPr>
        <w:pStyle w:val="13"/>
        <w:rPr>
          <w:color w:val="auto"/>
        </w:rPr>
      </w:pPr>
    </w:p>
    <w:p w14:paraId="48F9F1AF">
      <w:pPr>
        <w:pStyle w:val="15"/>
        <w:rPr>
          <w:color w:val="auto"/>
        </w:rPr>
      </w:pPr>
    </w:p>
    <w:p w14:paraId="42561E4B">
      <w:pPr>
        <w:rPr>
          <w:color w:val="auto"/>
        </w:rPr>
      </w:pPr>
    </w:p>
    <w:p w14:paraId="55936318">
      <w:pPr>
        <w:pStyle w:val="13"/>
        <w:rPr>
          <w:color w:val="auto"/>
        </w:rPr>
      </w:pPr>
    </w:p>
    <w:p w14:paraId="7EA77472">
      <w:pPr>
        <w:pStyle w:val="15"/>
        <w:rPr>
          <w:color w:val="auto"/>
        </w:rPr>
      </w:pPr>
    </w:p>
    <w:p w14:paraId="4EB241B4">
      <w:pPr>
        <w:rPr>
          <w:color w:val="auto"/>
        </w:rPr>
      </w:pPr>
    </w:p>
    <w:p w14:paraId="0FE84AF4">
      <w:pPr>
        <w:pStyle w:val="13"/>
        <w:rPr>
          <w:color w:val="auto"/>
        </w:rPr>
      </w:pPr>
    </w:p>
    <w:p w14:paraId="129DF09B">
      <w:pPr>
        <w:pStyle w:val="15"/>
        <w:rPr>
          <w:color w:val="auto"/>
        </w:rPr>
      </w:pPr>
    </w:p>
    <w:p w14:paraId="26DBE7DA">
      <w:pPr>
        <w:rPr>
          <w:color w:val="auto"/>
        </w:rPr>
      </w:pPr>
    </w:p>
    <w:p w14:paraId="3FA1D9A7">
      <w:pPr>
        <w:pStyle w:val="13"/>
        <w:rPr>
          <w:color w:val="auto"/>
        </w:rPr>
      </w:pPr>
    </w:p>
    <w:p w14:paraId="79BF597D">
      <w:pPr>
        <w:pStyle w:val="15"/>
        <w:rPr>
          <w:color w:val="auto"/>
        </w:rPr>
      </w:pPr>
    </w:p>
    <w:p w14:paraId="77143220">
      <w:pPr>
        <w:rPr>
          <w:color w:val="auto"/>
        </w:rPr>
      </w:pPr>
    </w:p>
    <w:p w14:paraId="5A97E2F3">
      <w:pPr>
        <w:pStyle w:val="13"/>
        <w:rPr>
          <w:color w:val="auto"/>
        </w:rPr>
      </w:pPr>
    </w:p>
    <w:p w14:paraId="15BD89A4">
      <w:pPr>
        <w:rPr>
          <w:color w:val="auto"/>
        </w:rPr>
      </w:pPr>
    </w:p>
    <w:p w14:paraId="5613D2EF">
      <w:pPr>
        <w:pStyle w:val="13"/>
        <w:rPr>
          <w:color w:val="auto"/>
        </w:rPr>
      </w:pPr>
    </w:p>
    <w:p w14:paraId="30B9CED6">
      <w:pPr>
        <w:spacing w:line="360" w:lineRule="auto"/>
        <w:ind w:firstLine="2" w:firstLineChars="1"/>
        <w:rPr>
          <w:rFonts w:ascii="宋体" w:hAnsi="宋体"/>
          <w:color w:val="auto"/>
          <w:sz w:val="21"/>
          <w:szCs w:val="21"/>
        </w:rPr>
      </w:pPr>
      <w:r>
        <w:rPr>
          <w:rFonts w:hint="eastAsia" w:ascii="宋体" w:hAnsi="宋体"/>
          <w:color w:val="auto"/>
          <w:sz w:val="21"/>
          <w:szCs w:val="21"/>
        </w:rPr>
        <w:t>投标人(加盖公章)：</w:t>
      </w:r>
    </w:p>
    <w:p w14:paraId="27DAE908">
      <w:pPr>
        <w:spacing w:line="360" w:lineRule="auto"/>
        <w:ind w:firstLine="2" w:firstLineChars="1"/>
        <w:rPr>
          <w:rFonts w:ascii="宋体" w:hAnsi="宋体"/>
          <w:color w:val="auto"/>
          <w:sz w:val="21"/>
          <w:szCs w:val="21"/>
        </w:rPr>
      </w:pPr>
      <w:r>
        <w:rPr>
          <w:rFonts w:hint="eastAsia" w:ascii="宋体" w:hAnsi="宋体"/>
          <w:color w:val="auto"/>
          <w:sz w:val="21"/>
          <w:szCs w:val="21"/>
        </w:rPr>
        <w:t>法定代表人（签名或签章）：</w:t>
      </w:r>
    </w:p>
    <w:p w14:paraId="0E28588E">
      <w:pPr>
        <w:spacing w:line="360" w:lineRule="auto"/>
        <w:ind w:firstLine="2" w:firstLineChars="1"/>
        <w:rPr>
          <w:rFonts w:ascii="宋体" w:hAnsi="宋体"/>
          <w:color w:val="auto"/>
          <w:sz w:val="21"/>
          <w:szCs w:val="21"/>
        </w:rPr>
      </w:pPr>
      <w:r>
        <w:rPr>
          <w:rFonts w:hint="eastAsia" w:ascii="宋体" w:hAnsi="宋体"/>
          <w:color w:val="auto"/>
          <w:sz w:val="21"/>
          <w:szCs w:val="21"/>
        </w:rPr>
        <w:t>年月日</w:t>
      </w:r>
    </w:p>
    <w:p w14:paraId="61AEB98D">
      <w:pPr>
        <w:pStyle w:val="15"/>
        <w:rPr>
          <w:color w:val="auto"/>
        </w:rPr>
        <w:sectPr>
          <w:pgSz w:w="11906" w:h="16838"/>
          <w:pgMar w:top="1440" w:right="1080" w:bottom="1440" w:left="1080" w:header="720" w:footer="720" w:gutter="0"/>
          <w:cols w:space="708" w:num="1"/>
        </w:sectPr>
      </w:pPr>
    </w:p>
    <w:p w14:paraId="133B0537">
      <w:pPr>
        <w:spacing w:line="360" w:lineRule="auto"/>
        <w:jc w:val="left"/>
        <w:rPr>
          <w:rFonts w:ascii="宋体" w:hAnsi="宋体"/>
          <w:b w:val="0"/>
          <w:bCs/>
          <w:color w:val="auto"/>
          <w:sz w:val="32"/>
          <w:szCs w:val="32"/>
        </w:rPr>
      </w:pPr>
      <w:r>
        <w:rPr>
          <w:rFonts w:hint="eastAsia" w:ascii="宋体" w:hAnsi="宋体"/>
          <w:color w:val="auto"/>
          <w:sz w:val="32"/>
          <w:szCs w:val="32"/>
        </w:rPr>
        <w:t>格式1</w:t>
      </w:r>
      <w:r>
        <w:rPr>
          <w:rFonts w:hint="eastAsia" w:ascii="宋体" w:hAnsi="宋体"/>
          <w:color w:val="auto"/>
          <w:sz w:val="32"/>
          <w:szCs w:val="32"/>
          <w:lang w:val="en-US" w:eastAsia="zh-CN"/>
        </w:rPr>
        <w:t>7</w:t>
      </w:r>
      <w:r>
        <w:rPr>
          <w:rFonts w:hint="eastAsia" w:ascii="宋体" w:hAnsi="宋体"/>
          <w:color w:val="auto"/>
          <w:sz w:val="32"/>
          <w:szCs w:val="32"/>
        </w:rPr>
        <w:t>：</w:t>
      </w:r>
    </w:p>
    <w:p w14:paraId="3B69F7F1">
      <w:pPr>
        <w:spacing w:line="360" w:lineRule="auto"/>
        <w:jc w:val="center"/>
        <w:rPr>
          <w:rFonts w:hint="eastAsia" w:ascii="宋体" w:hAnsi="宋体"/>
          <w:color w:val="auto"/>
          <w:sz w:val="32"/>
          <w:szCs w:val="32"/>
          <w:lang w:val="en-US" w:eastAsia="zh-CN"/>
        </w:rPr>
      </w:pPr>
      <w:r>
        <w:rPr>
          <w:rFonts w:hint="eastAsia" w:ascii="宋体" w:hAnsi="宋体"/>
          <w:color w:val="auto"/>
          <w:sz w:val="32"/>
          <w:szCs w:val="32"/>
          <w:lang w:val="en-US" w:eastAsia="zh-CN"/>
        </w:rPr>
        <w:t>供货方案</w:t>
      </w:r>
    </w:p>
    <w:p w14:paraId="16106BE8">
      <w:pPr>
        <w:spacing w:line="360" w:lineRule="auto"/>
        <w:jc w:val="center"/>
        <w:rPr>
          <w:rFonts w:ascii="宋体" w:hAnsi="宋体"/>
          <w:color w:val="auto"/>
          <w:sz w:val="21"/>
          <w:szCs w:val="21"/>
        </w:rPr>
      </w:pPr>
      <w:r>
        <w:rPr>
          <w:rFonts w:hint="eastAsia" w:ascii="宋体" w:hAnsi="宋体"/>
          <w:color w:val="auto"/>
          <w:sz w:val="21"/>
          <w:szCs w:val="21"/>
        </w:rPr>
        <w:t>（由投标人自行编写）</w:t>
      </w:r>
    </w:p>
    <w:p w14:paraId="6027094A">
      <w:pPr>
        <w:spacing w:line="360" w:lineRule="auto"/>
        <w:rPr>
          <w:rFonts w:ascii="宋体" w:hAnsi="宋体"/>
          <w:color w:val="auto"/>
          <w:sz w:val="21"/>
          <w:szCs w:val="21"/>
        </w:rPr>
      </w:pPr>
    </w:p>
    <w:p w14:paraId="45BDA03A">
      <w:pPr>
        <w:spacing w:line="360" w:lineRule="auto"/>
        <w:rPr>
          <w:rFonts w:ascii="宋体" w:hAnsi="宋体"/>
          <w:color w:val="auto"/>
          <w:sz w:val="21"/>
          <w:szCs w:val="21"/>
        </w:rPr>
      </w:pPr>
    </w:p>
    <w:p w14:paraId="1FE567D1">
      <w:pPr>
        <w:spacing w:line="360" w:lineRule="auto"/>
        <w:rPr>
          <w:rFonts w:ascii="宋体" w:hAnsi="宋体"/>
          <w:color w:val="auto"/>
          <w:sz w:val="21"/>
          <w:szCs w:val="21"/>
        </w:rPr>
      </w:pPr>
    </w:p>
    <w:p w14:paraId="74C84033">
      <w:pPr>
        <w:spacing w:line="360" w:lineRule="auto"/>
        <w:rPr>
          <w:rFonts w:ascii="宋体" w:hAnsi="宋体"/>
          <w:color w:val="auto"/>
          <w:sz w:val="21"/>
          <w:szCs w:val="21"/>
        </w:rPr>
      </w:pPr>
    </w:p>
    <w:p w14:paraId="7FEC1BE8">
      <w:pPr>
        <w:spacing w:line="360" w:lineRule="auto"/>
        <w:rPr>
          <w:rFonts w:ascii="宋体" w:hAnsi="宋体"/>
          <w:color w:val="auto"/>
          <w:sz w:val="21"/>
          <w:szCs w:val="21"/>
        </w:rPr>
      </w:pPr>
    </w:p>
    <w:p w14:paraId="0F0BC8F2">
      <w:pPr>
        <w:spacing w:line="360" w:lineRule="auto"/>
        <w:rPr>
          <w:rFonts w:ascii="宋体" w:hAnsi="宋体"/>
          <w:color w:val="auto"/>
          <w:sz w:val="21"/>
          <w:szCs w:val="21"/>
        </w:rPr>
      </w:pPr>
    </w:p>
    <w:p w14:paraId="10DFAA2B">
      <w:pPr>
        <w:spacing w:line="360" w:lineRule="auto"/>
        <w:rPr>
          <w:rFonts w:ascii="宋体" w:hAnsi="宋体"/>
          <w:color w:val="auto"/>
          <w:sz w:val="21"/>
          <w:szCs w:val="21"/>
        </w:rPr>
      </w:pPr>
    </w:p>
    <w:p w14:paraId="454F2007">
      <w:pPr>
        <w:spacing w:line="360" w:lineRule="auto"/>
        <w:rPr>
          <w:rFonts w:ascii="宋体" w:hAnsi="宋体"/>
          <w:color w:val="auto"/>
          <w:sz w:val="21"/>
          <w:szCs w:val="21"/>
        </w:rPr>
      </w:pPr>
    </w:p>
    <w:p w14:paraId="4477E5BE">
      <w:pPr>
        <w:spacing w:line="360" w:lineRule="auto"/>
        <w:rPr>
          <w:rFonts w:ascii="宋体" w:hAnsi="宋体"/>
          <w:color w:val="auto"/>
          <w:sz w:val="21"/>
          <w:szCs w:val="21"/>
        </w:rPr>
      </w:pPr>
    </w:p>
    <w:p w14:paraId="4923A34E">
      <w:pPr>
        <w:spacing w:line="360" w:lineRule="auto"/>
        <w:ind w:firstLine="2" w:firstLineChars="1"/>
        <w:rPr>
          <w:rFonts w:ascii="宋体" w:hAnsi="宋体"/>
          <w:color w:val="auto"/>
          <w:sz w:val="21"/>
          <w:szCs w:val="21"/>
        </w:rPr>
      </w:pPr>
      <w:r>
        <w:rPr>
          <w:rFonts w:hint="eastAsia" w:ascii="宋体" w:hAnsi="宋体"/>
          <w:color w:val="auto"/>
          <w:sz w:val="21"/>
          <w:szCs w:val="21"/>
        </w:rPr>
        <w:t>投标人(加盖公章)：</w:t>
      </w:r>
    </w:p>
    <w:p w14:paraId="5F0378BF">
      <w:pPr>
        <w:spacing w:line="360" w:lineRule="auto"/>
        <w:ind w:firstLine="2" w:firstLineChars="1"/>
        <w:rPr>
          <w:rFonts w:ascii="宋体" w:hAnsi="宋体"/>
          <w:color w:val="auto"/>
          <w:sz w:val="21"/>
          <w:szCs w:val="21"/>
        </w:rPr>
      </w:pPr>
      <w:r>
        <w:rPr>
          <w:rFonts w:hint="eastAsia" w:ascii="宋体" w:hAnsi="宋体"/>
          <w:color w:val="auto"/>
          <w:sz w:val="21"/>
          <w:szCs w:val="21"/>
        </w:rPr>
        <w:t>法定代表人（签名或签章）：</w:t>
      </w:r>
    </w:p>
    <w:p w14:paraId="4177E2EC">
      <w:pPr>
        <w:spacing w:line="360" w:lineRule="auto"/>
        <w:ind w:firstLine="2" w:firstLineChars="1"/>
        <w:rPr>
          <w:rFonts w:ascii="宋体" w:hAnsi="宋体"/>
          <w:color w:val="auto"/>
          <w:sz w:val="21"/>
          <w:szCs w:val="21"/>
        </w:rPr>
      </w:pPr>
      <w:r>
        <w:rPr>
          <w:rFonts w:hint="eastAsia" w:ascii="宋体" w:hAnsi="宋体"/>
          <w:color w:val="auto"/>
          <w:sz w:val="21"/>
          <w:szCs w:val="21"/>
        </w:rPr>
        <w:t>年月日</w:t>
      </w:r>
    </w:p>
    <w:p w14:paraId="65333F87">
      <w:pPr>
        <w:spacing w:line="360" w:lineRule="auto"/>
        <w:ind w:firstLine="2" w:firstLineChars="1"/>
        <w:rPr>
          <w:rFonts w:ascii="宋体" w:hAnsi="宋体"/>
          <w:color w:val="auto"/>
          <w:szCs w:val="21"/>
        </w:rPr>
      </w:pPr>
      <w:r>
        <w:rPr>
          <w:rFonts w:hint="eastAsia" w:ascii="宋体" w:hAnsi="宋体"/>
          <w:color w:val="auto"/>
          <w:szCs w:val="21"/>
        </w:rPr>
        <w:br w:type="page"/>
      </w:r>
    </w:p>
    <w:p w14:paraId="1FAC9070">
      <w:pPr>
        <w:spacing w:line="360" w:lineRule="auto"/>
        <w:jc w:val="both"/>
        <w:rPr>
          <w:rFonts w:hint="default" w:ascii="宋体" w:hAnsi="宋体" w:eastAsia="宋体"/>
          <w:color w:val="auto"/>
          <w:sz w:val="32"/>
          <w:szCs w:val="32"/>
          <w:lang w:val="en-US" w:eastAsia="zh-CN"/>
        </w:rPr>
      </w:pPr>
      <w:r>
        <w:rPr>
          <w:rFonts w:hint="eastAsia" w:ascii="宋体" w:hAnsi="宋体"/>
          <w:color w:val="auto"/>
          <w:sz w:val="32"/>
          <w:szCs w:val="32"/>
        </w:rPr>
        <w:t>格式1</w:t>
      </w:r>
      <w:r>
        <w:rPr>
          <w:rFonts w:hint="eastAsia" w:ascii="宋体" w:hAnsi="宋体"/>
          <w:color w:val="auto"/>
          <w:sz w:val="32"/>
          <w:szCs w:val="32"/>
          <w:lang w:val="en-US" w:eastAsia="zh-CN"/>
        </w:rPr>
        <w:t>8</w:t>
      </w:r>
      <w:r>
        <w:rPr>
          <w:rFonts w:hint="eastAsia" w:ascii="宋体" w:hAnsi="宋体"/>
          <w:color w:val="auto"/>
          <w:sz w:val="32"/>
          <w:szCs w:val="32"/>
        </w:rPr>
        <w:t>：</w:t>
      </w:r>
      <w:r>
        <w:rPr>
          <w:rFonts w:hint="eastAsia" w:ascii="宋体" w:hAnsi="宋体"/>
          <w:color w:val="auto"/>
          <w:sz w:val="32"/>
          <w:szCs w:val="32"/>
          <w:lang w:val="en-US" w:eastAsia="zh-CN"/>
        </w:rPr>
        <w:t xml:space="preserve">                </w:t>
      </w:r>
      <w:r>
        <w:rPr>
          <w:rFonts w:hint="eastAsia" w:ascii="宋体" w:hAnsi="宋体"/>
          <w:b w:val="0"/>
          <w:bCs/>
          <w:color w:val="auto"/>
          <w:sz w:val="32"/>
          <w:szCs w:val="32"/>
          <w:lang w:val="en-US" w:eastAsia="zh-CN"/>
        </w:rPr>
        <w:t>对项目的理解</w:t>
      </w:r>
    </w:p>
    <w:p w14:paraId="6B50100A">
      <w:pPr>
        <w:spacing w:line="360" w:lineRule="auto"/>
        <w:jc w:val="center"/>
        <w:rPr>
          <w:rFonts w:ascii="宋体" w:hAnsi="宋体"/>
          <w:color w:val="auto"/>
          <w:sz w:val="21"/>
          <w:szCs w:val="21"/>
        </w:rPr>
      </w:pPr>
      <w:r>
        <w:rPr>
          <w:rFonts w:hint="eastAsia" w:ascii="宋体" w:hAnsi="宋体"/>
          <w:color w:val="auto"/>
          <w:sz w:val="21"/>
          <w:szCs w:val="21"/>
        </w:rPr>
        <w:t>（由投标人自行编写）</w:t>
      </w:r>
    </w:p>
    <w:p w14:paraId="390BC3E7">
      <w:pPr>
        <w:pStyle w:val="3"/>
        <w:keepNext/>
        <w:keepLines/>
        <w:pageBreakBefore w:val="0"/>
        <w:widowControl w:val="0"/>
        <w:kinsoku/>
        <w:wordWrap/>
        <w:overflowPunct/>
        <w:topLinePunct w:val="0"/>
        <w:autoSpaceDE/>
        <w:autoSpaceDN/>
        <w:bidi w:val="0"/>
        <w:adjustRightInd/>
        <w:snapToGrid/>
        <w:spacing w:after="0" w:afterLines="100"/>
        <w:jc w:val="left"/>
        <w:textAlignment w:val="auto"/>
        <w:rPr>
          <w:rFonts w:hint="eastAsia" w:ascii="宋体" w:hAnsi="宋体"/>
          <w:bCs/>
          <w:color w:val="auto"/>
          <w:sz w:val="28"/>
          <w:szCs w:val="28"/>
        </w:rPr>
      </w:pPr>
    </w:p>
    <w:p w14:paraId="759B6E96">
      <w:pPr>
        <w:rPr>
          <w:rFonts w:hint="eastAsia" w:ascii="宋体" w:hAnsi="宋体"/>
          <w:bCs/>
          <w:color w:val="auto"/>
          <w:sz w:val="28"/>
          <w:szCs w:val="28"/>
        </w:rPr>
      </w:pPr>
    </w:p>
    <w:p w14:paraId="66C78A4D">
      <w:pPr>
        <w:rPr>
          <w:rFonts w:hint="eastAsia" w:ascii="宋体" w:hAnsi="宋体"/>
          <w:bCs/>
          <w:color w:val="auto"/>
          <w:sz w:val="28"/>
          <w:szCs w:val="28"/>
        </w:rPr>
      </w:pPr>
    </w:p>
    <w:p w14:paraId="296E6CB9">
      <w:pPr>
        <w:rPr>
          <w:rFonts w:hint="eastAsia" w:ascii="宋体" w:hAnsi="宋体"/>
          <w:bCs/>
          <w:color w:val="auto"/>
          <w:sz w:val="28"/>
          <w:szCs w:val="28"/>
        </w:rPr>
      </w:pPr>
    </w:p>
    <w:p w14:paraId="6B3E35CD">
      <w:pPr>
        <w:rPr>
          <w:rFonts w:hint="eastAsia" w:ascii="宋体" w:hAnsi="宋体"/>
          <w:bCs/>
          <w:color w:val="auto"/>
          <w:sz w:val="28"/>
          <w:szCs w:val="28"/>
        </w:rPr>
      </w:pPr>
    </w:p>
    <w:p w14:paraId="6177A087">
      <w:pPr>
        <w:pStyle w:val="3"/>
        <w:keepNext/>
        <w:keepLines/>
        <w:pageBreakBefore w:val="0"/>
        <w:widowControl w:val="0"/>
        <w:kinsoku/>
        <w:wordWrap/>
        <w:overflowPunct/>
        <w:topLinePunct w:val="0"/>
        <w:autoSpaceDE/>
        <w:autoSpaceDN/>
        <w:bidi w:val="0"/>
        <w:adjustRightInd/>
        <w:snapToGrid/>
        <w:spacing w:after="0" w:afterLines="100"/>
        <w:jc w:val="left"/>
        <w:textAlignment w:val="auto"/>
        <w:rPr>
          <w:rFonts w:hint="eastAsia" w:ascii="宋体" w:hAnsi="宋体"/>
          <w:bCs/>
          <w:color w:val="auto"/>
          <w:sz w:val="28"/>
          <w:szCs w:val="28"/>
        </w:rPr>
      </w:pPr>
    </w:p>
    <w:p w14:paraId="73301EEA">
      <w:pPr>
        <w:pStyle w:val="3"/>
        <w:keepNext/>
        <w:keepLines/>
        <w:pageBreakBefore w:val="0"/>
        <w:widowControl w:val="0"/>
        <w:kinsoku/>
        <w:wordWrap/>
        <w:overflowPunct/>
        <w:topLinePunct w:val="0"/>
        <w:autoSpaceDE/>
        <w:autoSpaceDN/>
        <w:bidi w:val="0"/>
        <w:adjustRightInd/>
        <w:snapToGrid/>
        <w:spacing w:after="0" w:afterLines="100"/>
        <w:jc w:val="left"/>
        <w:textAlignment w:val="auto"/>
        <w:rPr>
          <w:rFonts w:hint="eastAsia" w:ascii="宋体" w:hAnsi="宋体"/>
          <w:bCs/>
          <w:color w:val="auto"/>
          <w:sz w:val="28"/>
          <w:szCs w:val="28"/>
        </w:rPr>
      </w:pPr>
    </w:p>
    <w:p w14:paraId="70E34203">
      <w:pPr>
        <w:pStyle w:val="3"/>
        <w:keepNext/>
        <w:keepLines/>
        <w:pageBreakBefore w:val="0"/>
        <w:widowControl w:val="0"/>
        <w:kinsoku/>
        <w:wordWrap/>
        <w:overflowPunct/>
        <w:topLinePunct w:val="0"/>
        <w:autoSpaceDE/>
        <w:autoSpaceDN/>
        <w:bidi w:val="0"/>
        <w:adjustRightInd/>
        <w:snapToGrid/>
        <w:spacing w:after="0" w:afterLines="100"/>
        <w:jc w:val="left"/>
        <w:textAlignment w:val="auto"/>
        <w:rPr>
          <w:rFonts w:hint="eastAsia" w:ascii="宋体" w:hAnsi="宋体"/>
          <w:bCs/>
          <w:color w:val="auto"/>
          <w:sz w:val="28"/>
          <w:szCs w:val="28"/>
        </w:rPr>
      </w:pPr>
    </w:p>
    <w:p w14:paraId="2DEBCF90">
      <w:pPr>
        <w:pStyle w:val="3"/>
        <w:keepNext/>
        <w:keepLines/>
        <w:pageBreakBefore w:val="0"/>
        <w:widowControl w:val="0"/>
        <w:kinsoku/>
        <w:wordWrap/>
        <w:overflowPunct/>
        <w:topLinePunct w:val="0"/>
        <w:autoSpaceDE/>
        <w:autoSpaceDN/>
        <w:bidi w:val="0"/>
        <w:adjustRightInd/>
        <w:snapToGrid/>
        <w:spacing w:after="0" w:afterLines="100"/>
        <w:jc w:val="left"/>
        <w:textAlignment w:val="auto"/>
        <w:rPr>
          <w:rFonts w:hint="eastAsia" w:ascii="宋体" w:hAnsi="宋体"/>
          <w:bCs/>
          <w:color w:val="auto"/>
          <w:sz w:val="28"/>
          <w:szCs w:val="28"/>
        </w:rPr>
      </w:pPr>
    </w:p>
    <w:p w14:paraId="0ACA4794">
      <w:pPr>
        <w:rPr>
          <w:rFonts w:hint="eastAsia" w:ascii="宋体" w:hAnsi="宋体"/>
          <w:bCs/>
          <w:color w:val="auto"/>
          <w:sz w:val="28"/>
          <w:szCs w:val="28"/>
        </w:rPr>
      </w:pPr>
    </w:p>
    <w:p w14:paraId="739706EC">
      <w:pPr>
        <w:rPr>
          <w:rFonts w:hint="eastAsia" w:ascii="宋体" w:hAnsi="宋体"/>
          <w:bCs/>
          <w:color w:val="auto"/>
          <w:sz w:val="28"/>
          <w:szCs w:val="28"/>
        </w:rPr>
      </w:pPr>
    </w:p>
    <w:p w14:paraId="376956F7">
      <w:pPr>
        <w:rPr>
          <w:rFonts w:hint="eastAsia" w:ascii="宋体" w:hAnsi="宋体"/>
          <w:bCs/>
          <w:color w:val="auto"/>
          <w:sz w:val="28"/>
          <w:szCs w:val="28"/>
        </w:rPr>
      </w:pPr>
    </w:p>
    <w:p w14:paraId="66EDF55C">
      <w:pPr>
        <w:rPr>
          <w:rFonts w:hint="eastAsia" w:ascii="宋体" w:hAnsi="宋体"/>
          <w:bCs/>
          <w:color w:val="auto"/>
          <w:sz w:val="28"/>
          <w:szCs w:val="28"/>
        </w:rPr>
      </w:pPr>
    </w:p>
    <w:p w14:paraId="60E85B3A">
      <w:pPr>
        <w:rPr>
          <w:rFonts w:hint="eastAsia" w:ascii="宋体" w:hAnsi="宋体"/>
          <w:bCs/>
          <w:color w:val="auto"/>
          <w:sz w:val="28"/>
          <w:szCs w:val="28"/>
        </w:rPr>
      </w:pPr>
    </w:p>
    <w:p w14:paraId="69C8FA13">
      <w:pPr>
        <w:rPr>
          <w:rFonts w:hint="eastAsia" w:ascii="宋体" w:hAnsi="宋体"/>
          <w:bCs/>
          <w:color w:val="auto"/>
          <w:sz w:val="28"/>
          <w:szCs w:val="28"/>
        </w:rPr>
      </w:pPr>
    </w:p>
    <w:p w14:paraId="09010E14">
      <w:pPr>
        <w:rPr>
          <w:rFonts w:hint="eastAsia" w:ascii="宋体" w:hAnsi="宋体"/>
          <w:bCs/>
          <w:color w:val="auto"/>
          <w:sz w:val="28"/>
          <w:szCs w:val="28"/>
        </w:rPr>
      </w:pPr>
    </w:p>
    <w:p w14:paraId="58082300">
      <w:pPr>
        <w:rPr>
          <w:rFonts w:hint="eastAsia" w:ascii="宋体" w:hAnsi="宋体"/>
          <w:bCs/>
          <w:color w:val="auto"/>
          <w:sz w:val="28"/>
          <w:szCs w:val="28"/>
        </w:rPr>
      </w:pPr>
    </w:p>
    <w:p w14:paraId="1534EA01">
      <w:pPr>
        <w:rPr>
          <w:rFonts w:hint="eastAsia" w:ascii="宋体" w:hAnsi="宋体"/>
          <w:bCs/>
          <w:color w:val="auto"/>
          <w:sz w:val="28"/>
          <w:szCs w:val="28"/>
        </w:rPr>
      </w:pPr>
    </w:p>
    <w:p w14:paraId="20073CC5">
      <w:pPr>
        <w:rPr>
          <w:rFonts w:hint="eastAsia" w:ascii="宋体" w:hAnsi="宋体"/>
          <w:bCs/>
          <w:color w:val="auto"/>
          <w:sz w:val="28"/>
          <w:szCs w:val="28"/>
        </w:rPr>
      </w:pPr>
    </w:p>
    <w:p w14:paraId="4AF0C921">
      <w:pPr>
        <w:rPr>
          <w:rFonts w:hint="eastAsia" w:ascii="宋体" w:hAnsi="宋体"/>
          <w:bCs/>
          <w:color w:val="auto"/>
          <w:sz w:val="28"/>
          <w:szCs w:val="28"/>
        </w:rPr>
      </w:pPr>
    </w:p>
    <w:p w14:paraId="271DF3B0">
      <w:pPr>
        <w:rPr>
          <w:rFonts w:hint="eastAsia" w:ascii="宋体" w:hAnsi="宋体"/>
          <w:bCs/>
          <w:color w:val="auto"/>
          <w:sz w:val="28"/>
          <w:szCs w:val="28"/>
        </w:rPr>
      </w:pPr>
    </w:p>
    <w:p w14:paraId="3068DCA4">
      <w:pPr>
        <w:rPr>
          <w:rFonts w:hint="eastAsia" w:ascii="宋体" w:hAnsi="宋体"/>
          <w:bCs/>
          <w:color w:val="auto"/>
          <w:sz w:val="28"/>
          <w:szCs w:val="28"/>
        </w:rPr>
      </w:pPr>
    </w:p>
    <w:p w14:paraId="0601C50C">
      <w:pPr>
        <w:pStyle w:val="3"/>
        <w:keepNext/>
        <w:keepLines/>
        <w:pageBreakBefore w:val="0"/>
        <w:widowControl w:val="0"/>
        <w:kinsoku/>
        <w:wordWrap/>
        <w:overflowPunct/>
        <w:topLinePunct w:val="0"/>
        <w:autoSpaceDE/>
        <w:autoSpaceDN/>
        <w:bidi w:val="0"/>
        <w:adjustRightInd/>
        <w:snapToGrid/>
        <w:spacing w:after="0" w:afterLines="100"/>
        <w:jc w:val="left"/>
        <w:textAlignment w:val="auto"/>
        <w:rPr>
          <w:rFonts w:hint="eastAsia" w:ascii="宋体" w:hAnsi="宋体"/>
          <w:bCs/>
          <w:color w:val="auto"/>
          <w:sz w:val="28"/>
          <w:szCs w:val="28"/>
        </w:rPr>
      </w:pPr>
    </w:p>
    <w:p w14:paraId="0991F885">
      <w:pPr>
        <w:rPr>
          <w:rFonts w:hint="eastAsia" w:ascii="宋体" w:hAnsi="宋体"/>
          <w:bCs/>
          <w:color w:val="auto"/>
          <w:sz w:val="28"/>
          <w:szCs w:val="28"/>
        </w:rPr>
      </w:pPr>
    </w:p>
    <w:p w14:paraId="668CEC22">
      <w:pPr>
        <w:rPr>
          <w:rFonts w:hint="eastAsia" w:ascii="宋体" w:hAnsi="宋体"/>
          <w:bCs/>
          <w:color w:val="auto"/>
          <w:sz w:val="28"/>
          <w:szCs w:val="28"/>
        </w:rPr>
      </w:pPr>
    </w:p>
    <w:p w14:paraId="3544FB17">
      <w:pPr>
        <w:pStyle w:val="3"/>
        <w:keepNext/>
        <w:keepLines/>
        <w:pageBreakBefore w:val="0"/>
        <w:widowControl w:val="0"/>
        <w:kinsoku/>
        <w:wordWrap/>
        <w:overflowPunct/>
        <w:topLinePunct w:val="0"/>
        <w:autoSpaceDE/>
        <w:autoSpaceDN/>
        <w:bidi w:val="0"/>
        <w:adjustRightInd/>
        <w:snapToGrid/>
        <w:spacing w:after="0" w:afterLines="100"/>
        <w:jc w:val="left"/>
        <w:textAlignment w:val="auto"/>
        <w:rPr>
          <w:rFonts w:hint="eastAsia" w:ascii="宋体" w:hAnsi="宋体" w:eastAsia="宋体" w:cs="宋体"/>
          <w:color w:val="auto"/>
        </w:rPr>
      </w:pPr>
      <w:r>
        <w:rPr>
          <w:rFonts w:hint="eastAsia" w:ascii="宋体" w:hAnsi="宋体"/>
          <w:bCs/>
          <w:color w:val="auto"/>
          <w:sz w:val="28"/>
          <w:szCs w:val="28"/>
        </w:rPr>
        <w:t>格式1</w:t>
      </w:r>
      <w:r>
        <w:rPr>
          <w:rFonts w:hint="eastAsia" w:ascii="宋体" w:hAnsi="宋体"/>
          <w:bCs/>
          <w:color w:val="auto"/>
          <w:sz w:val="28"/>
          <w:szCs w:val="28"/>
          <w:lang w:val="en-US" w:eastAsia="zh-CN"/>
        </w:rPr>
        <w:t>9</w:t>
      </w:r>
      <w:r>
        <w:rPr>
          <w:rFonts w:hint="eastAsia" w:ascii="宋体" w:hAnsi="宋体"/>
          <w:bCs/>
          <w:color w:val="auto"/>
          <w:sz w:val="28"/>
          <w:szCs w:val="28"/>
        </w:rPr>
        <w:t>：</w:t>
      </w:r>
    </w:p>
    <w:p w14:paraId="5F3676DE">
      <w:pPr>
        <w:pStyle w:val="3"/>
        <w:jc w:val="center"/>
        <w:outlineLvl w:val="2"/>
        <w:rPr>
          <w:rFonts w:ascii="宋体" w:hAnsi="宋体" w:cs="宋体"/>
          <w:color w:val="auto"/>
        </w:rPr>
      </w:pPr>
      <w:bookmarkStart w:id="474" w:name="_Toc19642"/>
      <w:bookmarkStart w:id="475" w:name="_Toc1498"/>
      <w:r>
        <w:rPr>
          <w:rFonts w:hint="eastAsia" w:ascii="宋体" w:hAnsi="宋体" w:cs="宋体"/>
          <w:color w:val="auto"/>
        </w:rPr>
        <w:t>节能、</w:t>
      </w:r>
      <w:r>
        <w:rPr>
          <w:rFonts w:hint="eastAsia" w:ascii="宋体" w:hAnsi="宋体" w:eastAsia="宋体" w:cs="宋体"/>
          <w:color w:val="auto"/>
          <w:lang w:eastAsia="zh-CN"/>
        </w:rPr>
        <w:t>环保</w:t>
      </w:r>
      <w:r>
        <w:rPr>
          <w:rFonts w:hint="eastAsia" w:ascii="宋体" w:hAnsi="宋体" w:cs="宋体"/>
          <w:color w:val="auto"/>
        </w:rPr>
        <w:t>标志产品</w:t>
      </w:r>
      <w:bookmarkEnd w:id="474"/>
      <w:bookmarkEnd w:id="475"/>
    </w:p>
    <w:tbl>
      <w:tblPr>
        <w:tblStyle w:val="35"/>
        <w:tblW w:w="91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2694"/>
        <w:gridCol w:w="1657"/>
        <w:gridCol w:w="2069"/>
        <w:gridCol w:w="1929"/>
      </w:tblGrid>
      <w:tr w14:paraId="4D027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793" w:type="dxa"/>
            <w:vAlign w:val="center"/>
          </w:tcPr>
          <w:p w14:paraId="3AB79061">
            <w:pPr>
              <w:spacing w:line="600" w:lineRule="exact"/>
              <w:jc w:val="center"/>
              <w:rPr>
                <w:rFonts w:ascii="宋体" w:hAnsi="宋体"/>
                <w:b w:val="0"/>
                <w:color w:val="auto"/>
                <w:sz w:val="21"/>
                <w:szCs w:val="21"/>
              </w:rPr>
            </w:pPr>
            <w:r>
              <w:rPr>
                <w:rFonts w:hint="eastAsia" w:ascii="宋体" w:hAnsi="宋体"/>
                <w:b w:val="0"/>
                <w:color w:val="auto"/>
                <w:sz w:val="21"/>
                <w:szCs w:val="21"/>
              </w:rPr>
              <w:t>序号</w:t>
            </w:r>
          </w:p>
        </w:tc>
        <w:tc>
          <w:tcPr>
            <w:tcW w:w="2694" w:type="dxa"/>
            <w:vAlign w:val="center"/>
          </w:tcPr>
          <w:p w14:paraId="2259DD2E">
            <w:pPr>
              <w:spacing w:line="600" w:lineRule="exact"/>
              <w:jc w:val="center"/>
              <w:rPr>
                <w:rFonts w:ascii="宋体" w:hAnsi="宋体"/>
                <w:b w:val="0"/>
                <w:color w:val="auto"/>
                <w:sz w:val="21"/>
                <w:szCs w:val="21"/>
              </w:rPr>
            </w:pPr>
            <w:r>
              <w:rPr>
                <w:rFonts w:hint="eastAsia" w:ascii="宋体" w:hAnsi="宋体"/>
                <w:b w:val="0"/>
                <w:color w:val="auto"/>
                <w:sz w:val="21"/>
                <w:szCs w:val="21"/>
                <w:lang w:bidi="ar"/>
              </w:rPr>
              <w:t>产品（项目）名称</w:t>
            </w:r>
          </w:p>
        </w:tc>
        <w:tc>
          <w:tcPr>
            <w:tcW w:w="1657" w:type="dxa"/>
            <w:vAlign w:val="center"/>
          </w:tcPr>
          <w:p w14:paraId="54DF0829">
            <w:pPr>
              <w:jc w:val="center"/>
              <w:rPr>
                <w:rFonts w:ascii="宋体" w:hAnsi="宋体"/>
                <w:b w:val="0"/>
                <w:color w:val="auto"/>
                <w:sz w:val="21"/>
                <w:szCs w:val="21"/>
              </w:rPr>
            </w:pPr>
            <w:r>
              <w:rPr>
                <w:rFonts w:hint="eastAsia" w:ascii="宋体" w:hAnsi="宋体"/>
                <w:b w:val="0"/>
                <w:color w:val="auto"/>
                <w:sz w:val="21"/>
                <w:szCs w:val="21"/>
              </w:rPr>
              <w:t>是否属于</w:t>
            </w:r>
          </w:p>
          <w:p w14:paraId="46FE2662">
            <w:pPr>
              <w:jc w:val="center"/>
              <w:rPr>
                <w:rFonts w:ascii="宋体" w:hAnsi="宋体"/>
                <w:b w:val="0"/>
                <w:color w:val="auto"/>
                <w:sz w:val="21"/>
                <w:szCs w:val="21"/>
              </w:rPr>
            </w:pPr>
            <w:r>
              <w:rPr>
                <w:rFonts w:hint="eastAsia" w:ascii="宋体" w:hAnsi="宋体"/>
                <w:b w:val="0"/>
                <w:color w:val="auto"/>
                <w:sz w:val="21"/>
                <w:szCs w:val="21"/>
              </w:rPr>
              <w:t>强制节能产品</w:t>
            </w:r>
          </w:p>
        </w:tc>
        <w:tc>
          <w:tcPr>
            <w:tcW w:w="2069" w:type="dxa"/>
            <w:vAlign w:val="center"/>
          </w:tcPr>
          <w:p w14:paraId="4C1BC819">
            <w:pPr>
              <w:jc w:val="center"/>
              <w:rPr>
                <w:rFonts w:ascii="宋体" w:hAnsi="宋体"/>
                <w:b w:val="0"/>
                <w:color w:val="auto"/>
                <w:sz w:val="21"/>
                <w:szCs w:val="21"/>
              </w:rPr>
            </w:pPr>
            <w:r>
              <w:rPr>
                <w:rFonts w:hint="eastAsia" w:ascii="宋体" w:hAnsi="宋体"/>
                <w:b w:val="0"/>
                <w:color w:val="auto"/>
                <w:sz w:val="21"/>
                <w:szCs w:val="21"/>
              </w:rPr>
              <w:t>是否属于</w:t>
            </w:r>
          </w:p>
          <w:p w14:paraId="5A43E0F9">
            <w:pPr>
              <w:jc w:val="center"/>
              <w:rPr>
                <w:rFonts w:ascii="宋体" w:hAnsi="宋体"/>
                <w:b w:val="0"/>
                <w:color w:val="auto"/>
                <w:sz w:val="21"/>
                <w:szCs w:val="21"/>
              </w:rPr>
            </w:pPr>
            <w:r>
              <w:rPr>
                <w:rFonts w:hint="eastAsia" w:ascii="宋体" w:hAnsi="宋体"/>
                <w:b w:val="0"/>
                <w:color w:val="auto"/>
                <w:sz w:val="21"/>
                <w:szCs w:val="21"/>
              </w:rPr>
              <w:t>节能产品</w:t>
            </w:r>
          </w:p>
        </w:tc>
        <w:tc>
          <w:tcPr>
            <w:tcW w:w="1929" w:type="dxa"/>
            <w:vAlign w:val="center"/>
          </w:tcPr>
          <w:p w14:paraId="45EDEE83">
            <w:pPr>
              <w:jc w:val="center"/>
              <w:rPr>
                <w:rFonts w:ascii="宋体" w:hAnsi="宋体"/>
                <w:b w:val="0"/>
                <w:color w:val="auto"/>
                <w:sz w:val="21"/>
                <w:szCs w:val="21"/>
              </w:rPr>
            </w:pPr>
            <w:r>
              <w:rPr>
                <w:rFonts w:hint="eastAsia" w:ascii="宋体" w:hAnsi="宋体"/>
                <w:b w:val="0"/>
                <w:color w:val="auto"/>
                <w:sz w:val="21"/>
                <w:szCs w:val="21"/>
              </w:rPr>
              <w:t>是否属于</w:t>
            </w:r>
          </w:p>
          <w:p w14:paraId="47858D6B">
            <w:pPr>
              <w:jc w:val="center"/>
              <w:rPr>
                <w:rFonts w:ascii="宋体" w:hAnsi="宋体"/>
                <w:b w:val="0"/>
                <w:color w:val="auto"/>
                <w:sz w:val="21"/>
                <w:szCs w:val="21"/>
              </w:rPr>
            </w:pPr>
            <w:r>
              <w:rPr>
                <w:rFonts w:hint="eastAsia" w:ascii="宋体" w:hAnsi="宋体"/>
                <w:b w:val="0"/>
                <w:color w:val="auto"/>
                <w:sz w:val="21"/>
                <w:szCs w:val="21"/>
              </w:rPr>
              <w:t>环境标志产品</w:t>
            </w:r>
          </w:p>
        </w:tc>
      </w:tr>
      <w:tr w14:paraId="57189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93" w:type="dxa"/>
          </w:tcPr>
          <w:p w14:paraId="62C2C37C">
            <w:pPr>
              <w:spacing w:line="600" w:lineRule="exact"/>
              <w:rPr>
                <w:rFonts w:ascii="宋体" w:hAnsi="宋体"/>
                <w:bCs/>
                <w:color w:val="auto"/>
                <w:sz w:val="21"/>
                <w:szCs w:val="21"/>
              </w:rPr>
            </w:pPr>
          </w:p>
        </w:tc>
        <w:tc>
          <w:tcPr>
            <w:tcW w:w="2694" w:type="dxa"/>
          </w:tcPr>
          <w:p w14:paraId="64ED0B6A">
            <w:pPr>
              <w:spacing w:line="600" w:lineRule="exact"/>
              <w:rPr>
                <w:rFonts w:ascii="宋体" w:hAnsi="宋体"/>
                <w:bCs/>
                <w:color w:val="auto"/>
                <w:sz w:val="21"/>
                <w:szCs w:val="21"/>
              </w:rPr>
            </w:pPr>
          </w:p>
        </w:tc>
        <w:tc>
          <w:tcPr>
            <w:tcW w:w="1657" w:type="dxa"/>
          </w:tcPr>
          <w:p w14:paraId="0D590540">
            <w:pPr>
              <w:spacing w:line="600" w:lineRule="exact"/>
              <w:rPr>
                <w:rFonts w:ascii="宋体" w:hAnsi="宋体"/>
                <w:bCs/>
                <w:color w:val="auto"/>
                <w:sz w:val="21"/>
                <w:szCs w:val="21"/>
              </w:rPr>
            </w:pPr>
          </w:p>
        </w:tc>
        <w:tc>
          <w:tcPr>
            <w:tcW w:w="2069" w:type="dxa"/>
          </w:tcPr>
          <w:p w14:paraId="02935AD3">
            <w:pPr>
              <w:spacing w:line="600" w:lineRule="exact"/>
              <w:rPr>
                <w:rFonts w:ascii="宋体" w:hAnsi="宋体"/>
                <w:bCs/>
                <w:color w:val="auto"/>
                <w:sz w:val="21"/>
                <w:szCs w:val="21"/>
              </w:rPr>
            </w:pPr>
          </w:p>
        </w:tc>
        <w:tc>
          <w:tcPr>
            <w:tcW w:w="1929" w:type="dxa"/>
          </w:tcPr>
          <w:p w14:paraId="190CBFEC">
            <w:pPr>
              <w:spacing w:line="600" w:lineRule="exact"/>
              <w:rPr>
                <w:rFonts w:ascii="宋体" w:hAnsi="宋体"/>
                <w:bCs/>
                <w:color w:val="auto"/>
                <w:sz w:val="21"/>
                <w:szCs w:val="21"/>
              </w:rPr>
            </w:pPr>
          </w:p>
        </w:tc>
      </w:tr>
      <w:tr w14:paraId="6D2A8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93" w:type="dxa"/>
          </w:tcPr>
          <w:p w14:paraId="136EAE83">
            <w:pPr>
              <w:spacing w:line="600" w:lineRule="exact"/>
              <w:rPr>
                <w:rFonts w:ascii="宋体" w:hAnsi="宋体"/>
                <w:bCs/>
                <w:color w:val="auto"/>
                <w:sz w:val="21"/>
                <w:szCs w:val="21"/>
              </w:rPr>
            </w:pPr>
          </w:p>
        </w:tc>
        <w:tc>
          <w:tcPr>
            <w:tcW w:w="2694" w:type="dxa"/>
          </w:tcPr>
          <w:p w14:paraId="6C8385A8">
            <w:pPr>
              <w:spacing w:line="600" w:lineRule="exact"/>
              <w:rPr>
                <w:rFonts w:ascii="宋体" w:hAnsi="宋体"/>
                <w:bCs/>
                <w:color w:val="auto"/>
                <w:sz w:val="21"/>
                <w:szCs w:val="21"/>
              </w:rPr>
            </w:pPr>
          </w:p>
        </w:tc>
        <w:tc>
          <w:tcPr>
            <w:tcW w:w="1657" w:type="dxa"/>
          </w:tcPr>
          <w:p w14:paraId="36FD267D">
            <w:pPr>
              <w:spacing w:line="600" w:lineRule="exact"/>
              <w:rPr>
                <w:rFonts w:ascii="宋体" w:hAnsi="宋体"/>
                <w:bCs/>
                <w:color w:val="auto"/>
                <w:sz w:val="21"/>
                <w:szCs w:val="21"/>
              </w:rPr>
            </w:pPr>
          </w:p>
        </w:tc>
        <w:tc>
          <w:tcPr>
            <w:tcW w:w="2069" w:type="dxa"/>
          </w:tcPr>
          <w:p w14:paraId="77BF6990">
            <w:pPr>
              <w:spacing w:line="600" w:lineRule="exact"/>
              <w:rPr>
                <w:rFonts w:ascii="宋体" w:hAnsi="宋体"/>
                <w:bCs/>
                <w:color w:val="auto"/>
                <w:sz w:val="21"/>
                <w:szCs w:val="21"/>
              </w:rPr>
            </w:pPr>
          </w:p>
        </w:tc>
        <w:tc>
          <w:tcPr>
            <w:tcW w:w="1929" w:type="dxa"/>
          </w:tcPr>
          <w:p w14:paraId="3F4422C6">
            <w:pPr>
              <w:spacing w:line="600" w:lineRule="exact"/>
              <w:rPr>
                <w:rFonts w:ascii="宋体" w:hAnsi="宋体"/>
                <w:bCs/>
                <w:color w:val="auto"/>
                <w:sz w:val="21"/>
                <w:szCs w:val="21"/>
              </w:rPr>
            </w:pPr>
          </w:p>
        </w:tc>
      </w:tr>
      <w:tr w14:paraId="64C57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93" w:type="dxa"/>
          </w:tcPr>
          <w:p w14:paraId="5DD9989F">
            <w:pPr>
              <w:spacing w:line="600" w:lineRule="exact"/>
              <w:rPr>
                <w:rFonts w:ascii="宋体" w:hAnsi="宋体"/>
                <w:bCs/>
                <w:color w:val="auto"/>
                <w:sz w:val="21"/>
                <w:szCs w:val="21"/>
              </w:rPr>
            </w:pPr>
          </w:p>
        </w:tc>
        <w:tc>
          <w:tcPr>
            <w:tcW w:w="2694" w:type="dxa"/>
          </w:tcPr>
          <w:p w14:paraId="2DE2272B">
            <w:pPr>
              <w:spacing w:line="600" w:lineRule="exact"/>
              <w:rPr>
                <w:rFonts w:ascii="宋体" w:hAnsi="宋体"/>
                <w:bCs/>
                <w:color w:val="auto"/>
                <w:sz w:val="21"/>
                <w:szCs w:val="21"/>
              </w:rPr>
            </w:pPr>
          </w:p>
        </w:tc>
        <w:tc>
          <w:tcPr>
            <w:tcW w:w="1657" w:type="dxa"/>
          </w:tcPr>
          <w:p w14:paraId="26B948F5">
            <w:pPr>
              <w:spacing w:line="600" w:lineRule="exact"/>
              <w:rPr>
                <w:rFonts w:ascii="宋体" w:hAnsi="宋体"/>
                <w:bCs/>
                <w:color w:val="auto"/>
                <w:sz w:val="21"/>
                <w:szCs w:val="21"/>
              </w:rPr>
            </w:pPr>
          </w:p>
        </w:tc>
        <w:tc>
          <w:tcPr>
            <w:tcW w:w="2069" w:type="dxa"/>
          </w:tcPr>
          <w:p w14:paraId="36A12161">
            <w:pPr>
              <w:spacing w:line="600" w:lineRule="exact"/>
              <w:rPr>
                <w:rFonts w:ascii="宋体" w:hAnsi="宋体"/>
                <w:bCs/>
                <w:color w:val="auto"/>
                <w:sz w:val="21"/>
                <w:szCs w:val="21"/>
              </w:rPr>
            </w:pPr>
          </w:p>
        </w:tc>
        <w:tc>
          <w:tcPr>
            <w:tcW w:w="1929" w:type="dxa"/>
          </w:tcPr>
          <w:p w14:paraId="415EBDB8">
            <w:pPr>
              <w:spacing w:line="600" w:lineRule="exact"/>
              <w:rPr>
                <w:rFonts w:ascii="宋体" w:hAnsi="宋体"/>
                <w:bCs/>
                <w:color w:val="auto"/>
                <w:sz w:val="21"/>
                <w:szCs w:val="21"/>
              </w:rPr>
            </w:pPr>
          </w:p>
        </w:tc>
      </w:tr>
    </w:tbl>
    <w:p w14:paraId="0CA1BB1B">
      <w:pPr>
        <w:spacing w:line="440" w:lineRule="exact"/>
        <w:ind w:firstLine="2" w:firstLineChars="1"/>
        <w:rPr>
          <w:rFonts w:ascii="宋体" w:hAnsi="宋体"/>
          <w:color w:val="auto"/>
          <w:sz w:val="21"/>
          <w:szCs w:val="21"/>
        </w:rPr>
      </w:pPr>
      <w:bookmarkStart w:id="476" w:name="_Toc29851"/>
    </w:p>
    <w:p w14:paraId="37A2521A">
      <w:pPr>
        <w:spacing w:line="440" w:lineRule="exact"/>
        <w:ind w:left="17" w:leftChars="7" w:firstLine="189" w:firstLineChars="90"/>
        <w:rPr>
          <w:rFonts w:ascii="宋体" w:hAnsi="宋体"/>
          <w:b w:val="0"/>
          <w:bCs/>
          <w:color w:val="auto"/>
          <w:sz w:val="21"/>
          <w:szCs w:val="21"/>
        </w:rPr>
      </w:pPr>
      <w:r>
        <w:rPr>
          <w:rFonts w:hint="eastAsia" w:ascii="宋体" w:hAnsi="宋体"/>
          <w:b w:val="0"/>
          <w:bCs/>
          <w:color w:val="auto"/>
          <w:sz w:val="21"/>
          <w:szCs w:val="21"/>
        </w:rPr>
        <w:t>注：</w:t>
      </w:r>
      <w:bookmarkEnd w:id="476"/>
      <w:bookmarkStart w:id="477" w:name="_Toc4700"/>
      <w:r>
        <w:rPr>
          <w:rFonts w:hint="eastAsia" w:ascii="宋体" w:hAnsi="宋体"/>
          <w:b w:val="0"/>
          <w:bCs/>
          <w:color w:val="auto"/>
          <w:sz w:val="21"/>
          <w:szCs w:val="21"/>
        </w:rPr>
        <w:t>1.产品属于《节能产品政府采购品目清单》中以“★”标注的政府强制采购产品，投标人须在投标文件中提供产品经国家确定的参与实施政府采购节能产品认证机构出具的、处于有效期之内的节能产品认证证书，若投标人在投标文件中未提供或未按要求提供产品经国家确定的参与实施政府采购节能产品认证机构出具的、处于有效期之内的节能产品认证证书，其投标文件按无效处理</w:t>
      </w:r>
      <w:bookmarkEnd w:id="477"/>
      <w:r>
        <w:rPr>
          <w:rFonts w:hint="eastAsia" w:ascii="宋体" w:hAnsi="宋体"/>
          <w:b w:val="0"/>
          <w:bCs/>
          <w:color w:val="auto"/>
          <w:sz w:val="21"/>
          <w:szCs w:val="21"/>
        </w:rPr>
        <w:t>。</w:t>
      </w:r>
    </w:p>
    <w:p w14:paraId="60887EA6">
      <w:pPr>
        <w:spacing w:line="440" w:lineRule="exact"/>
        <w:ind w:left="17" w:hanging="16" w:hangingChars="8"/>
        <w:rPr>
          <w:rFonts w:ascii="宋体" w:hAnsi="宋体"/>
          <w:b w:val="0"/>
          <w:bCs/>
          <w:color w:val="auto"/>
          <w:sz w:val="21"/>
          <w:szCs w:val="21"/>
        </w:rPr>
      </w:pPr>
      <w:bookmarkStart w:id="478" w:name="_Toc22205"/>
      <w:r>
        <w:rPr>
          <w:rFonts w:hint="eastAsia" w:ascii="宋体" w:hAnsi="宋体"/>
          <w:b w:val="0"/>
          <w:bCs/>
          <w:color w:val="auto"/>
          <w:sz w:val="21"/>
          <w:szCs w:val="21"/>
        </w:rPr>
        <w:t>2.产品属于《节能产品政府采购品目清单》中非政府强制采购产品，投标人需在投标文件中提供产品经国家确定的参与实施政府采购节能产品认证机构出具的、处于有效期之内的节能产品认证证书</w:t>
      </w:r>
      <w:bookmarkEnd w:id="478"/>
      <w:r>
        <w:rPr>
          <w:rFonts w:hint="eastAsia" w:ascii="宋体" w:hAnsi="宋体"/>
          <w:b w:val="0"/>
          <w:bCs/>
          <w:color w:val="auto"/>
          <w:sz w:val="21"/>
          <w:szCs w:val="21"/>
        </w:rPr>
        <w:t>。</w:t>
      </w:r>
    </w:p>
    <w:p w14:paraId="6039E745">
      <w:pPr>
        <w:spacing w:line="440" w:lineRule="exact"/>
        <w:ind w:left="-29" w:leftChars="-12" w:firstLine="27" w:firstLineChars="13"/>
        <w:rPr>
          <w:rFonts w:ascii="宋体" w:hAnsi="宋体"/>
          <w:b w:val="0"/>
          <w:bCs/>
          <w:color w:val="auto"/>
          <w:sz w:val="21"/>
          <w:szCs w:val="21"/>
        </w:rPr>
      </w:pPr>
      <w:bookmarkStart w:id="479" w:name="_Toc23959"/>
      <w:r>
        <w:rPr>
          <w:rFonts w:hint="eastAsia" w:ascii="宋体" w:hAnsi="宋体"/>
          <w:b w:val="0"/>
          <w:bCs/>
          <w:color w:val="auto"/>
          <w:sz w:val="21"/>
          <w:szCs w:val="21"/>
        </w:rPr>
        <w:t>3.产品属于《环境标志产品政府采购品目清单》中环境标志产品，投标人需在投标文件中提供产品经国家确定的参与实施政府采购环境标志产品认证机构出具的、处于有效期之内的 环境标志产品认证证书</w:t>
      </w:r>
      <w:bookmarkEnd w:id="479"/>
      <w:r>
        <w:rPr>
          <w:rFonts w:hint="eastAsia" w:ascii="宋体" w:hAnsi="宋体"/>
          <w:b w:val="0"/>
          <w:bCs/>
          <w:color w:val="auto"/>
          <w:sz w:val="21"/>
          <w:szCs w:val="21"/>
        </w:rPr>
        <w:t>。</w:t>
      </w:r>
    </w:p>
    <w:p w14:paraId="71858F8A">
      <w:pPr>
        <w:spacing w:line="440" w:lineRule="exact"/>
        <w:outlineLvl w:val="1"/>
        <w:rPr>
          <w:rFonts w:ascii="宋体" w:hAnsi="宋体"/>
          <w:b w:val="0"/>
          <w:bCs/>
          <w:color w:val="auto"/>
          <w:sz w:val="21"/>
          <w:szCs w:val="21"/>
        </w:rPr>
      </w:pPr>
      <w:bookmarkStart w:id="480" w:name="_Toc1604"/>
      <w:r>
        <w:rPr>
          <w:rFonts w:hint="eastAsia" w:ascii="宋体" w:hAnsi="宋体"/>
          <w:b w:val="0"/>
          <w:bCs/>
          <w:color w:val="auto"/>
          <w:sz w:val="21"/>
          <w:szCs w:val="21"/>
        </w:rPr>
        <w:t>4. 投标人可根据实际情况拓展本表。</w:t>
      </w:r>
      <w:bookmarkEnd w:id="480"/>
    </w:p>
    <w:p w14:paraId="7F247797">
      <w:pPr>
        <w:spacing w:line="360" w:lineRule="auto"/>
        <w:ind w:firstLine="2" w:firstLineChars="1"/>
        <w:rPr>
          <w:rFonts w:ascii="宋体" w:hAnsi="宋体"/>
          <w:color w:val="auto"/>
          <w:sz w:val="21"/>
          <w:szCs w:val="21"/>
        </w:rPr>
      </w:pPr>
    </w:p>
    <w:p w14:paraId="0D7A612D">
      <w:pPr>
        <w:spacing w:line="360" w:lineRule="auto"/>
        <w:ind w:firstLine="2" w:firstLineChars="1"/>
        <w:rPr>
          <w:rFonts w:ascii="宋体" w:hAnsi="宋体"/>
          <w:color w:val="auto"/>
          <w:sz w:val="21"/>
          <w:szCs w:val="21"/>
        </w:rPr>
      </w:pPr>
    </w:p>
    <w:p w14:paraId="737B939D">
      <w:pPr>
        <w:spacing w:line="360" w:lineRule="auto"/>
        <w:ind w:firstLine="2" w:firstLineChars="1"/>
        <w:rPr>
          <w:rFonts w:ascii="宋体" w:hAnsi="宋体"/>
          <w:color w:val="auto"/>
          <w:sz w:val="21"/>
          <w:szCs w:val="21"/>
        </w:rPr>
      </w:pPr>
      <w:r>
        <w:rPr>
          <w:rFonts w:hint="eastAsia" w:ascii="宋体" w:hAnsi="宋体"/>
          <w:color w:val="auto"/>
          <w:sz w:val="21"/>
          <w:szCs w:val="21"/>
        </w:rPr>
        <w:t>投标人(加盖公章)：</w:t>
      </w:r>
    </w:p>
    <w:p w14:paraId="1597CDC5">
      <w:pPr>
        <w:spacing w:line="360" w:lineRule="auto"/>
        <w:ind w:firstLine="2" w:firstLineChars="1"/>
        <w:rPr>
          <w:rFonts w:ascii="宋体" w:hAnsi="宋体"/>
          <w:color w:val="auto"/>
          <w:sz w:val="21"/>
          <w:szCs w:val="21"/>
        </w:rPr>
      </w:pPr>
      <w:r>
        <w:rPr>
          <w:rFonts w:hint="eastAsia" w:ascii="宋体" w:hAnsi="宋体"/>
          <w:color w:val="auto"/>
          <w:sz w:val="21"/>
          <w:szCs w:val="21"/>
        </w:rPr>
        <w:t>法定代表人（签名或签章）：</w:t>
      </w:r>
    </w:p>
    <w:p w14:paraId="347940D3">
      <w:pPr>
        <w:spacing w:line="360" w:lineRule="auto"/>
        <w:ind w:firstLine="2" w:firstLineChars="1"/>
        <w:rPr>
          <w:rFonts w:ascii="宋体" w:hAnsi="宋体"/>
          <w:color w:val="auto"/>
          <w:sz w:val="21"/>
          <w:szCs w:val="21"/>
        </w:rPr>
      </w:pPr>
      <w:r>
        <w:rPr>
          <w:rFonts w:hint="eastAsia" w:ascii="宋体" w:hAnsi="宋体"/>
          <w:color w:val="auto"/>
          <w:sz w:val="21"/>
          <w:szCs w:val="21"/>
        </w:rPr>
        <w:t>年月日</w:t>
      </w:r>
    </w:p>
    <w:p w14:paraId="7C72E581">
      <w:pPr>
        <w:rPr>
          <w:rFonts w:ascii="宋体" w:hAnsi="宋体"/>
          <w:color w:val="auto"/>
          <w:sz w:val="21"/>
          <w:szCs w:val="21"/>
        </w:rPr>
      </w:pPr>
    </w:p>
    <w:p w14:paraId="76BD7899">
      <w:pPr>
        <w:rPr>
          <w:rFonts w:ascii="宋体" w:hAnsi="宋体"/>
          <w:color w:val="auto"/>
          <w:sz w:val="21"/>
          <w:szCs w:val="21"/>
        </w:rPr>
      </w:pPr>
    </w:p>
    <w:p w14:paraId="2E0C2B5C">
      <w:pPr>
        <w:rPr>
          <w:rFonts w:ascii="宋体" w:hAnsi="宋体"/>
          <w:color w:val="auto"/>
          <w:sz w:val="21"/>
          <w:szCs w:val="21"/>
        </w:rPr>
      </w:pPr>
    </w:p>
    <w:p w14:paraId="279A61F1">
      <w:pPr>
        <w:rPr>
          <w:rFonts w:ascii="宋体" w:hAnsi="宋体"/>
          <w:color w:val="auto"/>
          <w:sz w:val="21"/>
          <w:szCs w:val="21"/>
        </w:rPr>
      </w:pPr>
    </w:p>
    <w:p w14:paraId="0F638B4C">
      <w:pPr>
        <w:rPr>
          <w:rFonts w:ascii="宋体" w:hAnsi="宋体"/>
          <w:color w:val="auto"/>
          <w:sz w:val="21"/>
          <w:szCs w:val="21"/>
        </w:rPr>
      </w:pPr>
    </w:p>
    <w:p w14:paraId="572E55D8">
      <w:pPr>
        <w:rPr>
          <w:rFonts w:ascii="宋体" w:hAnsi="宋体"/>
          <w:color w:val="auto"/>
          <w:sz w:val="21"/>
          <w:szCs w:val="21"/>
        </w:rPr>
      </w:pPr>
    </w:p>
    <w:p w14:paraId="2E3F4FE8">
      <w:pPr>
        <w:rPr>
          <w:rFonts w:ascii="宋体" w:hAnsi="宋体"/>
          <w:color w:val="auto"/>
          <w:sz w:val="21"/>
          <w:szCs w:val="21"/>
        </w:rPr>
      </w:pPr>
    </w:p>
    <w:p w14:paraId="6BF7CE0B">
      <w:pPr>
        <w:rPr>
          <w:rFonts w:ascii="宋体" w:hAnsi="宋体"/>
          <w:color w:val="auto"/>
          <w:sz w:val="21"/>
          <w:szCs w:val="21"/>
        </w:rPr>
      </w:pPr>
    </w:p>
    <w:p w14:paraId="0A9B92F0">
      <w:pPr>
        <w:rPr>
          <w:rFonts w:ascii="宋体" w:hAnsi="宋体"/>
          <w:color w:val="auto"/>
          <w:sz w:val="21"/>
          <w:szCs w:val="21"/>
        </w:rPr>
      </w:pPr>
    </w:p>
    <w:p w14:paraId="01DC6927">
      <w:pPr>
        <w:rPr>
          <w:rFonts w:ascii="宋体" w:hAnsi="宋体"/>
          <w:color w:val="auto"/>
          <w:sz w:val="21"/>
          <w:szCs w:val="21"/>
        </w:rPr>
      </w:pPr>
    </w:p>
    <w:p w14:paraId="3E94261D">
      <w:pPr>
        <w:rPr>
          <w:rFonts w:ascii="宋体" w:hAnsi="宋体"/>
          <w:color w:val="auto"/>
          <w:sz w:val="21"/>
          <w:szCs w:val="21"/>
        </w:rPr>
      </w:pPr>
    </w:p>
    <w:p w14:paraId="7DFADD46">
      <w:pPr>
        <w:spacing w:line="600" w:lineRule="exact"/>
        <w:rPr>
          <w:rFonts w:ascii="宋体" w:hAnsi="宋体"/>
          <w:color w:val="auto"/>
          <w:szCs w:val="21"/>
        </w:rPr>
      </w:pPr>
    </w:p>
    <w:p w14:paraId="5449CEBB">
      <w:pPr>
        <w:widowControl/>
        <w:jc w:val="left"/>
        <w:rPr>
          <w:rFonts w:ascii="宋体" w:hAnsi="宋体"/>
          <w:b w:val="0"/>
          <w:color w:val="auto"/>
          <w:sz w:val="28"/>
          <w:szCs w:val="28"/>
        </w:rPr>
      </w:pPr>
      <w:r>
        <w:rPr>
          <w:rFonts w:hint="eastAsia" w:ascii="宋体" w:hAnsi="宋体"/>
          <w:b w:val="0"/>
          <w:color w:val="auto"/>
          <w:sz w:val="28"/>
          <w:szCs w:val="28"/>
        </w:rPr>
        <w:br w:type="page"/>
      </w:r>
      <w:r>
        <w:rPr>
          <w:rFonts w:hint="eastAsia" w:ascii="宋体" w:hAnsi="宋体"/>
          <w:bCs/>
          <w:color w:val="auto"/>
          <w:sz w:val="28"/>
          <w:szCs w:val="28"/>
        </w:rPr>
        <w:t>格式</w:t>
      </w:r>
      <w:r>
        <w:rPr>
          <w:rFonts w:hint="eastAsia" w:ascii="宋体" w:hAnsi="宋体"/>
          <w:bCs/>
          <w:color w:val="auto"/>
          <w:sz w:val="28"/>
          <w:szCs w:val="28"/>
          <w:lang w:val="en-US" w:eastAsia="zh-CN"/>
        </w:rPr>
        <w:t>20</w:t>
      </w:r>
      <w:r>
        <w:rPr>
          <w:rFonts w:hint="eastAsia" w:ascii="宋体" w:hAnsi="宋体"/>
          <w:bCs/>
          <w:color w:val="auto"/>
          <w:sz w:val="28"/>
          <w:szCs w:val="28"/>
        </w:rPr>
        <w:t>：</w:t>
      </w:r>
    </w:p>
    <w:p w14:paraId="45296C5B">
      <w:pPr>
        <w:jc w:val="center"/>
        <w:rPr>
          <w:rFonts w:hint="eastAsia" w:ascii="宋体" w:hAnsi="宋体" w:eastAsia="宋体" w:cs="宋体"/>
          <w:b/>
          <w:color w:val="auto"/>
          <w:spacing w:val="40"/>
          <w:kern w:val="2"/>
          <w:sz w:val="32"/>
          <w:szCs w:val="24"/>
          <w:lang w:val="en-US" w:eastAsia="zh-CN" w:bidi="ar-SA"/>
        </w:rPr>
      </w:pPr>
      <w:r>
        <w:rPr>
          <w:rFonts w:hint="eastAsia" w:ascii="宋体" w:hAnsi="宋体" w:eastAsia="宋体" w:cs="宋体"/>
          <w:b/>
          <w:color w:val="auto"/>
          <w:spacing w:val="40"/>
          <w:kern w:val="2"/>
          <w:sz w:val="32"/>
          <w:szCs w:val="24"/>
          <w:lang w:val="en-US" w:eastAsia="zh-CN" w:bidi="ar-SA"/>
        </w:rPr>
        <w:t>类似业绩</w:t>
      </w:r>
      <w:bookmarkStart w:id="481" w:name="_Toc528186502"/>
      <w:bookmarkStart w:id="482" w:name="_Toc27140"/>
      <w:r>
        <w:rPr>
          <w:rFonts w:hint="eastAsia" w:ascii="宋体" w:hAnsi="宋体" w:eastAsia="宋体" w:cs="宋体"/>
          <w:b/>
          <w:color w:val="auto"/>
          <w:spacing w:val="40"/>
          <w:kern w:val="2"/>
          <w:sz w:val="32"/>
          <w:szCs w:val="24"/>
          <w:lang w:val="en-US" w:eastAsia="zh-CN" w:bidi="ar-SA"/>
        </w:rPr>
        <w:t>列表</w:t>
      </w:r>
      <w:bookmarkEnd w:id="481"/>
      <w:bookmarkEnd w:id="482"/>
    </w:p>
    <w:p w14:paraId="37C2FB4C">
      <w:pPr>
        <w:rPr>
          <w:rFonts w:ascii="宋体" w:hAnsi="宋体"/>
          <w:b w:val="0"/>
          <w:bCs/>
          <w:color w:val="auto"/>
          <w:sz w:val="21"/>
          <w:szCs w:val="21"/>
        </w:rPr>
      </w:pPr>
    </w:p>
    <w:p w14:paraId="0967BDDA">
      <w:pPr>
        <w:spacing w:line="360" w:lineRule="auto"/>
        <w:ind w:left="418" w:leftChars="174" w:firstLine="0" w:firstLineChars="0"/>
        <w:rPr>
          <w:rFonts w:hint="eastAsia" w:ascii="宋体" w:hAnsi="宋体" w:eastAsia="宋体" w:cs="宋体"/>
          <w:b w:val="0"/>
          <w:bCs/>
          <w:color w:val="auto"/>
          <w:kern w:val="0"/>
          <w:sz w:val="21"/>
          <w:szCs w:val="21"/>
          <w:lang w:val="zh-TW" w:eastAsia="zh-CN" w:bidi="ar"/>
        </w:rPr>
      </w:pPr>
    </w:p>
    <w:tbl>
      <w:tblPr>
        <w:tblStyle w:val="35"/>
        <w:tblW w:w="8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41"/>
        <w:gridCol w:w="1151"/>
        <w:gridCol w:w="1331"/>
        <w:gridCol w:w="1694"/>
        <w:gridCol w:w="1129"/>
        <w:gridCol w:w="1163"/>
        <w:gridCol w:w="906"/>
      </w:tblGrid>
      <w:tr w14:paraId="51A3D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28" w:hRule="atLeast"/>
          <w:jc w:val="center"/>
        </w:trPr>
        <w:tc>
          <w:tcPr>
            <w:tcW w:w="941" w:type="dxa"/>
            <w:vAlign w:val="center"/>
          </w:tcPr>
          <w:p w14:paraId="500330F8">
            <w:pPr>
              <w:spacing w:line="360" w:lineRule="auto"/>
              <w:jc w:val="center"/>
              <w:rPr>
                <w:rFonts w:ascii="宋体" w:hAnsi="宋体"/>
                <w:b w:val="0"/>
                <w:bCs/>
                <w:color w:val="auto"/>
                <w:sz w:val="21"/>
                <w:szCs w:val="21"/>
              </w:rPr>
            </w:pPr>
            <w:r>
              <w:rPr>
                <w:rFonts w:hint="eastAsia" w:ascii="宋体" w:hAnsi="宋体"/>
                <w:b w:val="0"/>
                <w:bCs/>
                <w:color w:val="auto"/>
                <w:sz w:val="21"/>
                <w:szCs w:val="21"/>
              </w:rPr>
              <w:t>序号</w:t>
            </w:r>
          </w:p>
        </w:tc>
        <w:tc>
          <w:tcPr>
            <w:tcW w:w="1151" w:type="dxa"/>
            <w:vAlign w:val="center"/>
          </w:tcPr>
          <w:p w14:paraId="72405D45">
            <w:pPr>
              <w:spacing w:line="360" w:lineRule="auto"/>
              <w:jc w:val="center"/>
              <w:rPr>
                <w:rFonts w:ascii="宋体" w:hAnsi="宋体"/>
                <w:b w:val="0"/>
                <w:bCs/>
                <w:color w:val="auto"/>
                <w:sz w:val="21"/>
                <w:szCs w:val="21"/>
              </w:rPr>
            </w:pPr>
            <w:r>
              <w:rPr>
                <w:rFonts w:hint="eastAsia" w:ascii="宋体" w:hAnsi="宋体"/>
                <w:b w:val="0"/>
                <w:bCs/>
                <w:color w:val="auto"/>
                <w:sz w:val="21"/>
                <w:szCs w:val="21"/>
              </w:rPr>
              <w:t>项目名称</w:t>
            </w:r>
          </w:p>
        </w:tc>
        <w:tc>
          <w:tcPr>
            <w:tcW w:w="1331" w:type="dxa"/>
            <w:vAlign w:val="center"/>
          </w:tcPr>
          <w:p w14:paraId="34287B11">
            <w:pPr>
              <w:spacing w:line="360" w:lineRule="auto"/>
              <w:jc w:val="center"/>
              <w:rPr>
                <w:rFonts w:ascii="宋体" w:hAnsi="宋体"/>
                <w:b w:val="0"/>
                <w:bCs/>
                <w:color w:val="auto"/>
                <w:sz w:val="21"/>
                <w:szCs w:val="21"/>
              </w:rPr>
            </w:pPr>
            <w:r>
              <w:rPr>
                <w:rFonts w:hint="eastAsia" w:ascii="宋体" w:hAnsi="宋体"/>
                <w:b w:val="0"/>
                <w:bCs/>
                <w:color w:val="auto"/>
                <w:sz w:val="21"/>
                <w:szCs w:val="21"/>
                <w:lang w:eastAsia="zh-CN"/>
              </w:rPr>
              <w:t>采购</w:t>
            </w:r>
            <w:r>
              <w:rPr>
                <w:rFonts w:hint="eastAsia" w:ascii="宋体" w:hAnsi="宋体"/>
                <w:b w:val="0"/>
                <w:bCs/>
                <w:color w:val="auto"/>
                <w:sz w:val="21"/>
                <w:szCs w:val="21"/>
              </w:rPr>
              <w:t>人</w:t>
            </w:r>
          </w:p>
        </w:tc>
        <w:tc>
          <w:tcPr>
            <w:tcW w:w="1694" w:type="dxa"/>
            <w:vAlign w:val="center"/>
          </w:tcPr>
          <w:p w14:paraId="751FAE3D">
            <w:pPr>
              <w:spacing w:line="360" w:lineRule="auto"/>
              <w:jc w:val="center"/>
              <w:rPr>
                <w:rFonts w:hint="default" w:ascii="宋体" w:hAnsi="宋体" w:eastAsia="宋体"/>
                <w:b w:val="0"/>
                <w:bCs/>
                <w:color w:val="auto"/>
                <w:sz w:val="21"/>
                <w:szCs w:val="21"/>
                <w:lang w:val="en-US" w:eastAsia="zh-CN"/>
              </w:rPr>
            </w:pPr>
            <w:r>
              <w:rPr>
                <w:rFonts w:hint="eastAsia" w:ascii="宋体" w:hAnsi="宋体"/>
                <w:b w:val="0"/>
                <w:bCs/>
                <w:color w:val="auto"/>
                <w:sz w:val="21"/>
                <w:szCs w:val="21"/>
                <w:lang w:val="en-US" w:eastAsia="zh-CN"/>
              </w:rPr>
              <w:t>中标金额</w:t>
            </w:r>
          </w:p>
        </w:tc>
        <w:tc>
          <w:tcPr>
            <w:tcW w:w="1129" w:type="dxa"/>
            <w:vAlign w:val="center"/>
          </w:tcPr>
          <w:p w14:paraId="686FCFEC">
            <w:pPr>
              <w:spacing w:line="360" w:lineRule="auto"/>
              <w:jc w:val="center"/>
              <w:rPr>
                <w:rFonts w:ascii="宋体" w:hAnsi="宋体"/>
                <w:b w:val="0"/>
                <w:bCs/>
                <w:color w:val="auto"/>
                <w:sz w:val="21"/>
                <w:szCs w:val="21"/>
              </w:rPr>
            </w:pPr>
            <w:r>
              <w:rPr>
                <w:rFonts w:hint="eastAsia" w:ascii="宋体" w:hAnsi="宋体"/>
                <w:b w:val="0"/>
                <w:bCs/>
                <w:color w:val="auto"/>
                <w:sz w:val="21"/>
                <w:szCs w:val="21"/>
              </w:rPr>
              <w:t>联系人</w:t>
            </w:r>
          </w:p>
        </w:tc>
        <w:tc>
          <w:tcPr>
            <w:tcW w:w="1163" w:type="dxa"/>
            <w:vAlign w:val="center"/>
          </w:tcPr>
          <w:p w14:paraId="673A6494">
            <w:pPr>
              <w:spacing w:line="360" w:lineRule="auto"/>
              <w:jc w:val="center"/>
              <w:rPr>
                <w:rFonts w:ascii="宋体" w:hAnsi="宋体"/>
                <w:b w:val="0"/>
                <w:bCs/>
                <w:color w:val="auto"/>
                <w:sz w:val="21"/>
                <w:szCs w:val="21"/>
              </w:rPr>
            </w:pPr>
            <w:r>
              <w:rPr>
                <w:rFonts w:hint="eastAsia" w:ascii="宋体" w:hAnsi="宋体"/>
                <w:b w:val="0"/>
                <w:bCs/>
                <w:color w:val="auto"/>
                <w:sz w:val="21"/>
                <w:szCs w:val="21"/>
              </w:rPr>
              <w:t>电话</w:t>
            </w:r>
          </w:p>
        </w:tc>
        <w:tc>
          <w:tcPr>
            <w:tcW w:w="906" w:type="dxa"/>
            <w:vAlign w:val="center"/>
          </w:tcPr>
          <w:p w14:paraId="79C4A6BD">
            <w:pPr>
              <w:spacing w:line="360" w:lineRule="auto"/>
              <w:jc w:val="center"/>
              <w:rPr>
                <w:rFonts w:ascii="宋体" w:hAnsi="宋体"/>
                <w:b w:val="0"/>
                <w:bCs/>
                <w:color w:val="auto"/>
                <w:sz w:val="21"/>
                <w:szCs w:val="21"/>
              </w:rPr>
            </w:pPr>
            <w:r>
              <w:rPr>
                <w:rFonts w:hint="eastAsia" w:ascii="宋体" w:hAnsi="宋体"/>
                <w:b w:val="0"/>
                <w:bCs/>
                <w:color w:val="auto"/>
                <w:sz w:val="21"/>
                <w:szCs w:val="21"/>
              </w:rPr>
              <w:t>备注</w:t>
            </w:r>
          </w:p>
        </w:tc>
      </w:tr>
      <w:tr w14:paraId="1397F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28" w:hRule="atLeast"/>
          <w:jc w:val="center"/>
        </w:trPr>
        <w:tc>
          <w:tcPr>
            <w:tcW w:w="941" w:type="dxa"/>
          </w:tcPr>
          <w:p w14:paraId="347F1A13">
            <w:pPr>
              <w:spacing w:line="360" w:lineRule="auto"/>
              <w:rPr>
                <w:rFonts w:ascii="宋体" w:hAnsi="宋体"/>
                <w:color w:val="auto"/>
                <w:sz w:val="21"/>
                <w:szCs w:val="21"/>
              </w:rPr>
            </w:pPr>
          </w:p>
        </w:tc>
        <w:tc>
          <w:tcPr>
            <w:tcW w:w="1151" w:type="dxa"/>
          </w:tcPr>
          <w:p w14:paraId="388FDE07">
            <w:pPr>
              <w:spacing w:line="360" w:lineRule="auto"/>
              <w:rPr>
                <w:rFonts w:ascii="宋体" w:hAnsi="宋体"/>
                <w:color w:val="auto"/>
                <w:sz w:val="21"/>
                <w:szCs w:val="21"/>
              </w:rPr>
            </w:pPr>
          </w:p>
        </w:tc>
        <w:tc>
          <w:tcPr>
            <w:tcW w:w="1331" w:type="dxa"/>
          </w:tcPr>
          <w:p w14:paraId="5F47CC9E">
            <w:pPr>
              <w:spacing w:line="360" w:lineRule="auto"/>
              <w:rPr>
                <w:rFonts w:ascii="宋体" w:hAnsi="宋体"/>
                <w:color w:val="auto"/>
                <w:sz w:val="21"/>
                <w:szCs w:val="21"/>
              </w:rPr>
            </w:pPr>
          </w:p>
        </w:tc>
        <w:tc>
          <w:tcPr>
            <w:tcW w:w="1694" w:type="dxa"/>
          </w:tcPr>
          <w:p w14:paraId="44FFA25F">
            <w:pPr>
              <w:spacing w:line="360" w:lineRule="auto"/>
              <w:rPr>
                <w:rFonts w:ascii="宋体" w:hAnsi="宋体"/>
                <w:color w:val="auto"/>
                <w:sz w:val="21"/>
                <w:szCs w:val="21"/>
              </w:rPr>
            </w:pPr>
          </w:p>
        </w:tc>
        <w:tc>
          <w:tcPr>
            <w:tcW w:w="1129" w:type="dxa"/>
          </w:tcPr>
          <w:p w14:paraId="6F91C44B">
            <w:pPr>
              <w:spacing w:line="360" w:lineRule="auto"/>
              <w:rPr>
                <w:rFonts w:ascii="宋体" w:hAnsi="宋体"/>
                <w:color w:val="auto"/>
                <w:sz w:val="21"/>
                <w:szCs w:val="21"/>
              </w:rPr>
            </w:pPr>
          </w:p>
        </w:tc>
        <w:tc>
          <w:tcPr>
            <w:tcW w:w="1163" w:type="dxa"/>
          </w:tcPr>
          <w:p w14:paraId="50CCE32B">
            <w:pPr>
              <w:spacing w:line="360" w:lineRule="auto"/>
              <w:rPr>
                <w:rFonts w:ascii="宋体" w:hAnsi="宋体"/>
                <w:color w:val="auto"/>
                <w:sz w:val="21"/>
                <w:szCs w:val="21"/>
              </w:rPr>
            </w:pPr>
          </w:p>
        </w:tc>
        <w:tc>
          <w:tcPr>
            <w:tcW w:w="906" w:type="dxa"/>
          </w:tcPr>
          <w:p w14:paraId="7BAD9502">
            <w:pPr>
              <w:spacing w:line="360" w:lineRule="auto"/>
              <w:rPr>
                <w:rFonts w:ascii="宋体" w:hAnsi="宋体"/>
                <w:color w:val="auto"/>
                <w:sz w:val="21"/>
                <w:szCs w:val="21"/>
              </w:rPr>
            </w:pPr>
          </w:p>
        </w:tc>
      </w:tr>
      <w:tr w14:paraId="4851C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28" w:hRule="atLeast"/>
          <w:jc w:val="center"/>
        </w:trPr>
        <w:tc>
          <w:tcPr>
            <w:tcW w:w="941" w:type="dxa"/>
          </w:tcPr>
          <w:p w14:paraId="12B81785">
            <w:pPr>
              <w:spacing w:line="360" w:lineRule="auto"/>
              <w:rPr>
                <w:rFonts w:ascii="宋体" w:hAnsi="宋体"/>
                <w:color w:val="auto"/>
                <w:sz w:val="21"/>
                <w:szCs w:val="21"/>
              </w:rPr>
            </w:pPr>
          </w:p>
        </w:tc>
        <w:tc>
          <w:tcPr>
            <w:tcW w:w="1151" w:type="dxa"/>
          </w:tcPr>
          <w:p w14:paraId="7DB52830">
            <w:pPr>
              <w:spacing w:line="360" w:lineRule="auto"/>
              <w:rPr>
                <w:rFonts w:ascii="宋体" w:hAnsi="宋体"/>
                <w:color w:val="auto"/>
                <w:sz w:val="21"/>
                <w:szCs w:val="21"/>
              </w:rPr>
            </w:pPr>
          </w:p>
        </w:tc>
        <w:tc>
          <w:tcPr>
            <w:tcW w:w="1331" w:type="dxa"/>
          </w:tcPr>
          <w:p w14:paraId="58A732B3">
            <w:pPr>
              <w:spacing w:line="360" w:lineRule="auto"/>
              <w:rPr>
                <w:rFonts w:ascii="宋体" w:hAnsi="宋体"/>
                <w:color w:val="auto"/>
                <w:sz w:val="21"/>
                <w:szCs w:val="21"/>
              </w:rPr>
            </w:pPr>
          </w:p>
        </w:tc>
        <w:tc>
          <w:tcPr>
            <w:tcW w:w="1694" w:type="dxa"/>
          </w:tcPr>
          <w:p w14:paraId="5F0D35ED">
            <w:pPr>
              <w:spacing w:line="360" w:lineRule="auto"/>
              <w:rPr>
                <w:rFonts w:ascii="宋体" w:hAnsi="宋体"/>
                <w:color w:val="auto"/>
                <w:sz w:val="21"/>
                <w:szCs w:val="21"/>
              </w:rPr>
            </w:pPr>
          </w:p>
        </w:tc>
        <w:tc>
          <w:tcPr>
            <w:tcW w:w="1129" w:type="dxa"/>
          </w:tcPr>
          <w:p w14:paraId="3E74C91B">
            <w:pPr>
              <w:spacing w:line="360" w:lineRule="auto"/>
              <w:rPr>
                <w:rFonts w:ascii="宋体" w:hAnsi="宋体"/>
                <w:color w:val="auto"/>
                <w:sz w:val="21"/>
                <w:szCs w:val="21"/>
              </w:rPr>
            </w:pPr>
          </w:p>
        </w:tc>
        <w:tc>
          <w:tcPr>
            <w:tcW w:w="1163" w:type="dxa"/>
          </w:tcPr>
          <w:p w14:paraId="28FE5BC2">
            <w:pPr>
              <w:spacing w:line="360" w:lineRule="auto"/>
              <w:rPr>
                <w:rFonts w:ascii="宋体" w:hAnsi="宋体"/>
                <w:color w:val="auto"/>
                <w:sz w:val="21"/>
                <w:szCs w:val="21"/>
              </w:rPr>
            </w:pPr>
          </w:p>
        </w:tc>
        <w:tc>
          <w:tcPr>
            <w:tcW w:w="906" w:type="dxa"/>
          </w:tcPr>
          <w:p w14:paraId="088879AD">
            <w:pPr>
              <w:spacing w:line="360" w:lineRule="auto"/>
              <w:rPr>
                <w:rFonts w:ascii="宋体" w:hAnsi="宋体"/>
                <w:color w:val="auto"/>
                <w:sz w:val="21"/>
                <w:szCs w:val="21"/>
              </w:rPr>
            </w:pPr>
          </w:p>
        </w:tc>
      </w:tr>
      <w:tr w14:paraId="75A35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64" w:hRule="atLeast"/>
          <w:jc w:val="center"/>
        </w:trPr>
        <w:tc>
          <w:tcPr>
            <w:tcW w:w="941" w:type="dxa"/>
          </w:tcPr>
          <w:p w14:paraId="556B686B">
            <w:pPr>
              <w:spacing w:line="360" w:lineRule="auto"/>
              <w:rPr>
                <w:rFonts w:ascii="宋体" w:hAnsi="宋体"/>
                <w:color w:val="auto"/>
                <w:sz w:val="21"/>
                <w:szCs w:val="21"/>
              </w:rPr>
            </w:pPr>
          </w:p>
        </w:tc>
        <w:tc>
          <w:tcPr>
            <w:tcW w:w="1151" w:type="dxa"/>
          </w:tcPr>
          <w:p w14:paraId="2D7520AC">
            <w:pPr>
              <w:spacing w:line="360" w:lineRule="auto"/>
              <w:rPr>
                <w:rFonts w:ascii="宋体" w:hAnsi="宋体"/>
                <w:color w:val="auto"/>
                <w:sz w:val="21"/>
                <w:szCs w:val="21"/>
              </w:rPr>
            </w:pPr>
          </w:p>
        </w:tc>
        <w:tc>
          <w:tcPr>
            <w:tcW w:w="1331" w:type="dxa"/>
          </w:tcPr>
          <w:p w14:paraId="20275C3F">
            <w:pPr>
              <w:spacing w:line="360" w:lineRule="auto"/>
              <w:rPr>
                <w:rFonts w:ascii="宋体" w:hAnsi="宋体"/>
                <w:color w:val="auto"/>
                <w:sz w:val="21"/>
                <w:szCs w:val="21"/>
              </w:rPr>
            </w:pPr>
          </w:p>
        </w:tc>
        <w:tc>
          <w:tcPr>
            <w:tcW w:w="1694" w:type="dxa"/>
          </w:tcPr>
          <w:p w14:paraId="669EE989">
            <w:pPr>
              <w:spacing w:line="360" w:lineRule="auto"/>
              <w:rPr>
                <w:rFonts w:ascii="宋体" w:hAnsi="宋体"/>
                <w:color w:val="auto"/>
                <w:sz w:val="21"/>
                <w:szCs w:val="21"/>
              </w:rPr>
            </w:pPr>
          </w:p>
        </w:tc>
        <w:tc>
          <w:tcPr>
            <w:tcW w:w="1129" w:type="dxa"/>
          </w:tcPr>
          <w:p w14:paraId="3A1CA8F0">
            <w:pPr>
              <w:spacing w:line="360" w:lineRule="auto"/>
              <w:rPr>
                <w:rFonts w:ascii="宋体" w:hAnsi="宋体"/>
                <w:color w:val="auto"/>
                <w:sz w:val="21"/>
                <w:szCs w:val="21"/>
              </w:rPr>
            </w:pPr>
          </w:p>
        </w:tc>
        <w:tc>
          <w:tcPr>
            <w:tcW w:w="1163" w:type="dxa"/>
          </w:tcPr>
          <w:p w14:paraId="63429FCF">
            <w:pPr>
              <w:spacing w:line="360" w:lineRule="auto"/>
              <w:rPr>
                <w:rFonts w:ascii="宋体" w:hAnsi="宋体"/>
                <w:color w:val="auto"/>
                <w:sz w:val="21"/>
                <w:szCs w:val="21"/>
              </w:rPr>
            </w:pPr>
          </w:p>
        </w:tc>
        <w:tc>
          <w:tcPr>
            <w:tcW w:w="906" w:type="dxa"/>
          </w:tcPr>
          <w:p w14:paraId="65E34B0A">
            <w:pPr>
              <w:spacing w:line="360" w:lineRule="auto"/>
              <w:rPr>
                <w:rFonts w:ascii="宋体" w:hAnsi="宋体"/>
                <w:color w:val="auto"/>
                <w:sz w:val="21"/>
                <w:szCs w:val="21"/>
              </w:rPr>
            </w:pPr>
          </w:p>
        </w:tc>
      </w:tr>
    </w:tbl>
    <w:p w14:paraId="53A5D12F">
      <w:pPr>
        <w:spacing w:line="360" w:lineRule="auto"/>
        <w:ind w:left="418" w:leftChars="174" w:firstLine="0" w:firstLineChars="0"/>
        <w:rPr>
          <w:rFonts w:hint="eastAsia" w:ascii="宋体" w:hAnsi="宋体" w:eastAsia="宋体" w:cs="宋体"/>
          <w:b w:val="0"/>
          <w:bCs/>
          <w:color w:val="auto"/>
          <w:kern w:val="0"/>
          <w:sz w:val="21"/>
          <w:szCs w:val="21"/>
          <w:lang w:val="zh-TW" w:eastAsia="zh-CN" w:bidi="ar"/>
        </w:rPr>
      </w:pPr>
    </w:p>
    <w:p w14:paraId="3D4DB48F">
      <w:pPr>
        <w:spacing w:line="360" w:lineRule="auto"/>
        <w:ind w:left="418" w:leftChars="174" w:firstLine="0" w:firstLineChars="0"/>
        <w:rPr>
          <w:rFonts w:hint="eastAsia" w:ascii="宋体" w:hAnsi="宋体" w:eastAsia="宋体" w:cs="宋体"/>
          <w:b w:val="0"/>
          <w:bCs/>
          <w:color w:val="auto"/>
          <w:kern w:val="0"/>
          <w:sz w:val="21"/>
          <w:szCs w:val="21"/>
          <w:lang w:val="zh-TW" w:eastAsia="zh-CN" w:bidi="ar"/>
        </w:rPr>
      </w:pPr>
    </w:p>
    <w:p w14:paraId="737E4206">
      <w:pPr>
        <w:spacing w:line="360" w:lineRule="auto"/>
        <w:ind w:left="418" w:leftChars="174" w:firstLine="0" w:firstLineChars="0"/>
        <w:rPr>
          <w:rFonts w:hint="eastAsia" w:ascii="宋体" w:hAnsi="宋体"/>
          <w:b/>
          <w:bCs w:val="0"/>
          <w:color w:val="auto"/>
          <w:sz w:val="21"/>
          <w:szCs w:val="21"/>
        </w:rPr>
      </w:pPr>
      <w:r>
        <w:rPr>
          <w:rFonts w:hint="eastAsia" w:ascii="宋体" w:hAnsi="宋体" w:eastAsia="宋体" w:cs="宋体"/>
          <w:b/>
          <w:bCs w:val="0"/>
          <w:color w:val="auto"/>
          <w:kern w:val="0"/>
          <w:sz w:val="21"/>
          <w:szCs w:val="21"/>
          <w:lang w:val="zh-TW" w:eastAsia="zh-CN" w:bidi="ar"/>
        </w:rPr>
        <w:t>注：</w:t>
      </w:r>
      <w:r>
        <w:rPr>
          <w:rFonts w:hint="eastAsia" w:ascii="宋体" w:hAnsi="宋体" w:eastAsia="宋体" w:cs="宋体"/>
          <w:b/>
          <w:bCs w:val="0"/>
          <w:color w:val="auto"/>
          <w:kern w:val="0"/>
          <w:sz w:val="21"/>
          <w:szCs w:val="21"/>
          <w:lang w:val="zh-TW" w:eastAsia="zh-TW" w:bidi="ar"/>
        </w:rPr>
        <w:t>业绩证明材料须提供签订的合同或中标通知书扫描件作为证明材料，无证明材料或证明材料不明确、无法体现业绩内容的，不予认可。</w:t>
      </w:r>
    </w:p>
    <w:p w14:paraId="6CEF3A49">
      <w:pPr>
        <w:spacing w:line="360" w:lineRule="auto"/>
        <w:ind w:firstLine="2" w:firstLineChars="1"/>
        <w:rPr>
          <w:rFonts w:hint="eastAsia" w:ascii="宋体" w:hAnsi="宋体"/>
          <w:color w:val="auto"/>
          <w:sz w:val="21"/>
          <w:szCs w:val="21"/>
        </w:rPr>
      </w:pPr>
    </w:p>
    <w:p w14:paraId="586B14F2">
      <w:pPr>
        <w:spacing w:line="360" w:lineRule="auto"/>
        <w:ind w:firstLine="2" w:firstLineChars="1"/>
        <w:rPr>
          <w:rFonts w:hint="eastAsia" w:ascii="宋体" w:hAnsi="宋体"/>
          <w:color w:val="auto"/>
          <w:sz w:val="21"/>
          <w:szCs w:val="21"/>
        </w:rPr>
      </w:pPr>
    </w:p>
    <w:p w14:paraId="485D0DBC">
      <w:pPr>
        <w:spacing w:line="360" w:lineRule="auto"/>
        <w:ind w:firstLine="2" w:firstLineChars="1"/>
        <w:rPr>
          <w:rFonts w:hint="eastAsia" w:ascii="宋体" w:hAnsi="宋体"/>
          <w:color w:val="auto"/>
          <w:sz w:val="21"/>
          <w:szCs w:val="21"/>
        </w:rPr>
      </w:pPr>
    </w:p>
    <w:p w14:paraId="3CCDBF83">
      <w:pPr>
        <w:spacing w:line="360" w:lineRule="auto"/>
        <w:ind w:firstLine="2" w:firstLineChars="1"/>
        <w:rPr>
          <w:rFonts w:hint="eastAsia" w:ascii="宋体" w:hAnsi="宋体"/>
          <w:color w:val="auto"/>
          <w:sz w:val="21"/>
          <w:szCs w:val="21"/>
        </w:rPr>
      </w:pPr>
    </w:p>
    <w:p w14:paraId="1F8F76B0">
      <w:pPr>
        <w:spacing w:line="360" w:lineRule="auto"/>
        <w:ind w:firstLine="2" w:firstLineChars="1"/>
        <w:rPr>
          <w:rFonts w:hint="eastAsia" w:ascii="宋体" w:hAnsi="宋体"/>
          <w:color w:val="auto"/>
          <w:sz w:val="21"/>
          <w:szCs w:val="21"/>
        </w:rPr>
      </w:pPr>
    </w:p>
    <w:p w14:paraId="33D66DDA">
      <w:pPr>
        <w:pStyle w:val="34"/>
        <w:rPr>
          <w:rFonts w:hint="eastAsia"/>
        </w:rPr>
      </w:pPr>
    </w:p>
    <w:p w14:paraId="7F91D149">
      <w:pPr>
        <w:spacing w:line="360" w:lineRule="auto"/>
        <w:ind w:firstLine="2" w:firstLineChars="1"/>
        <w:rPr>
          <w:rFonts w:hint="eastAsia" w:ascii="宋体" w:hAnsi="宋体"/>
          <w:color w:val="auto"/>
          <w:sz w:val="21"/>
          <w:szCs w:val="21"/>
        </w:rPr>
      </w:pPr>
    </w:p>
    <w:p w14:paraId="4F05A007">
      <w:pPr>
        <w:spacing w:line="360" w:lineRule="auto"/>
        <w:ind w:firstLine="2" w:firstLineChars="1"/>
        <w:rPr>
          <w:rFonts w:hint="eastAsia" w:ascii="宋体" w:hAnsi="宋体"/>
          <w:color w:val="auto"/>
          <w:sz w:val="21"/>
          <w:szCs w:val="21"/>
        </w:rPr>
      </w:pPr>
    </w:p>
    <w:p w14:paraId="3FECE09D">
      <w:pPr>
        <w:spacing w:line="360" w:lineRule="auto"/>
        <w:ind w:firstLine="2" w:firstLineChars="1"/>
        <w:rPr>
          <w:rFonts w:ascii="宋体" w:hAnsi="宋体"/>
          <w:color w:val="auto"/>
          <w:sz w:val="21"/>
          <w:szCs w:val="21"/>
        </w:rPr>
      </w:pPr>
      <w:r>
        <w:rPr>
          <w:rFonts w:hint="eastAsia" w:ascii="宋体" w:hAnsi="宋体"/>
          <w:color w:val="auto"/>
          <w:sz w:val="21"/>
          <w:szCs w:val="21"/>
        </w:rPr>
        <w:t>投标人(加盖公章)：</w:t>
      </w:r>
    </w:p>
    <w:p w14:paraId="593F82DB">
      <w:pPr>
        <w:spacing w:line="360" w:lineRule="auto"/>
        <w:ind w:firstLine="2" w:firstLineChars="1"/>
        <w:rPr>
          <w:rFonts w:ascii="宋体" w:hAnsi="宋体"/>
          <w:color w:val="auto"/>
          <w:sz w:val="21"/>
          <w:szCs w:val="21"/>
        </w:rPr>
      </w:pPr>
      <w:r>
        <w:rPr>
          <w:rFonts w:hint="eastAsia" w:ascii="宋体" w:hAnsi="宋体"/>
          <w:color w:val="auto"/>
          <w:sz w:val="21"/>
          <w:szCs w:val="21"/>
        </w:rPr>
        <w:t>法定代表人（签名或签章）：</w:t>
      </w:r>
    </w:p>
    <w:p w14:paraId="253F4C1B">
      <w:pPr>
        <w:spacing w:line="360" w:lineRule="auto"/>
        <w:ind w:firstLine="2" w:firstLineChars="1"/>
        <w:rPr>
          <w:rFonts w:ascii="宋体" w:hAnsi="宋体"/>
          <w:color w:val="auto"/>
          <w:sz w:val="21"/>
          <w:szCs w:val="21"/>
        </w:rPr>
      </w:pPr>
      <w:r>
        <w:rPr>
          <w:rFonts w:hint="eastAsia" w:ascii="宋体" w:hAnsi="宋体"/>
          <w:color w:val="auto"/>
          <w:sz w:val="21"/>
          <w:szCs w:val="21"/>
        </w:rPr>
        <w:t>年月日</w:t>
      </w:r>
    </w:p>
    <w:p w14:paraId="59248C22">
      <w:pPr>
        <w:spacing w:line="600" w:lineRule="exact"/>
        <w:rPr>
          <w:rFonts w:hint="eastAsia" w:ascii="宋体" w:hAnsi="宋体"/>
          <w:b w:val="0"/>
          <w:color w:val="auto"/>
          <w:sz w:val="21"/>
          <w:szCs w:val="21"/>
        </w:rPr>
      </w:pPr>
      <w:r>
        <w:rPr>
          <w:rFonts w:hint="eastAsia" w:ascii="宋体" w:hAnsi="宋体"/>
          <w:b w:val="0"/>
          <w:color w:val="auto"/>
          <w:sz w:val="21"/>
          <w:szCs w:val="21"/>
        </w:rPr>
        <w:br w:type="page"/>
      </w:r>
    </w:p>
    <w:p w14:paraId="07A9AA9C">
      <w:pPr>
        <w:spacing w:line="360" w:lineRule="auto"/>
        <w:rPr>
          <w:rFonts w:hint="eastAsia" w:ascii="宋体" w:hAnsi="宋体"/>
          <w:bCs/>
          <w:color w:val="auto"/>
          <w:sz w:val="21"/>
          <w:szCs w:val="21"/>
        </w:rPr>
        <w:sectPr>
          <w:pgSz w:w="11906" w:h="16838"/>
          <w:pgMar w:top="1440" w:right="1080" w:bottom="1440" w:left="1080" w:header="720" w:footer="720" w:gutter="0"/>
          <w:cols w:space="708" w:num="1"/>
        </w:sectPr>
      </w:pPr>
    </w:p>
    <w:p w14:paraId="33794455">
      <w:pPr>
        <w:rPr>
          <w:rFonts w:ascii="宋体" w:hAnsi="宋体"/>
          <w:bCs/>
          <w:color w:val="auto"/>
          <w:sz w:val="28"/>
          <w:szCs w:val="28"/>
        </w:rPr>
      </w:pPr>
      <w:bookmarkStart w:id="483" w:name="_Toc488633634"/>
      <w:bookmarkStart w:id="484" w:name="_Toc489197873"/>
      <w:bookmarkStart w:id="485" w:name="_Toc489145769"/>
      <w:bookmarkStart w:id="486" w:name="_Toc481694862"/>
      <w:r>
        <w:rPr>
          <w:rFonts w:hint="eastAsia" w:ascii="宋体" w:hAnsi="宋体"/>
          <w:bCs/>
          <w:color w:val="auto"/>
          <w:sz w:val="28"/>
          <w:szCs w:val="28"/>
        </w:rPr>
        <w:t>格式</w:t>
      </w:r>
      <w:r>
        <w:rPr>
          <w:rFonts w:hint="eastAsia" w:ascii="宋体" w:hAnsi="宋体"/>
          <w:bCs/>
          <w:color w:val="auto"/>
          <w:sz w:val="28"/>
          <w:szCs w:val="28"/>
          <w:lang w:val="en-US" w:eastAsia="zh-CN"/>
        </w:rPr>
        <w:t>21</w:t>
      </w:r>
      <w:r>
        <w:rPr>
          <w:rFonts w:hint="eastAsia" w:ascii="宋体" w:hAnsi="宋体"/>
          <w:bCs/>
          <w:color w:val="auto"/>
          <w:sz w:val="28"/>
          <w:szCs w:val="28"/>
        </w:rPr>
        <w:t>：</w:t>
      </w:r>
    </w:p>
    <w:p w14:paraId="0A385A37">
      <w:pPr>
        <w:pStyle w:val="3"/>
        <w:spacing w:line="360" w:lineRule="exact"/>
        <w:jc w:val="center"/>
        <w:outlineLvl w:val="2"/>
        <w:rPr>
          <w:rFonts w:ascii="宋体" w:hAnsi="宋体" w:cs="宋体"/>
          <w:color w:val="auto"/>
        </w:rPr>
      </w:pPr>
      <w:bookmarkStart w:id="487" w:name="_Toc26083"/>
      <w:bookmarkStart w:id="488" w:name="_Toc11306"/>
      <w:r>
        <w:rPr>
          <w:rFonts w:hint="eastAsia" w:ascii="宋体" w:hAnsi="宋体" w:cs="宋体"/>
          <w:color w:val="auto"/>
        </w:rPr>
        <w:t>技术规格偏离表</w:t>
      </w:r>
      <w:bookmarkEnd w:id="487"/>
    </w:p>
    <w:p w14:paraId="2E917CDC">
      <w:pPr>
        <w:keepNext w:val="0"/>
        <w:keepLines w:val="0"/>
        <w:pageBreakBefore w:val="0"/>
        <w:widowControl w:val="0"/>
        <w:kinsoku/>
        <w:wordWrap/>
        <w:overflowPunct/>
        <w:topLinePunct w:val="0"/>
        <w:autoSpaceDE/>
        <w:autoSpaceDN/>
        <w:bidi w:val="0"/>
        <w:adjustRightInd/>
        <w:snapToGrid/>
        <w:spacing w:line="480" w:lineRule="auto"/>
        <w:ind w:firstLine="241" w:firstLineChars="100"/>
        <w:textAlignment w:val="auto"/>
        <w:rPr>
          <w:rFonts w:ascii="宋体" w:hAnsi="宋体"/>
          <w:b w:val="0"/>
          <w:bCs/>
          <w:color w:val="auto"/>
          <w:sz w:val="21"/>
          <w:szCs w:val="21"/>
        </w:rPr>
      </w:pPr>
      <w:r>
        <w:rPr>
          <w:rFonts w:hint="eastAsia" w:ascii="宋体" w:hAnsi="宋体"/>
          <w:color w:val="auto"/>
          <w:szCs w:val="21"/>
        </w:rPr>
        <w:t xml:space="preserve"> </w:t>
      </w:r>
      <w:r>
        <w:rPr>
          <w:rFonts w:hint="eastAsia" w:ascii="宋体" w:hAnsi="宋体"/>
          <w:b w:val="0"/>
          <w:bCs/>
          <w:color w:val="auto"/>
          <w:szCs w:val="21"/>
        </w:rPr>
        <w:t xml:space="preserve"> </w:t>
      </w:r>
      <w:r>
        <w:rPr>
          <w:rFonts w:hint="eastAsia" w:ascii="宋体" w:hAnsi="宋体"/>
          <w:b w:val="0"/>
          <w:bCs/>
          <w:color w:val="auto"/>
          <w:sz w:val="21"/>
          <w:szCs w:val="21"/>
        </w:rPr>
        <w:t>请按投标产品的实际技术参数，逐条对应招标文件的第六章《采购内容》中要求的技术规范认真填写该表，该表不能作为投标产品的技术文件。</w:t>
      </w:r>
    </w:p>
    <w:p w14:paraId="2B4782A0">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b w:val="0"/>
          <w:color w:val="auto"/>
          <w:sz w:val="21"/>
          <w:szCs w:val="21"/>
        </w:rPr>
      </w:pPr>
      <w:r>
        <w:rPr>
          <w:rFonts w:hint="eastAsia" w:ascii="宋体" w:hAnsi="宋体"/>
          <w:b w:val="0"/>
          <w:color w:val="auto"/>
          <w:sz w:val="21"/>
          <w:szCs w:val="21"/>
        </w:rPr>
        <w:t>项目名称：</w:t>
      </w:r>
      <w:r>
        <w:rPr>
          <w:rFonts w:hint="eastAsia" w:hAnsi="宋体"/>
          <w:b w:val="0"/>
          <w:bCs/>
          <w:color w:val="auto"/>
          <w:sz w:val="21"/>
          <w:szCs w:val="21"/>
          <w:lang w:eastAsia="zh-CN"/>
        </w:rPr>
        <w:t>滇西应用技术大学普洱茶学院数智化校园建设项目</w:t>
      </w:r>
      <w:r>
        <w:rPr>
          <w:rFonts w:hint="eastAsia" w:ascii="宋体" w:hAnsi="宋体"/>
          <w:b w:val="0"/>
          <w:color w:val="auto"/>
          <w:sz w:val="21"/>
          <w:szCs w:val="21"/>
        </w:rPr>
        <w:t xml:space="preserve">  </w:t>
      </w:r>
    </w:p>
    <w:tbl>
      <w:tblPr>
        <w:tblStyle w:val="35"/>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354"/>
        <w:gridCol w:w="2053"/>
        <w:gridCol w:w="2392"/>
        <w:gridCol w:w="1705"/>
        <w:gridCol w:w="1993"/>
      </w:tblGrid>
      <w:tr w14:paraId="4EDC8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523" w:hRule="atLeast"/>
          <w:jc w:val="center"/>
        </w:trPr>
        <w:tc>
          <w:tcPr>
            <w:tcW w:w="1354" w:type="dxa"/>
            <w:vAlign w:val="center"/>
          </w:tcPr>
          <w:p w14:paraId="56D72756">
            <w:pPr>
              <w:spacing w:line="380" w:lineRule="exact"/>
              <w:jc w:val="center"/>
              <w:rPr>
                <w:rFonts w:ascii="宋体" w:hAnsi="宋体"/>
                <w:b w:val="0"/>
                <w:color w:val="auto"/>
                <w:sz w:val="21"/>
                <w:szCs w:val="21"/>
              </w:rPr>
            </w:pPr>
            <w:r>
              <w:rPr>
                <w:rFonts w:hint="eastAsia" w:hAnsi="宋体"/>
                <w:b w:val="0"/>
                <w:color w:val="auto"/>
                <w:sz w:val="21"/>
                <w:szCs w:val="21"/>
                <w:lang w:val="en-US" w:eastAsia="zh-CN"/>
              </w:rPr>
              <w:t>标段名称：</w:t>
            </w:r>
            <w:r>
              <w:rPr>
                <w:rFonts w:hint="eastAsia" w:ascii="宋体" w:hAnsi="宋体"/>
                <w:b w:val="0"/>
                <w:color w:val="auto"/>
                <w:sz w:val="21"/>
                <w:szCs w:val="21"/>
                <w:lang w:val="en-US" w:eastAsia="zh-CN"/>
              </w:rPr>
              <w:t>滇西应用技术大学普洱茶学院数智化校园建设项目</w:t>
            </w:r>
            <w:r>
              <w:rPr>
                <w:rFonts w:hint="eastAsia" w:ascii="宋体" w:hAnsi="宋体"/>
                <w:b w:val="0"/>
                <w:color w:val="auto"/>
                <w:sz w:val="21"/>
                <w:szCs w:val="21"/>
              </w:rPr>
              <w:t>序号</w:t>
            </w:r>
          </w:p>
        </w:tc>
        <w:tc>
          <w:tcPr>
            <w:tcW w:w="2053" w:type="dxa"/>
            <w:vAlign w:val="center"/>
          </w:tcPr>
          <w:p w14:paraId="02BA8440">
            <w:pPr>
              <w:spacing w:line="380" w:lineRule="exact"/>
              <w:jc w:val="center"/>
              <w:rPr>
                <w:rFonts w:ascii="宋体" w:hAnsi="宋体"/>
                <w:b w:val="0"/>
                <w:color w:val="auto"/>
                <w:sz w:val="21"/>
                <w:szCs w:val="21"/>
              </w:rPr>
            </w:pPr>
            <w:r>
              <w:rPr>
                <w:rFonts w:hint="eastAsia" w:ascii="宋体" w:hAnsi="宋体"/>
                <w:b w:val="0"/>
                <w:color w:val="auto"/>
                <w:sz w:val="21"/>
                <w:szCs w:val="21"/>
              </w:rPr>
              <w:t>招标文件技术规范、要求</w:t>
            </w:r>
          </w:p>
        </w:tc>
        <w:tc>
          <w:tcPr>
            <w:tcW w:w="2392" w:type="dxa"/>
            <w:vAlign w:val="center"/>
          </w:tcPr>
          <w:p w14:paraId="5D380DDD">
            <w:pPr>
              <w:spacing w:line="380" w:lineRule="exact"/>
              <w:jc w:val="center"/>
              <w:rPr>
                <w:rFonts w:hint="eastAsia" w:ascii="宋体" w:hAnsi="宋体"/>
                <w:b w:val="0"/>
                <w:color w:val="auto"/>
                <w:sz w:val="21"/>
                <w:szCs w:val="21"/>
              </w:rPr>
            </w:pPr>
            <w:r>
              <w:rPr>
                <w:rFonts w:hint="eastAsia" w:ascii="宋体" w:hAnsi="宋体"/>
                <w:b w:val="0"/>
                <w:color w:val="auto"/>
                <w:sz w:val="21"/>
                <w:szCs w:val="21"/>
              </w:rPr>
              <w:t>投标产品品牌、型号、</w:t>
            </w:r>
          </w:p>
          <w:p w14:paraId="7EABA4DB">
            <w:pPr>
              <w:spacing w:line="380" w:lineRule="exact"/>
              <w:jc w:val="center"/>
              <w:rPr>
                <w:rFonts w:ascii="宋体" w:hAnsi="宋体"/>
                <w:b w:val="0"/>
                <w:color w:val="auto"/>
                <w:sz w:val="21"/>
                <w:szCs w:val="21"/>
              </w:rPr>
            </w:pPr>
            <w:r>
              <w:rPr>
                <w:rFonts w:hint="eastAsia" w:ascii="宋体" w:hAnsi="宋体"/>
                <w:b w:val="0"/>
                <w:color w:val="auto"/>
                <w:sz w:val="21"/>
                <w:szCs w:val="21"/>
              </w:rPr>
              <w:t>技术参数及配置</w:t>
            </w:r>
          </w:p>
        </w:tc>
        <w:tc>
          <w:tcPr>
            <w:tcW w:w="1705" w:type="dxa"/>
            <w:vAlign w:val="center"/>
          </w:tcPr>
          <w:p w14:paraId="69B08643">
            <w:pPr>
              <w:spacing w:line="380" w:lineRule="exact"/>
              <w:jc w:val="center"/>
              <w:rPr>
                <w:rFonts w:ascii="宋体" w:hAnsi="宋体"/>
                <w:b w:val="0"/>
                <w:color w:val="auto"/>
                <w:sz w:val="21"/>
                <w:szCs w:val="21"/>
              </w:rPr>
            </w:pPr>
            <w:r>
              <w:rPr>
                <w:rFonts w:hint="eastAsia" w:ascii="宋体" w:hAnsi="宋体"/>
                <w:b w:val="0"/>
                <w:color w:val="auto"/>
                <w:sz w:val="21"/>
                <w:szCs w:val="21"/>
              </w:rPr>
              <w:t>偏离</w:t>
            </w:r>
            <w:r>
              <w:rPr>
                <w:rFonts w:hint="eastAsia" w:ascii="宋体" w:hAnsi="宋体"/>
                <w:b w:val="0"/>
                <w:color w:val="auto"/>
                <w:sz w:val="21"/>
                <w:szCs w:val="21"/>
              </w:rPr>
              <w:br w:type="textWrapping"/>
            </w:r>
            <w:r>
              <w:rPr>
                <w:rFonts w:hint="eastAsia" w:ascii="宋体" w:hAnsi="宋体"/>
                <w:b w:val="0"/>
                <w:color w:val="auto"/>
                <w:sz w:val="21"/>
                <w:szCs w:val="21"/>
                <w:lang w:eastAsia="zh-CN"/>
              </w:rPr>
              <w:t>（</w:t>
            </w:r>
            <w:r>
              <w:rPr>
                <w:rFonts w:hint="eastAsia" w:ascii="宋体" w:hAnsi="宋体"/>
                <w:b w:val="0"/>
                <w:color w:val="auto"/>
                <w:sz w:val="21"/>
                <w:szCs w:val="21"/>
                <w:lang w:val="en-US" w:eastAsia="zh-CN"/>
              </w:rPr>
              <w:t>如有正偏离，请详细说明并提供相关证明材料。</w:t>
            </w:r>
            <w:r>
              <w:rPr>
                <w:rFonts w:hint="eastAsia" w:ascii="宋体" w:hAnsi="宋体"/>
                <w:b w:val="0"/>
                <w:color w:val="auto"/>
                <w:sz w:val="21"/>
                <w:szCs w:val="21"/>
                <w:lang w:eastAsia="zh-CN"/>
              </w:rPr>
              <w:t>）</w:t>
            </w:r>
          </w:p>
        </w:tc>
        <w:tc>
          <w:tcPr>
            <w:tcW w:w="1993" w:type="dxa"/>
            <w:vAlign w:val="center"/>
          </w:tcPr>
          <w:p w14:paraId="7C909504">
            <w:pPr>
              <w:spacing w:line="380" w:lineRule="exact"/>
              <w:jc w:val="center"/>
              <w:rPr>
                <w:rFonts w:ascii="宋体" w:hAnsi="宋体"/>
                <w:b w:val="0"/>
                <w:color w:val="auto"/>
                <w:sz w:val="21"/>
                <w:szCs w:val="21"/>
              </w:rPr>
            </w:pPr>
            <w:r>
              <w:rPr>
                <w:rFonts w:hint="eastAsia" w:ascii="宋体" w:hAnsi="宋体"/>
                <w:b w:val="0"/>
                <w:bCs/>
                <w:color w:val="auto"/>
                <w:sz w:val="21"/>
                <w:szCs w:val="21"/>
              </w:rPr>
              <w:t>投标产品技术支持资料（条目号等）</w:t>
            </w:r>
          </w:p>
        </w:tc>
      </w:tr>
      <w:tr w14:paraId="5C8E5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05" w:hRule="atLeast"/>
          <w:jc w:val="center"/>
        </w:trPr>
        <w:tc>
          <w:tcPr>
            <w:tcW w:w="1354" w:type="dxa"/>
            <w:vAlign w:val="center"/>
          </w:tcPr>
          <w:p w14:paraId="64F95452">
            <w:pPr>
              <w:spacing w:line="380" w:lineRule="exact"/>
              <w:jc w:val="center"/>
              <w:rPr>
                <w:rFonts w:ascii="宋体" w:hAnsi="宋体"/>
                <w:color w:val="auto"/>
                <w:sz w:val="21"/>
                <w:szCs w:val="21"/>
              </w:rPr>
            </w:pPr>
          </w:p>
        </w:tc>
        <w:tc>
          <w:tcPr>
            <w:tcW w:w="2053" w:type="dxa"/>
            <w:vAlign w:val="center"/>
          </w:tcPr>
          <w:p w14:paraId="61CF2095">
            <w:pPr>
              <w:spacing w:line="380" w:lineRule="exact"/>
              <w:jc w:val="center"/>
              <w:rPr>
                <w:rFonts w:ascii="宋体" w:hAnsi="宋体"/>
                <w:color w:val="auto"/>
                <w:sz w:val="21"/>
                <w:szCs w:val="21"/>
              </w:rPr>
            </w:pPr>
          </w:p>
        </w:tc>
        <w:tc>
          <w:tcPr>
            <w:tcW w:w="2392" w:type="dxa"/>
            <w:vAlign w:val="center"/>
          </w:tcPr>
          <w:p w14:paraId="5E38EAA2">
            <w:pPr>
              <w:spacing w:line="380" w:lineRule="exact"/>
              <w:jc w:val="center"/>
              <w:rPr>
                <w:rFonts w:ascii="宋体" w:hAnsi="宋体"/>
                <w:color w:val="auto"/>
                <w:sz w:val="21"/>
                <w:szCs w:val="21"/>
              </w:rPr>
            </w:pPr>
          </w:p>
        </w:tc>
        <w:tc>
          <w:tcPr>
            <w:tcW w:w="1705" w:type="dxa"/>
          </w:tcPr>
          <w:p w14:paraId="3D58DD89">
            <w:pPr>
              <w:spacing w:line="380" w:lineRule="exact"/>
              <w:jc w:val="center"/>
              <w:rPr>
                <w:rFonts w:ascii="宋体" w:hAnsi="宋体"/>
                <w:color w:val="auto"/>
                <w:sz w:val="21"/>
                <w:szCs w:val="21"/>
              </w:rPr>
            </w:pPr>
          </w:p>
        </w:tc>
        <w:tc>
          <w:tcPr>
            <w:tcW w:w="1993" w:type="dxa"/>
            <w:vAlign w:val="center"/>
          </w:tcPr>
          <w:p w14:paraId="4BF91FAE">
            <w:pPr>
              <w:spacing w:line="380" w:lineRule="exact"/>
              <w:jc w:val="center"/>
              <w:rPr>
                <w:rFonts w:ascii="宋体" w:hAnsi="宋体"/>
                <w:color w:val="auto"/>
                <w:sz w:val="21"/>
                <w:szCs w:val="21"/>
              </w:rPr>
            </w:pPr>
          </w:p>
        </w:tc>
      </w:tr>
      <w:tr w14:paraId="0FD69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97" w:hRule="atLeast"/>
          <w:jc w:val="center"/>
        </w:trPr>
        <w:tc>
          <w:tcPr>
            <w:tcW w:w="1354" w:type="dxa"/>
            <w:vAlign w:val="center"/>
          </w:tcPr>
          <w:p w14:paraId="5B66D741">
            <w:pPr>
              <w:spacing w:line="380" w:lineRule="exact"/>
              <w:jc w:val="center"/>
              <w:rPr>
                <w:rFonts w:ascii="宋体" w:hAnsi="宋体"/>
                <w:color w:val="auto"/>
                <w:sz w:val="21"/>
                <w:szCs w:val="21"/>
              </w:rPr>
            </w:pPr>
          </w:p>
        </w:tc>
        <w:tc>
          <w:tcPr>
            <w:tcW w:w="2053" w:type="dxa"/>
            <w:vAlign w:val="center"/>
          </w:tcPr>
          <w:p w14:paraId="67C1D791">
            <w:pPr>
              <w:spacing w:line="380" w:lineRule="exact"/>
              <w:jc w:val="center"/>
              <w:rPr>
                <w:rFonts w:ascii="宋体" w:hAnsi="宋体"/>
                <w:color w:val="auto"/>
                <w:sz w:val="21"/>
                <w:szCs w:val="21"/>
              </w:rPr>
            </w:pPr>
          </w:p>
        </w:tc>
        <w:tc>
          <w:tcPr>
            <w:tcW w:w="2392" w:type="dxa"/>
            <w:vAlign w:val="center"/>
          </w:tcPr>
          <w:p w14:paraId="2E02EBD9">
            <w:pPr>
              <w:spacing w:line="380" w:lineRule="exact"/>
              <w:jc w:val="center"/>
              <w:rPr>
                <w:rFonts w:ascii="宋体" w:hAnsi="宋体"/>
                <w:color w:val="auto"/>
                <w:sz w:val="21"/>
                <w:szCs w:val="21"/>
              </w:rPr>
            </w:pPr>
          </w:p>
        </w:tc>
        <w:tc>
          <w:tcPr>
            <w:tcW w:w="1705" w:type="dxa"/>
          </w:tcPr>
          <w:p w14:paraId="6FD66DCD">
            <w:pPr>
              <w:spacing w:line="380" w:lineRule="exact"/>
              <w:jc w:val="center"/>
              <w:rPr>
                <w:rFonts w:ascii="宋体" w:hAnsi="宋体"/>
                <w:color w:val="auto"/>
                <w:sz w:val="21"/>
                <w:szCs w:val="21"/>
              </w:rPr>
            </w:pPr>
          </w:p>
        </w:tc>
        <w:tc>
          <w:tcPr>
            <w:tcW w:w="1993" w:type="dxa"/>
            <w:vAlign w:val="center"/>
          </w:tcPr>
          <w:p w14:paraId="2D04FD39">
            <w:pPr>
              <w:spacing w:line="380" w:lineRule="exact"/>
              <w:jc w:val="center"/>
              <w:rPr>
                <w:rFonts w:ascii="宋体" w:hAnsi="宋体"/>
                <w:color w:val="auto"/>
                <w:sz w:val="21"/>
                <w:szCs w:val="21"/>
              </w:rPr>
            </w:pPr>
          </w:p>
        </w:tc>
      </w:tr>
      <w:tr w14:paraId="6F261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119" w:hRule="atLeast"/>
          <w:jc w:val="center"/>
        </w:trPr>
        <w:tc>
          <w:tcPr>
            <w:tcW w:w="1354" w:type="dxa"/>
            <w:vAlign w:val="center"/>
          </w:tcPr>
          <w:p w14:paraId="1BF8A1B8">
            <w:pPr>
              <w:spacing w:line="380" w:lineRule="exact"/>
              <w:jc w:val="center"/>
              <w:rPr>
                <w:rFonts w:ascii="宋体" w:hAnsi="宋体"/>
                <w:color w:val="auto"/>
                <w:sz w:val="21"/>
                <w:szCs w:val="21"/>
              </w:rPr>
            </w:pPr>
          </w:p>
        </w:tc>
        <w:tc>
          <w:tcPr>
            <w:tcW w:w="2053" w:type="dxa"/>
            <w:vAlign w:val="center"/>
          </w:tcPr>
          <w:p w14:paraId="1382AED7">
            <w:pPr>
              <w:spacing w:line="380" w:lineRule="exact"/>
              <w:jc w:val="center"/>
              <w:rPr>
                <w:rFonts w:ascii="宋体" w:hAnsi="宋体"/>
                <w:color w:val="auto"/>
                <w:sz w:val="21"/>
                <w:szCs w:val="21"/>
              </w:rPr>
            </w:pPr>
          </w:p>
        </w:tc>
        <w:tc>
          <w:tcPr>
            <w:tcW w:w="2392" w:type="dxa"/>
            <w:vAlign w:val="center"/>
          </w:tcPr>
          <w:p w14:paraId="50F3AC1F">
            <w:pPr>
              <w:spacing w:line="380" w:lineRule="exact"/>
              <w:jc w:val="center"/>
              <w:rPr>
                <w:rFonts w:ascii="宋体" w:hAnsi="宋体"/>
                <w:color w:val="auto"/>
                <w:sz w:val="21"/>
                <w:szCs w:val="21"/>
              </w:rPr>
            </w:pPr>
          </w:p>
        </w:tc>
        <w:tc>
          <w:tcPr>
            <w:tcW w:w="1705" w:type="dxa"/>
          </w:tcPr>
          <w:p w14:paraId="773133A0">
            <w:pPr>
              <w:spacing w:line="380" w:lineRule="exact"/>
              <w:jc w:val="center"/>
              <w:rPr>
                <w:rFonts w:ascii="宋体" w:hAnsi="宋体"/>
                <w:color w:val="auto"/>
                <w:sz w:val="21"/>
                <w:szCs w:val="21"/>
              </w:rPr>
            </w:pPr>
          </w:p>
        </w:tc>
        <w:tc>
          <w:tcPr>
            <w:tcW w:w="1993" w:type="dxa"/>
            <w:vAlign w:val="center"/>
          </w:tcPr>
          <w:p w14:paraId="543F2BA4">
            <w:pPr>
              <w:spacing w:line="380" w:lineRule="exact"/>
              <w:jc w:val="center"/>
              <w:rPr>
                <w:rFonts w:ascii="宋体" w:hAnsi="宋体"/>
                <w:color w:val="auto"/>
                <w:sz w:val="21"/>
                <w:szCs w:val="21"/>
              </w:rPr>
            </w:pPr>
          </w:p>
        </w:tc>
      </w:tr>
      <w:bookmarkEnd w:id="488"/>
    </w:tbl>
    <w:p w14:paraId="39470C2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b w:val="0"/>
          <w:bCs/>
          <w:color w:val="auto"/>
          <w:sz w:val="21"/>
          <w:szCs w:val="21"/>
        </w:rPr>
      </w:pPr>
    </w:p>
    <w:p w14:paraId="22232346">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b/>
          <w:bCs w:val="0"/>
          <w:color w:val="auto"/>
          <w:sz w:val="21"/>
          <w:szCs w:val="21"/>
        </w:rPr>
      </w:pPr>
      <w:r>
        <w:rPr>
          <w:rFonts w:hint="eastAsia" w:ascii="宋体" w:hAnsi="宋体"/>
          <w:b/>
          <w:bCs w:val="0"/>
          <w:color w:val="auto"/>
          <w:sz w:val="21"/>
          <w:szCs w:val="21"/>
        </w:rPr>
        <w:t>注：1、序号应对投标产品在第六章《采购内容》中的序号。</w:t>
      </w:r>
    </w:p>
    <w:p w14:paraId="0203251C">
      <w:pPr>
        <w:keepNext w:val="0"/>
        <w:keepLines w:val="0"/>
        <w:pageBreakBefore w:val="0"/>
        <w:widowControl w:val="0"/>
        <w:kinsoku/>
        <w:wordWrap/>
        <w:overflowPunct/>
        <w:topLinePunct w:val="0"/>
        <w:autoSpaceDE/>
        <w:autoSpaceDN/>
        <w:bidi w:val="0"/>
        <w:adjustRightInd/>
        <w:snapToGrid/>
        <w:spacing w:line="480" w:lineRule="auto"/>
        <w:ind w:left="418" w:leftChars="174"/>
        <w:textAlignment w:val="auto"/>
        <w:rPr>
          <w:rFonts w:ascii="宋体" w:hAnsi="宋体"/>
          <w:b/>
          <w:bCs w:val="0"/>
          <w:color w:val="auto"/>
          <w:sz w:val="21"/>
          <w:szCs w:val="21"/>
        </w:rPr>
      </w:pPr>
      <w:r>
        <w:rPr>
          <w:rFonts w:hint="eastAsia" w:ascii="宋体" w:hAnsi="宋体"/>
          <w:b/>
          <w:bCs w:val="0"/>
          <w:color w:val="auto"/>
          <w:sz w:val="21"/>
          <w:szCs w:val="21"/>
        </w:rPr>
        <w:t>2、投标人根据招标文件第六章《采购内容》中的技术规范、要求作出全面、真实的反映，技术规范、要求逐条对应答复，并在“投标产品品牌、型号、技术参数及配置”一列中写明详细情况，诸如“已知”、“理解”、“满足”或“同意”等非明确的答复是不可接受的。投标文件应以中文应答（英文文本或缩略语需提供中文翻译或注释）。</w:t>
      </w:r>
    </w:p>
    <w:p w14:paraId="0AD33307">
      <w:pPr>
        <w:keepNext w:val="0"/>
        <w:keepLines w:val="0"/>
        <w:pageBreakBefore w:val="0"/>
        <w:widowControl w:val="0"/>
        <w:kinsoku/>
        <w:wordWrap/>
        <w:overflowPunct/>
        <w:topLinePunct w:val="0"/>
        <w:autoSpaceDE/>
        <w:autoSpaceDN/>
        <w:bidi w:val="0"/>
        <w:adjustRightInd/>
        <w:snapToGrid/>
        <w:spacing w:line="480" w:lineRule="auto"/>
        <w:ind w:left="418" w:leftChars="174"/>
        <w:textAlignment w:val="auto"/>
        <w:rPr>
          <w:rFonts w:ascii="宋体" w:hAnsi="宋体"/>
          <w:b/>
          <w:bCs w:val="0"/>
          <w:color w:val="000000" w:themeColor="text1"/>
          <w:sz w:val="21"/>
          <w:szCs w:val="21"/>
          <w:highlight w:val="none"/>
          <w14:textFill>
            <w14:solidFill>
              <w14:schemeClr w14:val="tx1"/>
            </w14:solidFill>
          </w14:textFill>
        </w:rPr>
      </w:pPr>
      <w:r>
        <w:rPr>
          <w:rFonts w:hint="eastAsia" w:ascii="宋体" w:hAnsi="宋体"/>
          <w:b/>
          <w:bCs w:val="0"/>
          <w:color w:val="000000" w:themeColor="text1"/>
          <w:sz w:val="21"/>
          <w:szCs w:val="21"/>
          <w:highlight w:val="none"/>
          <w14:textFill>
            <w14:solidFill>
              <w14:schemeClr w14:val="tx1"/>
            </w14:solidFill>
          </w14:textFill>
        </w:rPr>
        <w:t>3、投标人除如实填写技术规格偏离表外，第六章采购内容中所示“</w:t>
      </w:r>
      <w:r>
        <w:rPr>
          <w:rFonts w:hint="eastAsia" w:ascii="宋体" w:hAnsi="宋体"/>
          <w:b/>
          <w:bCs w:val="0"/>
          <w:color w:val="000000" w:themeColor="text1"/>
          <w:sz w:val="21"/>
          <w:szCs w:val="21"/>
          <w:highlight w:val="none"/>
          <w:lang w:val="en-US" w:eastAsia="zh-CN"/>
          <w14:textFill>
            <w14:solidFill>
              <w14:schemeClr w14:val="tx1"/>
            </w14:solidFill>
          </w14:textFill>
        </w:rPr>
        <w:t>▲</w:t>
      </w:r>
      <w:r>
        <w:rPr>
          <w:rFonts w:hint="eastAsia" w:ascii="宋体" w:hAnsi="宋体"/>
          <w:b/>
          <w:bCs w:val="0"/>
          <w:color w:val="000000" w:themeColor="text1"/>
          <w:sz w:val="21"/>
          <w:szCs w:val="21"/>
          <w:highlight w:val="none"/>
          <w14:textFill>
            <w14:solidFill>
              <w14:schemeClr w14:val="tx1"/>
            </w14:solidFill>
          </w14:textFill>
        </w:rPr>
        <w:t>”标注的重要参数，投标文件中必须提供最新技术支持资料支持技术规格偏离表应答（包括投标产品技术白皮书或检验报告或图纸或印刷宣传彩页，不接受投标人自行印刷、打印或者手写的技术支持资料，凡不符合上述要求的，视为无效技术支持资料）。</w:t>
      </w:r>
    </w:p>
    <w:p w14:paraId="5D01B99E">
      <w:pPr>
        <w:keepNext w:val="0"/>
        <w:keepLines w:val="0"/>
        <w:pageBreakBefore w:val="0"/>
        <w:widowControl w:val="0"/>
        <w:kinsoku/>
        <w:wordWrap/>
        <w:overflowPunct/>
        <w:topLinePunct w:val="0"/>
        <w:autoSpaceDE/>
        <w:autoSpaceDN/>
        <w:bidi w:val="0"/>
        <w:adjustRightInd/>
        <w:snapToGrid/>
        <w:spacing w:line="480" w:lineRule="auto"/>
        <w:ind w:left="418" w:leftChars="174"/>
        <w:textAlignment w:val="auto"/>
        <w:rPr>
          <w:rFonts w:ascii="宋体" w:hAnsi="宋体"/>
          <w:b/>
          <w:bCs w:val="0"/>
          <w:color w:val="auto"/>
          <w:sz w:val="21"/>
          <w:szCs w:val="21"/>
        </w:rPr>
      </w:pPr>
      <w:r>
        <w:rPr>
          <w:rFonts w:hint="eastAsia" w:ascii="宋体" w:hAnsi="宋体"/>
          <w:b/>
          <w:bCs w:val="0"/>
          <w:color w:val="auto"/>
          <w:sz w:val="21"/>
          <w:szCs w:val="21"/>
        </w:rPr>
        <w:t>4、表格中“偏离”一列，投标人只能如实填写“正偏离”、“负偏离”或“无偏离”。凡投标产品技术规格高于招标文件要求的，按“正偏离”填写；低于招标文件要求的，按“负偏离”填写；满足招标文件要求的，按“无偏离”填写。</w:t>
      </w:r>
      <w:r>
        <w:rPr>
          <w:rFonts w:hint="eastAsia" w:ascii="宋体" w:hAnsi="宋体"/>
          <w:b/>
          <w:bCs w:val="0"/>
          <w:color w:val="auto"/>
          <w:sz w:val="21"/>
          <w:szCs w:val="21"/>
          <w:lang w:val="en-US" w:eastAsia="zh-CN"/>
        </w:rPr>
        <w:t>如有正偏离，请详细说明并提供相关证明材料。</w:t>
      </w:r>
    </w:p>
    <w:p w14:paraId="4EF49AAB">
      <w:pPr>
        <w:keepNext w:val="0"/>
        <w:keepLines w:val="0"/>
        <w:pageBreakBefore w:val="0"/>
        <w:widowControl w:val="0"/>
        <w:kinsoku/>
        <w:wordWrap/>
        <w:overflowPunct/>
        <w:topLinePunct w:val="0"/>
        <w:autoSpaceDE/>
        <w:autoSpaceDN/>
        <w:bidi w:val="0"/>
        <w:adjustRightInd/>
        <w:snapToGrid/>
        <w:spacing w:line="480" w:lineRule="auto"/>
        <w:ind w:left="629" w:leftChars="174" w:hanging="211" w:hangingChars="100"/>
        <w:textAlignment w:val="auto"/>
        <w:rPr>
          <w:rFonts w:hint="eastAsia" w:ascii="宋体" w:hAnsi="宋体"/>
          <w:b/>
          <w:bCs w:val="0"/>
          <w:color w:val="auto"/>
          <w:sz w:val="21"/>
          <w:szCs w:val="21"/>
        </w:rPr>
      </w:pPr>
      <w:r>
        <w:rPr>
          <w:rFonts w:hint="eastAsia" w:ascii="宋体" w:hAnsi="宋体"/>
          <w:b/>
          <w:bCs w:val="0"/>
          <w:color w:val="auto"/>
          <w:sz w:val="21"/>
          <w:szCs w:val="21"/>
        </w:rPr>
        <w:t>5.投标人应将支持该项技术要求响应的投标产品技术支持资料在投标文件中的索引（条目号等）标注在“投标产品技术支持资料”一栏中。</w:t>
      </w:r>
    </w:p>
    <w:p w14:paraId="25F537CE">
      <w:pPr>
        <w:spacing w:line="360" w:lineRule="auto"/>
        <w:ind w:firstLine="420" w:firstLineChars="200"/>
        <w:rPr>
          <w:rFonts w:hint="eastAsia" w:ascii="宋体" w:hAnsi="宋体"/>
          <w:b w:val="0"/>
          <w:bCs/>
          <w:color w:val="auto"/>
          <w:sz w:val="21"/>
          <w:szCs w:val="21"/>
        </w:rPr>
      </w:pPr>
      <w:r>
        <w:rPr>
          <w:rFonts w:hint="eastAsia" w:ascii="宋体" w:hAnsi="宋体"/>
          <w:b w:val="0"/>
          <w:bCs w:val="0"/>
          <w:color w:val="auto"/>
          <w:sz w:val="21"/>
          <w:szCs w:val="21"/>
          <w:lang w:val="en-US" w:eastAsia="zh-CN"/>
        </w:rPr>
        <w:t>6.</w:t>
      </w:r>
      <w:r>
        <w:rPr>
          <w:rFonts w:hint="eastAsia" w:ascii="宋体" w:hAnsi="宋体"/>
          <w:bCs/>
          <w:color w:val="auto"/>
          <w:sz w:val="21"/>
          <w:szCs w:val="21"/>
          <w:lang w:val="en-US" w:eastAsia="zh-CN"/>
        </w:rPr>
        <w:t>此表内容根据第六章参数序号顺序进行填写。</w:t>
      </w:r>
    </w:p>
    <w:p w14:paraId="44DC1745">
      <w:pPr>
        <w:spacing w:line="380" w:lineRule="exact"/>
        <w:ind w:firstLine="2" w:firstLineChars="1"/>
        <w:rPr>
          <w:rFonts w:ascii="宋体" w:hAnsi="宋体"/>
          <w:color w:val="auto"/>
          <w:sz w:val="21"/>
          <w:szCs w:val="21"/>
        </w:rPr>
      </w:pPr>
      <w:r>
        <w:rPr>
          <w:rFonts w:hint="eastAsia" w:ascii="宋体" w:hAnsi="宋体"/>
          <w:color w:val="auto"/>
          <w:sz w:val="21"/>
          <w:szCs w:val="21"/>
        </w:rPr>
        <w:t>投标人(加盖公章)：</w:t>
      </w:r>
    </w:p>
    <w:p w14:paraId="7746FF3E">
      <w:pPr>
        <w:spacing w:line="380" w:lineRule="exact"/>
        <w:ind w:firstLine="2" w:firstLineChars="1"/>
        <w:rPr>
          <w:rFonts w:hint="eastAsia" w:ascii="宋体" w:hAnsi="宋体"/>
          <w:color w:val="auto"/>
          <w:sz w:val="21"/>
          <w:szCs w:val="21"/>
        </w:rPr>
      </w:pPr>
      <w:r>
        <w:rPr>
          <w:rFonts w:hint="eastAsia" w:ascii="宋体" w:hAnsi="宋体"/>
          <w:color w:val="auto"/>
          <w:sz w:val="21"/>
          <w:szCs w:val="21"/>
        </w:rPr>
        <w:t>法定代表人（签名或签章）：</w:t>
      </w:r>
    </w:p>
    <w:p w14:paraId="72DAB1FC">
      <w:pPr>
        <w:spacing w:line="380" w:lineRule="exact"/>
        <w:ind w:firstLine="2" w:firstLineChars="1"/>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年  月   日</w:t>
      </w:r>
    </w:p>
    <w:p w14:paraId="29766F8B">
      <w:pPr>
        <w:spacing w:line="600" w:lineRule="exact"/>
        <w:rPr>
          <w:rFonts w:hint="eastAsia" w:ascii="宋体" w:hAnsi="宋体"/>
          <w:bCs/>
          <w:color w:val="auto"/>
          <w:sz w:val="28"/>
          <w:szCs w:val="28"/>
        </w:rPr>
      </w:pPr>
    </w:p>
    <w:p w14:paraId="79D0F01F">
      <w:pPr>
        <w:spacing w:line="600" w:lineRule="exact"/>
        <w:rPr>
          <w:rFonts w:hint="eastAsia" w:ascii="宋体" w:hAnsi="宋体"/>
          <w:bCs/>
          <w:color w:val="auto"/>
          <w:sz w:val="28"/>
          <w:szCs w:val="28"/>
        </w:rPr>
      </w:pPr>
    </w:p>
    <w:p w14:paraId="4120FEA1">
      <w:pPr>
        <w:spacing w:line="600" w:lineRule="exact"/>
        <w:rPr>
          <w:rFonts w:hint="eastAsia" w:ascii="宋体" w:hAnsi="宋体"/>
          <w:bCs/>
          <w:color w:val="auto"/>
          <w:sz w:val="28"/>
          <w:szCs w:val="28"/>
        </w:rPr>
      </w:pPr>
    </w:p>
    <w:p w14:paraId="52AE9FDF">
      <w:pPr>
        <w:spacing w:line="600" w:lineRule="exact"/>
        <w:rPr>
          <w:rFonts w:hint="eastAsia" w:ascii="宋体" w:hAnsi="宋体"/>
          <w:bCs/>
          <w:color w:val="auto"/>
          <w:sz w:val="28"/>
          <w:szCs w:val="28"/>
        </w:rPr>
      </w:pPr>
    </w:p>
    <w:p w14:paraId="261041A0">
      <w:pPr>
        <w:spacing w:line="600" w:lineRule="exact"/>
        <w:rPr>
          <w:rFonts w:hint="eastAsia" w:ascii="宋体" w:hAnsi="宋体"/>
          <w:bCs/>
          <w:color w:val="auto"/>
          <w:sz w:val="28"/>
          <w:szCs w:val="28"/>
        </w:rPr>
      </w:pPr>
    </w:p>
    <w:p w14:paraId="18033A7F">
      <w:pPr>
        <w:spacing w:line="600" w:lineRule="exact"/>
        <w:rPr>
          <w:rFonts w:hint="eastAsia" w:ascii="宋体" w:hAnsi="宋体"/>
          <w:bCs/>
          <w:color w:val="auto"/>
          <w:sz w:val="28"/>
          <w:szCs w:val="28"/>
        </w:rPr>
      </w:pPr>
    </w:p>
    <w:p w14:paraId="16221BD2">
      <w:pPr>
        <w:spacing w:line="600" w:lineRule="exact"/>
        <w:rPr>
          <w:rFonts w:hint="eastAsia" w:ascii="宋体" w:hAnsi="宋体"/>
          <w:bCs/>
          <w:color w:val="auto"/>
          <w:sz w:val="28"/>
          <w:szCs w:val="28"/>
        </w:rPr>
      </w:pPr>
    </w:p>
    <w:p w14:paraId="2B70FEF0">
      <w:pPr>
        <w:spacing w:line="600" w:lineRule="exact"/>
        <w:rPr>
          <w:rFonts w:hint="eastAsia" w:ascii="宋体" w:hAnsi="宋体"/>
          <w:bCs/>
          <w:color w:val="auto"/>
          <w:sz w:val="28"/>
          <w:szCs w:val="28"/>
        </w:rPr>
      </w:pPr>
    </w:p>
    <w:p w14:paraId="2913ED3F">
      <w:pPr>
        <w:spacing w:line="600" w:lineRule="exact"/>
        <w:rPr>
          <w:rFonts w:hint="eastAsia" w:ascii="宋体" w:hAnsi="宋体"/>
          <w:bCs/>
          <w:color w:val="auto"/>
          <w:sz w:val="28"/>
          <w:szCs w:val="28"/>
        </w:rPr>
      </w:pPr>
    </w:p>
    <w:p w14:paraId="23CF5AE2">
      <w:pPr>
        <w:spacing w:line="600" w:lineRule="exact"/>
        <w:rPr>
          <w:rFonts w:hint="eastAsia" w:ascii="宋体" w:hAnsi="宋体"/>
          <w:bCs/>
          <w:color w:val="auto"/>
          <w:sz w:val="28"/>
          <w:szCs w:val="28"/>
        </w:rPr>
      </w:pPr>
    </w:p>
    <w:p w14:paraId="782E99EF">
      <w:pPr>
        <w:spacing w:line="600" w:lineRule="exact"/>
        <w:rPr>
          <w:rFonts w:hint="eastAsia" w:ascii="宋体" w:hAnsi="宋体"/>
          <w:bCs/>
          <w:color w:val="auto"/>
          <w:sz w:val="28"/>
          <w:szCs w:val="28"/>
        </w:rPr>
      </w:pPr>
    </w:p>
    <w:p w14:paraId="2456C2FD">
      <w:pPr>
        <w:spacing w:line="600" w:lineRule="exact"/>
        <w:rPr>
          <w:rFonts w:hint="eastAsia" w:ascii="宋体" w:hAnsi="宋体"/>
          <w:bCs/>
          <w:color w:val="auto"/>
          <w:sz w:val="28"/>
          <w:szCs w:val="28"/>
        </w:rPr>
      </w:pPr>
    </w:p>
    <w:p w14:paraId="194D27BA">
      <w:pPr>
        <w:spacing w:line="600" w:lineRule="exact"/>
        <w:rPr>
          <w:rFonts w:hint="eastAsia" w:ascii="宋体" w:hAnsi="宋体"/>
          <w:bCs/>
          <w:color w:val="auto"/>
          <w:sz w:val="28"/>
          <w:szCs w:val="28"/>
        </w:rPr>
      </w:pPr>
    </w:p>
    <w:p w14:paraId="14183694">
      <w:pPr>
        <w:spacing w:line="600" w:lineRule="exact"/>
        <w:rPr>
          <w:rFonts w:hint="eastAsia" w:ascii="宋体" w:hAnsi="宋体"/>
          <w:bCs/>
          <w:color w:val="auto"/>
          <w:sz w:val="28"/>
          <w:szCs w:val="28"/>
        </w:rPr>
      </w:pPr>
    </w:p>
    <w:p w14:paraId="324B359D">
      <w:pPr>
        <w:spacing w:line="600" w:lineRule="exact"/>
        <w:rPr>
          <w:rFonts w:hint="eastAsia" w:ascii="宋体" w:hAnsi="宋体"/>
          <w:bCs/>
          <w:color w:val="auto"/>
          <w:sz w:val="28"/>
          <w:szCs w:val="28"/>
        </w:rPr>
      </w:pPr>
    </w:p>
    <w:p w14:paraId="1B813BFC">
      <w:pPr>
        <w:spacing w:line="600" w:lineRule="exact"/>
        <w:rPr>
          <w:rFonts w:hint="eastAsia" w:ascii="宋体" w:hAnsi="宋体"/>
          <w:bCs/>
          <w:color w:val="auto"/>
          <w:sz w:val="28"/>
          <w:szCs w:val="28"/>
        </w:rPr>
      </w:pPr>
    </w:p>
    <w:p w14:paraId="621B114B">
      <w:pPr>
        <w:spacing w:line="600" w:lineRule="exact"/>
        <w:rPr>
          <w:rFonts w:hint="eastAsia" w:ascii="宋体" w:hAnsi="宋体"/>
          <w:bCs/>
          <w:color w:val="auto"/>
          <w:sz w:val="28"/>
          <w:szCs w:val="28"/>
        </w:rPr>
      </w:pPr>
    </w:p>
    <w:p w14:paraId="43DB6C7C">
      <w:pPr>
        <w:spacing w:line="600" w:lineRule="exact"/>
        <w:rPr>
          <w:rFonts w:hint="eastAsia" w:ascii="宋体" w:hAnsi="宋体"/>
          <w:bCs/>
          <w:color w:val="auto"/>
          <w:sz w:val="28"/>
          <w:szCs w:val="28"/>
        </w:rPr>
      </w:pPr>
    </w:p>
    <w:p w14:paraId="1A679A7B">
      <w:pPr>
        <w:spacing w:line="600" w:lineRule="exact"/>
        <w:rPr>
          <w:rFonts w:hint="eastAsia" w:ascii="宋体" w:hAnsi="宋体"/>
          <w:bCs/>
          <w:color w:val="auto"/>
          <w:sz w:val="28"/>
          <w:szCs w:val="28"/>
        </w:rPr>
      </w:pPr>
    </w:p>
    <w:p w14:paraId="1FDF9C01">
      <w:pPr>
        <w:spacing w:line="600" w:lineRule="exact"/>
        <w:rPr>
          <w:rFonts w:hint="eastAsia" w:ascii="宋体" w:hAnsi="宋体"/>
          <w:bCs/>
          <w:color w:val="auto"/>
          <w:sz w:val="28"/>
          <w:szCs w:val="28"/>
        </w:rPr>
      </w:pPr>
    </w:p>
    <w:p w14:paraId="5A337568">
      <w:pPr>
        <w:spacing w:line="600" w:lineRule="exact"/>
        <w:rPr>
          <w:rFonts w:hint="eastAsia" w:ascii="宋体" w:hAnsi="宋体"/>
          <w:bCs/>
          <w:color w:val="auto"/>
          <w:sz w:val="28"/>
          <w:szCs w:val="28"/>
        </w:rPr>
      </w:pPr>
    </w:p>
    <w:p w14:paraId="397B4C77">
      <w:pPr>
        <w:spacing w:line="600" w:lineRule="exact"/>
        <w:rPr>
          <w:rFonts w:ascii="宋体" w:hAnsi="宋体"/>
          <w:bCs/>
          <w:color w:val="auto"/>
          <w:sz w:val="28"/>
          <w:szCs w:val="28"/>
        </w:rPr>
      </w:pPr>
      <w:r>
        <w:rPr>
          <w:rFonts w:hint="eastAsia" w:ascii="宋体" w:hAnsi="宋体"/>
          <w:bCs/>
          <w:color w:val="auto"/>
          <w:sz w:val="28"/>
          <w:szCs w:val="28"/>
        </w:rPr>
        <w:t>格式2</w:t>
      </w:r>
      <w:r>
        <w:rPr>
          <w:rFonts w:hint="eastAsia" w:ascii="宋体" w:hAnsi="宋体"/>
          <w:bCs/>
          <w:color w:val="auto"/>
          <w:sz w:val="28"/>
          <w:szCs w:val="28"/>
          <w:lang w:val="en-US" w:eastAsia="zh-CN"/>
        </w:rPr>
        <w:t>2</w:t>
      </w:r>
      <w:r>
        <w:rPr>
          <w:rFonts w:hint="eastAsia" w:ascii="宋体" w:hAnsi="宋体"/>
          <w:bCs/>
          <w:color w:val="auto"/>
          <w:sz w:val="28"/>
          <w:szCs w:val="28"/>
        </w:rPr>
        <w:t>：</w:t>
      </w:r>
    </w:p>
    <w:p w14:paraId="7D06F33E">
      <w:pPr>
        <w:pStyle w:val="3"/>
        <w:jc w:val="center"/>
        <w:outlineLvl w:val="0"/>
        <w:rPr>
          <w:rFonts w:ascii="宋体" w:hAnsi="宋体" w:cs="宋体"/>
          <w:color w:val="auto"/>
        </w:rPr>
      </w:pPr>
      <w:r>
        <w:rPr>
          <w:rFonts w:hint="eastAsia" w:ascii="宋体" w:hAnsi="宋体" w:cs="宋体"/>
          <w:color w:val="auto"/>
        </w:rPr>
        <w:t>构成投标文件的其它资料</w:t>
      </w:r>
    </w:p>
    <w:p w14:paraId="2F9D9817">
      <w:pPr>
        <w:spacing w:line="360" w:lineRule="auto"/>
        <w:jc w:val="left"/>
        <w:rPr>
          <w:rFonts w:ascii="宋体" w:hAnsi="宋体"/>
          <w:color w:val="auto"/>
          <w:szCs w:val="21"/>
        </w:rPr>
      </w:pPr>
    </w:p>
    <w:p w14:paraId="4AF9FF8A">
      <w:pPr>
        <w:keepNext w:val="0"/>
        <w:keepLines w:val="0"/>
        <w:pageBreakBefore w:val="0"/>
        <w:kinsoku/>
        <w:wordWrap/>
        <w:overflowPunct/>
        <w:topLinePunct w:val="0"/>
        <w:autoSpaceDE/>
        <w:autoSpaceDN/>
        <w:bidi w:val="0"/>
        <w:adjustRightInd/>
        <w:snapToGrid/>
        <w:spacing w:line="480" w:lineRule="auto"/>
        <w:jc w:val="left"/>
        <w:textAlignment w:val="auto"/>
        <w:rPr>
          <w:rFonts w:ascii="宋体" w:hAnsi="宋体"/>
          <w:color w:val="auto"/>
          <w:sz w:val="21"/>
          <w:szCs w:val="21"/>
        </w:rPr>
      </w:pPr>
      <w:r>
        <w:rPr>
          <w:rFonts w:hint="eastAsia" w:ascii="宋体" w:hAnsi="宋体"/>
          <w:color w:val="auto"/>
          <w:sz w:val="21"/>
          <w:szCs w:val="21"/>
        </w:rPr>
        <w:t>详见第二章《投标人须知前附表》第9.2条，请自拟格式。</w:t>
      </w:r>
    </w:p>
    <w:p w14:paraId="32E83FE0">
      <w:pPr>
        <w:keepNext w:val="0"/>
        <w:keepLines w:val="0"/>
        <w:pageBreakBefore w:val="0"/>
        <w:widowControl/>
        <w:kinsoku/>
        <w:wordWrap/>
        <w:overflowPunct/>
        <w:topLinePunct w:val="0"/>
        <w:autoSpaceDE/>
        <w:autoSpaceDN/>
        <w:bidi w:val="0"/>
        <w:adjustRightInd/>
        <w:snapToGrid/>
        <w:spacing w:line="480" w:lineRule="auto"/>
        <w:jc w:val="left"/>
        <w:textAlignment w:val="auto"/>
        <w:rPr>
          <w:rFonts w:ascii="宋体" w:hAnsi="宋体"/>
          <w:color w:val="auto"/>
          <w:sz w:val="21"/>
          <w:szCs w:val="21"/>
        </w:rPr>
      </w:pPr>
      <w:r>
        <w:rPr>
          <w:rFonts w:hint="eastAsia" w:ascii="宋体" w:hAnsi="宋体"/>
          <w:color w:val="auto"/>
          <w:sz w:val="21"/>
          <w:szCs w:val="21"/>
        </w:rPr>
        <w:t>1、投标保证金交纳凭证（复印件加盖公章）；</w:t>
      </w:r>
    </w:p>
    <w:p w14:paraId="3FA17DE1">
      <w:pPr>
        <w:keepNext w:val="0"/>
        <w:keepLines w:val="0"/>
        <w:pageBreakBefore w:val="0"/>
        <w:widowControl/>
        <w:kinsoku/>
        <w:wordWrap/>
        <w:overflowPunct/>
        <w:topLinePunct w:val="0"/>
        <w:autoSpaceDE/>
        <w:autoSpaceDN/>
        <w:bidi w:val="0"/>
        <w:adjustRightInd/>
        <w:snapToGrid/>
        <w:spacing w:line="480" w:lineRule="auto"/>
        <w:jc w:val="left"/>
        <w:textAlignment w:val="auto"/>
        <w:rPr>
          <w:rFonts w:ascii="宋体" w:hAnsi="宋体"/>
          <w:color w:val="auto"/>
          <w:sz w:val="21"/>
          <w:szCs w:val="21"/>
        </w:rPr>
      </w:pPr>
      <w:r>
        <w:rPr>
          <w:rFonts w:hint="eastAsia" w:ascii="宋体" w:hAnsi="宋体"/>
          <w:color w:val="auto"/>
          <w:sz w:val="21"/>
          <w:szCs w:val="21"/>
        </w:rPr>
        <w:t>2、第六章《采购内容》中要求提供的其他资料；</w:t>
      </w:r>
    </w:p>
    <w:p w14:paraId="68FB49DD">
      <w:pPr>
        <w:keepNext w:val="0"/>
        <w:keepLines w:val="0"/>
        <w:pageBreakBefore w:val="0"/>
        <w:kinsoku/>
        <w:wordWrap/>
        <w:overflowPunct/>
        <w:topLinePunct w:val="0"/>
        <w:autoSpaceDE/>
        <w:autoSpaceDN/>
        <w:bidi w:val="0"/>
        <w:adjustRightInd/>
        <w:snapToGrid/>
        <w:spacing w:line="480" w:lineRule="auto"/>
        <w:jc w:val="center"/>
        <w:textAlignment w:val="auto"/>
        <w:rPr>
          <w:rFonts w:hint="eastAsia" w:ascii="宋体" w:hAnsi="宋体"/>
          <w:color w:val="auto"/>
          <w:sz w:val="21"/>
          <w:szCs w:val="21"/>
        </w:rPr>
        <w:sectPr>
          <w:headerReference r:id="rId17" w:type="default"/>
          <w:footerReference r:id="rId18" w:type="default"/>
          <w:pgSz w:w="11906" w:h="16838"/>
          <w:pgMar w:top="1327" w:right="1080" w:bottom="1213" w:left="1080" w:header="720" w:footer="720" w:gutter="0"/>
          <w:cols w:space="708" w:num="1"/>
        </w:sectPr>
      </w:pPr>
      <w:r>
        <w:rPr>
          <w:rFonts w:hint="eastAsia" w:ascii="宋体" w:hAnsi="宋体"/>
          <w:color w:val="auto"/>
          <w:sz w:val="21"/>
          <w:szCs w:val="21"/>
        </w:rPr>
        <w:t>3、招标文件中所涉及到的相关资料及证明文件或投标人认为必须提供的其他相关资料。</w:t>
      </w:r>
    </w:p>
    <w:p w14:paraId="0926C134">
      <w:pPr>
        <w:widowControl/>
        <w:spacing w:line="440" w:lineRule="exact"/>
        <w:jc w:val="center"/>
        <w:outlineLvl w:val="0"/>
        <w:rPr>
          <w:rFonts w:ascii="宋体" w:hAnsi="宋体"/>
          <w:color w:val="auto"/>
          <w:spacing w:val="20"/>
          <w:kern w:val="44"/>
          <w:sz w:val="44"/>
          <w:szCs w:val="44"/>
        </w:rPr>
      </w:pPr>
      <w:r>
        <w:rPr>
          <w:rFonts w:hint="eastAsia" w:ascii="宋体" w:hAnsi="宋体"/>
          <w:color w:val="auto"/>
          <w:spacing w:val="20"/>
          <w:kern w:val="44"/>
          <w:sz w:val="44"/>
          <w:szCs w:val="44"/>
        </w:rPr>
        <w:t>第五章 评标方法</w:t>
      </w:r>
    </w:p>
    <w:p w14:paraId="5DF6A56B">
      <w:pPr>
        <w:jc w:val="center"/>
        <w:outlineLvl w:val="1"/>
        <w:rPr>
          <w:color w:val="auto"/>
        </w:rPr>
      </w:pPr>
      <w:r>
        <w:rPr>
          <w:rFonts w:hint="eastAsia"/>
          <w:color w:val="auto"/>
        </w:rPr>
        <w:t>评标办法前附表</w:t>
      </w:r>
    </w:p>
    <w:tbl>
      <w:tblPr>
        <w:tblStyle w:val="35"/>
        <w:tblW w:w="98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275"/>
        <w:gridCol w:w="2347"/>
        <w:gridCol w:w="5590"/>
      </w:tblGrid>
      <w:tr w14:paraId="2024F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blHeader/>
        </w:trPr>
        <w:tc>
          <w:tcPr>
            <w:tcW w:w="1946" w:type="dxa"/>
            <w:gridSpan w:val="2"/>
            <w:tcBorders>
              <w:top w:val="single" w:color="auto" w:sz="4" w:space="0"/>
              <w:left w:val="single" w:color="auto" w:sz="4" w:space="0"/>
              <w:bottom w:val="single" w:color="auto" w:sz="4" w:space="0"/>
              <w:right w:val="single" w:color="auto" w:sz="4" w:space="0"/>
            </w:tcBorders>
            <w:vAlign w:val="center"/>
          </w:tcPr>
          <w:p w14:paraId="72EF2C24">
            <w:pPr>
              <w:spacing w:before="100" w:beforeAutospacing="1" w:after="100" w:afterAutospacing="1" w:line="440" w:lineRule="exact"/>
              <w:jc w:val="center"/>
              <w:rPr>
                <w:rFonts w:ascii="宋体" w:hAnsi="宋体"/>
                <w:b w:val="0"/>
                <w:bCs/>
                <w:color w:val="auto"/>
                <w:sz w:val="21"/>
                <w:szCs w:val="21"/>
              </w:rPr>
            </w:pPr>
            <w:r>
              <w:rPr>
                <w:rFonts w:hint="eastAsia" w:ascii="宋体" w:hAnsi="宋体"/>
                <w:b w:val="0"/>
                <w:bCs/>
                <w:color w:val="auto"/>
                <w:sz w:val="21"/>
                <w:szCs w:val="21"/>
              </w:rPr>
              <w:t>条款号</w:t>
            </w:r>
          </w:p>
        </w:tc>
        <w:tc>
          <w:tcPr>
            <w:tcW w:w="2347" w:type="dxa"/>
            <w:tcBorders>
              <w:top w:val="single" w:color="auto" w:sz="4" w:space="0"/>
              <w:left w:val="single" w:color="auto" w:sz="4" w:space="0"/>
              <w:bottom w:val="single" w:color="auto" w:sz="4" w:space="0"/>
              <w:right w:val="single" w:color="auto" w:sz="4" w:space="0"/>
            </w:tcBorders>
            <w:vAlign w:val="center"/>
          </w:tcPr>
          <w:p w14:paraId="1F6CC544">
            <w:pPr>
              <w:jc w:val="center"/>
              <w:rPr>
                <w:rFonts w:ascii="宋体" w:hAnsi="宋体"/>
                <w:b w:val="0"/>
                <w:bCs/>
                <w:color w:val="auto"/>
                <w:sz w:val="21"/>
                <w:szCs w:val="21"/>
              </w:rPr>
            </w:pPr>
            <w:r>
              <w:rPr>
                <w:rFonts w:hint="eastAsia" w:ascii="宋体" w:hAnsi="宋体"/>
                <w:b w:val="0"/>
                <w:bCs/>
                <w:color w:val="auto"/>
                <w:sz w:val="21"/>
                <w:szCs w:val="21"/>
              </w:rPr>
              <w:t>评审因素</w:t>
            </w:r>
          </w:p>
        </w:tc>
        <w:tc>
          <w:tcPr>
            <w:tcW w:w="5590" w:type="dxa"/>
            <w:tcBorders>
              <w:top w:val="single" w:color="auto" w:sz="4" w:space="0"/>
              <w:left w:val="single" w:color="auto" w:sz="4" w:space="0"/>
              <w:bottom w:val="single" w:color="auto" w:sz="4" w:space="0"/>
              <w:right w:val="single" w:color="auto" w:sz="4" w:space="0"/>
            </w:tcBorders>
            <w:vAlign w:val="center"/>
          </w:tcPr>
          <w:p w14:paraId="5753FF19">
            <w:pPr>
              <w:jc w:val="center"/>
              <w:rPr>
                <w:rFonts w:ascii="宋体" w:hAnsi="宋体"/>
                <w:b w:val="0"/>
                <w:bCs/>
                <w:color w:val="auto"/>
                <w:sz w:val="21"/>
                <w:szCs w:val="21"/>
              </w:rPr>
            </w:pPr>
            <w:r>
              <w:rPr>
                <w:rFonts w:hint="eastAsia" w:ascii="宋体" w:hAnsi="宋体"/>
                <w:b w:val="0"/>
                <w:bCs/>
                <w:color w:val="auto"/>
                <w:sz w:val="21"/>
                <w:szCs w:val="21"/>
              </w:rPr>
              <w:t>评审标准</w:t>
            </w:r>
          </w:p>
        </w:tc>
      </w:tr>
      <w:tr w14:paraId="6141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blHeader/>
        </w:trPr>
        <w:tc>
          <w:tcPr>
            <w:tcW w:w="671" w:type="dxa"/>
            <w:vMerge w:val="restart"/>
            <w:vAlign w:val="center"/>
          </w:tcPr>
          <w:p w14:paraId="5ED32CD6">
            <w:pPr>
              <w:spacing w:line="360" w:lineRule="exact"/>
              <w:jc w:val="center"/>
              <w:rPr>
                <w:rFonts w:ascii="宋体" w:hAnsi="宋体"/>
                <w:b w:val="0"/>
                <w:bCs/>
                <w:color w:val="auto"/>
                <w:sz w:val="21"/>
                <w:szCs w:val="21"/>
              </w:rPr>
            </w:pPr>
            <w:r>
              <w:rPr>
                <w:rFonts w:hint="eastAsia" w:ascii="宋体" w:hAnsi="宋体"/>
                <w:b w:val="0"/>
                <w:bCs/>
                <w:color w:val="auto"/>
                <w:sz w:val="21"/>
                <w:szCs w:val="21"/>
              </w:rPr>
              <w:t>1.1</w:t>
            </w:r>
          </w:p>
        </w:tc>
        <w:tc>
          <w:tcPr>
            <w:tcW w:w="1275" w:type="dxa"/>
            <w:vMerge w:val="restart"/>
            <w:vAlign w:val="center"/>
          </w:tcPr>
          <w:p w14:paraId="7BF2C9EE">
            <w:pPr>
              <w:spacing w:line="360" w:lineRule="exact"/>
              <w:rPr>
                <w:rFonts w:ascii="宋体" w:hAnsi="宋体"/>
                <w:b w:val="0"/>
                <w:bCs/>
                <w:color w:val="auto"/>
                <w:sz w:val="21"/>
                <w:szCs w:val="21"/>
              </w:rPr>
            </w:pPr>
            <w:r>
              <w:rPr>
                <w:rFonts w:hint="eastAsia" w:ascii="宋体" w:hAnsi="宋体"/>
                <w:b w:val="0"/>
                <w:bCs/>
                <w:color w:val="auto"/>
                <w:sz w:val="21"/>
                <w:szCs w:val="21"/>
              </w:rPr>
              <w:t>资格审查</w:t>
            </w:r>
          </w:p>
        </w:tc>
        <w:tc>
          <w:tcPr>
            <w:tcW w:w="2347" w:type="dxa"/>
            <w:vAlign w:val="center"/>
          </w:tcPr>
          <w:p w14:paraId="21A17A51">
            <w:pPr>
              <w:spacing w:line="360" w:lineRule="exact"/>
              <w:jc w:val="center"/>
              <w:rPr>
                <w:rFonts w:ascii="宋体" w:hAnsi="宋体"/>
                <w:b w:val="0"/>
                <w:bCs/>
                <w:color w:val="auto"/>
                <w:sz w:val="21"/>
                <w:szCs w:val="21"/>
              </w:rPr>
            </w:pPr>
            <w:r>
              <w:rPr>
                <w:rFonts w:hint="eastAsia" w:ascii="宋体" w:hAnsi="宋体" w:eastAsia="宋体" w:cs="宋体"/>
                <w:b w:val="0"/>
                <w:bCs/>
                <w:color w:val="000000"/>
                <w:sz w:val="21"/>
                <w:szCs w:val="21"/>
                <w:highlight w:val="none"/>
              </w:rPr>
              <w:t>具有独立承担民事责任的能力</w:t>
            </w:r>
          </w:p>
        </w:tc>
        <w:tc>
          <w:tcPr>
            <w:tcW w:w="5590" w:type="dxa"/>
            <w:vAlign w:val="center"/>
          </w:tcPr>
          <w:p w14:paraId="119F3D27">
            <w:pPr>
              <w:spacing w:line="440" w:lineRule="exact"/>
              <w:jc w:val="left"/>
              <w:rPr>
                <w:rFonts w:hint="eastAsia" w:ascii="宋体" w:hAnsi="宋体" w:eastAsia="宋体" w:cs="Times New Roman"/>
                <w:b w:val="0"/>
                <w:bCs/>
                <w:sz w:val="21"/>
                <w:szCs w:val="21"/>
                <w:highlight w:val="none"/>
                <w:lang w:val="zh-CN" w:eastAsia="zh-CN"/>
              </w:rPr>
            </w:pPr>
            <w:r>
              <w:rPr>
                <w:rFonts w:hint="eastAsia" w:ascii="宋体" w:hAnsi="宋体" w:eastAsia="宋体" w:cs="Times New Roman"/>
                <w:b w:val="0"/>
                <w:bCs/>
                <w:sz w:val="21"/>
                <w:szCs w:val="21"/>
                <w:highlight w:val="none"/>
                <w:lang w:val="en-US" w:eastAsia="zh-CN"/>
              </w:rPr>
              <w:t>提供</w:t>
            </w:r>
            <w:r>
              <w:rPr>
                <w:rFonts w:hint="eastAsia" w:ascii="宋体" w:hAnsi="宋体" w:eastAsia="宋体" w:cs="Times New Roman"/>
                <w:b w:val="0"/>
                <w:bCs/>
                <w:sz w:val="21"/>
                <w:szCs w:val="21"/>
                <w:highlight w:val="none"/>
                <w:lang w:val="zh-CN" w:eastAsia="zh-CN"/>
              </w:rPr>
              <w:t>①</w:t>
            </w:r>
            <w:r>
              <w:rPr>
                <w:rFonts w:hint="eastAsia" w:ascii="宋体" w:hAnsi="宋体" w:cs="Times New Roman"/>
                <w:b w:val="0"/>
                <w:bCs/>
                <w:sz w:val="21"/>
                <w:szCs w:val="21"/>
                <w:highlight w:val="none"/>
                <w:lang w:val="en-US" w:eastAsia="zh-CN"/>
              </w:rPr>
              <w:t>供应商</w:t>
            </w:r>
            <w:r>
              <w:rPr>
                <w:rFonts w:hint="eastAsia" w:ascii="宋体" w:hAnsi="宋体" w:eastAsia="宋体" w:cs="Times New Roman"/>
                <w:b w:val="0"/>
                <w:bCs/>
                <w:sz w:val="21"/>
                <w:szCs w:val="21"/>
                <w:highlight w:val="none"/>
                <w:lang w:val="zh-CN" w:eastAsia="zh-CN"/>
              </w:rPr>
              <w:t>若为企业法人：提供“统一社会信用代码营业执照”；未换证的提供“营业执照、税务登记证、组织机构代码证或三证合一的营业 执照”；②若为事业法人：提供“统一社会信用代码法人登记证书”；未换证的提交“事业法人登记证书、组织机构代码证”；③若为其他组织：提供“对应主管部门颁发的准许执业证明文件或营业执照”；④若为自然人：提供“身份证明材料”。以上均提供复印件 。</w:t>
            </w:r>
          </w:p>
          <w:p w14:paraId="75825C67">
            <w:pPr>
              <w:spacing w:line="440" w:lineRule="exact"/>
              <w:jc w:val="left"/>
              <w:rPr>
                <w:rFonts w:hint="eastAsia" w:ascii="宋体" w:hAnsi="宋体" w:eastAsia="宋体" w:cs="Times New Roman"/>
                <w:b w:val="0"/>
                <w:bCs/>
                <w:sz w:val="21"/>
                <w:szCs w:val="21"/>
                <w:highlight w:val="none"/>
                <w:lang w:val="zh-CN" w:eastAsia="zh-CN"/>
              </w:rPr>
            </w:pPr>
            <w:r>
              <w:rPr>
                <w:rFonts w:hint="eastAsia" w:ascii="宋体" w:hAnsi="宋体" w:cs="Times New Roman"/>
                <w:b w:val="0"/>
                <w:bCs/>
                <w:sz w:val="21"/>
                <w:szCs w:val="21"/>
                <w:highlight w:val="none"/>
                <w:lang w:val="en-US" w:eastAsia="zh-CN"/>
              </w:rPr>
              <w:t>注：</w:t>
            </w:r>
            <w:r>
              <w:rPr>
                <w:rFonts w:hint="eastAsia" w:ascii="宋体" w:hAnsi="宋体" w:eastAsia="宋体" w:cs="Times New Roman"/>
                <w:b w:val="0"/>
                <w:bCs/>
                <w:sz w:val="21"/>
                <w:szCs w:val="21"/>
                <w:highlight w:val="none"/>
                <w:lang w:val="zh-CN" w:eastAsia="zh-CN"/>
              </w:rPr>
              <w:t>若为分支机构投标的，需提供上级公司所出具的相关授权证明材料</w:t>
            </w:r>
          </w:p>
        </w:tc>
      </w:tr>
      <w:tr w14:paraId="1C46E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tblHeader/>
        </w:trPr>
        <w:tc>
          <w:tcPr>
            <w:tcW w:w="671" w:type="dxa"/>
            <w:vMerge w:val="continue"/>
            <w:vAlign w:val="center"/>
          </w:tcPr>
          <w:p w14:paraId="52C76B91">
            <w:pPr>
              <w:spacing w:line="360" w:lineRule="exact"/>
              <w:jc w:val="center"/>
              <w:rPr>
                <w:rFonts w:ascii="宋体" w:hAnsi="宋体"/>
                <w:b w:val="0"/>
                <w:bCs/>
                <w:color w:val="auto"/>
                <w:sz w:val="21"/>
                <w:szCs w:val="21"/>
              </w:rPr>
            </w:pPr>
          </w:p>
        </w:tc>
        <w:tc>
          <w:tcPr>
            <w:tcW w:w="1275" w:type="dxa"/>
            <w:vMerge w:val="continue"/>
            <w:vAlign w:val="center"/>
          </w:tcPr>
          <w:p w14:paraId="1819071B">
            <w:pPr>
              <w:spacing w:line="360" w:lineRule="exact"/>
              <w:jc w:val="center"/>
              <w:rPr>
                <w:rFonts w:ascii="宋体" w:hAnsi="宋体"/>
                <w:b w:val="0"/>
                <w:bCs/>
                <w:color w:val="auto"/>
                <w:sz w:val="21"/>
                <w:szCs w:val="21"/>
              </w:rPr>
            </w:pPr>
          </w:p>
        </w:tc>
        <w:tc>
          <w:tcPr>
            <w:tcW w:w="2347" w:type="dxa"/>
            <w:vAlign w:val="center"/>
          </w:tcPr>
          <w:p w14:paraId="246D2B2F">
            <w:pPr>
              <w:spacing w:line="360" w:lineRule="exact"/>
              <w:jc w:val="center"/>
              <w:rPr>
                <w:rFonts w:ascii="宋体" w:hAnsi="宋体"/>
                <w:b w:val="0"/>
                <w:bCs/>
                <w:color w:val="auto"/>
                <w:sz w:val="21"/>
                <w:szCs w:val="21"/>
                <w:highlight w:val="none"/>
              </w:rPr>
            </w:pPr>
            <w:r>
              <w:rPr>
                <w:rFonts w:hint="eastAsia" w:ascii="宋体" w:hAnsi="宋体" w:eastAsia="宋体" w:cs="宋体"/>
                <w:b w:val="0"/>
                <w:bCs/>
                <w:color w:val="000000"/>
                <w:sz w:val="21"/>
                <w:szCs w:val="21"/>
                <w:highlight w:val="none"/>
              </w:rPr>
              <w:t>具有良好的商业信誉和健全的财务会计制度</w:t>
            </w:r>
          </w:p>
        </w:tc>
        <w:tc>
          <w:tcPr>
            <w:tcW w:w="5590" w:type="dxa"/>
            <w:vAlign w:val="center"/>
          </w:tcPr>
          <w:p w14:paraId="716D3A0A">
            <w:pPr>
              <w:spacing w:before="120" w:beforeLines="50" w:line="440" w:lineRule="exact"/>
              <w:jc w:val="left"/>
              <w:outlineLvl w:val="1"/>
              <w:rPr>
                <w:rFonts w:hint="eastAsia" w:ascii="宋体" w:hAnsi="宋体"/>
                <w:b w:val="0"/>
                <w:bCs/>
                <w:color w:val="auto"/>
                <w:sz w:val="21"/>
                <w:szCs w:val="21"/>
                <w:highlight w:val="none"/>
              </w:rPr>
            </w:pPr>
            <w:r>
              <w:rPr>
                <w:rFonts w:hint="eastAsia" w:ascii="宋体" w:hAnsi="宋体"/>
                <w:b w:val="0"/>
                <w:bCs/>
                <w:kern w:val="0"/>
                <w:sz w:val="21"/>
                <w:szCs w:val="21"/>
              </w:rPr>
              <w:t>提供20</w:t>
            </w:r>
            <w:r>
              <w:rPr>
                <w:rFonts w:hint="eastAsia" w:ascii="宋体" w:hAnsi="宋体"/>
                <w:b w:val="0"/>
                <w:bCs/>
                <w:kern w:val="0"/>
                <w:sz w:val="21"/>
                <w:szCs w:val="21"/>
                <w:lang w:val="en-US" w:eastAsia="zh-CN"/>
              </w:rPr>
              <w:t>22、2023，2024</w:t>
            </w:r>
            <w:r>
              <w:rPr>
                <w:rFonts w:hint="eastAsia" w:ascii="宋体" w:hAnsi="宋体"/>
                <w:b w:val="0"/>
                <w:bCs/>
                <w:kern w:val="0"/>
                <w:sz w:val="21"/>
                <w:szCs w:val="21"/>
              </w:rPr>
              <w:t>年</w:t>
            </w:r>
            <w:r>
              <w:rPr>
                <w:rFonts w:hint="eastAsia" w:ascii="宋体" w:hAnsi="宋体"/>
                <w:b w:val="0"/>
                <w:bCs/>
                <w:kern w:val="0"/>
                <w:sz w:val="21"/>
                <w:szCs w:val="21"/>
                <w:lang w:val="en-US" w:eastAsia="zh-CN"/>
              </w:rPr>
              <w:t>任意一年</w:t>
            </w:r>
            <w:r>
              <w:rPr>
                <w:rFonts w:hint="eastAsia" w:ascii="宋体" w:hAnsi="宋体"/>
                <w:b w:val="0"/>
                <w:bCs/>
                <w:kern w:val="0"/>
                <w:sz w:val="21"/>
                <w:szCs w:val="21"/>
              </w:rPr>
              <w:t>经第三方审计的审计报告</w:t>
            </w:r>
            <w:r>
              <w:rPr>
                <w:rFonts w:hint="eastAsia" w:ascii="宋体" w:hAnsi="宋体"/>
                <w:b w:val="0"/>
                <w:bCs/>
                <w:kern w:val="0"/>
                <w:sz w:val="21"/>
                <w:szCs w:val="21"/>
                <w:lang w:val="en-US" w:eastAsia="zh-CN"/>
              </w:rPr>
              <w:t>或</w:t>
            </w:r>
            <w:r>
              <w:rPr>
                <w:rFonts w:hint="eastAsia" w:ascii="宋体" w:hAnsi="宋体"/>
                <w:b w:val="0"/>
                <w:bCs/>
                <w:kern w:val="0"/>
                <w:sz w:val="21"/>
                <w:szCs w:val="21"/>
              </w:rPr>
              <w:t>财务报表（包括审计报告、资产负债表、利润表、现金流量表），成立不满一年的，提供自成立至今经第三方审计的审计报告</w:t>
            </w:r>
            <w:r>
              <w:rPr>
                <w:rFonts w:hint="eastAsia" w:ascii="宋体" w:hAnsi="宋体"/>
                <w:b w:val="0"/>
                <w:bCs/>
                <w:kern w:val="0"/>
                <w:sz w:val="21"/>
                <w:szCs w:val="21"/>
                <w:lang w:val="en-US" w:eastAsia="zh-CN"/>
              </w:rPr>
              <w:t>或</w:t>
            </w:r>
            <w:r>
              <w:rPr>
                <w:rFonts w:hint="eastAsia" w:ascii="宋体" w:hAnsi="宋体"/>
                <w:b w:val="0"/>
                <w:bCs/>
                <w:kern w:val="0"/>
                <w:sz w:val="21"/>
                <w:szCs w:val="21"/>
              </w:rPr>
              <w:t>财务报表（包括审计报告、资产负债表、利润表、现金流量表）</w:t>
            </w:r>
            <w:r>
              <w:rPr>
                <w:rFonts w:hint="eastAsia" w:ascii="宋体" w:hAnsi="宋体" w:eastAsia="宋体"/>
                <w:b w:val="0"/>
                <w:bCs/>
                <w:color w:val="000000" w:themeColor="text1"/>
                <w:sz w:val="21"/>
                <w:szCs w:val="21"/>
                <w14:textFill>
                  <w14:solidFill>
                    <w14:schemeClr w14:val="tx1"/>
                  </w14:solidFill>
                </w14:textFill>
              </w:rPr>
              <w:t>；</w:t>
            </w:r>
            <w:r>
              <w:rPr>
                <w:rFonts w:hint="eastAsia" w:ascii="宋体" w:hAnsi="宋体"/>
                <w:b w:val="0"/>
                <w:bCs/>
                <w:color w:val="auto"/>
                <w:sz w:val="21"/>
                <w:szCs w:val="21"/>
                <w:highlight w:val="none"/>
              </w:rPr>
              <w:t>或相关情况说明。</w:t>
            </w:r>
          </w:p>
          <w:p w14:paraId="1D150A2C">
            <w:pPr>
              <w:spacing w:before="120" w:beforeLines="50" w:line="440" w:lineRule="exact"/>
              <w:jc w:val="left"/>
              <w:outlineLvl w:val="1"/>
              <w:rPr>
                <w:rFonts w:hint="eastAsia" w:ascii="宋体" w:hAnsi="宋体"/>
                <w:b w:val="0"/>
                <w:bCs/>
                <w:color w:val="auto"/>
                <w:sz w:val="21"/>
                <w:szCs w:val="21"/>
                <w:highlight w:val="none"/>
              </w:rPr>
            </w:pPr>
            <w:r>
              <w:rPr>
                <w:rFonts w:hint="eastAsia" w:ascii="宋体" w:hAnsi="宋体" w:cs="Times New Roman"/>
                <w:b w:val="0"/>
                <w:bCs/>
                <w:sz w:val="21"/>
                <w:szCs w:val="21"/>
                <w:highlight w:val="none"/>
                <w:lang w:val="en-US" w:eastAsia="zh-CN"/>
              </w:rPr>
              <w:t>注：</w:t>
            </w:r>
            <w:r>
              <w:rPr>
                <w:rFonts w:hint="eastAsia" w:ascii="宋体" w:hAnsi="宋体" w:eastAsia="宋体" w:cs="Times New Roman"/>
                <w:b w:val="0"/>
                <w:bCs/>
                <w:sz w:val="21"/>
                <w:szCs w:val="21"/>
                <w:highlight w:val="none"/>
                <w:lang w:val="zh-CN" w:eastAsia="zh-CN"/>
              </w:rPr>
              <w:t>若为分支机构投标的，需提供上级公司所出具的相关授权证明材料</w:t>
            </w:r>
          </w:p>
        </w:tc>
      </w:tr>
      <w:tr w14:paraId="0B842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blHeader/>
        </w:trPr>
        <w:tc>
          <w:tcPr>
            <w:tcW w:w="671" w:type="dxa"/>
            <w:vMerge w:val="continue"/>
            <w:vAlign w:val="center"/>
          </w:tcPr>
          <w:p w14:paraId="6A25A9BB">
            <w:pPr>
              <w:spacing w:line="360" w:lineRule="exact"/>
              <w:jc w:val="center"/>
              <w:rPr>
                <w:rFonts w:ascii="宋体" w:hAnsi="宋体"/>
                <w:b w:val="0"/>
                <w:bCs/>
                <w:color w:val="auto"/>
                <w:sz w:val="21"/>
                <w:szCs w:val="21"/>
              </w:rPr>
            </w:pPr>
          </w:p>
        </w:tc>
        <w:tc>
          <w:tcPr>
            <w:tcW w:w="1275" w:type="dxa"/>
            <w:vMerge w:val="continue"/>
            <w:vAlign w:val="center"/>
          </w:tcPr>
          <w:p w14:paraId="07B5E176">
            <w:pPr>
              <w:spacing w:line="360" w:lineRule="exact"/>
              <w:jc w:val="center"/>
              <w:rPr>
                <w:rFonts w:ascii="宋体" w:hAnsi="宋体"/>
                <w:b w:val="0"/>
                <w:bCs/>
                <w:color w:val="auto"/>
                <w:sz w:val="21"/>
                <w:szCs w:val="21"/>
              </w:rPr>
            </w:pPr>
          </w:p>
        </w:tc>
        <w:tc>
          <w:tcPr>
            <w:tcW w:w="2347" w:type="dxa"/>
            <w:vAlign w:val="center"/>
          </w:tcPr>
          <w:p w14:paraId="1E689EE8">
            <w:pPr>
              <w:spacing w:line="360" w:lineRule="exact"/>
              <w:jc w:val="center"/>
              <w:rPr>
                <w:rFonts w:ascii="宋体" w:hAnsi="宋体"/>
                <w:b w:val="0"/>
                <w:bCs/>
                <w:color w:val="auto"/>
                <w:sz w:val="21"/>
                <w:szCs w:val="21"/>
              </w:rPr>
            </w:pPr>
            <w:r>
              <w:rPr>
                <w:rFonts w:hint="eastAsia" w:ascii="宋体" w:hAnsi="宋体"/>
                <w:b w:val="0"/>
                <w:bCs/>
                <w:color w:val="auto"/>
                <w:sz w:val="21"/>
                <w:szCs w:val="21"/>
              </w:rPr>
              <w:t>具有履行合同所必需的设备和专业技术能力</w:t>
            </w:r>
          </w:p>
        </w:tc>
        <w:tc>
          <w:tcPr>
            <w:tcW w:w="5590" w:type="dxa"/>
            <w:vAlign w:val="center"/>
          </w:tcPr>
          <w:p w14:paraId="0CE7CAE6">
            <w:pPr>
              <w:spacing w:line="440" w:lineRule="exact"/>
              <w:jc w:val="left"/>
              <w:rPr>
                <w:rFonts w:ascii="宋体" w:hAnsi="宋体"/>
                <w:b w:val="0"/>
                <w:bCs/>
                <w:color w:val="auto"/>
                <w:sz w:val="21"/>
                <w:szCs w:val="21"/>
              </w:rPr>
            </w:pPr>
            <w:r>
              <w:rPr>
                <w:rFonts w:hint="eastAsia" w:ascii="宋体" w:hAnsi="宋体" w:eastAsia="宋体" w:cs="宋体"/>
                <w:b w:val="0"/>
                <w:bCs/>
                <w:color w:val="auto"/>
                <w:sz w:val="21"/>
                <w:szCs w:val="21"/>
                <w:lang w:eastAsia="zh-CN"/>
              </w:rPr>
              <w:t>具有履行合同所必需的设备和专业技术能力（提供书面声明或相关证明材料）</w:t>
            </w:r>
          </w:p>
        </w:tc>
      </w:tr>
      <w:tr w14:paraId="13ED7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7" w:hRule="atLeast"/>
          <w:tblHeader/>
        </w:trPr>
        <w:tc>
          <w:tcPr>
            <w:tcW w:w="671" w:type="dxa"/>
            <w:vMerge w:val="continue"/>
            <w:vAlign w:val="center"/>
          </w:tcPr>
          <w:p w14:paraId="7A5AFBAA">
            <w:pPr>
              <w:spacing w:line="360" w:lineRule="exact"/>
              <w:jc w:val="center"/>
              <w:rPr>
                <w:rFonts w:ascii="宋体" w:hAnsi="宋体"/>
                <w:b w:val="0"/>
                <w:bCs/>
                <w:color w:val="auto"/>
                <w:sz w:val="21"/>
                <w:szCs w:val="21"/>
              </w:rPr>
            </w:pPr>
          </w:p>
        </w:tc>
        <w:tc>
          <w:tcPr>
            <w:tcW w:w="1275" w:type="dxa"/>
            <w:vMerge w:val="continue"/>
            <w:vAlign w:val="center"/>
          </w:tcPr>
          <w:p w14:paraId="66488F3D">
            <w:pPr>
              <w:spacing w:line="360" w:lineRule="exact"/>
              <w:jc w:val="center"/>
              <w:rPr>
                <w:rFonts w:ascii="宋体" w:hAnsi="宋体"/>
                <w:b w:val="0"/>
                <w:bCs/>
                <w:color w:val="auto"/>
                <w:sz w:val="21"/>
                <w:szCs w:val="21"/>
              </w:rPr>
            </w:pPr>
          </w:p>
        </w:tc>
        <w:tc>
          <w:tcPr>
            <w:tcW w:w="2347" w:type="dxa"/>
            <w:vAlign w:val="center"/>
          </w:tcPr>
          <w:p w14:paraId="2C163F79">
            <w:pPr>
              <w:spacing w:line="360" w:lineRule="exact"/>
              <w:jc w:val="center"/>
              <w:rPr>
                <w:rFonts w:ascii="宋体" w:hAnsi="宋体"/>
                <w:b w:val="0"/>
                <w:bCs/>
                <w:color w:val="auto"/>
                <w:sz w:val="21"/>
                <w:szCs w:val="21"/>
              </w:rPr>
            </w:pPr>
            <w:r>
              <w:rPr>
                <w:rFonts w:hint="eastAsia" w:ascii="宋体" w:hAnsi="宋体" w:eastAsia="宋体" w:cs="宋体"/>
                <w:b w:val="0"/>
                <w:bCs/>
                <w:color w:val="000000"/>
                <w:sz w:val="21"/>
                <w:szCs w:val="21"/>
                <w:highlight w:val="none"/>
                <w:lang w:val="en-US" w:eastAsia="zh-CN"/>
              </w:rPr>
              <w:t>具备</w:t>
            </w:r>
            <w:r>
              <w:rPr>
                <w:rFonts w:hint="eastAsia" w:ascii="宋体" w:hAnsi="宋体" w:eastAsia="宋体" w:cs="宋体"/>
                <w:b w:val="0"/>
                <w:bCs/>
                <w:color w:val="000000"/>
                <w:sz w:val="21"/>
                <w:szCs w:val="21"/>
                <w:highlight w:val="none"/>
              </w:rPr>
              <w:t>依法缴纳税收和社会保障金的良好记录</w:t>
            </w:r>
          </w:p>
        </w:tc>
        <w:tc>
          <w:tcPr>
            <w:tcW w:w="5590" w:type="dxa"/>
            <w:vAlign w:val="center"/>
          </w:tcPr>
          <w:p w14:paraId="23B28689">
            <w:pPr>
              <w:spacing w:line="440" w:lineRule="exact"/>
              <w:jc w:val="left"/>
              <w:rPr>
                <w:rFonts w:hint="eastAsia" w:ascii="宋体" w:hAnsi="宋体" w:eastAsia="宋体"/>
                <w:b w:val="0"/>
                <w:bCs/>
                <w:color w:val="auto"/>
                <w:sz w:val="21"/>
                <w:szCs w:val="21"/>
                <w:lang w:eastAsia="zh-CN"/>
              </w:rPr>
            </w:pPr>
            <w:r>
              <w:rPr>
                <w:rFonts w:hint="eastAsia" w:ascii="宋体" w:hAnsi="宋体" w:eastAsia="宋体" w:cs="宋体"/>
                <w:b w:val="0"/>
                <w:bCs/>
                <w:color w:val="auto"/>
                <w:sz w:val="21"/>
                <w:szCs w:val="21"/>
                <w:lang w:val="en-US" w:eastAsia="zh-CN"/>
              </w:rPr>
              <w:t>提供2020年至今任意连续</w:t>
            </w:r>
            <w:r>
              <w:rPr>
                <w:rFonts w:hint="eastAsia" w:ascii="宋体" w:hAnsi="宋体" w:cs="宋体"/>
                <w:b w:val="0"/>
                <w:bCs/>
                <w:color w:val="auto"/>
                <w:sz w:val="21"/>
                <w:szCs w:val="21"/>
                <w:lang w:val="en-US" w:eastAsia="zh-CN"/>
              </w:rPr>
              <w:t>3</w:t>
            </w:r>
            <w:r>
              <w:rPr>
                <w:rFonts w:hint="eastAsia" w:ascii="宋体" w:hAnsi="宋体" w:eastAsia="宋体" w:cs="宋体"/>
                <w:b w:val="0"/>
                <w:bCs/>
                <w:color w:val="auto"/>
                <w:sz w:val="21"/>
                <w:szCs w:val="21"/>
                <w:lang w:val="en-US" w:eastAsia="zh-CN"/>
              </w:rPr>
              <w:t>个月依法缴纳税收和缴纳社会保障资金的证明(成立未满</w:t>
            </w:r>
            <w:r>
              <w:rPr>
                <w:rFonts w:hint="eastAsia" w:ascii="宋体" w:hAnsi="宋体" w:cs="宋体"/>
                <w:b w:val="0"/>
                <w:bCs/>
                <w:color w:val="auto"/>
                <w:sz w:val="21"/>
                <w:szCs w:val="21"/>
                <w:lang w:val="en-US" w:eastAsia="zh-CN"/>
              </w:rPr>
              <w:t>3</w:t>
            </w:r>
            <w:r>
              <w:rPr>
                <w:rFonts w:hint="eastAsia" w:ascii="宋体" w:hAnsi="宋体" w:eastAsia="宋体" w:cs="宋体"/>
                <w:b w:val="0"/>
                <w:bCs/>
                <w:color w:val="auto"/>
                <w:sz w:val="21"/>
                <w:szCs w:val="21"/>
                <w:lang w:val="en-US" w:eastAsia="zh-CN"/>
              </w:rPr>
              <w:t>个月的提供成立以来的税收和社会保障资金缴纳凭证或相关情况说明；依法免税或不需要缴纳社会保障资金的供应商，应提供相应文件证明其依法免税或不需要缴纳社会保障资金)</w:t>
            </w:r>
            <w:r>
              <w:rPr>
                <w:rFonts w:hint="eastAsia" w:ascii="宋体" w:hAnsi="宋体" w:eastAsia="宋体" w:cs="宋体"/>
                <w:b w:val="0"/>
                <w:bCs/>
                <w:color w:val="auto"/>
                <w:sz w:val="21"/>
                <w:szCs w:val="21"/>
              </w:rPr>
              <w:t>；</w:t>
            </w:r>
          </w:p>
        </w:tc>
      </w:tr>
      <w:tr w14:paraId="4E999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blHeader/>
        </w:trPr>
        <w:tc>
          <w:tcPr>
            <w:tcW w:w="671" w:type="dxa"/>
            <w:vMerge w:val="continue"/>
            <w:vAlign w:val="center"/>
          </w:tcPr>
          <w:p w14:paraId="590F039A">
            <w:pPr>
              <w:spacing w:line="360" w:lineRule="exact"/>
              <w:jc w:val="center"/>
              <w:rPr>
                <w:rFonts w:ascii="宋体" w:hAnsi="宋体"/>
                <w:b w:val="0"/>
                <w:bCs/>
                <w:color w:val="auto"/>
                <w:sz w:val="21"/>
                <w:szCs w:val="21"/>
              </w:rPr>
            </w:pPr>
          </w:p>
        </w:tc>
        <w:tc>
          <w:tcPr>
            <w:tcW w:w="1275" w:type="dxa"/>
            <w:vMerge w:val="continue"/>
            <w:vAlign w:val="center"/>
          </w:tcPr>
          <w:p w14:paraId="7A5D434E">
            <w:pPr>
              <w:spacing w:line="360" w:lineRule="exact"/>
              <w:jc w:val="center"/>
              <w:rPr>
                <w:rFonts w:ascii="宋体" w:hAnsi="宋体"/>
                <w:b w:val="0"/>
                <w:bCs/>
                <w:color w:val="auto"/>
                <w:sz w:val="21"/>
                <w:szCs w:val="21"/>
              </w:rPr>
            </w:pPr>
          </w:p>
        </w:tc>
        <w:tc>
          <w:tcPr>
            <w:tcW w:w="2347" w:type="dxa"/>
            <w:vAlign w:val="center"/>
          </w:tcPr>
          <w:p w14:paraId="72446778">
            <w:pPr>
              <w:spacing w:line="360" w:lineRule="exact"/>
              <w:jc w:val="center"/>
              <w:rPr>
                <w:rFonts w:ascii="宋体" w:hAnsi="宋体"/>
                <w:b w:val="0"/>
                <w:bCs/>
                <w:color w:val="auto"/>
                <w:sz w:val="21"/>
                <w:szCs w:val="21"/>
              </w:rPr>
            </w:pPr>
            <w:r>
              <w:rPr>
                <w:rFonts w:hint="eastAsia" w:ascii="宋体" w:hAnsi="宋体"/>
                <w:b w:val="0"/>
                <w:bCs/>
                <w:color w:val="auto"/>
                <w:sz w:val="21"/>
                <w:szCs w:val="21"/>
              </w:rPr>
              <w:t>参加政府采购活动前</w:t>
            </w:r>
            <w:r>
              <w:rPr>
                <w:rFonts w:hint="eastAsia" w:ascii="宋体" w:hAnsi="宋体"/>
                <w:b w:val="0"/>
                <w:bCs/>
                <w:color w:val="auto"/>
                <w:sz w:val="21"/>
                <w:szCs w:val="21"/>
                <w:lang w:val="en-US" w:eastAsia="zh-CN"/>
              </w:rPr>
              <w:t>3</w:t>
            </w:r>
            <w:r>
              <w:rPr>
                <w:rFonts w:hint="eastAsia" w:ascii="宋体" w:hAnsi="宋体"/>
                <w:b w:val="0"/>
                <w:bCs/>
                <w:color w:val="auto"/>
                <w:sz w:val="21"/>
                <w:szCs w:val="21"/>
              </w:rPr>
              <w:t>年内，在经营活动中没有重大违法记录</w:t>
            </w:r>
          </w:p>
        </w:tc>
        <w:tc>
          <w:tcPr>
            <w:tcW w:w="5590" w:type="dxa"/>
            <w:vAlign w:val="center"/>
          </w:tcPr>
          <w:p w14:paraId="3D817B1D">
            <w:pPr>
              <w:spacing w:line="440" w:lineRule="exact"/>
              <w:jc w:val="left"/>
              <w:rPr>
                <w:rFonts w:ascii="宋体" w:hAnsi="宋体"/>
                <w:b w:val="0"/>
                <w:bCs/>
                <w:color w:val="auto"/>
                <w:sz w:val="21"/>
                <w:szCs w:val="21"/>
              </w:rPr>
            </w:pPr>
            <w:r>
              <w:rPr>
                <w:rFonts w:hint="eastAsia" w:ascii="宋体" w:hAnsi="宋体" w:eastAsia="宋体" w:cs="宋体"/>
                <w:b w:val="0"/>
                <w:bCs/>
                <w:color w:val="auto"/>
                <w:sz w:val="21"/>
                <w:szCs w:val="21"/>
                <w:lang w:eastAsia="zh-CN"/>
              </w:rPr>
              <w:t>（提供书面声明或相关证明材料）</w:t>
            </w:r>
          </w:p>
        </w:tc>
      </w:tr>
      <w:tr w14:paraId="783CC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blHeader/>
        </w:trPr>
        <w:tc>
          <w:tcPr>
            <w:tcW w:w="671" w:type="dxa"/>
            <w:vAlign w:val="center"/>
          </w:tcPr>
          <w:p w14:paraId="369661D7">
            <w:pPr>
              <w:spacing w:line="360" w:lineRule="exact"/>
              <w:jc w:val="center"/>
              <w:rPr>
                <w:rFonts w:ascii="宋体" w:hAnsi="宋体"/>
                <w:b w:val="0"/>
                <w:bCs/>
                <w:color w:val="auto"/>
                <w:sz w:val="21"/>
                <w:szCs w:val="21"/>
              </w:rPr>
            </w:pPr>
          </w:p>
        </w:tc>
        <w:tc>
          <w:tcPr>
            <w:tcW w:w="1275" w:type="dxa"/>
            <w:vMerge w:val="continue"/>
            <w:vAlign w:val="center"/>
          </w:tcPr>
          <w:p w14:paraId="2A4DA316">
            <w:pPr>
              <w:spacing w:line="360" w:lineRule="exact"/>
              <w:jc w:val="center"/>
              <w:rPr>
                <w:rFonts w:ascii="宋体" w:hAnsi="宋体"/>
                <w:b w:val="0"/>
                <w:bCs/>
                <w:color w:val="auto"/>
                <w:sz w:val="21"/>
                <w:szCs w:val="21"/>
              </w:rPr>
            </w:pPr>
          </w:p>
        </w:tc>
        <w:tc>
          <w:tcPr>
            <w:tcW w:w="2347" w:type="dxa"/>
            <w:vAlign w:val="center"/>
          </w:tcPr>
          <w:p w14:paraId="4CFA6B55">
            <w:pPr>
              <w:spacing w:line="360" w:lineRule="exact"/>
              <w:jc w:val="center"/>
              <w:rPr>
                <w:rFonts w:hint="eastAsia" w:ascii="宋体" w:hAnsi="宋体"/>
                <w:b w:val="0"/>
                <w:bCs/>
                <w:color w:val="auto"/>
                <w:sz w:val="21"/>
                <w:szCs w:val="21"/>
              </w:rPr>
            </w:pPr>
            <w:r>
              <w:rPr>
                <w:rFonts w:hint="eastAsia" w:ascii="宋体" w:hAnsi="宋体"/>
                <w:b w:val="0"/>
                <w:bCs/>
                <w:color w:val="auto"/>
                <w:sz w:val="21"/>
                <w:szCs w:val="21"/>
              </w:rPr>
              <w:t>单位负责人为同一人或者存在直接控股、管理关系的不同供应商，不得参加同一合同项下的政府采购活动。</w:t>
            </w:r>
          </w:p>
        </w:tc>
        <w:tc>
          <w:tcPr>
            <w:tcW w:w="5590" w:type="dxa"/>
            <w:vAlign w:val="center"/>
          </w:tcPr>
          <w:p w14:paraId="3652576A">
            <w:pPr>
              <w:spacing w:line="440" w:lineRule="exact"/>
              <w:jc w:val="left"/>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（提供书面声明或相关证明材料）</w:t>
            </w:r>
          </w:p>
        </w:tc>
      </w:tr>
      <w:tr w14:paraId="017CE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blHeader/>
        </w:trPr>
        <w:tc>
          <w:tcPr>
            <w:tcW w:w="671" w:type="dxa"/>
            <w:vMerge w:val="restart"/>
            <w:vAlign w:val="center"/>
          </w:tcPr>
          <w:p w14:paraId="79DCC186">
            <w:pPr>
              <w:widowControl/>
              <w:spacing w:line="440" w:lineRule="exact"/>
              <w:textAlignment w:val="top"/>
              <w:rPr>
                <w:rFonts w:ascii="宋体" w:hAnsi="宋体"/>
                <w:b w:val="0"/>
                <w:bCs/>
                <w:color w:val="auto"/>
                <w:kern w:val="0"/>
                <w:sz w:val="21"/>
                <w:szCs w:val="21"/>
                <w:lang w:bidi="ar"/>
              </w:rPr>
            </w:pPr>
          </w:p>
          <w:p w14:paraId="4A543CA9">
            <w:pPr>
              <w:widowControl/>
              <w:spacing w:line="440" w:lineRule="exact"/>
              <w:textAlignment w:val="top"/>
              <w:rPr>
                <w:rFonts w:ascii="宋体" w:hAnsi="宋体"/>
                <w:b w:val="0"/>
                <w:bCs/>
                <w:color w:val="auto"/>
                <w:kern w:val="0"/>
                <w:sz w:val="21"/>
                <w:szCs w:val="21"/>
                <w:lang w:bidi="ar"/>
              </w:rPr>
            </w:pPr>
            <w:r>
              <w:rPr>
                <w:rFonts w:hint="eastAsia" w:ascii="宋体" w:hAnsi="宋体"/>
                <w:b w:val="0"/>
                <w:bCs/>
                <w:color w:val="auto"/>
                <w:kern w:val="0"/>
                <w:sz w:val="21"/>
                <w:szCs w:val="21"/>
                <w:lang w:bidi="ar"/>
              </w:rPr>
              <w:t>1.2</w:t>
            </w:r>
          </w:p>
          <w:p w14:paraId="581449CA">
            <w:pPr>
              <w:widowControl/>
              <w:spacing w:line="440" w:lineRule="exact"/>
              <w:textAlignment w:val="top"/>
              <w:rPr>
                <w:rFonts w:ascii="宋体" w:hAnsi="宋体"/>
                <w:b w:val="0"/>
                <w:bCs/>
                <w:color w:val="auto"/>
                <w:kern w:val="0"/>
                <w:sz w:val="21"/>
                <w:szCs w:val="21"/>
                <w:lang w:bidi="ar"/>
              </w:rPr>
            </w:pPr>
          </w:p>
          <w:p w14:paraId="63A3E5FD">
            <w:pPr>
              <w:widowControl/>
              <w:spacing w:line="440" w:lineRule="exact"/>
              <w:textAlignment w:val="top"/>
              <w:rPr>
                <w:rFonts w:ascii="宋体" w:hAnsi="宋体"/>
                <w:b w:val="0"/>
                <w:bCs/>
                <w:color w:val="auto"/>
                <w:kern w:val="0"/>
                <w:sz w:val="21"/>
                <w:szCs w:val="21"/>
                <w:lang w:bidi="ar"/>
              </w:rPr>
            </w:pPr>
          </w:p>
          <w:p w14:paraId="106490EE">
            <w:pPr>
              <w:widowControl/>
              <w:spacing w:line="440" w:lineRule="exact"/>
              <w:textAlignment w:val="top"/>
              <w:rPr>
                <w:rFonts w:ascii="宋体" w:hAnsi="宋体"/>
                <w:b w:val="0"/>
                <w:bCs/>
                <w:color w:val="auto"/>
                <w:kern w:val="0"/>
                <w:sz w:val="21"/>
                <w:szCs w:val="21"/>
                <w:lang w:bidi="ar"/>
              </w:rPr>
            </w:pPr>
          </w:p>
          <w:p w14:paraId="7A77D723">
            <w:pPr>
              <w:widowControl/>
              <w:spacing w:line="440" w:lineRule="exact"/>
              <w:textAlignment w:val="top"/>
              <w:rPr>
                <w:rFonts w:ascii="宋体" w:hAnsi="宋体"/>
                <w:b w:val="0"/>
                <w:bCs/>
                <w:color w:val="auto"/>
                <w:kern w:val="0"/>
                <w:sz w:val="21"/>
                <w:szCs w:val="21"/>
                <w:lang w:bidi="ar"/>
              </w:rPr>
            </w:pPr>
          </w:p>
          <w:p w14:paraId="233CABDB">
            <w:pPr>
              <w:widowControl/>
              <w:spacing w:line="440" w:lineRule="exact"/>
              <w:textAlignment w:val="top"/>
              <w:rPr>
                <w:rFonts w:ascii="宋体" w:hAnsi="宋体"/>
                <w:b w:val="0"/>
                <w:bCs/>
                <w:color w:val="auto"/>
                <w:kern w:val="0"/>
                <w:sz w:val="21"/>
                <w:szCs w:val="21"/>
                <w:lang w:bidi="ar"/>
              </w:rPr>
            </w:pPr>
          </w:p>
          <w:p w14:paraId="2EFFF9D9">
            <w:pPr>
              <w:spacing w:line="360" w:lineRule="exact"/>
              <w:rPr>
                <w:rFonts w:ascii="宋体" w:hAnsi="宋体"/>
                <w:b w:val="0"/>
                <w:bCs/>
                <w:color w:val="auto"/>
                <w:sz w:val="21"/>
                <w:szCs w:val="21"/>
              </w:rPr>
            </w:pPr>
          </w:p>
        </w:tc>
        <w:tc>
          <w:tcPr>
            <w:tcW w:w="1275" w:type="dxa"/>
            <w:vMerge w:val="restart"/>
            <w:vAlign w:val="center"/>
          </w:tcPr>
          <w:p w14:paraId="1475196B">
            <w:pPr>
              <w:widowControl/>
              <w:spacing w:line="440" w:lineRule="exact"/>
              <w:textAlignment w:val="top"/>
              <w:rPr>
                <w:rFonts w:ascii="宋体" w:hAnsi="宋体"/>
                <w:b w:val="0"/>
                <w:bCs/>
                <w:color w:val="auto"/>
                <w:kern w:val="0"/>
                <w:sz w:val="21"/>
                <w:szCs w:val="21"/>
                <w:lang w:bidi="ar"/>
              </w:rPr>
            </w:pPr>
          </w:p>
          <w:p w14:paraId="0B8AC4F2">
            <w:pPr>
              <w:widowControl/>
              <w:spacing w:line="440" w:lineRule="exact"/>
              <w:textAlignment w:val="top"/>
              <w:rPr>
                <w:rFonts w:ascii="宋体" w:hAnsi="宋体"/>
                <w:b w:val="0"/>
                <w:bCs/>
                <w:color w:val="auto"/>
                <w:kern w:val="0"/>
                <w:sz w:val="21"/>
                <w:szCs w:val="21"/>
                <w:lang w:bidi="ar"/>
              </w:rPr>
            </w:pPr>
            <w:r>
              <w:rPr>
                <w:rFonts w:hint="eastAsia" w:ascii="宋体" w:hAnsi="宋体"/>
                <w:b w:val="0"/>
                <w:bCs/>
                <w:color w:val="auto"/>
                <w:kern w:val="0"/>
                <w:sz w:val="21"/>
                <w:szCs w:val="21"/>
                <w:lang w:bidi="ar"/>
              </w:rPr>
              <w:t>符合性审查</w:t>
            </w:r>
          </w:p>
          <w:p w14:paraId="698EE862">
            <w:pPr>
              <w:widowControl/>
              <w:spacing w:line="440" w:lineRule="exact"/>
              <w:textAlignment w:val="top"/>
              <w:rPr>
                <w:rFonts w:ascii="宋体" w:hAnsi="宋体"/>
                <w:b w:val="0"/>
                <w:bCs/>
                <w:color w:val="auto"/>
                <w:kern w:val="0"/>
                <w:sz w:val="21"/>
                <w:szCs w:val="21"/>
                <w:lang w:bidi="ar"/>
              </w:rPr>
            </w:pPr>
          </w:p>
          <w:p w14:paraId="16CBBEF3">
            <w:pPr>
              <w:widowControl/>
              <w:spacing w:line="440" w:lineRule="exact"/>
              <w:textAlignment w:val="top"/>
              <w:rPr>
                <w:rFonts w:ascii="宋体" w:hAnsi="宋体"/>
                <w:b w:val="0"/>
                <w:bCs/>
                <w:color w:val="auto"/>
                <w:kern w:val="0"/>
                <w:sz w:val="21"/>
                <w:szCs w:val="21"/>
                <w:lang w:bidi="ar"/>
              </w:rPr>
            </w:pPr>
          </w:p>
          <w:p w14:paraId="5DBCE130">
            <w:pPr>
              <w:widowControl/>
              <w:spacing w:line="440" w:lineRule="exact"/>
              <w:textAlignment w:val="top"/>
              <w:rPr>
                <w:rFonts w:ascii="宋体" w:hAnsi="宋体"/>
                <w:b w:val="0"/>
                <w:bCs/>
                <w:color w:val="auto"/>
                <w:kern w:val="0"/>
                <w:sz w:val="21"/>
                <w:szCs w:val="21"/>
                <w:lang w:bidi="ar"/>
              </w:rPr>
            </w:pPr>
          </w:p>
          <w:p w14:paraId="20DB56C5">
            <w:pPr>
              <w:widowControl/>
              <w:spacing w:line="440" w:lineRule="exact"/>
              <w:textAlignment w:val="top"/>
              <w:rPr>
                <w:rFonts w:ascii="宋体" w:hAnsi="宋体"/>
                <w:b w:val="0"/>
                <w:bCs/>
                <w:color w:val="auto"/>
                <w:kern w:val="0"/>
                <w:sz w:val="21"/>
                <w:szCs w:val="21"/>
                <w:lang w:bidi="ar"/>
              </w:rPr>
            </w:pPr>
          </w:p>
          <w:p w14:paraId="461722A8">
            <w:pPr>
              <w:widowControl/>
              <w:spacing w:line="440" w:lineRule="exact"/>
              <w:textAlignment w:val="top"/>
              <w:rPr>
                <w:rFonts w:ascii="宋体" w:hAnsi="宋体"/>
                <w:b w:val="0"/>
                <w:bCs/>
                <w:color w:val="auto"/>
                <w:kern w:val="0"/>
                <w:sz w:val="21"/>
                <w:szCs w:val="21"/>
                <w:lang w:bidi="ar"/>
              </w:rPr>
            </w:pPr>
          </w:p>
          <w:p w14:paraId="1BEAA539">
            <w:pPr>
              <w:widowControl/>
              <w:spacing w:line="440" w:lineRule="exact"/>
              <w:textAlignment w:val="top"/>
              <w:rPr>
                <w:rFonts w:ascii="宋体" w:hAnsi="宋体"/>
                <w:b w:val="0"/>
                <w:bCs/>
                <w:color w:val="auto"/>
                <w:kern w:val="0"/>
                <w:sz w:val="21"/>
                <w:szCs w:val="21"/>
                <w:lang w:bidi="ar"/>
              </w:rPr>
            </w:pPr>
          </w:p>
          <w:p w14:paraId="5EFAC576">
            <w:pPr>
              <w:spacing w:line="360" w:lineRule="exact"/>
              <w:rPr>
                <w:rFonts w:ascii="宋体" w:hAnsi="宋体"/>
                <w:b w:val="0"/>
                <w:bCs/>
                <w:color w:val="auto"/>
                <w:sz w:val="21"/>
                <w:szCs w:val="21"/>
              </w:rPr>
            </w:pPr>
          </w:p>
        </w:tc>
        <w:tc>
          <w:tcPr>
            <w:tcW w:w="2347" w:type="dxa"/>
            <w:vAlign w:val="center"/>
          </w:tcPr>
          <w:p w14:paraId="27C5D922">
            <w:pPr>
              <w:widowControl/>
              <w:spacing w:line="440" w:lineRule="exact"/>
              <w:jc w:val="center"/>
              <w:textAlignment w:val="top"/>
              <w:rPr>
                <w:rFonts w:ascii="宋体" w:hAnsi="宋体"/>
                <w:b w:val="0"/>
                <w:bCs/>
                <w:color w:val="auto"/>
                <w:sz w:val="21"/>
                <w:szCs w:val="21"/>
              </w:rPr>
            </w:pPr>
            <w:r>
              <w:rPr>
                <w:rFonts w:hint="eastAsia" w:ascii="宋体" w:hAnsi="宋体"/>
                <w:b w:val="0"/>
                <w:bCs/>
                <w:color w:val="auto"/>
                <w:kern w:val="0"/>
                <w:sz w:val="21"/>
                <w:szCs w:val="21"/>
                <w:lang w:bidi="ar"/>
              </w:rPr>
              <w:t>投标有效期</w:t>
            </w:r>
          </w:p>
        </w:tc>
        <w:tc>
          <w:tcPr>
            <w:tcW w:w="5590" w:type="dxa"/>
            <w:vAlign w:val="center"/>
          </w:tcPr>
          <w:p w14:paraId="44EBCF9B">
            <w:pPr>
              <w:widowControl/>
              <w:spacing w:line="440" w:lineRule="exact"/>
              <w:ind w:left="120" w:leftChars="50"/>
              <w:jc w:val="left"/>
              <w:textAlignment w:val="top"/>
              <w:rPr>
                <w:rFonts w:ascii="宋体" w:hAnsi="宋体"/>
                <w:b w:val="0"/>
                <w:bCs/>
                <w:color w:val="auto"/>
                <w:sz w:val="21"/>
                <w:szCs w:val="21"/>
              </w:rPr>
            </w:pPr>
            <w:r>
              <w:rPr>
                <w:rFonts w:hint="eastAsia" w:ascii="宋体" w:hAnsi="宋体"/>
                <w:b w:val="0"/>
                <w:bCs/>
                <w:color w:val="auto"/>
                <w:kern w:val="0"/>
                <w:sz w:val="21"/>
                <w:szCs w:val="21"/>
                <w:lang w:bidi="ar"/>
              </w:rPr>
              <w:t>符合第二章《投标人须知》第10项规定。</w:t>
            </w:r>
          </w:p>
        </w:tc>
      </w:tr>
      <w:tr w14:paraId="06B18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blHeader/>
        </w:trPr>
        <w:tc>
          <w:tcPr>
            <w:tcW w:w="671" w:type="dxa"/>
            <w:vMerge w:val="continue"/>
            <w:vAlign w:val="center"/>
          </w:tcPr>
          <w:p w14:paraId="4EA59343">
            <w:pPr>
              <w:spacing w:line="360" w:lineRule="exact"/>
              <w:jc w:val="center"/>
              <w:rPr>
                <w:rFonts w:ascii="宋体" w:hAnsi="宋体"/>
                <w:b w:val="0"/>
                <w:bCs/>
                <w:color w:val="auto"/>
                <w:sz w:val="21"/>
                <w:szCs w:val="21"/>
              </w:rPr>
            </w:pPr>
          </w:p>
        </w:tc>
        <w:tc>
          <w:tcPr>
            <w:tcW w:w="1275" w:type="dxa"/>
            <w:vMerge w:val="continue"/>
            <w:vAlign w:val="center"/>
          </w:tcPr>
          <w:p w14:paraId="4F865F11">
            <w:pPr>
              <w:spacing w:line="360" w:lineRule="exact"/>
              <w:jc w:val="center"/>
              <w:rPr>
                <w:rFonts w:ascii="宋体" w:hAnsi="宋体"/>
                <w:b w:val="0"/>
                <w:bCs/>
                <w:color w:val="auto"/>
                <w:sz w:val="21"/>
                <w:szCs w:val="21"/>
              </w:rPr>
            </w:pPr>
          </w:p>
        </w:tc>
        <w:tc>
          <w:tcPr>
            <w:tcW w:w="2347" w:type="dxa"/>
            <w:vAlign w:val="center"/>
          </w:tcPr>
          <w:p w14:paraId="3605D232">
            <w:pPr>
              <w:widowControl/>
              <w:spacing w:line="440" w:lineRule="exact"/>
              <w:jc w:val="center"/>
              <w:textAlignment w:val="top"/>
              <w:rPr>
                <w:rFonts w:ascii="宋体" w:hAnsi="宋体"/>
                <w:b w:val="0"/>
                <w:bCs/>
                <w:color w:val="auto"/>
                <w:sz w:val="21"/>
                <w:szCs w:val="21"/>
              </w:rPr>
            </w:pPr>
            <w:r>
              <w:rPr>
                <w:rFonts w:hint="eastAsia" w:ascii="宋体" w:hAnsi="宋体"/>
                <w:b w:val="0"/>
                <w:bCs/>
                <w:color w:val="auto"/>
                <w:kern w:val="0"/>
                <w:sz w:val="21"/>
                <w:szCs w:val="21"/>
                <w:lang w:bidi="ar"/>
              </w:rPr>
              <w:t>投标保证金</w:t>
            </w:r>
          </w:p>
        </w:tc>
        <w:tc>
          <w:tcPr>
            <w:tcW w:w="5590" w:type="dxa"/>
            <w:vAlign w:val="center"/>
          </w:tcPr>
          <w:p w14:paraId="74190DDA">
            <w:pPr>
              <w:widowControl/>
              <w:spacing w:line="440" w:lineRule="exact"/>
              <w:ind w:left="120" w:leftChars="50"/>
              <w:jc w:val="left"/>
              <w:textAlignment w:val="top"/>
              <w:rPr>
                <w:rFonts w:ascii="宋体" w:hAnsi="宋体"/>
                <w:b w:val="0"/>
                <w:bCs/>
                <w:color w:val="auto"/>
                <w:sz w:val="21"/>
                <w:szCs w:val="21"/>
              </w:rPr>
            </w:pPr>
            <w:r>
              <w:rPr>
                <w:rFonts w:hint="eastAsia" w:ascii="宋体" w:hAnsi="宋体"/>
                <w:b w:val="0"/>
                <w:bCs/>
                <w:color w:val="auto"/>
                <w:kern w:val="0"/>
                <w:sz w:val="21"/>
                <w:szCs w:val="21"/>
                <w:lang w:bidi="ar"/>
              </w:rPr>
              <w:t>符合第二章《投标人须知》第11项规定。</w:t>
            </w:r>
          </w:p>
        </w:tc>
      </w:tr>
      <w:tr w14:paraId="3D1AA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blHeader/>
        </w:trPr>
        <w:tc>
          <w:tcPr>
            <w:tcW w:w="671" w:type="dxa"/>
            <w:vMerge w:val="continue"/>
            <w:vAlign w:val="center"/>
          </w:tcPr>
          <w:p w14:paraId="2B49008A">
            <w:pPr>
              <w:spacing w:line="360" w:lineRule="exact"/>
              <w:jc w:val="center"/>
              <w:rPr>
                <w:rFonts w:ascii="宋体" w:hAnsi="宋体"/>
                <w:b w:val="0"/>
                <w:bCs/>
                <w:color w:val="auto"/>
                <w:sz w:val="21"/>
                <w:szCs w:val="21"/>
              </w:rPr>
            </w:pPr>
          </w:p>
        </w:tc>
        <w:tc>
          <w:tcPr>
            <w:tcW w:w="1275" w:type="dxa"/>
            <w:vMerge w:val="continue"/>
            <w:vAlign w:val="center"/>
          </w:tcPr>
          <w:p w14:paraId="51A0DC4C">
            <w:pPr>
              <w:spacing w:line="360" w:lineRule="exact"/>
              <w:jc w:val="center"/>
              <w:rPr>
                <w:rFonts w:ascii="宋体" w:hAnsi="宋体"/>
                <w:b w:val="0"/>
                <w:bCs/>
                <w:color w:val="auto"/>
                <w:sz w:val="21"/>
                <w:szCs w:val="21"/>
              </w:rPr>
            </w:pPr>
          </w:p>
        </w:tc>
        <w:tc>
          <w:tcPr>
            <w:tcW w:w="2347" w:type="dxa"/>
            <w:vAlign w:val="center"/>
          </w:tcPr>
          <w:p w14:paraId="6680EFA7">
            <w:pPr>
              <w:widowControl/>
              <w:spacing w:line="440" w:lineRule="exact"/>
              <w:jc w:val="center"/>
              <w:textAlignment w:val="top"/>
              <w:rPr>
                <w:rFonts w:ascii="宋体" w:hAnsi="宋体"/>
                <w:b w:val="0"/>
                <w:bCs/>
                <w:color w:val="auto"/>
                <w:sz w:val="21"/>
                <w:szCs w:val="21"/>
              </w:rPr>
            </w:pPr>
            <w:r>
              <w:rPr>
                <w:rFonts w:hint="eastAsia" w:ascii="宋体" w:hAnsi="宋体"/>
                <w:b w:val="0"/>
                <w:bCs/>
                <w:color w:val="auto"/>
                <w:kern w:val="0"/>
                <w:sz w:val="21"/>
                <w:szCs w:val="21"/>
                <w:lang w:bidi="ar"/>
              </w:rPr>
              <w:t>投标报价表</w:t>
            </w:r>
          </w:p>
        </w:tc>
        <w:tc>
          <w:tcPr>
            <w:tcW w:w="5590" w:type="dxa"/>
            <w:vAlign w:val="center"/>
          </w:tcPr>
          <w:p w14:paraId="06A4AC3F">
            <w:pPr>
              <w:widowControl/>
              <w:spacing w:line="440" w:lineRule="exact"/>
              <w:ind w:left="120" w:leftChars="50"/>
              <w:jc w:val="left"/>
              <w:textAlignment w:val="top"/>
              <w:rPr>
                <w:rFonts w:ascii="宋体" w:hAnsi="宋体"/>
                <w:b w:val="0"/>
                <w:bCs/>
                <w:color w:val="auto"/>
                <w:sz w:val="21"/>
                <w:szCs w:val="21"/>
              </w:rPr>
            </w:pPr>
            <w:r>
              <w:rPr>
                <w:rFonts w:hint="eastAsia" w:ascii="宋体" w:hAnsi="宋体"/>
                <w:b w:val="0"/>
                <w:bCs/>
                <w:color w:val="auto"/>
                <w:kern w:val="0"/>
                <w:sz w:val="21"/>
                <w:szCs w:val="21"/>
                <w:lang w:bidi="ar"/>
              </w:rPr>
              <w:t>符合第四章《投标文件格式》中规定的格式及内容。</w:t>
            </w:r>
          </w:p>
        </w:tc>
      </w:tr>
      <w:tr w14:paraId="6F3A7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blHeader/>
        </w:trPr>
        <w:tc>
          <w:tcPr>
            <w:tcW w:w="671" w:type="dxa"/>
            <w:vMerge w:val="continue"/>
            <w:vAlign w:val="center"/>
          </w:tcPr>
          <w:p w14:paraId="21E41ECF">
            <w:pPr>
              <w:spacing w:line="360" w:lineRule="exact"/>
              <w:jc w:val="center"/>
              <w:rPr>
                <w:rFonts w:ascii="宋体" w:hAnsi="宋体"/>
                <w:b w:val="0"/>
                <w:bCs/>
                <w:color w:val="auto"/>
                <w:sz w:val="21"/>
                <w:szCs w:val="21"/>
              </w:rPr>
            </w:pPr>
          </w:p>
        </w:tc>
        <w:tc>
          <w:tcPr>
            <w:tcW w:w="1275" w:type="dxa"/>
            <w:vMerge w:val="continue"/>
            <w:vAlign w:val="center"/>
          </w:tcPr>
          <w:p w14:paraId="05A702A0">
            <w:pPr>
              <w:spacing w:line="360" w:lineRule="exact"/>
              <w:jc w:val="center"/>
              <w:rPr>
                <w:rFonts w:ascii="宋体" w:hAnsi="宋体"/>
                <w:b w:val="0"/>
                <w:bCs/>
                <w:color w:val="auto"/>
                <w:sz w:val="21"/>
                <w:szCs w:val="21"/>
              </w:rPr>
            </w:pPr>
          </w:p>
        </w:tc>
        <w:tc>
          <w:tcPr>
            <w:tcW w:w="2347" w:type="dxa"/>
            <w:vAlign w:val="center"/>
          </w:tcPr>
          <w:p w14:paraId="5E13E736">
            <w:pPr>
              <w:widowControl/>
              <w:spacing w:line="440" w:lineRule="exact"/>
              <w:jc w:val="center"/>
              <w:textAlignment w:val="top"/>
              <w:rPr>
                <w:rFonts w:ascii="宋体" w:hAnsi="宋体"/>
                <w:b w:val="0"/>
                <w:bCs/>
                <w:color w:val="auto"/>
                <w:sz w:val="21"/>
                <w:szCs w:val="21"/>
              </w:rPr>
            </w:pPr>
            <w:r>
              <w:rPr>
                <w:rFonts w:hint="eastAsia" w:ascii="宋体" w:hAnsi="宋体"/>
                <w:b w:val="0"/>
                <w:bCs/>
                <w:color w:val="auto"/>
                <w:kern w:val="0"/>
                <w:sz w:val="21"/>
                <w:szCs w:val="21"/>
                <w:lang w:bidi="ar"/>
              </w:rPr>
              <w:t>投标函</w:t>
            </w:r>
          </w:p>
        </w:tc>
        <w:tc>
          <w:tcPr>
            <w:tcW w:w="5590" w:type="dxa"/>
            <w:vAlign w:val="center"/>
          </w:tcPr>
          <w:p w14:paraId="2C8AB1B1">
            <w:pPr>
              <w:widowControl/>
              <w:spacing w:line="440" w:lineRule="exact"/>
              <w:ind w:left="120" w:leftChars="50"/>
              <w:jc w:val="left"/>
              <w:textAlignment w:val="top"/>
              <w:rPr>
                <w:rFonts w:ascii="宋体" w:hAnsi="宋体"/>
                <w:b w:val="0"/>
                <w:bCs/>
                <w:color w:val="auto"/>
                <w:sz w:val="21"/>
                <w:szCs w:val="21"/>
              </w:rPr>
            </w:pPr>
            <w:r>
              <w:rPr>
                <w:rFonts w:hint="eastAsia" w:ascii="宋体" w:hAnsi="宋体"/>
                <w:b w:val="0"/>
                <w:bCs/>
                <w:color w:val="auto"/>
                <w:kern w:val="0"/>
                <w:sz w:val="21"/>
                <w:szCs w:val="21"/>
                <w:lang w:bidi="ar"/>
              </w:rPr>
              <w:t>符合第四章《投标文件格式》中规定的格式及内容，有法定代表人签名或签章，并加盖投标人公章。</w:t>
            </w:r>
          </w:p>
        </w:tc>
      </w:tr>
      <w:tr w14:paraId="0A933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blHeader/>
        </w:trPr>
        <w:tc>
          <w:tcPr>
            <w:tcW w:w="671" w:type="dxa"/>
            <w:vMerge w:val="continue"/>
            <w:vAlign w:val="center"/>
          </w:tcPr>
          <w:p w14:paraId="1567B9A5">
            <w:pPr>
              <w:spacing w:line="360" w:lineRule="exact"/>
              <w:jc w:val="center"/>
              <w:rPr>
                <w:rFonts w:ascii="宋体" w:hAnsi="宋体"/>
                <w:b w:val="0"/>
                <w:bCs/>
                <w:color w:val="auto"/>
                <w:sz w:val="21"/>
                <w:szCs w:val="21"/>
              </w:rPr>
            </w:pPr>
          </w:p>
        </w:tc>
        <w:tc>
          <w:tcPr>
            <w:tcW w:w="1275" w:type="dxa"/>
            <w:vMerge w:val="continue"/>
            <w:vAlign w:val="center"/>
          </w:tcPr>
          <w:p w14:paraId="0ECEBDEE">
            <w:pPr>
              <w:spacing w:line="360" w:lineRule="exact"/>
              <w:jc w:val="center"/>
              <w:rPr>
                <w:rFonts w:ascii="宋体" w:hAnsi="宋体"/>
                <w:b w:val="0"/>
                <w:bCs/>
                <w:color w:val="auto"/>
                <w:sz w:val="21"/>
                <w:szCs w:val="21"/>
              </w:rPr>
            </w:pPr>
          </w:p>
        </w:tc>
        <w:tc>
          <w:tcPr>
            <w:tcW w:w="2347" w:type="dxa"/>
            <w:vAlign w:val="center"/>
          </w:tcPr>
          <w:p w14:paraId="34AA6DF1">
            <w:pPr>
              <w:widowControl/>
              <w:spacing w:line="440" w:lineRule="exact"/>
              <w:jc w:val="center"/>
              <w:textAlignment w:val="top"/>
              <w:rPr>
                <w:rFonts w:ascii="宋体" w:hAnsi="宋体"/>
                <w:b w:val="0"/>
                <w:bCs/>
                <w:color w:val="auto"/>
                <w:sz w:val="21"/>
                <w:szCs w:val="21"/>
              </w:rPr>
            </w:pPr>
            <w:r>
              <w:rPr>
                <w:rFonts w:hint="eastAsia" w:ascii="宋体" w:hAnsi="宋体"/>
                <w:b w:val="0"/>
                <w:bCs/>
                <w:color w:val="auto"/>
                <w:kern w:val="0"/>
                <w:sz w:val="21"/>
                <w:szCs w:val="21"/>
                <w:lang w:bidi="ar"/>
              </w:rPr>
              <w:t>投标报价</w:t>
            </w:r>
          </w:p>
        </w:tc>
        <w:tc>
          <w:tcPr>
            <w:tcW w:w="5590" w:type="dxa"/>
            <w:vAlign w:val="center"/>
          </w:tcPr>
          <w:p w14:paraId="064C48FE">
            <w:pPr>
              <w:widowControl/>
              <w:spacing w:line="440" w:lineRule="exact"/>
              <w:ind w:left="120" w:leftChars="50"/>
              <w:jc w:val="left"/>
              <w:textAlignment w:val="top"/>
              <w:rPr>
                <w:rFonts w:ascii="宋体" w:hAnsi="宋体"/>
                <w:b w:val="0"/>
                <w:bCs/>
                <w:color w:val="auto"/>
                <w:sz w:val="21"/>
                <w:szCs w:val="21"/>
              </w:rPr>
            </w:pPr>
            <w:r>
              <w:rPr>
                <w:rFonts w:hint="eastAsia" w:ascii="宋体" w:hAnsi="宋体"/>
                <w:b w:val="0"/>
                <w:bCs/>
                <w:color w:val="auto"/>
                <w:kern w:val="0"/>
                <w:sz w:val="21"/>
                <w:szCs w:val="21"/>
                <w:lang w:bidi="ar"/>
              </w:rPr>
              <w:t>未超过采购预算，</w:t>
            </w:r>
            <w:r>
              <w:rPr>
                <w:rFonts w:hint="eastAsia" w:ascii="宋体" w:hAnsi="宋体"/>
                <w:b w:val="0"/>
                <w:bCs/>
                <w:color w:val="auto"/>
                <w:kern w:val="0"/>
                <w:sz w:val="21"/>
                <w:szCs w:val="21"/>
                <w:lang w:val="en-US" w:eastAsia="zh-CN" w:bidi="ar"/>
              </w:rPr>
              <w:t>且投标人单项报价未超出所公布的单价，</w:t>
            </w:r>
            <w:r>
              <w:rPr>
                <w:rFonts w:hint="eastAsia" w:ascii="宋体" w:hAnsi="宋体"/>
                <w:b w:val="0"/>
                <w:bCs/>
                <w:color w:val="auto"/>
                <w:kern w:val="0"/>
                <w:sz w:val="21"/>
                <w:szCs w:val="21"/>
                <w:lang w:bidi="ar"/>
              </w:rPr>
              <w:t>未出现缺项、漏项，对所投标段内所有内容作出完整唯一的投标报价。</w:t>
            </w:r>
          </w:p>
        </w:tc>
      </w:tr>
      <w:tr w14:paraId="24B74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blHeader/>
        </w:trPr>
        <w:tc>
          <w:tcPr>
            <w:tcW w:w="671" w:type="dxa"/>
            <w:vMerge w:val="continue"/>
            <w:vAlign w:val="center"/>
          </w:tcPr>
          <w:p w14:paraId="3941E896">
            <w:pPr>
              <w:spacing w:line="360" w:lineRule="exact"/>
              <w:jc w:val="center"/>
              <w:rPr>
                <w:rFonts w:ascii="宋体" w:hAnsi="宋体"/>
                <w:b w:val="0"/>
                <w:bCs/>
                <w:color w:val="auto"/>
                <w:sz w:val="21"/>
                <w:szCs w:val="21"/>
              </w:rPr>
            </w:pPr>
          </w:p>
        </w:tc>
        <w:tc>
          <w:tcPr>
            <w:tcW w:w="1275" w:type="dxa"/>
            <w:vMerge w:val="continue"/>
            <w:vAlign w:val="center"/>
          </w:tcPr>
          <w:p w14:paraId="60D25713">
            <w:pPr>
              <w:spacing w:line="360" w:lineRule="exact"/>
              <w:jc w:val="center"/>
              <w:rPr>
                <w:rFonts w:ascii="宋体" w:hAnsi="宋体"/>
                <w:b w:val="0"/>
                <w:bCs/>
                <w:color w:val="auto"/>
                <w:sz w:val="21"/>
                <w:szCs w:val="21"/>
              </w:rPr>
            </w:pPr>
          </w:p>
        </w:tc>
        <w:tc>
          <w:tcPr>
            <w:tcW w:w="2347" w:type="dxa"/>
            <w:vAlign w:val="center"/>
          </w:tcPr>
          <w:p w14:paraId="23C358EE">
            <w:pPr>
              <w:widowControl/>
              <w:spacing w:line="440" w:lineRule="exact"/>
              <w:jc w:val="center"/>
              <w:textAlignment w:val="top"/>
              <w:rPr>
                <w:rFonts w:ascii="宋体" w:hAnsi="宋体"/>
                <w:b w:val="0"/>
                <w:bCs/>
                <w:color w:val="auto"/>
                <w:sz w:val="21"/>
                <w:szCs w:val="21"/>
              </w:rPr>
            </w:pPr>
            <w:r>
              <w:rPr>
                <w:rFonts w:hint="eastAsia" w:ascii="宋体" w:hAnsi="宋体"/>
                <w:b w:val="0"/>
                <w:bCs/>
                <w:color w:val="auto"/>
                <w:kern w:val="0"/>
                <w:sz w:val="21"/>
                <w:szCs w:val="21"/>
                <w:lang w:bidi="ar"/>
              </w:rPr>
              <w:t>投标文件格式</w:t>
            </w:r>
          </w:p>
        </w:tc>
        <w:tc>
          <w:tcPr>
            <w:tcW w:w="5590" w:type="dxa"/>
            <w:vAlign w:val="center"/>
          </w:tcPr>
          <w:p w14:paraId="681F6C98">
            <w:pPr>
              <w:widowControl/>
              <w:spacing w:line="440" w:lineRule="exact"/>
              <w:ind w:left="120" w:leftChars="50"/>
              <w:jc w:val="left"/>
              <w:textAlignment w:val="top"/>
              <w:rPr>
                <w:rFonts w:ascii="宋体" w:hAnsi="宋体"/>
                <w:b w:val="0"/>
                <w:bCs/>
                <w:color w:val="auto"/>
                <w:sz w:val="21"/>
                <w:szCs w:val="21"/>
              </w:rPr>
            </w:pPr>
            <w:r>
              <w:rPr>
                <w:rFonts w:hint="eastAsia" w:ascii="宋体" w:hAnsi="宋体"/>
                <w:b w:val="0"/>
                <w:bCs/>
                <w:color w:val="auto"/>
                <w:kern w:val="0"/>
                <w:sz w:val="21"/>
                <w:szCs w:val="21"/>
                <w:lang w:bidi="ar"/>
              </w:rPr>
              <w:t>符合第四章《投标文件格式》中规定的格式及内容。</w:t>
            </w:r>
          </w:p>
        </w:tc>
      </w:tr>
      <w:tr w14:paraId="6C72B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blHeader/>
        </w:trPr>
        <w:tc>
          <w:tcPr>
            <w:tcW w:w="671" w:type="dxa"/>
            <w:vMerge w:val="continue"/>
            <w:vAlign w:val="center"/>
          </w:tcPr>
          <w:p w14:paraId="4C011185">
            <w:pPr>
              <w:spacing w:line="360" w:lineRule="exact"/>
              <w:jc w:val="center"/>
              <w:rPr>
                <w:rFonts w:ascii="宋体" w:hAnsi="宋体"/>
                <w:b w:val="0"/>
                <w:bCs/>
                <w:color w:val="auto"/>
                <w:sz w:val="21"/>
                <w:szCs w:val="21"/>
              </w:rPr>
            </w:pPr>
          </w:p>
        </w:tc>
        <w:tc>
          <w:tcPr>
            <w:tcW w:w="1275" w:type="dxa"/>
            <w:vMerge w:val="continue"/>
            <w:vAlign w:val="center"/>
          </w:tcPr>
          <w:p w14:paraId="6116CE0A">
            <w:pPr>
              <w:spacing w:line="360" w:lineRule="exact"/>
              <w:jc w:val="center"/>
              <w:rPr>
                <w:rFonts w:ascii="宋体" w:hAnsi="宋体"/>
                <w:b w:val="0"/>
                <w:bCs/>
                <w:color w:val="auto"/>
                <w:sz w:val="21"/>
                <w:szCs w:val="21"/>
              </w:rPr>
            </w:pPr>
          </w:p>
        </w:tc>
        <w:tc>
          <w:tcPr>
            <w:tcW w:w="2347" w:type="dxa"/>
            <w:vAlign w:val="center"/>
          </w:tcPr>
          <w:p w14:paraId="7CCC2F0C">
            <w:pPr>
              <w:widowControl/>
              <w:spacing w:line="440" w:lineRule="exact"/>
              <w:jc w:val="center"/>
              <w:textAlignment w:val="top"/>
              <w:rPr>
                <w:rFonts w:ascii="宋体" w:hAnsi="宋体"/>
                <w:b w:val="0"/>
                <w:bCs/>
                <w:color w:val="auto"/>
                <w:sz w:val="21"/>
                <w:szCs w:val="21"/>
              </w:rPr>
            </w:pPr>
            <w:r>
              <w:rPr>
                <w:rFonts w:hint="eastAsia" w:ascii="宋体" w:hAnsi="宋体"/>
                <w:b w:val="0"/>
                <w:bCs/>
                <w:color w:val="auto"/>
                <w:kern w:val="0"/>
                <w:sz w:val="21"/>
                <w:szCs w:val="21"/>
                <w:lang w:bidi="ar"/>
              </w:rPr>
              <w:t>法定代表人身份证明书</w:t>
            </w:r>
          </w:p>
        </w:tc>
        <w:tc>
          <w:tcPr>
            <w:tcW w:w="5590" w:type="dxa"/>
            <w:vAlign w:val="center"/>
          </w:tcPr>
          <w:p w14:paraId="41260E24">
            <w:pPr>
              <w:widowControl/>
              <w:spacing w:line="440" w:lineRule="exact"/>
              <w:ind w:left="120" w:leftChars="50"/>
              <w:jc w:val="left"/>
              <w:textAlignment w:val="top"/>
              <w:rPr>
                <w:rFonts w:ascii="宋体" w:hAnsi="宋体"/>
                <w:b w:val="0"/>
                <w:bCs/>
                <w:color w:val="auto"/>
                <w:sz w:val="21"/>
                <w:szCs w:val="21"/>
              </w:rPr>
            </w:pPr>
            <w:r>
              <w:rPr>
                <w:rFonts w:hint="eastAsia" w:ascii="宋体" w:hAnsi="宋体"/>
                <w:b w:val="0"/>
                <w:bCs/>
                <w:color w:val="auto"/>
                <w:kern w:val="0"/>
                <w:sz w:val="21"/>
                <w:szCs w:val="21"/>
                <w:lang w:bidi="ar"/>
              </w:rPr>
              <w:t>符合第四章《投标文件格式》中规定的格式及内容，并加盖投标人公章。</w:t>
            </w:r>
          </w:p>
        </w:tc>
      </w:tr>
      <w:tr w14:paraId="113DC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blHeader/>
        </w:trPr>
        <w:tc>
          <w:tcPr>
            <w:tcW w:w="671" w:type="dxa"/>
            <w:vMerge w:val="continue"/>
            <w:vAlign w:val="center"/>
          </w:tcPr>
          <w:p w14:paraId="1029F381">
            <w:pPr>
              <w:spacing w:line="360" w:lineRule="exact"/>
              <w:jc w:val="center"/>
              <w:rPr>
                <w:rFonts w:ascii="宋体" w:hAnsi="宋体"/>
                <w:b w:val="0"/>
                <w:bCs/>
                <w:color w:val="auto"/>
                <w:sz w:val="21"/>
                <w:szCs w:val="21"/>
              </w:rPr>
            </w:pPr>
          </w:p>
        </w:tc>
        <w:tc>
          <w:tcPr>
            <w:tcW w:w="1275" w:type="dxa"/>
            <w:vMerge w:val="continue"/>
            <w:vAlign w:val="center"/>
          </w:tcPr>
          <w:p w14:paraId="34CC97F5">
            <w:pPr>
              <w:spacing w:line="360" w:lineRule="exact"/>
              <w:jc w:val="center"/>
              <w:rPr>
                <w:rFonts w:ascii="宋体" w:hAnsi="宋体"/>
                <w:b w:val="0"/>
                <w:bCs/>
                <w:color w:val="auto"/>
                <w:sz w:val="21"/>
                <w:szCs w:val="21"/>
              </w:rPr>
            </w:pPr>
          </w:p>
        </w:tc>
        <w:tc>
          <w:tcPr>
            <w:tcW w:w="2347" w:type="dxa"/>
            <w:vAlign w:val="center"/>
          </w:tcPr>
          <w:p w14:paraId="2BA67761">
            <w:pPr>
              <w:widowControl/>
              <w:spacing w:line="440" w:lineRule="exact"/>
              <w:jc w:val="center"/>
              <w:textAlignment w:val="top"/>
              <w:rPr>
                <w:rFonts w:ascii="宋体" w:hAnsi="宋体"/>
                <w:b w:val="0"/>
                <w:bCs/>
                <w:color w:val="auto"/>
                <w:sz w:val="21"/>
                <w:szCs w:val="21"/>
              </w:rPr>
            </w:pPr>
            <w:r>
              <w:rPr>
                <w:rFonts w:hint="eastAsia" w:ascii="宋体" w:hAnsi="宋体"/>
                <w:b w:val="0"/>
                <w:bCs/>
                <w:color w:val="auto"/>
                <w:kern w:val="0"/>
                <w:sz w:val="21"/>
                <w:szCs w:val="21"/>
                <w:lang w:bidi="ar"/>
              </w:rPr>
              <w:t>法定代表人授权委托书</w:t>
            </w:r>
          </w:p>
        </w:tc>
        <w:tc>
          <w:tcPr>
            <w:tcW w:w="5590" w:type="dxa"/>
            <w:vAlign w:val="center"/>
          </w:tcPr>
          <w:p w14:paraId="588CD42D">
            <w:pPr>
              <w:widowControl/>
              <w:spacing w:line="440" w:lineRule="exact"/>
              <w:ind w:left="120" w:leftChars="50"/>
              <w:jc w:val="left"/>
              <w:textAlignment w:val="top"/>
              <w:rPr>
                <w:rFonts w:ascii="宋体" w:hAnsi="宋体"/>
                <w:b w:val="0"/>
                <w:bCs/>
                <w:color w:val="auto"/>
                <w:sz w:val="21"/>
                <w:szCs w:val="21"/>
              </w:rPr>
            </w:pPr>
            <w:r>
              <w:rPr>
                <w:rFonts w:hint="eastAsia" w:ascii="宋体" w:hAnsi="宋体"/>
                <w:b w:val="0"/>
                <w:bCs/>
                <w:color w:val="auto"/>
                <w:kern w:val="0"/>
                <w:sz w:val="21"/>
                <w:szCs w:val="21"/>
                <w:lang w:bidi="ar"/>
              </w:rPr>
              <w:t>符合第四章《投标文件格式》中规定的格式及内容，有法定代表人签名或签章，并加盖投标人公章。</w:t>
            </w:r>
          </w:p>
        </w:tc>
      </w:tr>
    </w:tbl>
    <w:p w14:paraId="075C530A">
      <w:pPr>
        <w:widowControl/>
        <w:spacing w:line="360" w:lineRule="exact"/>
        <w:jc w:val="center"/>
        <w:textAlignment w:val="top"/>
        <w:rPr>
          <w:rFonts w:ascii="宋体" w:hAnsi="宋体"/>
          <w:b w:val="0"/>
          <w:bCs/>
          <w:color w:val="auto"/>
          <w:kern w:val="0"/>
          <w:sz w:val="21"/>
          <w:szCs w:val="21"/>
          <w:lang w:bidi="ar"/>
        </w:rPr>
      </w:pPr>
    </w:p>
    <w:p w14:paraId="1B8F3182">
      <w:pPr>
        <w:widowControl/>
        <w:spacing w:line="360" w:lineRule="exact"/>
        <w:textAlignment w:val="top"/>
        <w:rPr>
          <w:rFonts w:ascii="宋体" w:hAnsi="宋体"/>
          <w:b w:val="0"/>
          <w:bCs/>
          <w:color w:val="auto"/>
          <w:kern w:val="0"/>
          <w:sz w:val="21"/>
          <w:szCs w:val="21"/>
          <w:lang w:bidi="ar"/>
        </w:rPr>
      </w:pPr>
    </w:p>
    <w:p w14:paraId="292F1311">
      <w:pPr>
        <w:widowControl/>
        <w:spacing w:line="360" w:lineRule="exact"/>
        <w:textAlignment w:val="top"/>
        <w:rPr>
          <w:rFonts w:ascii="宋体" w:hAnsi="宋体"/>
          <w:b w:val="0"/>
          <w:bCs/>
          <w:color w:val="auto"/>
          <w:kern w:val="0"/>
          <w:sz w:val="21"/>
          <w:szCs w:val="21"/>
          <w:lang w:bidi="ar"/>
        </w:rPr>
      </w:pPr>
    </w:p>
    <w:p w14:paraId="665E0452">
      <w:pPr>
        <w:widowControl/>
        <w:spacing w:line="360" w:lineRule="exact"/>
        <w:jc w:val="both"/>
        <w:textAlignment w:val="top"/>
        <w:outlineLvl w:val="1"/>
        <w:rPr>
          <w:rFonts w:hint="eastAsia" w:ascii="宋体" w:hAnsi="宋体"/>
          <w:color w:val="auto"/>
          <w:kern w:val="0"/>
          <w:sz w:val="21"/>
          <w:szCs w:val="21"/>
          <w:lang w:bidi="ar"/>
        </w:rPr>
      </w:pPr>
    </w:p>
    <w:p w14:paraId="0A218C11">
      <w:pPr>
        <w:widowControl/>
        <w:spacing w:line="360" w:lineRule="exact"/>
        <w:jc w:val="center"/>
        <w:textAlignment w:val="top"/>
        <w:outlineLvl w:val="1"/>
        <w:rPr>
          <w:rFonts w:ascii="宋体" w:hAnsi="宋体"/>
          <w:color w:val="auto"/>
          <w:kern w:val="0"/>
          <w:sz w:val="21"/>
          <w:szCs w:val="21"/>
          <w:lang w:bidi="ar"/>
        </w:rPr>
      </w:pPr>
      <w:r>
        <w:rPr>
          <w:rFonts w:hint="eastAsia" w:ascii="宋体" w:hAnsi="宋体"/>
          <w:color w:val="auto"/>
          <w:kern w:val="0"/>
          <w:sz w:val="21"/>
          <w:szCs w:val="21"/>
          <w:lang w:bidi="ar"/>
        </w:rPr>
        <w:t>详细评审（综合评标法）</w:t>
      </w:r>
    </w:p>
    <w:p w14:paraId="2FA7244A">
      <w:pPr>
        <w:tabs>
          <w:tab w:val="left" w:pos="2472"/>
        </w:tabs>
        <w:spacing w:line="360" w:lineRule="auto"/>
        <w:outlineLvl w:val="1"/>
        <w:rPr>
          <w:rFonts w:hint="eastAsia" w:ascii="宋体" w:hAnsi="宋体"/>
          <w:b w:val="0"/>
          <w:color w:val="auto"/>
          <w:sz w:val="21"/>
          <w:szCs w:val="21"/>
        </w:rPr>
      </w:pPr>
    </w:p>
    <w:tbl>
      <w:tblPr>
        <w:tblStyle w:val="35"/>
        <w:tblW w:w="96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4"/>
        <w:gridCol w:w="1465"/>
        <w:gridCol w:w="6703"/>
      </w:tblGrid>
      <w:tr w14:paraId="78379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1514" w:type="dxa"/>
            <w:vMerge w:val="restart"/>
            <w:vAlign w:val="center"/>
          </w:tcPr>
          <w:p w14:paraId="1C2BAB67">
            <w:pPr>
              <w:keepNext w:val="0"/>
              <w:keepLines w:val="0"/>
              <w:pageBreakBefore w:val="0"/>
              <w:widowControl/>
              <w:kinsoku/>
              <w:wordWrap/>
              <w:overflowPunct/>
              <w:topLinePunct w:val="0"/>
              <w:autoSpaceDE/>
              <w:autoSpaceDN/>
              <w:bidi w:val="0"/>
              <w:adjustRightInd/>
              <w:snapToGrid/>
              <w:spacing w:line="330" w:lineRule="exact"/>
              <w:textAlignment w:val="top"/>
              <w:rPr>
                <w:rFonts w:hint="eastAsia" w:ascii="宋体" w:hAnsi="宋体" w:eastAsia="宋体"/>
                <w:b w:val="0"/>
                <w:bCs/>
                <w:color w:val="000000" w:themeColor="text1"/>
                <w:kern w:val="0"/>
                <w:sz w:val="21"/>
                <w:szCs w:val="21"/>
                <w:highlight w:val="none"/>
                <w:lang w:eastAsia="zh-CN" w:bidi="ar"/>
                <w14:textFill>
                  <w14:solidFill>
                    <w14:schemeClr w14:val="tx1"/>
                  </w14:solidFill>
                </w14:textFill>
              </w:rPr>
            </w:pPr>
            <w:r>
              <w:rPr>
                <w:rFonts w:hint="eastAsia" w:ascii="宋体" w:hAnsi="宋体"/>
                <w:b w:val="0"/>
                <w:bCs/>
                <w:color w:val="000000" w:themeColor="text1"/>
                <w:kern w:val="0"/>
                <w:sz w:val="21"/>
                <w:szCs w:val="21"/>
                <w:highlight w:val="none"/>
                <w:lang w:bidi="ar"/>
                <w14:textFill>
                  <w14:solidFill>
                    <w14:schemeClr w14:val="tx1"/>
                  </w14:solidFill>
                </w14:textFill>
              </w:rPr>
              <w:t>投标报价</w:t>
            </w:r>
            <w:r>
              <w:rPr>
                <w:rFonts w:hint="eastAsia" w:ascii="宋体" w:hAnsi="宋体"/>
                <w:b w:val="0"/>
                <w:bCs/>
                <w:color w:val="000000" w:themeColor="text1"/>
                <w:kern w:val="0"/>
                <w:sz w:val="21"/>
                <w:szCs w:val="21"/>
                <w:highlight w:val="none"/>
                <w:lang w:eastAsia="zh-CN" w:bidi="ar"/>
                <w14:textFill>
                  <w14:solidFill>
                    <w14:schemeClr w14:val="tx1"/>
                  </w14:solidFill>
                </w14:textFill>
              </w:rPr>
              <w:t>部分</w:t>
            </w:r>
          </w:p>
          <w:p w14:paraId="0E1A8489">
            <w:pPr>
              <w:keepNext w:val="0"/>
              <w:keepLines w:val="0"/>
              <w:pageBreakBefore w:val="0"/>
              <w:widowControl/>
              <w:kinsoku/>
              <w:wordWrap/>
              <w:overflowPunct/>
              <w:topLinePunct w:val="0"/>
              <w:autoSpaceDE/>
              <w:autoSpaceDN/>
              <w:bidi w:val="0"/>
              <w:adjustRightInd/>
              <w:snapToGrid/>
              <w:spacing w:line="330" w:lineRule="exact"/>
              <w:rPr>
                <w:rFonts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kern w:val="0"/>
                <w:sz w:val="21"/>
                <w:szCs w:val="21"/>
                <w:highlight w:val="none"/>
                <w:lang w:bidi="ar"/>
                <w14:textFill>
                  <w14:solidFill>
                    <w14:schemeClr w14:val="tx1"/>
                  </w14:solidFill>
                </w14:textFill>
              </w:rPr>
              <w:t>（30分）</w:t>
            </w:r>
          </w:p>
        </w:tc>
        <w:tc>
          <w:tcPr>
            <w:tcW w:w="1465" w:type="dxa"/>
          </w:tcPr>
          <w:p w14:paraId="1A9B79AF">
            <w:pPr>
              <w:keepNext w:val="0"/>
              <w:keepLines w:val="0"/>
              <w:pageBreakBefore w:val="0"/>
              <w:widowControl/>
              <w:kinsoku/>
              <w:wordWrap/>
              <w:overflowPunct/>
              <w:topLinePunct w:val="0"/>
              <w:autoSpaceDE/>
              <w:autoSpaceDN/>
              <w:bidi w:val="0"/>
              <w:adjustRightInd/>
              <w:snapToGrid/>
              <w:spacing w:line="330" w:lineRule="exact"/>
              <w:jc w:val="center"/>
              <w:textAlignment w:val="top"/>
              <w:rPr>
                <w:rFonts w:hint="eastAsia" w:ascii="宋体" w:hAnsi="宋体"/>
                <w:b w:val="0"/>
                <w:bCs/>
                <w:color w:val="000000" w:themeColor="text1"/>
                <w:kern w:val="0"/>
                <w:sz w:val="21"/>
                <w:szCs w:val="21"/>
                <w:highlight w:val="none"/>
                <w:lang w:bidi="ar"/>
                <w14:textFill>
                  <w14:solidFill>
                    <w14:schemeClr w14:val="tx1"/>
                  </w14:solidFill>
                </w14:textFill>
              </w:rPr>
            </w:pPr>
          </w:p>
          <w:p w14:paraId="4693A322">
            <w:pPr>
              <w:keepNext w:val="0"/>
              <w:keepLines w:val="0"/>
              <w:pageBreakBefore w:val="0"/>
              <w:widowControl/>
              <w:kinsoku/>
              <w:wordWrap/>
              <w:overflowPunct/>
              <w:topLinePunct w:val="0"/>
              <w:autoSpaceDE/>
              <w:autoSpaceDN/>
              <w:bidi w:val="0"/>
              <w:adjustRightInd/>
              <w:snapToGrid/>
              <w:spacing w:line="330" w:lineRule="exact"/>
              <w:jc w:val="center"/>
              <w:textAlignment w:val="top"/>
              <w:rPr>
                <w:rFonts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kern w:val="0"/>
                <w:sz w:val="21"/>
                <w:szCs w:val="21"/>
                <w:highlight w:val="none"/>
                <w:lang w:bidi="ar"/>
                <w14:textFill>
                  <w14:solidFill>
                    <w14:schemeClr w14:val="tx1"/>
                  </w14:solidFill>
                </w14:textFill>
              </w:rPr>
              <w:t>评标总得分计算公式</w:t>
            </w:r>
          </w:p>
        </w:tc>
        <w:tc>
          <w:tcPr>
            <w:tcW w:w="6703" w:type="dxa"/>
          </w:tcPr>
          <w:p w14:paraId="04E739C0">
            <w:pPr>
              <w:keepNext w:val="0"/>
              <w:keepLines w:val="0"/>
              <w:pageBreakBefore w:val="0"/>
              <w:widowControl/>
              <w:kinsoku/>
              <w:wordWrap/>
              <w:overflowPunct/>
              <w:topLinePunct w:val="0"/>
              <w:autoSpaceDE/>
              <w:autoSpaceDN/>
              <w:bidi w:val="0"/>
              <w:adjustRightInd/>
              <w:snapToGrid/>
              <w:spacing w:line="330" w:lineRule="exact"/>
              <w:ind w:left="120" w:leftChars="50"/>
              <w:textAlignment w:val="top"/>
              <w:rPr>
                <w:rFonts w:hint="eastAsia" w:ascii="宋体" w:hAnsi="宋体" w:eastAsia="宋体"/>
                <w:b w:val="0"/>
                <w:bCs/>
                <w:color w:val="000000" w:themeColor="text1"/>
                <w:kern w:val="0"/>
                <w:sz w:val="21"/>
                <w:szCs w:val="21"/>
                <w:highlight w:val="none"/>
                <w:lang w:eastAsia="zh-CN" w:bidi="ar"/>
                <w14:textFill>
                  <w14:solidFill>
                    <w14:schemeClr w14:val="tx1"/>
                  </w14:solidFill>
                </w14:textFill>
              </w:rPr>
            </w:pPr>
            <w:r>
              <w:rPr>
                <w:rFonts w:hint="eastAsia" w:ascii="宋体" w:hAnsi="宋体"/>
                <w:b w:val="0"/>
                <w:bCs/>
                <w:color w:val="000000" w:themeColor="text1"/>
                <w:kern w:val="0"/>
                <w:sz w:val="21"/>
                <w:szCs w:val="21"/>
                <w:highlight w:val="none"/>
                <w:lang w:bidi="ar"/>
                <w14:textFill>
                  <w14:solidFill>
                    <w14:schemeClr w14:val="tx1"/>
                  </w14:solidFill>
                </w14:textFill>
              </w:rPr>
              <w:t>投标人的评标总得分＝F1＋F2＋F3</w:t>
            </w:r>
          </w:p>
          <w:p w14:paraId="2748BA86">
            <w:pPr>
              <w:keepNext w:val="0"/>
              <w:keepLines w:val="0"/>
              <w:pageBreakBefore w:val="0"/>
              <w:widowControl/>
              <w:kinsoku/>
              <w:wordWrap/>
              <w:overflowPunct/>
              <w:topLinePunct w:val="0"/>
              <w:autoSpaceDE/>
              <w:autoSpaceDN/>
              <w:bidi w:val="0"/>
              <w:adjustRightInd/>
              <w:snapToGrid/>
              <w:spacing w:line="330" w:lineRule="exact"/>
              <w:ind w:left="120" w:leftChars="50"/>
              <w:textAlignment w:val="top"/>
              <w:rPr>
                <w:rFonts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kern w:val="0"/>
                <w:sz w:val="21"/>
                <w:szCs w:val="21"/>
                <w:highlight w:val="none"/>
                <w:lang w:bidi="ar"/>
                <w14:textFill>
                  <w14:solidFill>
                    <w14:schemeClr w14:val="tx1"/>
                  </w14:solidFill>
                </w14:textFill>
              </w:rPr>
              <w:t>其中：F1、F2、F3分别为投标报价、商务部分、技术部分3项评分因素的汇总得分。</w:t>
            </w:r>
          </w:p>
        </w:tc>
      </w:tr>
      <w:tr w14:paraId="34B75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1" w:hRule="atLeast"/>
        </w:trPr>
        <w:tc>
          <w:tcPr>
            <w:tcW w:w="1514" w:type="dxa"/>
            <w:vMerge w:val="continue"/>
            <w:vAlign w:val="center"/>
          </w:tcPr>
          <w:p w14:paraId="27C0B921">
            <w:pPr>
              <w:keepNext w:val="0"/>
              <w:keepLines w:val="0"/>
              <w:pageBreakBefore w:val="0"/>
              <w:widowControl/>
              <w:kinsoku/>
              <w:wordWrap/>
              <w:overflowPunct/>
              <w:topLinePunct w:val="0"/>
              <w:autoSpaceDE/>
              <w:autoSpaceDN/>
              <w:bidi w:val="0"/>
              <w:adjustRightInd/>
              <w:snapToGrid/>
              <w:spacing w:line="330" w:lineRule="exact"/>
              <w:rPr>
                <w:rFonts w:ascii="宋体" w:hAnsi="宋体"/>
                <w:b w:val="0"/>
                <w:bCs/>
                <w:color w:val="000000" w:themeColor="text1"/>
                <w:sz w:val="21"/>
                <w:szCs w:val="21"/>
                <w:highlight w:val="none"/>
                <w14:textFill>
                  <w14:solidFill>
                    <w14:schemeClr w14:val="tx1"/>
                  </w14:solidFill>
                </w14:textFill>
              </w:rPr>
            </w:pPr>
          </w:p>
        </w:tc>
        <w:tc>
          <w:tcPr>
            <w:tcW w:w="1465" w:type="dxa"/>
          </w:tcPr>
          <w:p w14:paraId="46349753">
            <w:pPr>
              <w:keepNext w:val="0"/>
              <w:keepLines w:val="0"/>
              <w:pageBreakBefore w:val="0"/>
              <w:widowControl/>
              <w:kinsoku/>
              <w:wordWrap/>
              <w:overflowPunct/>
              <w:topLinePunct w:val="0"/>
              <w:autoSpaceDE/>
              <w:autoSpaceDN/>
              <w:bidi w:val="0"/>
              <w:adjustRightInd/>
              <w:snapToGrid/>
              <w:spacing w:line="330" w:lineRule="exact"/>
              <w:jc w:val="center"/>
              <w:textAlignment w:val="top"/>
              <w:rPr>
                <w:rFonts w:ascii="宋体" w:hAnsi="宋体"/>
                <w:b w:val="0"/>
                <w:bCs/>
                <w:color w:val="000000" w:themeColor="text1"/>
                <w:kern w:val="0"/>
                <w:sz w:val="21"/>
                <w:szCs w:val="21"/>
                <w:highlight w:val="none"/>
                <w:lang w:bidi="ar"/>
                <w14:textFill>
                  <w14:solidFill>
                    <w14:schemeClr w14:val="tx1"/>
                  </w14:solidFill>
                </w14:textFill>
              </w:rPr>
            </w:pPr>
          </w:p>
          <w:p w14:paraId="1F573CE9">
            <w:pPr>
              <w:keepNext w:val="0"/>
              <w:keepLines w:val="0"/>
              <w:pageBreakBefore w:val="0"/>
              <w:widowControl/>
              <w:kinsoku/>
              <w:wordWrap/>
              <w:overflowPunct/>
              <w:topLinePunct w:val="0"/>
              <w:autoSpaceDE/>
              <w:autoSpaceDN/>
              <w:bidi w:val="0"/>
              <w:adjustRightInd/>
              <w:snapToGrid/>
              <w:spacing w:line="330" w:lineRule="exact"/>
              <w:jc w:val="center"/>
              <w:textAlignment w:val="top"/>
              <w:rPr>
                <w:rFonts w:hint="eastAsia" w:ascii="宋体" w:hAnsi="宋体"/>
                <w:b w:val="0"/>
                <w:bCs/>
                <w:color w:val="000000" w:themeColor="text1"/>
                <w:kern w:val="0"/>
                <w:sz w:val="21"/>
                <w:szCs w:val="21"/>
                <w:highlight w:val="none"/>
                <w:lang w:bidi="ar"/>
                <w14:textFill>
                  <w14:solidFill>
                    <w14:schemeClr w14:val="tx1"/>
                  </w14:solidFill>
                </w14:textFill>
              </w:rPr>
            </w:pPr>
          </w:p>
          <w:p w14:paraId="782228D1">
            <w:pPr>
              <w:keepNext w:val="0"/>
              <w:keepLines w:val="0"/>
              <w:pageBreakBefore w:val="0"/>
              <w:widowControl/>
              <w:kinsoku/>
              <w:wordWrap/>
              <w:overflowPunct/>
              <w:topLinePunct w:val="0"/>
              <w:autoSpaceDE/>
              <w:autoSpaceDN/>
              <w:bidi w:val="0"/>
              <w:adjustRightInd/>
              <w:snapToGrid/>
              <w:spacing w:line="330" w:lineRule="exact"/>
              <w:jc w:val="center"/>
              <w:textAlignment w:val="top"/>
              <w:rPr>
                <w:rFonts w:hint="eastAsia" w:ascii="宋体" w:hAnsi="宋体"/>
                <w:b w:val="0"/>
                <w:bCs/>
                <w:color w:val="000000" w:themeColor="text1"/>
                <w:kern w:val="0"/>
                <w:sz w:val="21"/>
                <w:szCs w:val="21"/>
                <w:highlight w:val="none"/>
                <w:lang w:bidi="ar"/>
                <w14:textFill>
                  <w14:solidFill>
                    <w14:schemeClr w14:val="tx1"/>
                  </w14:solidFill>
                </w14:textFill>
              </w:rPr>
            </w:pPr>
          </w:p>
          <w:p w14:paraId="2E4A801A">
            <w:pPr>
              <w:keepNext w:val="0"/>
              <w:keepLines w:val="0"/>
              <w:pageBreakBefore w:val="0"/>
              <w:widowControl/>
              <w:kinsoku/>
              <w:wordWrap/>
              <w:overflowPunct/>
              <w:topLinePunct w:val="0"/>
              <w:autoSpaceDE/>
              <w:autoSpaceDN/>
              <w:bidi w:val="0"/>
              <w:adjustRightInd/>
              <w:snapToGrid/>
              <w:spacing w:line="330" w:lineRule="exact"/>
              <w:jc w:val="center"/>
              <w:textAlignment w:val="top"/>
              <w:rPr>
                <w:rFonts w:ascii="宋体" w:hAnsi="宋体"/>
                <w:b w:val="0"/>
                <w:bCs/>
                <w:color w:val="000000" w:themeColor="text1"/>
                <w:kern w:val="0"/>
                <w:sz w:val="21"/>
                <w:szCs w:val="21"/>
                <w:highlight w:val="none"/>
                <w:lang w:bidi="ar"/>
                <w14:textFill>
                  <w14:solidFill>
                    <w14:schemeClr w14:val="tx1"/>
                  </w14:solidFill>
                </w14:textFill>
              </w:rPr>
            </w:pPr>
            <w:r>
              <w:rPr>
                <w:rFonts w:hint="eastAsia" w:ascii="宋体" w:hAnsi="宋体"/>
                <w:b w:val="0"/>
                <w:bCs/>
                <w:color w:val="000000" w:themeColor="text1"/>
                <w:kern w:val="0"/>
                <w:sz w:val="21"/>
                <w:szCs w:val="21"/>
                <w:highlight w:val="none"/>
                <w:lang w:bidi="ar"/>
                <w14:textFill>
                  <w14:solidFill>
                    <w14:schemeClr w14:val="tx1"/>
                  </w14:solidFill>
                </w14:textFill>
              </w:rPr>
              <w:t>投标报价部分F1评分标准</w:t>
            </w:r>
          </w:p>
          <w:p w14:paraId="3D9DE504">
            <w:pPr>
              <w:keepNext w:val="0"/>
              <w:keepLines w:val="0"/>
              <w:pageBreakBefore w:val="0"/>
              <w:widowControl/>
              <w:kinsoku/>
              <w:wordWrap/>
              <w:overflowPunct/>
              <w:topLinePunct w:val="0"/>
              <w:autoSpaceDE/>
              <w:autoSpaceDN/>
              <w:bidi w:val="0"/>
              <w:adjustRightInd/>
              <w:snapToGrid/>
              <w:spacing w:line="330" w:lineRule="exact"/>
              <w:jc w:val="center"/>
              <w:textAlignment w:val="top"/>
              <w:rPr>
                <w:rFonts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kern w:val="0"/>
                <w:sz w:val="21"/>
                <w:szCs w:val="21"/>
                <w:highlight w:val="none"/>
                <w:lang w:bidi="ar"/>
                <w14:textFill>
                  <w14:solidFill>
                    <w14:schemeClr w14:val="tx1"/>
                  </w14:solidFill>
                </w14:textFill>
              </w:rPr>
              <w:t>（30分）</w:t>
            </w:r>
          </w:p>
        </w:tc>
        <w:tc>
          <w:tcPr>
            <w:tcW w:w="6703" w:type="dxa"/>
          </w:tcPr>
          <w:p w14:paraId="1B9C1FE9">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b w:val="0"/>
                <w:bCs/>
                <w:color w:val="000000" w:themeColor="text1"/>
                <w:kern w:val="0"/>
                <w:sz w:val="21"/>
                <w:szCs w:val="21"/>
                <w:highlight w:val="none"/>
                <w:lang w:eastAsia="zh-CN" w:bidi="ar"/>
                <w14:textFill>
                  <w14:solidFill>
                    <w14:schemeClr w14:val="tx1"/>
                  </w14:solidFill>
                </w14:textFill>
              </w:rPr>
            </w:pPr>
            <w:r>
              <w:rPr>
                <w:rFonts w:hint="eastAsia" w:ascii="宋体" w:hAnsi="宋体"/>
                <w:b w:val="0"/>
                <w:bCs/>
                <w:color w:val="000000" w:themeColor="text1"/>
                <w:kern w:val="0"/>
                <w:sz w:val="21"/>
                <w:szCs w:val="21"/>
                <w:highlight w:val="none"/>
                <w:lang w:bidi="ar"/>
                <w14:textFill>
                  <w14:solidFill>
                    <w14:schemeClr w14:val="tx1"/>
                  </w14:solidFill>
                </w14:textFill>
              </w:rPr>
              <w:t>F1=（评标基准价/该投标人报价）×30</w:t>
            </w:r>
          </w:p>
          <w:p w14:paraId="6488CEA0">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b w:val="0"/>
                <w:bCs/>
                <w:color w:val="000000" w:themeColor="text1"/>
                <w:kern w:val="0"/>
                <w:sz w:val="21"/>
                <w:szCs w:val="21"/>
                <w:highlight w:val="none"/>
                <w:lang w:eastAsia="zh-CN" w:bidi="ar"/>
                <w14:textFill>
                  <w14:solidFill>
                    <w14:schemeClr w14:val="tx1"/>
                  </w14:solidFill>
                </w14:textFill>
              </w:rPr>
            </w:pPr>
            <w:r>
              <w:rPr>
                <w:rFonts w:hint="eastAsia" w:ascii="宋体" w:hAnsi="宋体"/>
                <w:b w:val="0"/>
                <w:bCs/>
                <w:color w:val="000000" w:themeColor="text1"/>
                <w:kern w:val="0"/>
                <w:sz w:val="21"/>
                <w:szCs w:val="21"/>
                <w:highlight w:val="none"/>
                <w:lang w:bidi="ar"/>
                <w14:textFill>
                  <w14:solidFill>
                    <w14:schemeClr w14:val="tx1"/>
                  </w14:solidFill>
                </w14:textFill>
              </w:rPr>
              <w:t>满足招标需求和招标文件要求，且投标报价最低的为评标基准价，其价格分为满分</w:t>
            </w:r>
            <w:r>
              <w:rPr>
                <w:rFonts w:hint="eastAsia" w:ascii="宋体" w:hAnsi="宋体"/>
                <w:b w:val="0"/>
                <w:bCs/>
                <w:color w:val="000000" w:themeColor="text1"/>
                <w:kern w:val="0"/>
                <w:sz w:val="21"/>
                <w:szCs w:val="21"/>
                <w:highlight w:val="none"/>
                <w:lang w:eastAsia="zh-CN" w:bidi="ar"/>
                <w14:textFill>
                  <w14:solidFill>
                    <w14:schemeClr w14:val="tx1"/>
                  </w14:solidFill>
                </w14:textFill>
              </w:rPr>
              <w:t>，</w:t>
            </w:r>
            <w:r>
              <w:rPr>
                <w:rFonts w:hint="eastAsia" w:ascii="宋体" w:hAnsi="宋体"/>
                <w:b w:val="0"/>
                <w:bCs/>
                <w:color w:val="000000" w:themeColor="text1"/>
                <w:kern w:val="0"/>
                <w:sz w:val="21"/>
                <w:szCs w:val="21"/>
                <w:highlight w:val="none"/>
                <w:lang w:bidi="ar"/>
                <w14:textFill>
                  <w14:solidFill>
                    <w14:schemeClr w14:val="tx1"/>
                  </w14:solidFill>
                </w14:textFill>
              </w:rPr>
              <w:t>其他投标人的价格统一按上述投标报价公式计算。</w:t>
            </w:r>
          </w:p>
          <w:p w14:paraId="74D341CD">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kern w:val="0"/>
                <w:sz w:val="21"/>
                <w:szCs w:val="21"/>
                <w:highlight w:val="none"/>
                <w:lang w:bidi="ar"/>
                <w14:textFill>
                  <w14:solidFill>
                    <w14:schemeClr w14:val="tx1"/>
                  </w14:solidFill>
                </w14:textFill>
              </w:rPr>
              <w:t>注：根据《政府采购促进中小企业发展管理办法》（财库[2020]46号）、《财政部关于进一步加大政府采购支持中小企业力度的通知》（财库[2022]19号）、《财政部、司法部关于政府采购支持监狱企业发展有关问题的通知》(财库[2014]68号)、《关于促进残疾人就业政府采购政策的通知》（财库[2017]141号）的规定执行。本项目对小微企业报价给予10%的扣除，用扣除后的价格参加评审(即：参与价格评审的投标报价=投标人投标报价×[1-10%])；监狱企业、残疾人福利性单位视同小型、微型企业，享受同等价格扣，不重复享受价格扣除优惠政策。</w:t>
            </w:r>
          </w:p>
        </w:tc>
      </w:tr>
      <w:tr w14:paraId="753BC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1514" w:type="dxa"/>
            <w:vMerge w:val="restart"/>
            <w:vAlign w:val="center"/>
          </w:tcPr>
          <w:p w14:paraId="02245A9B">
            <w:pPr>
              <w:spacing w:line="360" w:lineRule="exact"/>
              <w:jc w:val="center"/>
              <w:rPr>
                <w:rFonts w:hint="eastAsia"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商务部分</w:t>
            </w:r>
            <w:r>
              <w:rPr>
                <w:rFonts w:hint="eastAsia" w:ascii="宋体" w:hAnsi="宋体"/>
                <w:b w:val="0"/>
                <w:bCs/>
                <w:color w:val="000000" w:themeColor="text1"/>
                <w:kern w:val="0"/>
                <w:sz w:val="21"/>
                <w:szCs w:val="21"/>
                <w:highlight w:val="none"/>
                <w:lang w:bidi="ar"/>
                <w14:textFill>
                  <w14:solidFill>
                    <w14:schemeClr w14:val="tx1"/>
                  </w14:solidFill>
                </w14:textFill>
              </w:rPr>
              <w:t>F2评分标准</w:t>
            </w:r>
          </w:p>
          <w:p w14:paraId="04A1C578">
            <w:pPr>
              <w:keepNext w:val="0"/>
              <w:keepLines w:val="0"/>
              <w:pageBreakBefore w:val="0"/>
              <w:widowControl/>
              <w:kinsoku/>
              <w:wordWrap/>
              <w:overflowPunct/>
              <w:topLinePunct w:val="0"/>
              <w:autoSpaceDE/>
              <w:autoSpaceDN/>
              <w:bidi w:val="0"/>
              <w:adjustRightInd/>
              <w:snapToGrid/>
              <w:spacing w:line="330" w:lineRule="exact"/>
              <w:rPr>
                <w:rFonts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sz w:val="21"/>
                <w:szCs w:val="21"/>
                <w:highlight w:val="none"/>
                <w14:textFill>
                  <w14:solidFill>
                    <w14:schemeClr w14:val="tx1"/>
                  </w14:solidFill>
                </w14:textFill>
              </w:rPr>
              <w:t>(满分</w:t>
            </w:r>
            <w:r>
              <w:rPr>
                <w:rFonts w:hint="eastAsia" w:ascii="宋体" w:hAnsi="宋体"/>
                <w:b w:val="0"/>
                <w:bCs/>
                <w:color w:val="000000" w:themeColor="text1"/>
                <w:sz w:val="21"/>
                <w:szCs w:val="21"/>
                <w:highlight w:val="none"/>
                <w:lang w:val="en-US" w:eastAsia="zh-CN"/>
                <w14:textFill>
                  <w14:solidFill>
                    <w14:schemeClr w14:val="tx1"/>
                  </w14:solidFill>
                </w14:textFill>
              </w:rPr>
              <w:t>55</w:t>
            </w:r>
            <w:r>
              <w:rPr>
                <w:rFonts w:hint="eastAsia" w:ascii="宋体" w:hAnsi="宋体"/>
                <w:b w:val="0"/>
                <w:bCs/>
                <w:color w:val="000000" w:themeColor="text1"/>
                <w:sz w:val="21"/>
                <w:szCs w:val="21"/>
                <w:highlight w:val="none"/>
                <w14:textFill>
                  <w14:solidFill>
                    <w14:schemeClr w14:val="tx1"/>
                  </w14:solidFill>
                </w14:textFill>
              </w:rPr>
              <w:t>分)</w:t>
            </w:r>
          </w:p>
        </w:tc>
        <w:tc>
          <w:tcPr>
            <w:tcW w:w="1465" w:type="dxa"/>
            <w:vAlign w:val="center"/>
          </w:tcPr>
          <w:p w14:paraId="1D266528">
            <w:pPr>
              <w:spacing w:line="360" w:lineRule="auto"/>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人员培训方案评审</w:t>
            </w:r>
          </w:p>
          <w:p w14:paraId="4A4D4B55">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（8分）</w:t>
            </w:r>
          </w:p>
          <w:p w14:paraId="1451DD61">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pPr>
          </w:p>
        </w:tc>
        <w:tc>
          <w:tcPr>
            <w:tcW w:w="6703" w:type="dxa"/>
            <w:vAlign w:val="center"/>
          </w:tcPr>
          <w:p w14:paraId="3268497E">
            <w:pPr>
              <w:spacing w:line="288" w:lineRule="auto"/>
              <w:jc w:val="lef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1、</w:t>
            </w:r>
            <w:r>
              <w:rPr>
                <w:rFonts w:hint="eastAsia" w:ascii="宋体" w:hAnsi="宋体" w:cs="宋体"/>
                <w:b/>
                <w:bCs/>
                <w:color w:val="000000" w:themeColor="text1"/>
                <w:sz w:val="21"/>
                <w:szCs w:val="21"/>
                <w:highlight w:val="none"/>
                <w14:textFill>
                  <w14:solidFill>
                    <w14:schemeClr w14:val="tx1"/>
                  </w14:solidFill>
                </w14:textFill>
              </w:rPr>
              <w:t>根据投标申请人提供的以下4项</w:t>
            </w:r>
            <w:r>
              <w:rPr>
                <w:rFonts w:hint="eastAsia" w:ascii="宋体" w:hAnsi="宋体" w:cs="宋体"/>
                <w:b/>
                <w:bCs/>
                <w:color w:val="000000" w:themeColor="text1"/>
                <w:sz w:val="21"/>
                <w:szCs w:val="21"/>
                <w:highlight w:val="none"/>
                <w:lang w:val="en-US" w:eastAsia="zh-CN"/>
                <w14:textFill>
                  <w14:solidFill>
                    <w14:schemeClr w14:val="tx1"/>
                  </w14:solidFill>
                </w14:textFill>
              </w:rPr>
              <w:t>评审内容</w:t>
            </w:r>
            <w:r>
              <w:rPr>
                <w:rFonts w:hint="eastAsia" w:ascii="宋体" w:hAnsi="宋体" w:cs="宋体"/>
                <w:b/>
                <w:bCs/>
                <w:color w:val="000000" w:themeColor="text1"/>
                <w:sz w:val="21"/>
                <w:szCs w:val="21"/>
                <w:highlight w:val="none"/>
                <w14:textFill>
                  <w14:solidFill>
                    <w14:schemeClr w14:val="tx1"/>
                  </w14:solidFill>
                </w14:textFill>
              </w:rPr>
              <w:t>进行综合评审，评审</w:t>
            </w:r>
            <w:r>
              <w:rPr>
                <w:rFonts w:hint="eastAsia" w:ascii="宋体" w:hAnsi="宋体" w:cs="宋体"/>
                <w:b/>
                <w:bCs/>
                <w:color w:val="000000" w:themeColor="text1"/>
                <w:sz w:val="21"/>
                <w:szCs w:val="21"/>
                <w:highlight w:val="none"/>
                <w:lang w:val="en-US" w:eastAsia="zh-CN"/>
                <w14:textFill>
                  <w14:solidFill>
                    <w14:schemeClr w14:val="tx1"/>
                  </w14:solidFill>
                </w14:textFill>
              </w:rPr>
              <w:t>内容</w:t>
            </w:r>
            <w:r>
              <w:rPr>
                <w:rFonts w:hint="eastAsia" w:ascii="宋体" w:hAnsi="宋体" w:cs="宋体"/>
                <w:b/>
                <w:bCs/>
                <w:color w:val="000000" w:themeColor="text1"/>
                <w:sz w:val="21"/>
                <w:szCs w:val="21"/>
                <w:highlight w:val="none"/>
                <w14:textFill>
                  <w14:solidFill>
                    <w14:schemeClr w14:val="tx1"/>
                  </w14:solidFill>
                </w14:textFill>
              </w:rPr>
              <w:t>如下：（满分</w:t>
            </w:r>
            <w:r>
              <w:rPr>
                <w:rFonts w:hint="eastAsia" w:ascii="宋体" w:hAnsi="宋体" w:cs="宋体"/>
                <w:b/>
                <w:bCs/>
                <w:color w:val="000000" w:themeColor="text1"/>
                <w:sz w:val="21"/>
                <w:szCs w:val="21"/>
                <w:highlight w:val="none"/>
                <w:lang w:val="en-US" w:eastAsia="zh-CN"/>
                <w14:textFill>
                  <w14:solidFill>
                    <w14:schemeClr w14:val="tx1"/>
                  </w14:solidFill>
                </w14:textFill>
              </w:rPr>
              <w:t>8</w:t>
            </w:r>
            <w:r>
              <w:rPr>
                <w:rFonts w:hint="eastAsia" w:ascii="宋体" w:hAnsi="宋体" w:cs="宋体"/>
                <w:b/>
                <w:bCs/>
                <w:color w:val="000000" w:themeColor="text1"/>
                <w:sz w:val="21"/>
                <w:szCs w:val="21"/>
                <w:highlight w:val="none"/>
                <w14:textFill>
                  <w14:solidFill>
                    <w14:schemeClr w14:val="tx1"/>
                  </w14:solidFill>
                </w14:textFill>
              </w:rPr>
              <w:t>分）</w:t>
            </w:r>
          </w:p>
          <w:p w14:paraId="62BE0AA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①培训目标</w:t>
            </w:r>
            <w:r>
              <w:rPr>
                <w:rFonts w:hint="eastAsia" w:ascii="宋体" w:hAnsi="宋体" w:cs="宋体"/>
                <w:b w:val="0"/>
                <w:bCs w:val="0"/>
                <w:color w:val="000000" w:themeColor="text1"/>
                <w:sz w:val="21"/>
                <w:szCs w:val="21"/>
                <w:highlight w:val="none"/>
                <w:lang w:eastAsia="zh-CN"/>
                <w14:textFill>
                  <w14:solidFill>
                    <w14:schemeClr w14:val="tx1"/>
                  </w14:solidFill>
                </w14:textFill>
              </w:rPr>
              <w:t>（</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包含知识培训目标、技能操作培训目标等</w:t>
            </w:r>
            <w:r>
              <w:rPr>
                <w:rFonts w:hint="eastAsia" w:ascii="宋体" w:hAnsi="宋体" w:cs="宋体"/>
                <w:b w:val="0"/>
                <w:bCs w:val="0"/>
                <w:color w:val="000000" w:themeColor="text1"/>
                <w:sz w:val="21"/>
                <w:szCs w:val="21"/>
                <w:highlight w:val="none"/>
                <w:lang w:eastAsia="zh-CN"/>
                <w14:textFill>
                  <w14:solidFill>
                    <w14:schemeClr w14:val="tx1"/>
                  </w14:solidFill>
                </w14:textFill>
              </w:rPr>
              <w:t>）</w:t>
            </w:r>
          </w:p>
          <w:p w14:paraId="50A3B68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②培训大纲</w:t>
            </w:r>
            <w:r>
              <w:rPr>
                <w:rFonts w:hint="eastAsia" w:ascii="宋体" w:hAnsi="宋体" w:cs="宋体"/>
                <w:b w:val="0"/>
                <w:bCs w:val="0"/>
                <w:color w:val="000000" w:themeColor="text1"/>
                <w:sz w:val="21"/>
                <w:szCs w:val="21"/>
                <w:highlight w:val="none"/>
                <w:lang w:eastAsia="zh-CN"/>
                <w14:textFill>
                  <w14:solidFill>
                    <w14:schemeClr w14:val="tx1"/>
                  </w14:solidFill>
                </w14:textFill>
              </w:rPr>
              <w:t>（</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包含培训基本信息、培训内容模块、培训实施方式、培训工程师安排等</w:t>
            </w:r>
            <w:r>
              <w:rPr>
                <w:rFonts w:hint="eastAsia" w:ascii="宋体" w:hAnsi="宋体" w:cs="宋体"/>
                <w:b w:val="0"/>
                <w:bCs w:val="0"/>
                <w:color w:val="000000" w:themeColor="text1"/>
                <w:sz w:val="21"/>
                <w:szCs w:val="21"/>
                <w:highlight w:val="none"/>
                <w:lang w:eastAsia="zh-CN"/>
                <w14:textFill>
                  <w14:solidFill>
                    <w14:schemeClr w14:val="tx1"/>
                  </w14:solidFill>
                </w14:textFill>
              </w:rPr>
              <w:t>）</w:t>
            </w:r>
          </w:p>
          <w:p w14:paraId="52F88DD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③培训计划</w:t>
            </w:r>
            <w:r>
              <w:rPr>
                <w:rFonts w:hint="eastAsia" w:ascii="宋体" w:hAnsi="宋体" w:cs="宋体"/>
                <w:b w:val="0"/>
                <w:bCs w:val="0"/>
                <w:color w:val="000000" w:themeColor="text1"/>
                <w:sz w:val="21"/>
                <w:szCs w:val="21"/>
                <w:highlight w:val="none"/>
                <w:lang w:eastAsia="zh-CN"/>
                <w14:textFill>
                  <w14:solidFill>
                    <w14:schemeClr w14:val="tx1"/>
                  </w14:solidFill>
                </w14:textFill>
              </w:rPr>
              <w:t>（</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包含培训周期、培训课程安排、培训课程时长等</w:t>
            </w:r>
            <w:r>
              <w:rPr>
                <w:rFonts w:hint="eastAsia" w:ascii="宋体" w:hAnsi="宋体" w:cs="宋体"/>
                <w:b w:val="0"/>
                <w:bCs w:val="0"/>
                <w:color w:val="000000" w:themeColor="text1"/>
                <w:sz w:val="21"/>
                <w:szCs w:val="21"/>
                <w:highlight w:val="none"/>
                <w:lang w:eastAsia="zh-CN"/>
                <w14:textFill>
                  <w14:solidFill>
                    <w14:schemeClr w14:val="tx1"/>
                  </w14:solidFill>
                </w14:textFill>
              </w:rPr>
              <w:t>）</w:t>
            </w:r>
          </w:p>
          <w:p w14:paraId="42CBEEA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④培训内容</w:t>
            </w:r>
            <w:r>
              <w:rPr>
                <w:rFonts w:hint="eastAsia" w:ascii="宋体" w:hAnsi="宋体" w:cs="宋体"/>
                <w:b w:val="0"/>
                <w:bCs w:val="0"/>
                <w:color w:val="000000" w:themeColor="text1"/>
                <w:sz w:val="21"/>
                <w:szCs w:val="21"/>
                <w:highlight w:val="none"/>
                <w:lang w:eastAsia="zh-CN"/>
                <w14:textFill>
                  <w14:solidFill>
                    <w14:schemeClr w14:val="tx1"/>
                  </w14:solidFill>
                </w14:textFill>
              </w:rPr>
              <w:t>（</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培训设备操作培训、设备操作注意事项培训、设备维护培训、设备常规保养培训等</w:t>
            </w:r>
            <w:r>
              <w:rPr>
                <w:rFonts w:hint="eastAsia" w:ascii="宋体" w:hAnsi="宋体" w:cs="宋体"/>
                <w:b w:val="0"/>
                <w:bCs w:val="0"/>
                <w:color w:val="000000" w:themeColor="text1"/>
                <w:sz w:val="21"/>
                <w:szCs w:val="21"/>
                <w:highlight w:val="none"/>
                <w:lang w:eastAsia="zh-CN"/>
                <w14:textFill>
                  <w14:solidFill>
                    <w14:schemeClr w14:val="tx1"/>
                  </w14:solidFill>
                </w14:textFill>
              </w:rPr>
              <w:t>）</w:t>
            </w:r>
          </w:p>
          <w:p w14:paraId="2374ADCE">
            <w:pPr>
              <w:spacing w:line="288" w:lineRule="auto"/>
              <w:rPr>
                <w:rFonts w:hint="eastAsia" w:ascii="宋体" w:hAnsi="宋体"/>
                <w:b/>
                <w:bCs/>
                <w:color w:val="000000" w:themeColor="text1"/>
                <w:sz w:val="21"/>
                <w:szCs w:val="21"/>
                <w:highlight w:val="none"/>
                <w:lang w:val="en-US" w:eastAsia="zh-CN"/>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t>2、评分原则</w:t>
            </w:r>
          </w:p>
          <w:p w14:paraId="0A496484">
            <w:pPr>
              <w:spacing w:line="360" w:lineRule="auto"/>
              <w:contextualSpacing/>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w:t>
            </w:r>
            <w:r>
              <w:rPr>
                <w:rFonts w:hint="eastAsia" w:ascii="宋体" w:hAnsi="宋体"/>
                <w:color w:val="000000" w:themeColor="text1"/>
                <w:sz w:val="21"/>
                <w:szCs w:val="21"/>
                <w:highlight w:val="none"/>
                <w:lang w:val="en-US" w:eastAsia="zh-CN"/>
                <w14:textFill>
                  <w14:solidFill>
                    <w14:schemeClr w14:val="tx1"/>
                  </w14:solidFill>
                </w14:textFill>
              </w:rPr>
              <w:t>以上评审内容均提供且</w:t>
            </w:r>
            <w:r>
              <w:rPr>
                <w:rFonts w:hint="eastAsia" w:ascii="宋体" w:hAnsi="宋体"/>
                <w:color w:val="000000" w:themeColor="text1"/>
                <w:sz w:val="21"/>
                <w:szCs w:val="21"/>
                <w:highlight w:val="none"/>
                <w14:textFill>
                  <w14:solidFill>
                    <w14:schemeClr w14:val="tx1"/>
                  </w14:solidFill>
                </w14:textFill>
              </w:rPr>
              <w:t>提供的内容</w:t>
            </w:r>
            <w:r>
              <w:rPr>
                <w:rFonts w:hint="eastAsia" w:ascii="宋体" w:hAnsi="宋体"/>
                <w:color w:val="000000" w:themeColor="text1"/>
                <w:sz w:val="21"/>
                <w:szCs w:val="21"/>
                <w:highlight w:val="none"/>
                <w:lang w:val="en-US" w:eastAsia="zh-CN"/>
                <w14:textFill>
                  <w14:solidFill>
                    <w14:schemeClr w14:val="tx1"/>
                  </w14:solidFill>
                </w14:textFill>
              </w:rPr>
              <w:t>详细具体切合项目实际有针对性</w:t>
            </w:r>
            <w:r>
              <w:rPr>
                <w:rFonts w:hint="eastAsia" w:ascii="宋体" w:hAnsi="宋体"/>
                <w:color w:val="000000" w:themeColor="text1"/>
                <w:sz w:val="21"/>
                <w:szCs w:val="21"/>
                <w:highlight w:val="none"/>
                <w14:textFill>
                  <w14:solidFill>
                    <w14:schemeClr w14:val="tx1"/>
                  </w14:solidFill>
                </w14:textFill>
              </w:rPr>
              <w:t>的得满分</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color w:val="000000" w:themeColor="text1"/>
                <w:sz w:val="21"/>
                <w:szCs w:val="21"/>
                <w:highlight w:val="none"/>
                <w14:textFill>
                  <w14:solidFill>
                    <w14:schemeClr w14:val="tx1"/>
                  </w14:solidFill>
                </w14:textFill>
              </w:rPr>
              <w:t>分；</w:t>
            </w:r>
          </w:p>
          <w:p w14:paraId="2880822B">
            <w:pPr>
              <w:spacing w:line="360" w:lineRule="auto"/>
              <w:contextualSpacing/>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（2）每缺一项内容扣</w:t>
            </w:r>
            <w:r>
              <w:rPr>
                <w:rFonts w:hint="eastAsia" w:ascii="宋体" w:hAnsi="宋体"/>
                <w:color w:val="000000" w:themeColor="text1"/>
                <w:sz w:val="21"/>
                <w:szCs w:val="21"/>
                <w:highlight w:val="none"/>
                <w:lang w:val="en-US" w:eastAsia="zh-CN"/>
                <w14:textFill>
                  <w14:solidFill>
                    <w14:schemeClr w14:val="tx1"/>
                  </w14:solidFill>
                </w14:textFill>
              </w:rPr>
              <w:t>2</w:t>
            </w:r>
            <w:r>
              <w:rPr>
                <w:rFonts w:ascii="宋体" w:hAnsi="宋体" w:cs="宋体"/>
                <w:color w:val="000000" w:themeColor="text1"/>
                <w:sz w:val="21"/>
                <w:szCs w:val="21"/>
                <w:highlight w:val="none"/>
                <w14:textFill>
                  <w14:solidFill>
                    <w14:schemeClr w14:val="tx1"/>
                  </w14:solidFill>
                </w14:textFill>
              </w:rPr>
              <w:t>分</w:t>
            </w:r>
            <w:r>
              <w:rPr>
                <w:rFonts w:hint="eastAsia" w:ascii="宋体" w:hAnsi="宋体"/>
                <w:color w:val="000000" w:themeColor="text1"/>
                <w:sz w:val="21"/>
                <w:szCs w:val="21"/>
                <w:highlight w:val="none"/>
                <w14:textFill>
                  <w14:solidFill>
                    <w14:schemeClr w14:val="tx1"/>
                  </w14:solidFill>
                </w14:textFill>
              </w:rPr>
              <w:t>；</w:t>
            </w:r>
          </w:p>
          <w:p w14:paraId="6C7CCC8D">
            <w:pPr>
              <w:spacing w:line="360" w:lineRule="auto"/>
              <w:contextualSpacing/>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w:t>
            </w:r>
            <w:r>
              <w:rPr>
                <w:rFonts w:hint="eastAsia" w:ascii="宋体" w:hAnsi="宋体" w:cs="宋体"/>
                <w:color w:val="000000" w:themeColor="text1"/>
                <w:sz w:val="21"/>
                <w:szCs w:val="21"/>
                <w:highlight w:val="none"/>
                <w:lang w:val="en-US" w:eastAsia="zh-CN"/>
                <w14:textFill>
                  <w14:solidFill>
                    <w14:schemeClr w14:val="tx1"/>
                  </w14:solidFill>
                </w14:textFill>
              </w:rPr>
              <w:t>以上每项内容</w:t>
            </w:r>
            <w:r>
              <w:rPr>
                <w:rFonts w:hint="eastAsia" w:ascii="宋体" w:hAnsi="宋体" w:cs="宋体"/>
                <w:color w:val="000000" w:themeColor="text1"/>
                <w:sz w:val="21"/>
                <w:szCs w:val="21"/>
                <w:highlight w:val="none"/>
                <w14:textFill>
                  <w14:solidFill>
                    <w14:schemeClr w14:val="tx1"/>
                  </w14:solidFill>
                </w14:textFill>
              </w:rPr>
              <w:t>存在下列情形之一的，每有一项扣</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14:textFill>
                  <w14:solidFill>
                    <w14:schemeClr w14:val="tx1"/>
                  </w14:solidFill>
                </w14:textFill>
              </w:rPr>
              <w:t>分：</w:t>
            </w:r>
          </w:p>
          <w:p w14:paraId="66D19AFC">
            <w:pPr>
              <w:spacing w:line="360" w:lineRule="auto"/>
              <w:contextualSpacing/>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①</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内容有缺陷：</w:t>
            </w:r>
            <w:r>
              <w:rPr>
                <w:rFonts w:hint="eastAsia" w:ascii="宋体" w:hAnsi="宋体" w:cs="宋体"/>
                <w:color w:val="000000" w:themeColor="text1"/>
                <w:sz w:val="21"/>
                <w:szCs w:val="21"/>
                <w:highlight w:val="none"/>
                <w:lang w:val="en-US" w:eastAsia="zh-CN"/>
                <w14:textFill>
                  <w14:solidFill>
                    <w14:schemeClr w14:val="tx1"/>
                  </w14:solidFill>
                </w14:textFill>
              </w:rPr>
              <w:t xml:space="preserve">非专门针对本项目或不适用项目特性，例如采用通用化描述，未结合本项目的特定需求、环境、技术要求等进行阐述 </w:t>
            </w:r>
            <w:r>
              <w:rPr>
                <w:rFonts w:hint="eastAsia" w:ascii="宋体" w:hAnsi="宋体" w:cs="宋体"/>
                <w:color w:val="000000" w:themeColor="text1"/>
                <w:sz w:val="21"/>
                <w:szCs w:val="21"/>
                <w:highlight w:val="none"/>
                <w14:textFill>
                  <w14:solidFill>
                    <w14:schemeClr w14:val="tx1"/>
                  </w14:solidFill>
                </w14:textFill>
              </w:rPr>
              <w:t>；</w:t>
            </w:r>
          </w:p>
          <w:p w14:paraId="4B5807D0">
            <w:pPr>
              <w:spacing w:line="360" w:lineRule="auto"/>
              <w:contextualSpacing/>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②</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内容前后矛盾或存在逻辑错误</w:t>
            </w:r>
            <w:r>
              <w:rPr>
                <w:rFonts w:hint="eastAsia" w:ascii="宋体" w:hAnsi="宋体" w:cs="宋体"/>
                <w:color w:val="000000" w:themeColor="text1"/>
                <w:sz w:val="21"/>
                <w:szCs w:val="21"/>
                <w:highlight w:val="none"/>
                <w:lang w:val="en-US" w:eastAsia="zh-CN"/>
                <w14:textFill>
                  <w14:solidFill>
                    <w14:schemeClr w14:val="tx1"/>
                  </w14:solidFill>
                </w14:textFill>
              </w:rPr>
              <w:t>：如在不同部分对同一事项的描述存在逻辑错误或前后矛盾或与本项目不相关的错误规范</w:t>
            </w:r>
            <w:r>
              <w:rPr>
                <w:rFonts w:hint="eastAsia" w:ascii="宋体" w:hAnsi="宋体" w:cs="宋体"/>
                <w:color w:val="000000" w:themeColor="text1"/>
                <w:sz w:val="21"/>
                <w:szCs w:val="21"/>
                <w:highlight w:val="none"/>
                <w14:textFill>
                  <w14:solidFill>
                    <w14:schemeClr w14:val="tx1"/>
                  </w14:solidFill>
                </w14:textFill>
              </w:rPr>
              <w:t>；</w:t>
            </w:r>
          </w:p>
          <w:p w14:paraId="06D060F7">
            <w:pPr>
              <w:spacing w:line="360" w:lineRule="auto"/>
              <w:contextualSpacing/>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③</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b/>
                <w:bCs/>
                <w:color w:val="000000" w:themeColor="text1"/>
                <w:sz w:val="21"/>
                <w:szCs w:val="21"/>
                <w:highlight w:val="none"/>
                <w14:textFill>
                  <w14:solidFill>
                    <w14:schemeClr w14:val="tx1"/>
                  </w14:solidFill>
                </w14:textFill>
              </w:rPr>
              <w:t>不利于项目实施</w:t>
            </w:r>
            <w:r>
              <w:rPr>
                <w:rFonts w:hint="eastAsia"/>
                <w:b/>
                <w:bCs/>
                <w:color w:val="000000" w:themeColor="text1"/>
                <w:sz w:val="21"/>
                <w:szCs w:val="21"/>
                <w:highlight w:val="none"/>
                <w:lang w:eastAsia="zh-CN"/>
                <w14:textFill>
                  <w14:solidFill>
                    <w14:schemeClr w14:val="tx1"/>
                  </w14:solidFill>
                </w14:textFill>
              </w:rPr>
              <w:t>：</w:t>
            </w:r>
            <w:r>
              <w:rPr>
                <w:rFonts w:hint="eastAsia"/>
                <w:b w:val="0"/>
                <w:bCs w:val="0"/>
                <w:color w:val="000000" w:themeColor="text1"/>
                <w:sz w:val="21"/>
                <w:szCs w:val="21"/>
                <w:highlight w:val="none"/>
                <w:lang w:val="en-US" w:eastAsia="zh-CN"/>
                <w14:textFill>
                  <w14:solidFill>
                    <w14:schemeClr w14:val="tx1"/>
                  </w14:solidFill>
                </w14:textFill>
              </w:rPr>
              <w:t>未结合项目实际，</w:t>
            </w:r>
            <w:r>
              <w:rPr>
                <w:rFonts w:hint="eastAsia"/>
                <w:b w:val="0"/>
                <w:bCs w:val="0"/>
                <w:color w:val="000000" w:themeColor="text1"/>
                <w:sz w:val="21"/>
                <w:szCs w:val="21"/>
                <w:highlight w:val="none"/>
                <w:lang w:eastAsia="zh-CN"/>
                <w14:textFill>
                  <w14:solidFill>
                    <w14:schemeClr w14:val="tx1"/>
                  </w14:solidFill>
                </w14:textFill>
              </w:rPr>
              <w:t>如所制定的计划或措施在实际操作中难以执行</w:t>
            </w:r>
            <w:r>
              <w:rPr>
                <w:rFonts w:hint="eastAsia"/>
                <w:b w:val="0"/>
                <w:bCs w:val="0"/>
                <w:color w:val="000000" w:themeColor="text1"/>
                <w:sz w:val="21"/>
                <w:szCs w:val="21"/>
                <w:highlight w:val="none"/>
                <w:lang w:val="en-US" w:eastAsia="zh-CN"/>
                <w14:textFill>
                  <w14:solidFill>
                    <w14:schemeClr w14:val="tx1"/>
                  </w14:solidFill>
                </w14:textFill>
              </w:rPr>
              <w:t>或</w:t>
            </w:r>
            <w:r>
              <w:rPr>
                <w:rFonts w:hint="eastAsia"/>
                <w:b w:val="0"/>
                <w:bCs w:val="0"/>
                <w:color w:val="000000" w:themeColor="text1"/>
                <w:sz w:val="21"/>
                <w:szCs w:val="21"/>
                <w:highlight w:val="none"/>
                <w:lang w:eastAsia="zh-CN"/>
                <w14:textFill>
                  <w14:solidFill>
                    <w14:schemeClr w14:val="tx1"/>
                  </w14:solidFill>
                </w14:textFill>
              </w:rPr>
              <w:t>不可能实现的情形，即所提出的承诺或措施在现有技术、资源、时间等条件下无法达成等任意一种情形</w:t>
            </w:r>
            <w:r>
              <w:rPr>
                <w:rFonts w:hint="eastAsia" w:ascii="宋体" w:hAnsi="宋体" w:cs="宋体"/>
                <w:b w:val="0"/>
                <w:bCs w:val="0"/>
                <w:color w:val="000000" w:themeColor="text1"/>
                <w:sz w:val="21"/>
                <w:szCs w:val="21"/>
                <w:highlight w:val="none"/>
                <w14:textFill>
                  <w14:solidFill>
                    <w14:schemeClr w14:val="tx1"/>
                  </w14:solidFill>
                </w14:textFill>
              </w:rPr>
              <w:t>；</w:t>
            </w:r>
          </w:p>
          <w:p w14:paraId="0FA49C89">
            <w:pPr>
              <w:keepNext w:val="0"/>
              <w:keepLines w:val="0"/>
              <w:pageBreakBefore w:val="0"/>
              <w:widowControl/>
              <w:kinsoku/>
              <w:wordWrap/>
              <w:overflowPunct/>
              <w:topLinePunct w:val="0"/>
              <w:autoSpaceDE/>
              <w:autoSpaceDN/>
              <w:bidi w:val="0"/>
              <w:adjustRightInd/>
              <w:snapToGrid/>
              <w:spacing w:line="330" w:lineRule="exact"/>
              <w:jc w:val="left"/>
              <w:textAlignment w:val="top"/>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④</w:t>
            </w:r>
            <w:r>
              <w:rPr>
                <w:rFonts w:hint="eastAsia" w:ascii="宋体" w:hAnsi="宋体" w:cs="宋体"/>
                <w:b/>
                <w:bCs/>
                <w:color w:val="000000" w:themeColor="text1"/>
                <w:sz w:val="21"/>
                <w:szCs w:val="21"/>
                <w:highlight w:val="none"/>
                <w:lang w:val="en-US" w:eastAsia="zh-CN"/>
                <w14:textFill>
                  <w14:solidFill>
                    <w14:schemeClr w14:val="tx1"/>
                  </w14:solidFill>
                </w14:textFill>
              </w:rPr>
              <w:t>内容缺漏</w:t>
            </w:r>
            <w:r>
              <w:rPr>
                <w:rFonts w:hint="eastAsia" w:ascii="宋体" w:hAnsi="宋体" w:cs="宋体"/>
                <w:color w:val="000000" w:themeColor="text1"/>
                <w:sz w:val="21"/>
                <w:szCs w:val="21"/>
                <w:highlight w:val="none"/>
                <w:lang w:val="en-US" w:eastAsia="zh-CN"/>
                <w14:textFill>
                  <w14:solidFill>
                    <w14:schemeClr w14:val="tx1"/>
                  </w14:solidFill>
                </w14:textFill>
              </w:rPr>
              <w:t>：未对要求的内容进行描述</w:t>
            </w:r>
            <w:r>
              <w:rPr>
                <w:rFonts w:hint="eastAsia" w:ascii="宋体" w:hAnsi="宋体" w:cs="宋体"/>
                <w:color w:val="000000" w:themeColor="text1"/>
                <w:sz w:val="21"/>
                <w:szCs w:val="21"/>
                <w:highlight w:val="none"/>
                <w14:textFill>
                  <w14:solidFill>
                    <w14:schemeClr w14:val="tx1"/>
                  </w14:solidFill>
                </w14:textFill>
              </w:rPr>
              <w:t>。</w:t>
            </w:r>
          </w:p>
        </w:tc>
      </w:tr>
      <w:tr w14:paraId="32A33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1514" w:type="dxa"/>
            <w:vMerge w:val="continue"/>
            <w:vAlign w:val="center"/>
          </w:tcPr>
          <w:p w14:paraId="15DC5BD0">
            <w:pPr>
              <w:keepNext w:val="0"/>
              <w:keepLines w:val="0"/>
              <w:pageBreakBefore w:val="0"/>
              <w:widowControl/>
              <w:kinsoku/>
              <w:wordWrap/>
              <w:overflowPunct/>
              <w:topLinePunct w:val="0"/>
              <w:autoSpaceDE/>
              <w:autoSpaceDN/>
              <w:bidi w:val="0"/>
              <w:adjustRightInd/>
              <w:snapToGrid/>
              <w:spacing w:line="330" w:lineRule="exact"/>
              <w:rPr>
                <w:rFonts w:hint="eastAsia" w:ascii="宋体" w:hAnsi="宋体"/>
                <w:b w:val="0"/>
                <w:bCs/>
                <w:color w:val="000000" w:themeColor="text1"/>
                <w:sz w:val="21"/>
                <w:szCs w:val="21"/>
                <w:highlight w:val="none"/>
                <w14:textFill>
                  <w14:solidFill>
                    <w14:schemeClr w14:val="tx1"/>
                  </w14:solidFill>
                </w14:textFill>
              </w:rPr>
            </w:pPr>
          </w:p>
        </w:tc>
        <w:tc>
          <w:tcPr>
            <w:tcW w:w="1465" w:type="dxa"/>
            <w:vAlign w:val="center"/>
          </w:tcPr>
          <w:p w14:paraId="592DEFDE">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售后服务方案及保障措施</w:t>
            </w:r>
          </w:p>
          <w:p w14:paraId="47DC0DA6">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w:t>
            </w: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8</w:t>
            </w: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分）</w:t>
            </w:r>
          </w:p>
          <w:p w14:paraId="6AB1D0A3">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pPr>
          </w:p>
        </w:tc>
        <w:tc>
          <w:tcPr>
            <w:tcW w:w="6703" w:type="dxa"/>
            <w:vAlign w:val="center"/>
          </w:tcPr>
          <w:p w14:paraId="51E8AF76">
            <w:pPr>
              <w:spacing w:line="360" w:lineRule="auto"/>
              <w:jc w:val="left"/>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t>1、</w:t>
            </w:r>
            <w:r>
              <w:rPr>
                <w:rFonts w:hint="eastAsia"/>
                <w:b/>
                <w:bCs/>
                <w:color w:val="000000" w:themeColor="text1"/>
                <w:sz w:val="21"/>
                <w:szCs w:val="21"/>
                <w:highlight w:val="none"/>
                <w14:textFill>
                  <w14:solidFill>
                    <w14:schemeClr w14:val="tx1"/>
                  </w14:solidFill>
                </w14:textFill>
              </w:rPr>
              <w:t>根据投标申请人提供的</w:t>
            </w:r>
            <w:r>
              <w:rPr>
                <w:rFonts w:hint="eastAsia" w:ascii="宋体" w:hAnsi="宋体" w:cs="宋体"/>
                <w:b/>
                <w:bCs/>
                <w:color w:val="000000" w:themeColor="text1"/>
                <w:sz w:val="21"/>
                <w:szCs w:val="21"/>
                <w:highlight w:val="none"/>
                <w14:textFill>
                  <w14:solidFill>
                    <w14:schemeClr w14:val="tx1"/>
                  </w14:solidFill>
                </w14:textFill>
              </w:rPr>
              <w:t>以下</w:t>
            </w:r>
            <w:r>
              <w:rPr>
                <w:rFonts w:hint="eastAsia" w:ascii="宋体" w:hAnsi="宋体" w:cs="宋体"/>
                <w:b/>
                <w:bCs/>
                <w:color w:val="000000" w:themeColor="text1"/>
                <w:sz w:val="21"/>
                <w:szCs w:val="21"/>
                <w:highlight w:val="none"/>
                <w:lang w:val="en-US" w:eastAsia="zh-CN"/>
                <w14:textFill>
                  <w14:solidFill>
                    <w14:schemeClr w14:val="tx1"/>
                  </w14:solidFill>
                </w14:textFill>
              </w:rPr>
              <w:t>4</w:t>
            </w:r>
            <w:r>
              <w:rPr>
                <w:rFonts w:hint="eastAsia" w:ascii="宋体" w:hAnsi="宋体" w:cs="宋体"/>
                <w:b/>
                <w:bCs/>
                <w:color w:val="000000" w:themeColor="text1"/>
                <w:sz w:val="21"/>
                <w:szCs w:val="21"/>
                <w:highlight w:val="none"/>
                <w14:textFill>
                  <w14:solidFill>
                    <w14:schemeClr w14:val="tx1"/>
                  </w14:solidFill>
                </w14:textFill>
              </w:rPr>
              <w:t>项</w:t>
            </w:r>
            <w:r>
              <w:rPr>
                <w:rFonts w:hint="eastAsia" w:ascii="宋体" w:hAnsi="宋体" w:cs="宋体"/>
                <w:b/>
                <w:bCs/>
                <w:color w:val="000000" w:themeColor="text1"/>
                <w:sz w:val="21"/>
                <w:szCs w:val="21"/>
                <w:highlight w:val="none"/>
                <w:lang w:val="en-US" w:eastAsia="zh-CN"/>
                <w14:textFill>
                  <w14:solidFill>
                    <w14:schemeClr w14:val="tx1"/>
                  </w14:solidFill>
                </w14:textFill>
              </w:rPr>
              <w:t>评审内容</w:t>
            </w:r>
            <w:r>
              <w:rPr>
                <w:rFonts w:hint="eastAsia"/>
                <w:b/>
                <w:bCs/>
                <w:color w:val="000000" w:themeColor="text1"/>
                <w:sz w:val="21"/>
                <w:szCs w:val="21"/>
                <w:highlight w:val="none"/>
                <w14:textFill>
                  <w14:solidFill>
                    <w14:schemeClr w14:val="tx1"/>
                  </w14:solidFill>
                </w14:textFill>
              </w:rPr>
              <w:t>进行评审，评审</w:t>
            </w:r>
            <w:r>
              <w:rPr>
                <w:rFonts w:hint="eastAsia"/>
                <w:b/>
                <w:bCs/>
                <w:color w:val="000000" w:themeColor="text1"/>
                <w:sz w:val="21"/>
                <w:szCs w:val="21"/>
                <w:highlight w:val="none"/>
                <w:lang w:val="en-US" w:eastAsia="zh-CN"/>
                <w14:textFill>
                  <w14:solidFill>
                    <w14:schemeClr w14:val="tx1"/>
                  </w14:solidFill>
                </w14:textFill>
              </w:rPr>
              <w:t>内容</w:t>
            </w:r>
            <w:r>
              <w:rPr>
                <w:rFonts w:hint="eastAsia"/>
                <w:b/>
                <w:bCs/>
                <w:color w:val="000000" w:themeColor="text1"/>
                <w:sz w:val="21"/>
                <w:szCs w:val="21"/>
                <w:highlight w:val="none"/>
                <w14:textFill>
                  <w14:solidFill>
                    <w14:schemeClr w14:val="tx1"/>
                  </w14:solidFill>
                </w14:textFill>
              </w:rPr>
              <w:t>如下：（满分</w:t>
            </w:r>
            <w:r>
              <w:rPr>
                <w:rFonts w:hint="eastAsia"/>
                <w:b/>
                <w:bCs/>
                <w:color w:val="000000" w:themeColor="text1"/>
                <w:sz w:val="21"/>
                <w:szCs w:val="21"/>
                <w:highlight w:val="none"/>
                <w:lang w:val="en-US" w:eastAsia="zh-CN"/>
                <w14:textFill>
                  <w14:solidFill>
                    <w14:schemeClr w14:val="tx1"/>
                  </w14:solidFill>
                </w14:textFill>
              </w:rPr>
              <w:t>8</w:t>
            </w:r>
            <w:r>
              <w:rPr>
                <w:rFonts w:hint="eastAsia"/>
                <w:b/>
                <w:bCs/>
                <w:color w:val="000000" w:themeColor="text1"/>
                <w:sz w:val="21"/>
                <w:szCs w:val="21"/>
                <w:highlight w:val="none"/>
                <w14:textFill>
                  <w14:solidFill>
                    <w14:schemeClr w14:val="tx1"/>
                  </w14:solidFill>
                </w14:textFill>
              </w:rPr>
              <w:t>分）</w:t>
            </w:r>
          </w:p>
          <w:p w14:paraId="6C0D4256">
            <w:pPr>
              <w:spacing w:line="288" w:lineRule="auto"/>
              <w:jc w:val="left"/>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①中标后拟派的售后服务人员</w:t>
            </w:r>
            <w:r>
              <w:rPr>
                <w:rFonts w:hint="eastAsia" w:ascii="宋体" w:hAnsi="宋体" w:cs="宋体"/>
                <w:b w:val="0"/>
                <w:bCs w:val="0"/>
                <w:color w:val="000000" w:themeColor="text1"/>
                <w:sz w:val="21"/>
                <w:szCs w:val="21"/>
                <w:highlight w:val="none"/>
                <w:lang w:eastAsia="zh-CN"/>
                <w14:textFill>
                  <w14:solidFill>
                    <w14:schemeClr w14:val="tx1"/>
                  </w14:solidFill>
                </w14:textFill>
              </w:rPr>
              <w:t>（</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包含售后服务团队、售后服务团队的岗位职责分工等</w:t>
            </w:r>
            <w:r>
              <w:rPr>
                <w:rFonts w:hint="eastAsia" w:ascii="宋体" w:hAnsi="宋体" w:cs="宋体"/>
                <w:b w:val="0"/>
                <w:bCs w:val="0"/>
                <w:color w:val="000000" w:themeColor="text1"/>
                <w:sz w:val="21"/>
                <w:szCs w:val="21"/>
                <w:highlight w:val="none"/>
                <w:lang w:eastAsia="zh-CN"/>
                <w14:textFill>
                  <w14:solidFill>
                    <w14:schemeClr w14:val="tx1"/>
                  </w14:solidFill>
                </w14:textFill>
              </w:rPr>
              <w:t>）</w:t>
            </w:r>
          </w:p>
          <w:p w14:paraId="55E96B27">
            <w:pPr>
              <w:spacing w:line="360" w:lineRule="auto"/>
              <w:contextualSpacing/>
              <w:rPr>
                <w:rFonts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②售后服务承诺</w:t>
            </w:r>
            <w:r>
              <w:rPr>
                <w:rFonts w:hint="eastAsia" w:ascii="宋体" w:hAnsi="宋体"/>
                <w:color w:val="000000" w:themeColor="text1"/>
                <w:sz w:val="21"/>
                <w:szCs w:val="21"/>
                <w:highlight w:val="none"/>
                <w14:textFill>
                  <w14:solidFill>
                    <w14:schemeClr w14:val="tx1"/>
                  </w14:solidFill>
                </w14:textFill>
              </w:rPr>
              <w:t>（包含</w:t>
            </w:r>
            <w:r>
              <w:rPr>
                <w:rFonts w:hint="eastAsia" w:ascii="宋体" w:hAnsi="宋体"/>
                <w:color w:val="000000" w:themeColor="text1"/>
                <w:sz w:val="21"/>
                <w:szCs w:val="21"/>
                <w:highlight w:val="none"/>
                <w:lang w:val="en-US" w:eastAsia="zh-CN"/>
                <w14:textFill>
                  <w14:solidFill>
                    <w14:schemeClr w14:val="tx1"/>
                  </w14:solidFill>
                </w14:textFill>
              </w:rPr>
              <w:t>后期设备维护维修</w:t>
            </w: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val="en-US" w:eastAsia="zh-CN"/>
                <w14:textFill>
                  <w14:solidFill>
                    <w14:schemeClr w14:val="tx1"/>
                  </w14:solidFill>
                </w14:textFill>
              </w:rPr>
              <w:t>故障响应时间、定期巡检、备品备件的更换、</w:t>
            </w:r>
            <w:r>
              <w:rPr>
                <w:rFonts w:hint="eastAsia" w:ascii="宋体" w:hAnsi="宋体"/>
                <w:color w:val="000000" w:themeColor="text1"/>
                <w:sz w:val="21"/>
                <w:szCs w:val="21"/>
                <w:highlight w:val="none"/>
                <w14:textFill>
                  <w14:solidFill>
                    <w14:schemeClr w14:val="tx1"/>
                  </w14:solidFill>
                </w14:textFill>
              </w:rPr>
              <w:t>服务渠道等）</w:t>
            </w:r>
          </w:p>
          <w:p w14:paraId="2ED69005">
            <w:pPr>
              <w:spacing w:line="288" w:lineRule="auto"/>
              <w:jc w:val="left"/>
              <w:rPr>
                <w:rFonts w:hint="eastAsia" w:ascii="宋体" w:hAnsi="宋体" w:cs="宋体"/>
                <w:b w:val="0"/>
                <w:bCs w:val="0"/>
                <w:color w:val="000000" w:themeColor="text1"/>
                <w:sz w:val="21"/>
                <w:szCs w:val="21"/>
                <w:highlight w:val="none"/>
                <w:lang w:eastAsia="zh-CN"/>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③售后服务保障措施</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及售后服务违约惩罚措施</w:t>
            </w:r>
            <w:r>
              <w:rPr>
                <w:rFonts w:hint="eastAsia" w:ascii="宋体" w:hAnsi="宋体" w:cs="宋体"/>
                <w:b w:val="0"/>
                <w:bCs w:val="0"/>
                <w:color w:val="000000" w:themeColor="text1"/>
                <w:sz w:val="21"/>
                <w:szCs w:val="21"/>
                <w:highlight w:val="none"/>
                <w:lang w:eastAsia="zh-CN"/>
                <w14:textFill>
                  <w14:solidFill>
                    <w14:schemeClr w14:val="tx1"/>
                  </w14:solidFill>
                </w14:textFill>
              </w:rPr>
              <w:t>（</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包含备品备件保障、技术支持人员保障、维修响应时间保障、</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售后服务承诺的保障措施、违约惩罚等</w:t>
            </w:r>
            <w:r>
              <w:rPr>
                <w:rFonts w:hint="eastAsia" w:ascii="宋体" w:hAnsi="宋体" w:cs="宋体"/>
                <w:b w:val="0"/>
                <w:bCs w:val="0"/>
                <w:color w:val="000000" w:themeColor="text1"/>
                <w:sz w:val="21"/>
                <w:szCs w:val="21"/>
                <w:highlight w:val="none"/>
                <w:lang w:eastAsia="zh-CN"/>
                <w14:textFill>
                  <w14:solidFill>
                    <w14:schemeClr w14:val="tx1"/>
                  </w14:solidFill>
                </w14:textFill>
              </w:rPr>
              <w:t>）</w:t>
            </w:r>
          </w:p>
          <w:p w14:paraId="1C2EF261">
            <w:pPr>
              <w:pStyle w:val="33"/>
              <w:ind w:left="0" w:leftChars="0" w:firstLine="0" w:firstLineChars="0"/>
              <w:rPr>
                <w:rFonts w:hint="eastAsia"/>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④</w:t>
            </w: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为</w:t>
            </w:r>
            <w:r>
              <w:rPr>
                <w:rFonts w:hint="eastAsia" w:ascii="宋体" w:hAnsi="宋体" w:eastAsia="宋体" w:cs="宋体"/>
                <w:b w:val="0"/>
                <w:bCs w:val="0"/>
                <w:color w:val="000000" w:themeColor="text1"/>
                <w:kern w:val="2"/>
                <w:sz w:val="22"/>
                <w:szCs w:val="22"/>
                <w:highlight w:val="none"/>
                <w:lang w:val="en-US" w:eastAsia="zh-CN" w:bidi="ar-SA"/>
                <w14:textFill>
                  <w14:solidFill>
                    <w14:schemeClr w14:val="tx1"/>
                  </w14:solidFill>
                </w14:textFill>
              </w:rPr>
              <w:t>了保障服务质量，</w:t>
            </w:r>
            <w:r>
              <w:rPr>
                <w:rFonts w:hint="eastAsia" w:hAnsi="宋体" w:cs="宋体"/>
                <w:b w:val="0"/>
                <w:bCs w:val="0"/>
                <w:color w:val="000000" w:themeColor="text1"/>
                <w:kern w:val="2"/>
                <w:sz w:val="22"/>
                <w:szCs w:val="22"/>
                <w:highlight w:val="none"/>
                <w:lang w:val="en-US" w:eastAsia="zh-CN" w:bidi="ar-SA"/>
                <w14:textFill>
                  <w14:solidFill>
                    <w14:schemeClr w14:val="tx1"/>
                  </w14:solidFill>
                </w14:textFill>
              </w:rPr>
              <w:t>核心产品</w:t>
            </w:r>
            <w:r>
              <w:rPr>
                <w:rFonts w:hint="eastAsia" w:ascii="宋体" w:hAnsi="宋体" w:eastAsia="宋体" w:cs="宋体"/>
                <w:b w:val="0"/>
                <w:bCs w:val="0"/>
                <w:color w:val="000000" w:themeColor="text1"/>
                <w:kern w:val="2"/>
                <w:sz w:val="22"/>
                <w:szCs w:val="22"/>
                <w:highlight w:val="none"/>
                <w:lang w:val="en-US" w:eastAsia="zh-CN" w:bidi="ar-SA"/>
                <w14:textFill>
                  <w14:solidFill>
                    <w14:schemeClr w14:val="tx1"/>
                  </w14:solidFill>
                </w14:textFill>
              </w:rPr>
              <w:t>设备商售后服务体系须通过符合GB/T27922标准的售后服务成熟度认证9星级以上；提供证书复印件、全国认证认可信息公共服务平台查询链接及截图（截图需体现证书名称、查询官网名称）</w:t>
            </w:r>
          </w:p>
          <w:p w14:paraId="0E26EC17">
            <w:pPr>
              <w:spacing w:line="288" w:lineRule="auto"/>
              <w:rPr>
                <w:rFonts w:hint="eastAsia" w:ascii="宋体" w:hAnsi="宋体"/>
                <w:b/>
                <w:bCs/>
                <w:color w:val="000000" w:themeColor="text1"/>
                <w:sz w:val="21"/>
                <w:szCs w:val="21"/>
                <w:highlight w:val="none"/>
                <w:lang w:val="en-US" w:eastAsia="zh-CN"/>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t>2、评分原则</w:t>
            </w:r>
          </w:p>
          <w:p w14:paraId="58C16F50">
            <w:pPr>
              <w:spacing w:line="360" w:lineRule="auto"/>
              <w:contextualSpacing/>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w:t>
            </w:r>
            <w:r>
              <w:rPr>
                <w:rFonts w:hint="eastAsia" w:ascii="宋体" w:hAnsi="宋体"/>
                <w:color w:val="000000" w:themeColor="text1"/>
                <w:sz w:val="21"/>
                <w:szCs w:val="21"/>
                <w:highlight w:val="none"/>
                <w:lang w:val="en-US" w:eastAsia="zh-CN"/>
                <w14:textFill>
                  <w14:solidFill>
                    <w14:schemeClr w14:val="tx1"/>
                  </w14:solidFill>
                </w14:textFill>
              </w:rPr>
              <w:t>以上评审内容均提供且</w:t>
            </w:r>
            <w:r>
              <w:rPr>
                <w:rFonts w:hint="eastAsia" w:ascii="宋体" w:hAnsi="宋体"/>
                <w:color w:val="000000" w:themeColor="text1"/>
                <w:sz w:val="21"/>
                <w:szCs w:val="21"/>
                <w:highlight w:val="none"/>
                <w14:textFill>
                  <w14:solidFill>
                    <w14:schemeClr w14:val="tx1"/>
                  </w14:solidFill>
                </w14:textFill>
              </w:rPr>
              <w:t>提供的内容</w:t>
            </w:r>
            <w:r>
              <w:rPr>
                <w:rFonts w:hint="eastAsia" w:ascii="宋体" w:hAnsi="宋体"/>
                <w:color w:val="000000" w:themeColor="text1"/>
                <w:sz w:val="21"/>
                <w:szCs w:val="21"/>
                <w:highlight w:val="none"/>
                <w:lang w:val="en-US" w:eastAsia="zh-CN"/>
                <w14:textFill>
                  <w14:solidFill>
                    <w14:schemeClr w14:val="tx1"/>
                  </w14:solidFill>
                </w14:textFill>
              </w:rPr>
              <w:t>详细具体切合项目实际有针对性</w:t>
            </w:r>
            <w:r>
              <w:rPr>
                <w:rFonts w:hint="eastAsia" w:ascii="宋体" w:hAnsi="宋体"/>
                <w:color w:val="000000" w:themeColor="text1"/>
                <w:sz w:val="21"/>
                <w:szCs w:val="21"/>
                <w:highlight w:val="none"/>
                <w14:textFill>
                  <w14:solidFill>
                    <w14:schemeClr w14:val="tx1"/>
                  </w14:solidFill>
                </w14:textFill>
              </w:rPr>
              <w:t>的得满分</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color w:val="000000" w:themeColor="text1"/>
                <w:sz w:val="21"/>
                <w:szCs w:val="21"/>
                <w:highlight w:val="none"/>
                <w14:textFill>
                  <w14:solidFill>
                    <w14:schemeClr w14:val="tx1"/>
                  </w14:solidFill>
                </w14:textFill>
              </w:rPr>
              <w:t>分；</w:t>
            </w:r>
          </w:p>
          <w:p w14:paraId="0CBB1AF9">
            <w:pPr>
              <w:spacing w:line="360" w:lineRule="auto"/>
              <w:contextualSpacing/>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（2）每缺一项内容扣</w:t>
            </w:r>
            <w:r>
              <w:rPr>
                <w:rFonts w:hint="eastAsia" w:ascii="宋体" w:hAnsi="宋体"/>
                <w:color w:val="000000" w:themeColor="text1"/>
                <w:sz w:val="21"/>
                <w:szCs w:val="21"/>
                <w:highlight w:val="none"/>
                <w:lang w:val="en-US" w:eastAsia="zh-CN"/>
                <w14:textFill>
                  <w14:solidFill>
                    <w14:schemeClr w14:val="tx1"/>
                  </w14:solidFill>
                </w14:textFill>
              </w:rPr>
              <w:t>2</w:t>
            </w:r>
            <w:r>
              <w:rPr>
                <w:rFonts w:ascii="宋体" w:hAnsi="宋体" w:cs="宋体"/>
                <w:color w:val="000000" w:themeColor="text1"/>
                <w:sz w:val="21"/>
                <w:szCs w:val="21"/>
                <w:highlight w:val="none"/>
                <w14:textFill>
                  <w14:solidFill>
                    <w14:schemeClr w14:val="tx1"/>
                  </w14:solidFill>
                </w14:textFill>
              </w:rPr>
              <w:t>分</w:t>
            </w:r>
            <w:r>
              <w:rPr>
                <w:rFonts w:hint="eastAsia" w:ascii="宋体" w:hAnsi="宋体"/>
                <w:color w:val="000000" w:themeColor="text1"/>
                <w:sz w:val="21"/>
                <w:szCs w:val="21"/>
                <w:highlight w:val="none"/>
                <w14:textFill>
                  <w14:solidFill>
                    <w14:schemeClr w14:val="tx1"/>
                  </w14:solidFill>
                </w14:textFill>
              </w:rPr>
              <w:t>；</w:t>
            </w:r>
          </w:p>
          <w:p w14:paraId="2263A118">
            <w:pPr>
              <w:spacing w:line="360" w:lineRule="auto"/>
              <w:contextualSpacing/>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w:t>
            </w:r>
            <w:r>
              <w:rPr>
                <w:rFonts w:hint="eastAsia" w:ascii="宋体" w:hAnsi="宋体" w:cs="宋体"/>
                <w:color w:val="000000" w:themeColor="text1"/>
                <w:sz w:val="21"/>
                <w:szCs w:val="21"/>
                <w:highlight w:val="none"/>
                <w:lang w:val="en-US" w:eastAsia="zh-CN"/>
                <w14:textFill>
                  <w14:solidFill>
                    <w14:schemeClr w14:val="tx1"/>
                  </w14:solidFill>
                </w14:textFill>
              </w:rPr>
              <w:t>以上每项内容</w:t>
            </w:r>
            <w:r>
              <w:rPr>
                <w:rFonts w:hint="eastAsia" w:ascii="宋体" w:hAnsi="宋体" w:cs="宋体"/>
                <w:color w:val="000000" w:themeColor="text1"/>
                <w:sz w:val="21"/>
                <w:szCs w:val="21"/>
                <w:highlight w:val="none"/>
                <w14:textFill>
                  <w14:solidFill>
                    <w14:schemeClr w14:val="tx1"/>
                  </w14:solidFill>
                </w14:textFill>
              </w:rPr>
              <w:t>存在下列情形之一的，每有一项扣</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14:textFill>
                  <w14:solidFill>
                    <w14:schemeClr w14:val="tx1"/>
                  </w14:solidFill>
                </w14:textFill>
              </w:rPr>
              <w:t>分：</w:t>
            </w:r>
          </w:p>
          <w:p w14:paraId="5FAE5708">
            <w:pPr>
              <w:spacing w:line="360" w:lineRule="auto"/>
              <w:contextualSpacing/>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①</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内容有缺陷：</w:t>
            </w:r>
            <w:r>
              <w:rPr>
                <w:rFonts w:hint="eastAsia" w:ascii="宋体" w:hAnsi="宋体" w:cs="宋体"/>
                <w:color w:val="000000" w:themeColor="text1"/>
                <w:sz w:val="21"/>
                <w:szCs w:val="21"/>
                <w:highlight w:val="none"/>
                <w:lang w:val="en-US" w:eastAsia="zh-CN"/>
                <w14:textFill>
                  <w14:solidFill>
                    <w14:schemeClr w14:val="tx1"/>
                  </w14:solidFill>
                </w14:textFill>
              </w:rPr>
              <w:t xml:space="preserve">非专门针对本项目或不适用项目特性，例如采用通用化描述，未结合本项目的特定需求、环境、技术要求等进行阐述 </w:t>
            </w:r>
            <w:r>
              <w:rPr>
                <w:rFonts w:hint="eastAsia" w:ascii="宋体" w:hAnsi="宋体" w:cs="宋体"/>
                <w:color w:val="000000" w:themeColor="text1"/>
                <w:sz w:val="21"/>
                <w:szCs w:val="21"/>
                <w:highlight w:val="none"/>
                <w14:textFill>
                  <w14:solidFill>
                    <w14:schemeClr w14:val="tx1"/>
                  </w14:solidFill>
                </w14:textFill>
              </w:rPr>
              <w:t>；</w:t>
            </w:r>
          </w:p>
          <w:p w14:paraId="2DAD60EC">
            <w:pPr>
              <w:spacing w:line="360" w:lineRule="auto"/>
              <w:contextualSpacing/>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②</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内容前后矛盾或存在逻辑错误</w:t>
            </w:r>
            <w:r>
              <w:rPr>
                <w:rFonts w:hint="eastAsia" w:ascii="宋体" w:hAnsi="宋体" w:cs="宋体"/>
                <w:color w:val="000000" w:themeColor="text1"/>
                <w:sz w:val="21"/>
                <w:szCs w:val="21"/>
                <w:highlight w:val="none"/>
                <w:lang w:val="en-US" w:eastAsia="zh-CN"/>
                <w14:textFill>
                  <w14:solidFill>
                    <w14:schemeClr w14:val="tx1"/>
                  </w14:solidFill>
                </w14:textFill>
              </w:rPr>
              <w:t>：如在不同部分对同一事项的描述存在逻辑错误或前后矛盾或与本项目不相关的错误规范</w:t>
            </w:r>
            <w:r>
              <w:rPr>
                <w:rFonts w:hint="eastAsia" w:ascii="宋体" w:hAnsi="宋体" w:cs="宋体"/>
                <w:color w:val="000000" w:themeColor="text1"/>
                <w:sz w:val="21"/>
                <w:szCs w:val="21"/>
                <w:highlight w:val="none"/>
                <w14:textFill>
                  <w14:solidFill>
                    <w14:schemeClr w14:val="tx1"/>
                  </w14:solidFill>
                </w14:textFill>
              </w:rPr>
              <w:t>；</w:t>
            </w:r>
          </w:p>
          <w:p w14:paraId="3D899162">
            <w:pPr>
              <w:spacing w:line="360" w:lineRule="auto"/>
              <w:contextualSpacing/>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③</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b/>
                <w:bCs/>
                <w:color w:val="000000" w:themeColor="text1"/>
                <w:sz w:val="21"/>
                <w:szCs w:val="21"/>
                <w:highlight w:val="none"/>
                <w14:textFill>
                  <w14:solidFill>
                    <w14:schemeClr w14:val="tx1"/>
                  </w14:solidFill>
                </w14:textFill>
              </w:rPr>
              <w:t>不利于项目实施</w:t>
            </w:r>
            <w:r>
              <w:rPr>
                <w:rFonts w:hint="eastAsia"/>
                <w:b/>
                <w:bCs/>
                <w:color w:val="000000" w:themeColor="text1"/>
                <w:sz w:val="21"/>
                <w:szCs w:val="21"/>
                <w:highlight w:val="none"/>
                <w:lang w:eastAsia="zh-CN"/>
                <w14:textFill>
                  <w14:solidFill>
                    <w14:schemeClr w14:val="tx1"/>
                  </w14:solidFill>
                </w14:textFill>
              </w:rPr>
              <w:t>：</w:t>
            </w:r>
            <w:r>
              <w:rPr>
                <w:rFonts w:hint="eastAsia"/>
                <w:b w:val="0"/>
                <w:bCs w:val="0"/>
                <w:color w:val="000000" w:themeColor="text1"/>
                <w:sz w:val="21"/>
                <w:szCs w:val="21"/>
                <w:highlight w:val="none"/>
                <w:lang w:val="en-US" w:eastAsia="zh-CN"/>
                <w14:textFill>
                  <w14:solidFill>
                    <w14:schemeClr w14:val="tx1"/>
                  </w14:solidFill>
                </w14:textFill>
              </w:rPr>
              <w:t>未结合项目实际，</w:t>
            </w:r>
            <w:r>
              <w:rPr>
                <w:rFonts w:hint="eastAsia"/>
                <w:b w:val="0"/>
                <w:bCs w:val="0"/>
                <w:color w:val="000000" w:themeColor="text1"/>
                <w:sz w:val="21"/>
                <w:szCs w:val="21"/>
                <w:highlight w:val="none"/>
                <w:lang w:eastAsia="zh-CN"/>
                <w14:textFill>
                  <w14:solidFill>
                    <w14:schemeClr w14:val="tx1"/>
                  </w14:solidFill>
                </w14:textFill>
              </w:rPr>
              <w:t>如所制定的计划或措施在实际操作中难以执行</w:t>
            </w:r>
            <w:r>
              <w:rPr>
                <w:rFonts w:hint="eastAsia"/>
                <w:b w:val="0"/>
                <w:bCs w:val="0"/>
                <w:color w:val="000000" w:themeColor="text1"/>
                <w:sz w:val="21"/>
                <w:szCs w:val="21"/>
                <w:highlight w:val="none"/>
                <w:lang w:val="en-US" w:eastAsia="zh-CN"/>
                <w14:textFill>
                  <w14:solidFill>
                    <w14:schemeClr w14:val="tx1"/>
                  </w14:solidFill>
                </w14:textFill>
              </w:rPr>
              <w:t>或</w:t>
            </w:r>
            <w:r>
              <w:rPr>
                <w:rFonts w:hint="eastAsia"/>
                <w:b w:val="0"/>
                <w:bCs w:val="0"/>
                <w:color w:val="000000" w:themeColor="text1"/>
                <w:sz w:val="21"/>
                <w:szCs w:val="21"/>
                <w:highlight w:val="none"/>
                <w:lang w:eastAsia="zh-CN"/>
                <w14:textFill>
                  <w14:solidFill>
                    <w14:schemeClr w14:val="tx1"/>
                  </w14:solidFill>
                </w14:textFill>
              </w:rPr>
              <w:t>不可能实现的情形，即所提出的承诺或措施在现有技术、资源、时间等条件下无法达成等任意一种情形</w:t>
            </w:r>
            <w:r>
              <w:rPr>
                <w:rFonts w:hint="eastAsia" w:ascii="宋体" w:hAnsi="宋体" w:cs="宋体"/>
                <w:b w:val="0"/>
                <w:bCs w:val="0"/>
                <w:color w:val="000000" w:themeColor="text1"/>
                <w:sz w:val="21"/>
                <w:szCs w:val="21"/>
                <w:highlight w:val="none"/>
                <w14:textFill>
                  <w14:solidFill>
                    <w14:schemeClr w14:val="tx1"/>
                  </w14:solidFill>
                </w14:textFill>
              </w:rPr>
              <w:t>；</w:t>
            </w:r>
          </w:p>
          <w:p w14:paraId="2E440CD2">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④</w:t>
            </w:r>
            <w:r>
              <w:rPr>
                <w:rFonts w:hint="eastAsia" w:ascii="宋体" w:hAnsi="宋体" w:cs="宋体"/>
                <w:b/>
                <w:bCs/>
                <w:color w:val="000000" w:themeColor="text1"/>
                <w:sz w:val="21"/>
                <w:szCs w:val="21"/>
                <w:highlight w:val="none"/>
                <w:lang w:val="en-US" w:eastAsia="zh-CN"/>
                <w14:textFill>
                  <w14:solidFill>
                    <w14:schemeClr w14:val="tx1"/>
                  </w14:solidFill>
                </w14:textFill>
              </w:rPr>
              <w:t>内容缺漏</w:t>
            </w:r>
            <w:r>
              <w:rPr>
                <w:rFonts w:hint="eastAsia" w:ascii="宋体" w:hAnsi="宋体" w:cs="宋体"/>
                <w:color w:val="000000" w:themeColor="text1"/>
                <w:sz w:val="21"/>
                <w:szCs w:val="21"/>
                <w:highlight w:val="none"/>
                <w:lang w:val="en-US" w:eastAsia="zh-CN"/>
                <w14:textFill>
                  <w14:solidFill>
                    <w14:schemeClr w14:val="tx1"/>
                  </w14:solidFill>
                </w14:textFill>
              </w:rPr>
              <w:t>：未对要求的内容进行描述</w:t>
            </w:r>
            <w:r>
              <w:rPr>
                <w:rFonts w:hint="eastAsia" w:ascii="宋体" w:hAnsi="宋体" w:cs="宋体"/>
                <w:color w:val="000000" w:themeColor="text1"/>
                <w:sz w:val="21"/>
                <w:szCs w:val="21"/>
                <w:highlight w:val="none"/>
                <w14:textFill>
                  <w14:solidFill>
                    <w14:schemeClr w14:val="tx1"/>
                  </w14:solidFill>
                </w14:textFill>
              </w:rPr>
              <w:t>。</w:t>
            </w:r>
          </w:p>
        </w:tc>
      </w:tr>
      <w:tr w14:paraId="6D82D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5" w:hRule="atLeast"/>
        </w:trPr>
        <w:tc>
          <w:tcPr>
            <w:tcW w:w="1514" w:type="dxa"/>
            <w:vMerge w:val="continue"/>
            <w:vAlign w:val="center"/>
          </w:tcPr>
          <w:p w14:paraId="1745C383">
            <w:pPr>
              <w:keepNext w:val="0"/>
              <w:keepLines w:val="0"/>
              <w:pageBreakBefore w:val="0"/>
              <w:widowControl/>
              <w:kinsoku/>
              <w:wordWrap/>
              <w:overflowPunct/>
              <w:topLinePunct w:val="0"/>
              <w:autoSpaceDE/>
              <w:autoSpaceDN/>
              <w:bidi w:val="0"/>
              <w:adjustRightInd/>
              <w:snapToGrid/>
              <w:spacing w:line="330" w:lineRule="exact"/>
              <w:rPr>
                <w:rFonts w:hint="eastAsia" w:ascii="宋体" w:hAnsi="宋体"/>
                <w:b w:val="0"/>
                <w:bCs/>
                <w:color w:val="000000" w:themeColor="text1"/>
                <w:sz w:val="21"/>
                <w:szCs w:val="21"/>
                <w:highlight w:val="none"/>
                <w14:textFill>
                  <w14:solidFill>
                    <w14:schemeClr w14:val="tx1"/>
                  </w14:solidFill>
                </w14:textFill>
              </w:rPr>
            </w:pPr>
          </w:p>
        </w:tc>
        <w:tc>
          <w:tcPr>
            <w:tcW w:w="1465" w:type="dxa"/>
            <w:vAlign w:val="center"/>
          </w:tcPr>
          <w:p w14:paraId="41BC1139">
            <w:pPr>
              <w:spacing w:line="360" w:lineRule="auto"/>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质量保证及承诺</w:t>
            </w:r>
          </w:p>
          <w:p w14:paraId="315243B1">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w:t>
            </w: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8</w:t>
            </w: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分）</w:t>
            </w:r>
          </w:p>
          <w:p w14:paraId="2451D47A">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pPr>
          </w:p>
        </w:tc>
        <w:tc>
          <w:tcPr>
            <w:tcW w:w="6703" w:type="dxa"/>
            <w:vAlign w:val="center"/>
          </w:tcPr>
          <w:p w14:paraId="767D06F6">
            <w:pPr>
              <w:spacing w:line="288" w:lineRule="auto"/>
              <w:jc w:val="lef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1、</w:t>
            </w:r>
            <w:r>
              <w:rPr>
                <w:rFonts w:hint="eastAsia" w:ascii="宋体" w:hAnsi="宋体" w:cs="宋体"/>
                <w:b/>
                <w:bCs/>
                <w:color w:val="000000" w:themeColor="text1"/>
                <w:sz w:val="21"/>
                <w:szCs w:val="21"/>
                <w:highlight w:val="none"/>
                <w14:textFill>
                  <w14:solidFill>
                    <w14:schemeClr w14:val="tx1"/>
                  </w14:solidFill>
                </w14:textFill>
              </w:rPr>
              <w:t>根据投标申请人提供的以下</w:t>
            </w:r>
            <w:r>
              <w:rPr>
                <w:rFonts w:hint="eastAsia" w:ascii="宋体" w:hAnsi="宋体" w:cs="宋体"/>
                <w:b/>
                <w:bCs/>
                <w:color w:val="000000" w:themeColor="text1"/>
                <w:sz w:val="21"/>
                <w:szCs w:val="21"/>
                <w:highlight w:val="none"/>
                <w:lang w:val="en-US" w:eastAsia="zh-CN"/>
                <w14:textFill>
                  <w14:solidFill>
                    <w14:schemeClr w14:val="tx1"/>
                  </w14:solidFill>
                </w14:textFill>
              </w:rPr>
              <w:t>4</w:t>
            </w:r>
            <w:r>
              <w:rPr>
                <w:rFonts w:hint="eastAsia" w:ascii="宋体" w:hAnsi="宋体" w:cs="宋体"/>
                <w:b/>
                <w:bCs/>
                <w:color w:val="000000" w:themeColor="text1"/>
                <w:sz w:val="21"/>
                <w:szCs w:val="21"/>
                <w:highlight w:val="none"/>
                <w14:textFill>
                  <w14:solidFill>
                    <w14:schemeClr w14:val="tx1"/>
                  </w14:solidFill>
                </w14:textFill>
              </w:rPr>
              <w:t>项</w:t>
            </w:r>
            <w:r>
              <w:rPr>
                <w:rFonts w:hint="eastAsia" w:ascii="宋体" w:hAnsi="宋体" w:cs="宋体"/>
                <w:b/>
                <w:bCs/>
                <w:color w:val="000000" w:themeColor="text1"/>
                <w:sz w:val="21"/>
                <w:szCs w:val="21"/>
                <w:highlight w:val="none"/>
                <w:lang w:val="en-US" w:eastAsia="zh-CN"/>
                <w14:textFill>
                  <w14:solidFill>
                    <w14:schemeClr w14:val="tx1"/>
                  </w14:solidFill>
                </w14:textFill>
              </w:rPr>
              <w:t>评审内容</w:t>
            </w:r>
            <w:r>
              <w:rPr>
                <w:rFonts w:hint="eastAsia" w:ascii="宋体" w:hAnsi="宋体" w:cs="宋体"/>
                <w:b/>
                <w:bCs/>
                <w:color w:val="000000" w:themeColor="text1"/>
                <w:sz w:val="21"/>
                <w:szCs w:val="21"/>
                <w:highlight w:val="none"/>
                <w14:textFill>
                  <w14:solidFill>
                    <w14:schemeClr w14:val="tx1"/>
                  </w14:solidFill>
                </w14:textFill>
              </w:rPr>
              <w:t>进行综合评审，评审</w:t>
            </w:r>
            <w:r>
              <w:rPr>
                <w:rFonts w:hint="eastAsia" w:ascii="宋体" w:hAnsi="宋体" w:cs="宋体"/>
                <w:b/>
                <w:bCs/>
                <w:color w:val="000000" w:themeColor="text1"/>
                <w:sz w:val="21"/>
                <w:szCs w:val="21"/>
                <w:highlight w:val="none"/>
                <w:lang w:val="en-US" w:eastAsia="zh-CN"/>
                <w14:textFill>
                  <w14:solidFill>
                    <w14:schemeClr w14:val="tx1"/>
                  </w14:solidFill>
                </w14:textFill>
              </w:rPr>
              <w:t>内容</w:t>
            </w:r>
            <w:r>
              <w:rPr>
                <w:rFonts w:hint="eastAsia" w:ascii="宋体" w:hAnsi="宋体" w:cs="宋体"/>
                <w:b/>
                <w:bCs/>
                <w:color w:val="000000" w:themeColor="text1"/>
                <w:sz w:val="21"/>
                <w:szCs w:val="21"/>
                <w:highlight w:val="none"/>
                <w14:textFill>
                  <w14:solidFill>
                    <w14:schemeClr w14:val="tx1"/>
                  </w14:solidFill>
                </w14:textFill>
              </w:rPr>
              <w:t>如下：（满分</w:t>
            </w:r>
            <w:r>
              <w:rPr>
                <w:rFonts w:hint="eastAsia" w:ascii="宋体" w:hAnsi="宋体" w:cs="宋体"/>
                <w:b/>
                <w:bCs/>
                <w:color w:val="000000" w:themeColor="text1"/>
                <w:sz w:val="21"/>
                <w:szCs w:val="21"/>
                <w:highlight w:val="none"/>
                <w:lang w:val="en-US" w:eastAsia="zh-CN"/>
                <w14:textFill>
                  <w14:solidFill>
                    <w14:schemeClr w14:val="tx1"/>
                  </w14:solidFill>
                </w14:textFill>
              </w:rPr>
              <w:t>8</w:t>
            </w:r>
            <w:r>
              <w:rPr>
                <w:rFonts w:hint="eastAsia" w:ascii="宋体" w:hAnsi="宋体" w:cs="宋体"/>
                <w:b/>
                <w:bCs/>
                <w:color w:val="000000" w:themeColor="text1"/>
                <w:sz w:val="21"/>
                <w:szCs w:val="21"/>
                <w:highlight w:val="none"/>
                <w14:textFill>
                  <w14:solidFill>
                    <w14:schemeClr w14:val="tx1"/>
                  </w14:solidFill>
                </w14:textFill>
              </w:rPr>
              <w:t>分）</w:t>
            </w:r>
          </w:p>
          <w:p w14:paraId="5762866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①质量承诺</w:t>
            </w:r>
            <w:r>
              <w:rPr>
                <w:rFonts w:hint="eastAsia" w:ascii="宋体" w:hAnsi="宋体" w:cs="宋体"/>
                <w:b w:val="0"/>
                <w:bCs w:val="0"/>
                <w:color w:val="000000" w:themeColor="text1"/>
                <w:sz w:val="21"/>
                <w:szCs w:val="21"/>
                <w:highlight w:val="none"/>
                <w:lang w:eastAsia="zh-CN"/>
                <w14:textFill>
                  <w14:solidFill>
                    <w14:schemeClr w14:val="tx1"/>
                  </w14:solidFill>
                </w14:textFill>
              </w:rPr>
              <w:t>（</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包含产品质量承诺、备品配件的质量承诺、服务质量承诺等</w:t>
            </w:r>
            <w:r>
              <w:rPr>
                <w:rFonts w:hint="eastAsia" w:ascii="宋体" w:hAnsi="宋体" w:cs="宋体"/>
                <w:b w:val="0"/>
                <w:bCs w:val="0"/>
                <w:color w:val="000000" w:themeColor="text1"/>
                <w:sz w:val="21"/>
                <w:szCs w:val="21"/>
                <w:highlight w:val="none"/>
                <w:lang w:eastAsia="zh-CN"/>
                <w14:textFill>
                  <w14:solidFill>
                    <w14:schemeClr w14:val="tx1"/>
                  </w14:solidFill>
                </w14:textFill>
              </w:rPr>
              <w:t>）</w:t>
            </w:r>
          </w:p>
          <w:p w14:paraId="2262CBE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②质量保障措施</w:t>
            </w:r>
            <w:r>
              <w:rPr>
                <w:rFonts w:hint="eastAsia" w:ascii="宋体" w:hAnsi="宋体" w:cs="宋体"/>
                <w:b w:val="0"/>
                <w:bCs w:val="0"/>
                <w:color w:val="000000" w:themeColor="text1"/>
                <w:sz w:val="21"/>
                <w:szCs w:val="21"/>
                <w:highlight w:val="none"/>
                <w:lang w:eastAsia="zh-CN"/>
                <w14:textFill>
                  <w14:solidFill>
                    <w14:schemeClr w14:val="tx1"/>
                  </w14:solidFill>
                </w14:textFill>
              </w:rPr>
              <w:t>（</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设备供货过程的质量保障、备品备件的质量保障、技术维护人员保障等</w:t>
            </w:r>
            <w:r>
              <w:rPr>
                <w:rFonts w:hint="eastAsia" w:ascii="宋体" w:hAnsi="宋体" w:cs="宋体"/>
                <w:b w:val="0"/>
                <w:bCs w:val="0"/>
                <w:color w:val="000000" w:themeColor="text1"/>
                <w:sz w:val="21"/>
                <w:szCs w:val="21"/>
                <w:highlight w:val="none"/>
                <w:lang w:eastAsia="zh-CN"/>
                <w14:textFill>
                  <w14:solidFill>
                    <w14:schemeClr w14:val="tx1"/>
                  </w14:solidFill>
                </w14:textFill>
              </w:rPr>
              <w:t>）</w:t>
            </w:r>
          </w:p>
          <w:p w14:paraId="49CECAB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val="0"/>
                <w:bCs w:val="0"/>
                <w:color w:val="000000" w:themeColor="text1"/>
                <w:sz w:val="21"/>
                <w:szCs w:val="21"/>
                <w:highlight w:val="none"/>
                <w:lang w:eastAsia="zh-CN"/>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③若出现质量问题的详细的惩罚方案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及质量违约措施</w:t>
            </w:r>
            <w:r>
              <w:rPr>
                <w:rFonts w:hint="eastAsia" w:ascii="宋体" w:hAnsi="宋体" w:cs="宋体"/>
                <w:b w:val="0"/>
                <w:bCs w:val="0"/>
                <w:color w:val="000000" w:themeColor="text1"/>
                <w:sz w:val="21"/>
                <w:szCs w:val="21"/>
                <w:highlight w:val="none"/>
                <w:lang w:eastAsia="zh-CN"/>
                <w14:textFill>
                  <w14:solidFill>
                    <w14:schemeClr w14:val="tx1"/>
                  </w14:solidFill>
                </w14:textFill>
              </w:rPr>
              <w:t>（</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包含设备主机及备品备件出现质量问题的</w:t>
            </w:r>
            <w:r>
              <w:rPr>
                <w:rFonts w:hint="eastAsia" w:ascii="宋体" w:hAnsi="宋体" w:cs="宋体"/>
                <w:b w:val="0"/>
                <w:bCs w:val="0"/>
                <w:color w:val="000000" w:themeColor="text1"/>
                <w:sz w:val="21"/>
                <w:szCs w:val="21"/>
                <w:highlight w:val="none"/>
                <w14:textFill>
                  <w14:solidFill>
                    <w14:schemeClr w14:val="tx1"/>
                  </w14:solidFill>
                </w14:textFill>
              </w:rPr>
              <w:t>惩罚方案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及质量</w:t>
            </w:r>
            <w:r>
              <w:rPr>
                <w:rFonts w:hint="eastAsia" w:ascii="宋体" w:hAnsi="宋体" w:cs="宋体"/>
                <w:b w:val="0"/>
                <w:bCs w:val="0"/>
                <w:color w:val="000000" w:themeColor="text1"/>
                <w:sz w:val="21"/>
                <w:szCs w:val="21"/>
                <w:highlight w:val="none"/>
                <w14:textFill>
                  <w14:solidFill>
                    <w14:schemeClr w14:val="tx1"/>
                  </w14:solidFill>
                </w14:textFill>
              </w:rPr>
              <w:t>违约措施</w:t>
            </w:r>
            <w:r>
              <w:rPr>
                <w:rFonts w:hint="eastAsia" w:ascii="宋体" w:hAnsi="宋体" w:cs="宋体"/>
                <w:b w:val="0"/>
                <w:bCs w:val="0"/>
                <w:color w:val="000000" w:themeColor="text1"/>
                <w:sz w:val="21"/>
                <w:szCs w:val="21"/>
                <w:highlight w:val="none"/>
                <w:lang w:eastAsia="zh-CN"/>
                <w14:textFill>
                  <w14:solidFill>
                    <w14:schemeClr w14:val="tx1"/>
                  </w14:solidFill>
                </w14:textFill>
              </w:rPr>
              <w:t>）</w:t>
            </w:r>
          </w:p>
          <w:p w14:paraId="2AE61BF9">
            <w:pPr>
              <w:pStyle w:val="33"/>
              <w:ind w:left="0" w:leftChars="0" w:firstLine="0" w:firstLineChars="0"/>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④为保障项目质量和售后服务效果，</w:t>
            </w:r>
            <w:r>
              <w:rPr>
                <w:rFonts w:hint="eastAsia" w:hAnsi="宋体" w:cs="宋体"/>
                <w:b w:val="0"/>
                <w:bCs w:val="0"/>
                <w:color w:val="000000" w:themeColor="text1"/>
                <w:kern w:val="2"/>
                <w:sz w:val="21"/>
                <w:szCs w:val="21"/>
                <w:highlight w:val="none"/>
                <w:lang w:val="en-US" w:eastAsia="zh-CN" w:bidi="ar-SA"/>
                <w14:textFill>
                  <w14:solidFill>
                    <w14:schemeClr w14:val="tx1"/>
                  </w14:solidFill>
                </w14:textFill>
              </w:rPr>
              <w:t>核心产品</w:t>
            </w: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设备制造商需具有信息系统建设和服务能力；提供</w:t>
            </w:r>
            <w:r>
              <w:rPr>
                <w:rFonts w:hint="eastAsia" w:hAnsi="宋体" w:cs="宋体"/>
                <w:b w:val="0"/>
                <w:bCs w:val="0"/>
                <w:color w:val="000000" w:themeColor="text1"/>
                <w:kern w:val="2"/>
                <w:sz w:val="21"/>
                <w:szCs w:val="21"/>
                <w:highlight w:val="none"/>
                <w:lang w:val="en-US" w:eastAsia="zh-CN" w:bidi="ar-SA"/>
                <w14:textFill>
                  <w14:solidFill>
                    <w14:schemeClr w14:val="tx1"/>
                  </w14:solidFill>
                </w14:textFill>
              </w:rPr>
              <w:t>核心产品</w:t>
            </w: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设备制造商的信息系统建设和服务能力等级证书CS3级及以上，信息系统建设和服务能力评估网查询链接及截图</w:t>
            </w:r>
            <w:r>
              <w:rPr>
                <w:rFonts w:hint="eastAsia" w:hAnsi="宋体" w:cs="宋体"/>
                <w:b w:val="0"/>
                <w:bCs w:val="0"/>
                <w:color w:val="000000" w:themeColor="text1"/>
                <w:kern w:val="2"/>
                <w:sz w:val="21"/>
                <w:szCs w:val="21"/>
                <w:highlight w:val="none"/>
                <w:lang w:val="en-US" w:eastAsia="zh-CN" w:bidi="ar-SA"/>
                <w14:textFill>
                  <w14:solidFill>
                    <w14:schemeClr w14:val="tx1"/>
                  </w14:solidFill>
                </w14:textFill>
              </w:rPr>
              <w:t>。</w:t>
            </w:r>
          </w:p>
          <w:p w14:paraId="25ED8BF8">
            <w:pPr>
              <w:spacing w:line="288" w:lineRule="auto"/>
              <w:rPr>
                <w:rFonts w:hint="eastAsia" w:ascii="宋体" w:hAnsi="宋体"/>
                <w:b/>
                <w:bCs/>
                <w:color w:val="000000" w:themeColor="text1"/>
                <w:sz w:val="21"/>
                <w:szCs w:val="21"/>
                <w:highlight w:val="none"/>
                <w:lang w:val="en-US" w:eastAsia="zh-CN"/>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t>2、评分原则</w:t>
            </w:r>
          </w:p>
          <w:p w14:paraId="6A2FD5C9">
            <w:pPr>
              <w:spacing w:line="360" w:lineRule="auto"/>
              <w:contextualSpacing/>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w:t>
            </w:r>
            <w:r>
              <w:rPr>
                <w:rFonts w:hint="eastAsia" w:ascii="宋体" w:hAnsi="宋体"/>
                <w:color w:val="000000" w:themeColor="text1"/>
                <w:sz w:val="21"/>
                <w:szCs w:val="21"/>
                <w:highlight w:val="none"/>
                <w:lang w:val="en-US" w:eastAsia="zh-CN"/>
                <w14:textFill>
                  <w14:solidFill>
                    <w14:schemeClr w14:val="tx1"/>
                  </w14:solidFill>
                </w14:textFill>
              </w:rPr>
              <w:t>以上评审内容均提供且</w:t>
            </w:r>
            <w:r>
              <w:rPr>
                <w:rFonts w:hint="eastAsia" w:ascii="宋体" w:hAnsi="宋体"/>
                <w:color w:val="000000" w:themeColor="text1"/>
                <w:sz w:val="21"/>
                <w:szCs w:val="21"/>
                <w:highlight w:val="none"/>
                <w14:textFill>
                  <w14:solidFill>
                    <w14:schemeClr w14:val="tx1"/>
                  </w14:solidFill>
                </w14:textFill>
              </w:rPr>
              <w:t>提供的内容</w:t>
            </w:r>
            <w:r>
              <w:rPr>
                <w:rFonts w:hint="eastAsia" w:ascii="宋体" w:hAnsi="宋体"/>
                <w:color w:val="000000" w:themeColor="text1"/>
                <w:sz w:val="21"/>
                <w:szCs w:val="21"/>
                <w:highlight w:val="none"/>
                <w:lang w:val="en-US" w:eastAsia="zh-CN"/>
                <w14:textFill>
                  <w14:solidFill>
                    <w14:schemeClr w14:val="tx1"/>
                  </w14:solidFill>
                </w14:textFill>
              </w:rPr>
              <w:t>详细具体切合项目实际有针对性</w:t>
            </w:r>
            <w:r>
              <w:rPr>
                <w:rFonts w:hint="eastAsia" w:ascii="宋体" w:hAnsi="宋体"/>
                <w:color w:val="000000" w:themeColor="text1"/>
                <w:sz w:val="21"/>
                <w:szCs w:val="21"/>
                <w:highlight w:val="none"/>
                <w14:textFill>
                  <w14:solidFill>
                    <w14:schemeClr w14:val="tx1"/>
                  </w14:solidFill>
                </w14:textFill>
              </w:rPr>
              <w:t>的得满分</w:t>
            </w:r>
            <w:r>
              <w:rPr>
                <w:rFonts w:hint="eastAsia" w:ascii="宋体" w:hAnsi="宋体"/>
                <w:color w:val="000000" w:themeColor="text1"/>
                <w:sz w:val="21"/>
                <w:szCs w:val="21"/>
                <w:highlight w:val="none"/>
                <w:lang w:val="en-US" w:eastAsia="zh-CN"/>
                <w14:textFill>
                  <w14:solidFill>
                    <w14:schemeClr w14:val="tx1"/>
                  </w14:solidFill>
                </w14:textFill>
              </w:rPr>
              <w:t>8</w:t>
            </w:r>
            <w:r>
              <w:rPr>
                <w:rFonts w:hint="eastAsia" w:ascii="宋体" w:hAnsi="宋体"/>
                <w:color w:val="000000" w:themeColor="text1"/>
                <w:sz w:val="21"/>
                <w:szCs w:val="21"/>
                <w:highlight w:val="none"/>
                <w14:textFill>
                  <w14:solidFill>
                    <w14:schemeClr w14:val="tx1"/>
                  </w14:solidFill>
                </w14:textFill>
              </w:rPr>
              <w:t>分；</w:t>
            </w:r>
          </w:p>
          <w:p w14:paraId="5CBD3D5D">
            <w:pPr>
              <w:spacing w:line="360" w:lineRule="auto"/>
              <w:contextualSpacing/>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（2）每缺一项内容扣</w:t>
            </w:r>
            <w:r>
              <w:rPr>
                <w:rFonts w:hint="eastAsia" w:ascii="宋体" w:hAnsi="宋体"/>
                <w:color w:val="000000" w:themeColor="text1"/>
                <w:sz w:val="21"/>
                <w:szCs w:val="21"/>
                <w:highlight w:val="none"/>
                <w:lang w:val="en-US" w:eastAsia="zh-CN"/>
                <w14:textFill>
                  <w14:solidFill>
                    <w14:schemeClr w14:val="tx1"/>
                  </w14:solidFill>
                </w14:textFill>
              </w:rPr>
              <w:t>2</w:t>
            </w:r>
            <w:r>
              <w:rPr>
                <w:rFonts w:ascii="宋体" w:hAnsi="宋体" w:cs="宋体"/>
                <w:color w:val="000000" w:themeColor="text1"/>
                <w:sz w:val="21"/>
                <w:szCs w:val="21"/>
                <w:highlight w:val="none"/>
                <w14:textFill>
                  <w14:solidFill>
                    <w14:schemeClr w14:val="tx1"/>
                  </w14:solidFill>
                </w14:textFill>
              </w:rPr>
              <w:t>分</w:t>
            </w:r>
            <w:r>
              <w:rPr>
                <w:rFonts w:hint="eastAsia" w:ascii="宋体" w:hAnsi="宋体"/>
                <w:color w:val="000000" w:themeColor="text1"/>
                <w:sz w:val="21"/>
                <w:szCs w:val="21"/>
                <w:highlight w:val="none"/>
                <w14:textFill>
                  <w14:solidFill>
                    <w14:schemeClr w14:val="tx1"/>
                  </w14:solidFill>
                </w14:textFill>
              </w:rPr>
              <w:t>；</w:t>
            </w:r>
          </w:p>
          <w:p w14:paraId="109B57FA">
            <w:pPr>
              <w:spacing w:line="360" w:lineRule="auto"/>
              <w:contextualSpacing/>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w:t>
            </w:r>
            <w:r>
              <w:rPr>
                <w:rFonts w:hint="eastAsia" w:ascii="宋体" w:hAnsi="宋体" w:cs="宋体"/>
                <w:color w:val="000000" w:themeColor="text1"/>
                <w:sz w:val="21"/>
                <w:szCs w:val="21"/>
                <w:highlight w:val="none"/>
                <w:lang w:val="en-US" w:eastAsia="zh-CN"/>
                <w14:textFill>
                  <w14:solidFill>
                    <w14:schemeClr w14:val="tx1"/>
                  </w14:solidFill>
                </w14:textFill>
              </w:rPr>
              <w:t>以上每项内容</w:t>
            </w:r>
            <w:r>
              <w:rPr>
                <w:rFonts w:hint="eastAsia" w:ascii="宋体" w:hAnsi="宋体" w:cs="宋体"/>
                <w:color w:val="000000" w:themeColor="text1"/>
                <w:sz w:val="21"/>
                <w:szCs w:val="21"/>
                <w:highlight w:val="none"/>
                <w14:textFill>
                  <w14:solidFill>
                    <w14:schemeClr w14:val="tx1"/>
                  </w14:solidFill>
                </w14:textFill>
              </w:rPr>
              <w:t>存在下列情形之一的，每有一项扣</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14:textFill>
                  <w14:solidFill>
                    <w14:schemeClr w14:val="tx1"/>
                  </w14:solidFill>
                </w14:textFill>
              </w:rPr>
              <w:t>分：</w:t>
            </w:r>
          </w:p>
          <w:p w14:paraId="16E15F03">
            <w:pPr>
              <w:spacing w:line="360" w:lineRule="auto"/>
              <w:contextualSpacing/>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①</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内容有缺陷：</w:t>
            </w:r>
            <w:r>
              <w:rPr>
                <w:rFonts w:hint="eastAsia" w:ascii="宋体" w:hAnsi="宋体" w:cs="宋体"/>
                <w:color w:val="000000" w:themeColor="text1"/>
                <w:sz w:val="21"/>
                <w:szCs w:val="21"/>
                <w:highlight w:val="none"/>
                <w:lang w:val="en-US" w:eastAsia="zh-CN"/>
                <w14:textFill>
                  <w14:solidFill>
                    <w14:schemeClr w14:val="tx1"/>
                  </w14:solidFill>
                </w14:textFill>
              </w:rPr>
              <w:t xml:space="preserve">非专门针对本项目或不适用项目特性，例如采用通用化描述，未结合本项目的特定需求、环境、技术要求等进行阐述 </w:t>
            </w:r>
            <w:r>
              <w:rPr>
                <w:rFonts w:hint="eastAsia" w:ascii="宋体" w:hAnsi="宋体" w:cs="宋体"/>
                <w:color w:val="000000" w:themeColor="text1"/>
                <w:sz w:val="21"/>
                <w:szCs w:val="21"/>
                <w:highlight w:val="none"/>
                <w14:textFill>
                  <w14:solidFill>
                    <w14:schemeClr w14:val="tx1"/>
                  </w14:solidFill>
                </w14:textFill>
              </w:rPr>
              <w:t>；</w:t>
            </w:r>
          </w:p>
          <w:p w14:paraId="1B69301B">
            <w:pPr>
              <w:spacing w:line="360" w:lineRule="auto"/>
              <w:contextualSpacing/>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②</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内容前后矛盾或存在逻辑错误</w:t>
            </w:r>
            <w:r>
              <w:rPr>
                <w:rFonts w:hint="eastAsia" w:ascii="宋体" w:hAnsi="宋体" w:cs="宋体"/>
                <w:color w:val="000000" w:themeColor="text1"/>
                <w:sz w:val="21"/>
                <w:szCs w:val="21"/>
                <w:highlight w:val="none"/>
                <w:lang w:val="en-US" w:eastAsia="zh-CN"/>
                <w14:textFill>
                  <w14:solidFill>
                    <w14:schemeClr w14:val="tx1"/>
                  </w14:solidFill>
                </w14:textFill>
              </w:rPr>
              <w:t>：如在不同部分对同一事项的描述存在逻辑错误或前后矛盾或与本项目不相关的错误规范</w:t>
            </w:r>
            <w:r>
              <w:rPr>
                <w:rFonts w:hint="eastAsia" w:ascii="宋体" w:hAnsi="宋体" w:cs="宋体"/>
                <w:color w:val="000000" w:themeColor="text1"/>
                <w:sz w:val="21"/>
                <w:szCs w:val="21"/>
                <w:highlight w:val="none"/>
                <w14:textFill>
                  <w14:solidFill>
                    <w14:schemeClr w14:val="tx1"/>
                  </w14:solidFill>
                </w14:textFill>
              </w:rPr>
              <w:t>；</w:t>
            </w:r>
          </w:p>
          <w:p w14:paraId="2F49C52D">
            <w:pPr>
              <w:spacing w:line="360" w:lineRule="auto"/>
              <w:contextualSpacing/>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③</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b/>
                <w:bCs/>
                <w:color w:val="000000" w:themeColor="text1"/>
                <w:sz w:val="21"/>
                <w:szCs w:val="21"/>
                <w:highlight w:val="none"/>
                <w14:textFill>
                  <w14:solidFill>
                    <w14:schemeClr w14:val="tx1"/>
                  </w14:solidFill>
                </w14:textFill>
              </w:rPr>
              <w:t>不利于项目实施</w:t>
            </w:r>
            <w:r>
              <w:rPr>
                <w:rFonts w:hint="eastAsia"/>
                <w:b/>
                <w:bCs/>
                <w:color w:val="000000" w:themeColor="text1"/>
                <w:sz w:val="21"/>
                <w:szCs w:val="21"/>
                <w:highlight w:val="none"/>
                <w:lang w:eastAsia="zh-CN"/>
                <w14:textFill>
                  <w14:solidFill>
                    <w14:schemeClr w14:val="tx1"/>
                  </w14:solidFill>
                </w14:textFill>
              </w:rPr>
              <w:t>：</w:t>
            </w:r>
            <w:r>
              <w:rPr>
                <w:rFonts w:hint="eastAsia"/>
                <w:b w:val="0"/>
                <w:bCs w:val="0"/>
                <w:color w:val="000000" w:themeColor="text1"/>
                <w:sz w:val="21"/>
                <w:szCs w:val="21"/>
                <w:highlight w:val="none"/>
                <w:lang w:val="en-US" w:eastAsia="zh-CN"/>
                <w14:textFill>
                  <w14:solidFill>
                    <w14:schemeClr w14:val="tx1"/>
                  </w14:solidFill>
                </w14:textFill>
              </w:rPr>
              <w:t>未结合项目实际，</w:t>
            </w:r>
            <w:r>
              <w:rPr>
                <w:rFonts w:hint="eastAsia"/>
                <w:b w:val="0"/>
                <w:bCs w:val="0"/>
                <w:color w:val="000000" w:themeColor="text1"/>
                <w:sz w:val="21"/>
                <w:szCs w:val="21"/>
                <w:highlight w:val="none"/>
                <w:lang w:eastAsia="zh-CN"/>
                <w14:textFill>
                  <w14:solidFill>
                    <w14:schemeClr w14:val="tx1"/>
                  </w14:solidFill>
                </w14:textFill>
              </w:rPr>
              <w:t>如所制定的计划或措施在实际操作中难以执行</w:t>
            </w:r>
            <w:r>
              <w:rPr>
                <w:rFonts w:hint="eastAsia"/>
                <w:b w:val="0"/>
                <w:bCs w:val="0"/>
                <w:color w:val="000000" w:themeColor="text1"/>
                <w:sz w:val="21"/>
                <w:szCs w:val="21"/>
                <w:highlight w:val="none"/>
                <w:lang w:val="en-US" w:eastAsia="zh-CN"/>
                <w14:textFill>
                  <w14:solidFill>
                    <w14:schemeClr w14:val="tx1"/>
                  </w14:solidFill>
                </w14:textFill>
              </w:rPr>
              <w:t>或</w:t>
            </w:r>
            <w:r>
              <w:rPr>
                <w:rFonts w:hint="eastAsia"/>
                <w:b w:val="0"/>
                <w:bCs w:val="0"/>
                <w:color w:val="000000" w:themeColor="text1"/>
                <w:sz w:val="21"/>
                <w:szCs w:val="21"/>
                <w:highlight w:val="none"/>
                <w:lang w:eastAsia="zh-CN"/>
                <w14:textFill>
                  <w14:solidFill>
                    <w14:schemeClr w14:val="tx1"/>
                  </w14:solidFill>
                </w14:textFill>
              </w:rPr>
              <w:t>不可能实现的情形，即所提出的承诺或措施在现有技术、资源、时间等条件下无法达成等任意一种情形</w:t>
            </w:r>
            <w:r>
              <w:rPr>
                <w:rFonts w:hint="eastAsia" w:ascii="宋体" w:hAnsi="宋体" w:cs="宋体"/>
                <w:b w:val="0"/>
                <w:bCs w:val="0"/>
                <w:color w:val="000000" w:themeColor="text1"/>
                <w:sz w:val="21"/>
                <w:szCs w:val="21"/>
                <w:highlight w:val="none"/>
                <w14:textFill>
                  <w14:solidFill>
                    <w14:schemeClr w14:val="tx1"/>
                  </w14:solidFill>
                </w14:textFill>
              </w:rPr>
              <w:t>；</w:t>
            </w:r>
          </w:p>
          <w:p w14:paraId="697D10CA">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④</w:t>
            </w:r>
            <w:r>
              <w:rPr>
                <w:rFonts w:hint="eastAsia" w:ascii="宋体" w:hAnsi="宋体" w:cs="宋体"/>
                <w:b/>
                <w:bCs/>
                <w:color w:val="000000" w:themeColor="text1"/>
                <w:sz w:val="21"/>
                <w:szCs w:val="21"/>
                <w:highlight w:val="none"/>
                <w:lang w:val="en-US" w:eastAsia="zh-CN"/>
                <w14:textFill>
                  <w14:solidFill>
                    <w14:schemeClr w14:val="tx1"/>
                  </w14:solidFill>
                </w14:textFill>
              </w:rPr>
              <w:t>内容缺漏</w:t>
            </w:r>
            <w:r>
              <w:rPr>
                <w:rFonts w:hint="eastAsia" w:ascii="宋体" w:hAnsi="宋体" w:cs="宋体"/>
                <w:color w:val="000000" w:themeColor="text1"/>
                <w:sz w:val="21"/>
                <w:szCs w:val="21"/>
                <w:highlight w:val="none"/>
                <w:lang w:val="en-US" w:eastAsia="zh-CN"/>
                <w14:textFill>
                  <w14:solidFill>
                    <w14:schemeClr w14:val="tx1"/>
                  </w14:solidFill>
                </w14:textFill>
              </w:rPr>
              <w:t>：未对要求的内容进行描述</w:t>
            </w:r>
            <w:r>
              <w:rPr>
                <w:rFonts w:hint="eastAsia" w:ascii="宋体" w:hAnsi="宋体" w:cs="宋体"/>
                <w:color w:val="000000" w:themeColor="text1"/>
                <w:sz w:val="21"/>
                <w:szCs w:val="21"/>
                <w:highlight w:val="none"/>
                <w14:textFill>
                  <w14:solidFill>
                    <w14:schemeClr w14:val="tx1"/>
                  </w14:solidFill>
                </w14:textFill>
              </w:rPr>
              <w:t>。</w:t>
            </w:r>
          </w:p>
        </w:tc>
      </w:tr>
      <w:tr w14:paraId="60E15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4" w:type="dxa"/>
            <w:vMerge w:val="continue"/>
            <w:vAlign w:val="center"/>
          </w:tcPr>
          <w:p w14:paraId="17C94D18">
            <w:pPr>
              <w:keepNext w:val="0"/>
              <w:keepLines w:val="0"/>
              <w:pageBreakBefore w:val="0"/>
              <w:widowControl/>
              <w:kinsoku/>
              <w:wordWrap/>
              <w:overflowPunct/>
              <w:topLinePunct w:val="0"/>
              <w:autoSpaceDE/>
              <w:autoSpaceDN/>
              <w:bidi w:val="0"/>
              <w:adjustRightInd/>
              <w:snapToGrid/>
              <w:spacing w:line="330" w:lineRule="exact"/>
              <w:rPr>
                <w:rFonts w:hint="eastAsia" w:ascii="宋体" w:hAnsi="宋体"/>
                <w:b w:val="0"/>
                <w:bCs/>
                <w:color w:val="000000" w:themeColor="text1"/>
                <w:sz w:val="21"/>
                <w:szCs w:val="21"/>
                <w:highlight w:val="none"/>
                <w14:textFill>
                  <w14:solidFill>
                    <w14:schemeClr w14:val="tx1"/>
                  </w14:solidFill>
                </w14:textFill>
              </w:rPr>
            </w:pPr>
          </w:p>
        </w:tc>
        <w:tc>
          <w:tcPr>
            <w:tcW w:w="1465" w:type="dxa"/>
            <w:vAlign w:val="center"/>
          </w:tcPr>
          <w:p w14:paraId="29CFB649">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zh-TW" w:eastAsia="zh-CN" w:bidi="ar"/>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供货方案评审</w:t>
            </w: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w:t>
            </w: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6</w:t>
            </w: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分）</w:t>
            </w:r>
          </w:p>
          <w:p w14:paraId="7177FA2D">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pPr>
          </w:p>
        </w:tc>
        <w:tc>
          <w:tcPr>
            <w:tcW w:w="6703" w:type="dxa"/>
            <w:vAlign w:val="center"/>
          </w:tcPr>
          <w:p w14:paraId="46567E9F">
            <w:pPr>
              <w:spacing w:line="288" w:lineRule="auto"/>
              <w:jc w:val="lef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1、</w:t>
            </w:r>
            <w:r>
              <w:rPr>
                <w:rFonts w:hint="eastAsia" w:ascii="宋体" w:hAnsi="宋体" w:cs="宋体"/>
                <w:b/>
                <w:bCs/>
                <w:color w:val="000000" w:themeColor="text1"/>
                <w:sz w:val="21"/>
                <w:szCs w:val="21"/>
                <w:highlight w:val="none"/>
                <w14:textFill>
                  <w14:solidFill>
                    <w14:schemeClr w14:val="tx1"/>
                  </w14:solidFill>
                </w14:textFill>
              </w:rPr>
              <w:t>根据投标申请人提供的以下4项</w:t>
            </w:r>
            <w:r>
              <w:rPr>
                <w:rFonts w:hint="eastAsia" w:ascii="宋体" w:hAnsi="宋体" w:cs="宋体"/>
                <w:b/>
                <w:bCs/>
                <w:color w:val="000000" w:themeColor="text1"/>
                <w:sz w:val="21"/>
                <w:szCs w:val="21"/>
                <w:highlight w:val="none"/>
                <w:lang w:val="en-US" w:eastAsia="zh-CN"/>
                <w14:textFill>
                  <w14:solidFill>
                    <w14:schemeClr w14:val="tx1"/>
                  </w14:solidFill>
                </w14:textFill>
              </w:rPr>
              <w:t>评审内容</w:t>
            </w:r>
            <w:r>
              <w:rPr>
                <w:rFonts w:hint="eastAsia" w:ascii="宋体" w:hAnsi="宋体" w:cs="宋体"/>
                <w:b/>
                <w:bCs/>
                <w:color w:val="000000" w:themeColor="text1"/>
                <w:sz w:val="21"/>
                <w:szCs w:val="21"/>
                <w:highlight w:val="none"/>
                <w14:textFill>
                  <w14:solidFill>
                    <w14:schemeClr w14:val="tx1"/>
                  </w14:solidFill>
                </w14:textFill>
              </w:rPr>
              <w:t>进行综合评审，评审</w:t>
            </w:r>
            <w:r>
              <w:rPr>
                <w:rFonts w:hint="eastAsia" w:ascii="宋体" w:hAnsi="宋体" w:cs="宋体"/>
                <w:b/>
                <w:bCs/>
                <w:color w:val="000000" w:themeColor="text1"/>
                <w:sz w:val="21"/>
                <w:szCs w:val="21"/>
                <w:highlight w:val="none"/>
                <w:lang w:val="en-US" w:eastAsia="zh-CN"/>
                <w14:textFill>
                  <w14:solidFill>
                    <w14:schemeClr w14:val="tx1"/>
                  </w14:solidFill>
                </w14:textFill>
              </w:rPr>
              <w:t>内容</w:t>
            </w:r>
            <w:r>
              <w:rPr>
                <w:rFonts w:hint="eastAsia" w:ascii="宋体" w:hAnsi="宋体" w:cs="宋体"/>
                <w:b/>
                <w:bCs/>
                <w:color w:val="000000" w:themeColor="text1"/>
                <w:sz w:val="21"/>
                <w:szCs w:val="21"/>
                <w:highlight w:val="none"/>
                <w14:textFill>
                  <w14:solidFill>
                    <w14:schemeClr w14:val="tx1"/>
                  </w14:solidFill>
                </w14:textFill>
              </w:rPr>
              <w:t>如下：（满分</w:t>
            </w:r>
            <w:r>
              <w:rPr>
                <w:rFonts w:hint="eastAsia" w:ascii="宋体" w:hAnsi="宋体" w:cs="宋体"/>
                <w:b/>
                <w:bCs/>
                <w:color w:val="000000" w:themeColor="text1"/>
                <w:sz w:val="21"/>
                <w:szCs w:val="21"/>
                <w:highlight w:val="none"/>
                <w:lang w:val="en-US" w:eastAsia="zh-CN"/>
                <w14:textFill>
                  <w14:solidFill>
                    <w14:schemeClr w14:val="tx1"/>
                  </w14:solidFill>
                </w14:textFill>
              </w:rPr>
              <w:t>6</w:t>
            </w:r>
            <w:r>
              <w:rPr>
                <w:rFonts w:hint="eastAsia" w:ascii="宋体" w:hAnsi="宋体" w:cs="宋体"/>
                <w:b/>
                <w:bCs/>
                <w:color w:val="000000" w:themeColor="text1"/>
                <w:sz w:val="21"/>
                <w:szCs w:val="21"/>
                <w:highlight w:val="none"/>
                <w14:textFill>
                  <w14:solidFill>
                    <w14:schemeClr w14:val="tx1"/>
                  </w14:solidFill>
                </w14:textFill>
              </w:rPr>
              <w:t>分）</w:t>
            </w:r>
          </w:p>
          <w:p w14:paraId="1A95F405">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14:textFill>
                  <w14:solidFill>
                    <w14:schemeClr w14:val="tx1"/>
                  </w14:solidFill>
                </w14:textFill>
              </w:rPr>
              <w:t>①供货</w:t>
            </w:r>
            <w:r>
              <w:rPr>
                <w:rFonts w:hint="eastAsia" w:ascii="宋体" w:hAnsi="宋体"/>
                <w:b w:val="0"/>
                <w:bCs w:val="0"/>
                <w:color w:val="000000" w:themeColor="text1"/>
                <w:sz w:val="21"/>
                <w:szCs w:val="21"/>
                <w:highlight w:val="none"/>
                <w:lang w:val="en-US" w:eastAsia="zh-CN"/>
                <w14:textFill>
                  <w14:solidFill>
                    <w14:schemeClr w14:val="tx1"/>
                  </w14:solidFill>
                </w14:textFill>
              </w:rPr>
              <w:t>流程（包含发货前准备及设备检查、设备包装、设备运输、设备下货等）</w:t>
            </w:r>
            <w:r>
              <w:rPr>
                <w:rFonts w:hint="eastAsia" w:ascii="宋体" w:hAnsi="宋体"/>
                <w:b w:val="0"/>
                <w:bCs w:val="0"/>
                <w:color w:val="000000" w:themeColor="text1"/>
                <w:sz w:val="21"/>
                <w:szCs w:val="21"/>
                <w:highlight w:val="none"/>
                <w14:textFill>
                  <w14:solidFill>
                    <w14:schemeClr w14:val="tx1"/>
                  </w14:solidFill>
                </w14:textFill>
              </w:rPr>
              <w:t>。</w:t>
            </w:r>
          </w:p>
          <w:p w14:paraId="3C00BE54">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14:textFill>
                  <w14:solidFill>
                    <w14:schemeClr w14:val="tx1"/>
                  </w14:solidFill>
                </w14:textFill>
              </w:rPr>
              <w:t>②安装调试方案</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lang w:val="en-US" w:eastAsia="zh-CN"/>
                <w14:textFill>
                  <w14:solidFill>
                    <w14:schemeClr w14:val="tx1"/>
                  </w14:solidFill>
                </w14:textFill>
              </w:rPr>
              <w:t>包含安装步骤、安装标准、调试内容、调试方法、调试步骤技术资料准备、人员及调试物资准备等</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14:textFill>
                  <w14:solidFill>
                    <w14:schemeClr w14:val="tx1"/>
                  </w14:solidFill>
                </w14:textFill>
              </w:rPr>
              <w:t>。</w:t>
            </w:r>
          </w:p>
          <w:p w14:paraId="0C4D1200">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14:textFill>
                  <w14:solidFill>
                    <w14:schemeClr w14:val="tx1"/>
                  </w14:solidFill>
                </w14:textFill>
              </w:rPr>
              <w:t>③</w:t>
            </w:r>
            <w:r>
              <w:rPr>
                <w:rFonts w:hint="eastAsia" w:ascii="宋体" w:hAnsi="宋体"/>
                <w:b w:val="0"/>
                <w:bCs w:val="0"/>
                <w:color w:val="000000" w:themeColor="text1"/>
                <w:sz w:val="21"/>
                <w:szCs w:val="21"/>
                <w:highlight w:val="none"/>
                <w:lang w:val="en-US" w:eastAsia="zh-CN"/>
                <w14:textFill>
                  <w14:solidFill>
                    <w14:schemeClr w14:val="tx1"/>
                  </w14:solidFill>
                </w14:textFill>
              </w:rPr>
              <w:t>为保障供货进度，要求核心产品</w:t>
            </w:r>
            <w:r>
              <w:rPr>
                <w:rFonts w:hint="eastAsia" w:ascii="宋体" w:hAnsi="宋体"/>
                <w:b w:val="0"/>
                <w:bCs w:val="0"/>
                <w:color w:val="000000" w:themeColor="text1"/>
                <w:sz w:val="21"/>
                <w:szCs w:val="21"/>
                <w:highlight w:val="none"/>
                <w14:textFill>
                  <w14:solidFill>
                    <w14:schemeClr w14:val="tx1"/>
                  </w14:solidFill>
                </w14:textFill>
              </w:rPr>
              <w:t>设备制造商管理规范</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14:textFill>
                  <w14:solidFill>
                    <w14:schemeClr w14:val="tx1"/>
                  </w14:solidFill>
                </w14:textFill>
              </w:rPr>
              <w:t>履约能力强，须通过符合GB/T31863标准的履约能力达标测评认证5A级</w:t>
            </w:r>
            <w:r>
              <w:rPr>
                <w:rFonts w:hint="eastAsia" w:ascii="宋体" w:hAnsi="宋体"/>
                <w:b w:val="0"/>
                <w:bCs w:val="0"/>
                <w:color w:val="000000" w:themeColor="text1"/>
                <w:sz w:val="21"/>
                <w:szCs w:val="21"/>
                <w:highlight w:val="none"/>
                <w:lang w:val="en-US" w:eastAsia="zh-CN"/>
                <w14:textFill>
                  <w14:solidFill>
                    <w14:schemeClr w14:val="tx1"/>
                  </w14:solidFill>
                </w14:textFill>
              </w:rPr>
              <w:t>及以上；</w:t>
            </w:r>
            <w:r>
              <w:rPr>
                <w:rFonts w:hint="eastAsia" w:ascii="宋体" w:hAnsi="宋体"/>
                <w:b w:val="0"/>
                <w:bCs w:val="0"/>
                <w:color w:val="000000" w:themeColor="text1"/>
                <w:sz w:val="21"/>
                <w:szCs w:val="21"/>
                <w:highlight w:val="none"/>
                <w14:textFill>
                  <w14:solidFill>
                    <w14:schemeClr w14:val="tx1"/>
                  </w14:solidFill>
                </w14:textFill>
              </w:rPr>
              <w:t>提供证书复印件、全国认证认可信息公共服务平台查询链接及截图。</w:t>
            </w:r>
          </w:p>
          <w:p w14:paraId="6A0D7403">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14:textFill>
                  <w14:solidFill>
                    <w14:schemeClr w14:val="tx1"/>
                  </w14:solidFill>
                </w14:textFill>
              </w:rPr>
              <w:t>④保障措施</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lang w:val="en-US" w:eastAsia="zh-CN"/>
                <w14:textFill>
                  <w14:solidFill>
                    <w14:schemeClr w14:val="tx1"/>
                  </w14:solidFill>
                </w14:textFill>
              </w:rPr>
              <w:t>包含设备供应保障措施、物流运输保障措施、运输过程中运输风险保障措施等</w:t>
            </w:r>
            <w:r>
              <w:rPr>
                <w:rFonts w:hint="eastAsia" w:ascii="宋体" w:hAnsi="宋体"/>
                <w:b w:val="0"/>
                <w:bCs w:val="0"/>
                <w:color w:val="000000" w:themeColor="text1"/>
                <w:sz w:val="21"/>
                <w:szCs w:val="21"/>
                <w:highlight w:val="none"/>
                <w:lang w:eastAsia="zh-CN"/>
                <w14:textFill>
                  <w14:solidFill>
                    <w14:schemeClr w14:val="tx1"/>
                  </w14:solidFill>
                </w14:textFill>
              </w:rPr>
              <w:t>）</w:t>
            </w:r>
            <w:r>
              <w:rPr>
                <w:rFonts w:hint="eastAsia" w:ascii="宋体" w:hAnsi="宋体"/>
                <w:b w:val="0"/>
                <w:bCs w:val="0"/>
                <w:color w:val="000000" w:themeColor="text1"/>
                <w:sz w:val="21"/>
                <w:szCs w:val="21"/>
                <w:highlight w:val="none"/>
                <w14:textFill>
                  <w14:solidFill>
                    <w14:schemeClr w14:val="tx1"/>
                  </w14:solidFill>
                </w14:textFill>
              </w:rPr>
              <w:t>。</w:t>
            </w:r>
          </w:p>
          <w:p w14:paraId="36071B5A">
            <w:pPr>
              <w:spacing w:line="288" w:lineRule="auto"/>
              <w:rPr>
                <w:rFonts w:hint="eastAsia" w:ascii="宋体" w:hAnsi="宋体"/>
                <w:b/>
                <w:bCs/>
                <w:color w:val="000000" w:themeColor="text1"/>
                <w:sz w:val="21"/>
                <w:szCs w:val="21"/>
                <w:highlight w:val="none"/>
                <w:lang w:val="en-US" w:eastAsia="zh-CN"/>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t>2、评分原则</w:t>
            </w:r>
          </w:p>
          <w:p w14:paraId="6865D774">
            <w:pPr>
              <w:spacing w:line="360" w:lineRule="auto"/>
              <w:contextualSpacing/>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w:t>
            </w:r>
            <w:r>
              <w:rPr>
                <w:rFonts w:hint="eastAsia" w:ascii="宋体" w:hAnsi="宋体"/>
                <w:color w:val="000000" w:themeColor="text1"/>
                <w:sz w:val="21"/>
                <w:szCs w:val="21"/>
                <w:highlight w:val="none"/>
                <w:lang w:val="en-US" w:eastAsia="zh-CN"/>
                <w14:textFill>
                  <w14:solidFill>
                    <w14:schemeClr w14:val="tx1"/>
                  </w14:solidFill>
                </w14:textFill>
              </w:rPr>
              <w:t>以上评审内容均提供且</w:t>
            </w:r>
            <w:r>
              <w:rPr>
                <w:rFonts w:hint="eastAsia" w:ascii="宋体" w:hAnsi="宋体"/>
                <w:color w:val="000000" w:themeColor="text1"/>
                <w:sz w:val="21"/>
                <w:szCs w:val="21"/>
                <w:highlight w:val="none"/>
                <w14:textFill>
                  <w14:solidFill>
                    <w14:schemeClr w14:val="tx1"/>
                  </w14:solidFill>
                </w14:textFill>
              </w:rPr>
              <w:t>提供的内容</w:t>
            </w:r>
            <w:r>
              <w:rPr>
                <w:rFonts w:hint="eastAsia" w:ascii="宋体" w:hAnsi="宋体"/>
                <w:color w:val="000000" w:themeColor="text1"/>
                <w:sz w:val="21"/>
                <w:szCs w:val="21"/>
                <w:highlight w:val="none"/>
                <w:lang w:val="en-US" w:eastAsia="zh-CN"/>
                <w14:textFill>
                  <w14:solidFill>
                    <w14:schemeClr w14:val="tx1"/>
                  </w14:solidFill>
                </w14:textFill>
              </w:rPr>
              <w:t>详细具体切合项目实际有针对性</w:t>
            </w:r>
            <w:r>
              <w:rPr>
                <w:rFonts w:hint="eastAsia" w:ascii="宋体" w:hAnsi="宋体"/>
                <w:color w:val="000000" w:themeColor="text1"/>
                <w:sz w:val="21"/>
                <w:szCs w:val="21"/>
                <w:highlight w:val="none"/>
                <w14:textFill>
                  <w14:solidFill>
                    <w14:schemeClr w14:val="tx1"/>
                  </w14:solidFill>
                </w14:textFill>
              </w:rPr>
              <w:t>的得满分</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olor w:val="000000" w:themeColor="text1"/>
                <w:sz w:val="21"/>
                <w:szCs w:val="21"/>
                <w:highlight w:val="none"/>
                <w14:textFill>
                  <w14:solidFill>
                    <w14:schemeClr w14:val="tx1"/>
                  </w14:solidFill>
                </w14:textFill>
              </w:rPr>
              <w:t>分；</w:t>
            </w:r>
          </w:p>
          <w:p w14:paraId="51ACCB19">
            <w:pPr>
              <w:spacing w:line="360" w:lineRule="auto"/>
              <w:contextualSpacing/>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（2）每缺一项内容扣</w:t>
            </w:r>
            <w:r>
              <w:rPr>
                <w:rFonts w:hint="eastAsia" w:ascii="宋体" w:hAnsi="宋体"/>
                <w:color w:val="000000" w:themeColor="text1"/>
                <w:sz w:val="21"/>
                <w:szCs w:val="21"/>
                <w:highlight w:val="none"/>
                <w:lang w:val="en-US" w:eastAsia="zh-CN"/>
                <w14:textFill>
                  <w14:solidFill>
                    <w14:schemeClr w14:val="tx1"/>
                  </w14:solidFill>
                </w14:textFill>
              </w:rPr>
              <w:t>1.5</w:t>
            </w:r>
            <w:r>
              <w:rPr>
                <w:rFonts w:ascii="宋体" w:hAnsi="宋体" w:cs="宋体"/>
                <w:color w:val="000000" w:themeColor="text1"/>
                <w:sz w:val="21"/>
                <w:szCs w:val="21"/>
                <w:highlight w:val="none"/>
                <w14:textFill>
                  <w14:solidFill>
                    <w14:schemeClr w14:val="tx1"/>
                  </w14:solidFill>
                </w14:textFill>
              </w:rPr>
              <w:t>分</w:t>
            </w:r>
            <w:r>
              <w:rPr>
                <w:rFonts w:hint="eastAsia" w:ascii="宋体" w:hAnsi="宋体"/>
                <w:color w:val="000000" w:themeColor="text1"/>
                <w:sz w:val="21"/>
                <w:szCs w:val="21"/>
                <w:highlight w:val="none"/>
                <w14:textFill>
                  <w14:solidFill>
                    <w14:schemeClr w14:val="tx1"/>
                  </w14:solidFill>
                </w14:textFill>
              </w:rPr>
              <w:t>；</w:t>
            </w:r>
          </w:p>
          <w:p w14:paraId="7D013D73">
            <w:pPr>
              <w:spacing w:line="360" w:lineRule="auto"/>
              <w:contextualSpacing/>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w:t>
            </w:r>
            <w:r>
              <w:rPr>
                <w:rFonts w:hint="eastAsia" w:ascii="宋体" w:hAnsi="宋体" w:cs="宋体"/>
                <w:color w:val="000000" w:themeColor="text1"/>
                <w:sz w:val="21"/>
                <w:szCs w:val="21"/>
                <w:highlight w:val="none"/>
                <w:lang w:val="en-US" w:eastAsia="zh-CN"/>
                <w14:textFill>
                  <w14:solidFill>
                    <w14:schemeClr w14:val="tx1"/>
                  </w14:solidFill>
                </w14:textFill>
              </w:rPr>
              <w:t>以上每项内容</w:t>
            </w:r>
            <w:r>
              <w:rPr>
                <w:rFonts w:hint="eastAsia" w:ascii="宋体" w:hAnsi="宋体" w:cs="宋体"/>
                <w:color w:val="000000" w:themeColor="text1"/>
                <w:sz w:val="21"/>
                <w:szCs w:val="21"/>
                <w:highlight w:val="none"/>
                <w14:textFill>
                  <w14:solidFill>
                    <w14:schemeClr w14:val="tx1"/>
                  </w14:solidFill>
                </w14:textFill>
              </w:rPr>
              <w:t>存在下列情形之一的，每有一项扣</w:t>
            </w:r>
            <w:r>
              <w:rPr>
                <w:rFonts w:hint="eastAsia" w:ascii="宋体" w:hAnsi="宋体" w:cs="宋体"/>
                <w:color w:val="000000" w:themeColor="text1"/>
                <w:sz w:val="21"/>
                <w:szCs w:val="21"/>
                <w:highlight w:val="none"/>
                <w:lang w:val="en-US" w:eastAsia="zh-CN"/>
                <w14:textFill>
                  <w14:solidFill>
                    <w14:schemeClr w14:val="tx1"/>
                  </w14:solidFill>
                </w14:textFill>
              </w:rPr>
              <w:t>0.5</w:t>
            </w:r>
            <w:r>
              <w:rPr>
                <w:rFonts w:hint="eastAsia" w:ascii="宋体" w:hAnsi="宋体" w:cs="宋体"/>
                <w:color w:val="000000" w:themeColor="text1"/>
                <w:sz w:val="21"/>
                <w:szCs w:val="21"/>
                <w:highlight w:val="none"/>
                <w14:textFill>
                  <w14:solidFill>
                    <w14:schemeClr w14:val="tx1"/>
                  </w14:solidFill>
                </w14:textFill>
              </w:rPr>
              <w:t>分：</w:t>
            </w:r>
          </w:p>
          <w:p w14:paraId="31927FA9">
            <w:pPr>
              <w:spacing w:line="360" w:lineRule="auto"/>
              <w:contextualSpacing/>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①</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内容有缺陷：</w:t>
            </w:r>
            <w:r>
              <w:rPr>
                <w:rFonts w:hint="eastAsia" w:ascii="宋体" w:hAnsi="宋体" w:cs="宋体"/>
                <w:color w:val="000000" w:themeColor="text1"/>
                <w:sz w:val="21"/>
                <w:szCs w:val="21"/>
                <w:highlight w:val="none"/>
                <w:lang w:val="en-US" w:eastAsia="zh-CN"/>
                <w14:textFill>
                  <w14:solidFill>
                    <w14:schemeClr w14:val="tx1"/>
                  </w14:solidFill>
                </w14:textFill>
              </w:rPr>
              <w:t xml:space="preserve">非专门针对本项目或不适用项目特性，例如采用通用化描述，未结合本项目的特定需求、环境、技术要求等进行阐述 </w:t>
            </w:r>
            <w:r>
              <w:rPr>
                <w:rFonts w:hint="eastAsia" w:ascii="宋体" w:hAnsi="宋体" w:cs="宋体"/>
                <w:color w:val="000000" w:themeColor="text1"/>
                <w:sz w:val="21"/>
                <w:szCs w:val="21"/>
                <w:highlight w:val="none"/>
                <w14:textFill>
                  <w14:solidFill>
                    <w14:schemeClr w14:val="tx1"/>
                  </w14:solidFill>
                </w14:textFill>
              </w:rPr>
              <w:t>；</w:t>
            </w:r>
          </w:p>
          <w:p w14:paraId="247ECE2F">
            <w:pPr>
              <w:spacing w:line="360" w:lineRule="auto"/>
              <w:contextualSpacing/>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②</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内容前后矛盾或存在逻辑错误</w:t>
            </w:r>
            <w:r>
              <w:rPr>
                <w:rFonts w:hint="eastAsia" w:ascii="宋体" w:hAnsi="宋体" w:cs="宋体"/>
                <w:color w:val="000000" w:themeColor="text1"/>
                <w:sz w:val="21"/>
                <w:szCs w:val="21"/>
                <w:highlight w:val="none"/>
                <w:lang w:val="en-US" w:eastAsia="zh-CN"/>
                <w14:textFill>
                  <w14:solidFill>
                    <w14:schemeClr w14:val="tx1"/>
                  </w14:solidFill>
                </w14:textFill>
              </w:rPr>
              <w:t>：如在不同部分对同一事项的描述存在逻辑错误或前后矛盾或与本项目不相关的错误规范</w:t>
            </w:r>
            <w:r>
              <w:rPr>
                <w:rFonts w:hint="eastAsia" w:ascii="宋体" w:hAnsi="宋体" w:cs="宋体"/>
                <w:color w:val="000000" w:themeColor="text1"/>
                <w:sz w:val="21"/>
                <w:szCs w:val="21"/>
                <w:highlight w:val="none"/>
                <w14:textFill>
                  <w14:solidFill>
                    <w14:schemeClr w14:val="tx1"/>
                  </w14:solidFill>
                </w14:textFill>
              </w:rPr>
              <w:t>；</w:t>
            </w:r>
          </w:p>
          <w:p w14:paraId="26AEB483">
            <w:pPr>
              <w:spacing w:line="360" w:lineRule="auto"/>
              <w:contextualSpacing/>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③</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b/>
                <w:bCs/>
                <w:color w:val="000000" w:themeColor="text1"/>
                <w:sz w:val="21"/>
                <w:szCs w:val="21"/>
                <w:highlight w:val="none"/>
                <w14:textFill>
                  <w14:solidFill>
                    <w14:schemeClr w14:val="tx1"/>
                  </w14:solidFill>
                </w14:textFill>
              </w:rPr>
              <w:t>不利于项目实施</w:t>
            </w:r>
            <w:r>
              <w:rPr>
                <w:rFonts w:hint="eastAsia"/>
                <w:b/>
                <w:bCs/>
                <w:color w:val="000000" w:themeColor="text1"/>
                <w:sz w:val="21"/>
                <w:szCs w:val="21"/>
                <w:highlight w:val="none"/>
                <w:lang w:eastAsia="zh-CN"/>
                <w14:textFill>
                  <w14:solidFill>
                    <w14:schemeClr w14:val="tx1"/>
                  </w14:solidFill>
                </w14:textFill>
              </w:rPr>
              <w:t>：</w:t>
            </w:r>
            <w:r>
              <w:rPr>
                <w:rFonts w:hint="eastAsia"/>
                <w:b w:val="0"/>
                <w:bCs w:val="0"/>
                <w:color w:val="000000" w:themeColor="text1"/>
                <w:sz w:val="21"/>
                <w:szCs w:val="21"/>
                <w:highlight w:val="none"/>
                <w:lang w:val="en-US" w:eastAsia="zh-CN"/>
                <w14:textFill>
                  <w14:solidFill>
                    <w14:schemeClr w14:val="tx1"/>
                  </w14:solidFill>
                </w14:textFill>
              </w:rPr>
              <w:t>未结合项目实际，</w:t>
            </w:r>
            <w:r>
              <w:rPr>
                <w:rFonts w:hint="eastAsia"/>
                <w:b w:val="0"/>
                <w:bCs w:val="0"/>
                <w:color w:val="000000" w:themeColor="text1"/>
                <w:sz w:val="21"/>
                <w:szCs w:val="21"/>
                <w:highlight w:val="none"/>
                <w:lang w:eastAsia="zh-CN"/>
                <w14:textFill>
                  <w14:solidFill>
                    <w14:schemeClr w14:val="tx1"/>
                  </w14:solidFill>
                </w14:textFill>
              </w:rPr>
              <w:t>如所制定的计划或措施在实际操作中难以执行</w:t>
            </w:r>
            <w:r>
              <w:rPr>
                <w:rFonts w:hint="eastAsia"/>
                <w:b w:val="0"/>
                <w:bCs w:val="0"/>
                <w:color w:val="000000" w:themeColor="text1"/>
                <w:sz w:val="21"/>
                <w:szCs w:val="21"/>
                <w:highlight w:val="none"/>
                <w:lang w:val="en-US" w:eastAsia="zh-CN"/>
                <w14:textFill>
                  <w14:solidFill>
                    <w14:schemeClr w14:val="tx1"/>
                  </w14:solidFill>
                </w14:textFill>
              </w:rPr>
              <w:t>或</w:t>
            </w:r>
            <w:r>
              <w:rPr>
                <w:rFonts w:hint="eastAsia"/>
                <w:b w:val="0"/>
                <w:bCs w:val="0"/>
                <w:color w:val="000000" w:themeColor="text1"/>
                <w:sz w:val="21"/>
                <w:szCs w:val="21"/>
                <w:highlight w:val="none"/>
                <w:lang w:eastAsia="zh-CN"/>
                <w14:textFill>
                  <w14:solidFill>
                    <w14:schemeClr w14:val="tx1"/>
                  </w14:solidFill>
                </w14:textFill>
              </w:rPr>
              <w:t>不可能实现的情形，即所提出的承诺或措施在现有技术、资源、时间等条件下无法达成等任意一种情形</w:t>
            </w:r>
            <w:r>
              <w:rPr>
                <w:rFonts w:hint="eastAsia" w:ascii="宋体" w:hAnsi="宋体" w:cs="宋体"/>
                <w:b w:val="0"/>
                <w:bCs w:val="0"/>
                <w:color w:val="000000" w:themeColor="text1"/>
                <w:sz w:val="21"/>
                <w:szCs w:val="21"/>
                <w:highlight w:val="none"/>
                <w14:textFill>
                  <w14:solidFill>
                    <w14:schemeClr w14:val="tx1"/>
                  </w14:solidFill>
                </w14:textFill>
              </w:rPr>
              <w:t>；</w:t>
            </w:r>
          </w:p>
          <w:p w14:paraId="0317F2CF">
            <w:pPr>
              <w:keepNext w:val="0"/>
              <w:keepLines w:val="0"/>
              <w:pageBreakBefore w:val="0"/>
              <w:widowControl/>
              <w:kinsoku/>
              <w:wordWrap/>
              <w:overflowPunct/>
              <w:topLinePunct w:val="0"/>
              <w:autoSpaceDE/>
              <w:autoSpaceDN/>
              <w:bidi w:val="0"/>
              <w:adjustRightInd/>
              <w:snapToGrid/>
              <w:spacing w:line="330" w:lineRule="exact"/>
              <w:jc w:val="left"/>
              <w:textAlignment w:val="top"/>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④</w:t>
            </w:r>
            <w:r>
              <w:rPr>
                <w:rFonts w:hint="eastAsia" w:ascii="宋体" w:hAnsi="宋体" w:cs="宋体"/>
                <w:b/>
                <w:bCs/>
                <w:color w:val="000000" w:themeColor="text1"/>
                <w:sz w:val="21"/>
                <w:szCs w:val="21"/>
                <w:highlight w:val="none"/>
                <w:lang w:val="en-US" w:eastAsia="zh-CN"/>
                <w14:textFill>
                  <w14:solidFill>
                    <w14:schemeClr w14:val="tx1"/>
                  </w14:solidFill>
                </w14:textFill>
              </w:rPr>
              <w:t>内容缺漏</w:t>
            </w:r>
            <w:r>
              <w:rPr>
                <w:rFonts w:hint="eastAsia" w:ascii="宋体" w:hAnsi="宋体" w:cs="宋体"/>
                <w:color w:val="000000" w:themeColor="text1"/>
                <w:sz w:val="21"/>
                <w:szCs w:val="21"/>
                <w:highlight w:val="none"/>
                <w:lang w:val="en-US" w:eastAsia="zh-CN"/>
                <w14:textFill>
                  <w14:solidFill>
                    <w14:schemeClr w14:val="tx1"/>
                  </w14:solidFill>
                </w14:textFill>
              </w:rPr>
              <w:t>：未对要求的内容进行描述</w:t>
            </w:r>
            <w:r>
              <w:rPr>
                <w:rFonts w:hint="eastAsia" w:ascii="宋体" w:hAnsi="宋体" w:cs="宋体"/>
                <w:color w:val="000000" w:themeColor="text1"/>
                <w:sz w:val="21"/>
                <w:szCs w:val="21"/>
                <w:highlight w:val="none"/>
                <w14:textFill>
                  <w14:solidFill>
                    <w14:schemeClr w14:val="tx1"/>
                  </w14:solidFill>
                </w14:textFill>
              </w:rPr>
              <w:t>。</w:t>
            </w:r>
          </w:p>
        </w:tc>
      </w:tr>
      <w:tr w14:paraId="34DCC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4" w:type="dxa"/>
            <w:vMerge w:val="continue"/>
            <w:vAlign w:val="center"/>
          </w:tcPr>
          <w:p w14:paraId="158656BF">
            <w:pPr>
              <w:keepNext w:val="0"/>
              <w:keepLines w:val="0"/>
              <w:pageBreakBefore w:val="0"/>
              <w:widowControl/>
              <w:kinsoku/>
              <w:wordWrap/>
              <w:overflowPunct/>
              <w:topLinePunct w:val="0"/>
              <w:autoSpaceDE/>
              <w:autoSpaceDN/>
              <w:bidi w:val="0"/>
              <w:adjustRightInd/>
              <w:snapToGrid/>
              <w:spacing w:line="330" w:lineRule="exact"/>
              <w:rPr>
                <w:rFonts w:hint="eastAsia" w:ascii="宋体" w:hAnsi="宋体"/>
                <w:b w:val="0"/>
                <w:bCs/>
                <w:color w:val="000000" w:themeColor="text1"/>
                <w:sz w:val="21"/>
                <w:szCs w:val="21"/>
                <w:highlight w:val="none"/>
                <w14:textFill>
                  <w14:solidFill>
                    <w14:schemeClr w14:val="tx1"/>
                  </w14:solidFill>
                </w14:textFill>
              </w:rPr>
            </w:pPr>
          </w:p>
        </w:tc>
        <w:tc>
          <w:tcPr>
            <w:tcW w:w="1465" w:type="dxa"/>
            <w:vAlign w:val="center"/>
          </w:tcPr>
          <w:p w14:paraId="3F33E968">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default"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对项目的理解</w:t>
            </w: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br w:type="textWrapping"/>
            </w: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（满分20分）</w:t>
            </w:r>
          </w:p>
        </w:tc>
        <w:tc>
          <w:tcPr>
            <w:tcW w:w="6703" w:type="dxa"/>
            <w:vAlign w:val="center"/>
          </w:tcPr>
          <w:p w14:paraId="4E538F4F">
            <w:pPr>
              <w:spacing w:line="360" w:lineRule="auto"/>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1</w:t>
            </w:r>
            <w:r>
              <w:rPr>
                <w:b/>
                <w:bCs/>
                <w:color w:val="000000" w:themeColor="text1"/>
                <w:sz w:val="21"/>
                <w:szCs w:val="21"/>
                <w:highlight w:val="none"/>
                <w14:textFill>
                  <w14:solidFill>
                    <w14:schemeClr w14:val="tx1"/>
                  </w14:solidFill>
                </w14:textFill>
              </w:rPr>
              <w:t>、</w:t>
            </w: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对项目的理解进行</w:t>
            </w:r>
            <w:r>
              <w:rPr>
                <w:rFonts w:hint="eastAsia"/>
                <w:b/>
                <w:bCs/>
                <w:color w:val="000000" w:themeColor="text1"/>
                <w:sz w:val="21"/>
                <w:szCs w:val="21"/>
                <w:highlight w:val="none"/>
                <w14:textFill>
                  <w14:solidFill>
                    <w14:schemeClr w14:val="tx1"/>
                  </w14:solidFill>
                </w14:textFill>
              </w:rPr>
              <w:t>全面性评审（</w:t>
            </w:r>
            <w:r>
              <w:rPr>
                <w:rFonts w:hint="eastAsia"/>
                <w:b/>
                <w:bCs/>
                <w:color w:val="000000" w:themeColor="text1"/>
                <w:sz w:val="21"/>
                <w:szCs w:val="21"/>
                <w:highlight w:val="none"/>
                <w:lang w:val="en-US" w:eastAsia="zh-CN"/>
                <w14:textFill>
                  <w14:solidFill>
                    <w14:schemeClr w14:val="tx1"/>
                  </w14:solidFill>
                </w14:textFill>
              </w:rPr>
              <w:t>20</w:t>
            </w:r>
            <w:r>
              <w:rPr>
                <w:rFonts w:hint="eastAsia"/>
                <w:b/>
                <w:bCs/>
                <w:color w:val="000000" w:themeColor="text1"/>
                <w:sz w:val="21"/>
                <w:szCs w:val="21"/>
                <w:highlight w:val="none"/>
                <w14:textFill>
                  <w14:solidFill>
                    <w14:schemeClr w14:val="tx1"/>
                  </w14:solidFill>
                </w14:textFill>
              </w:rPr>
              <w:t>分）</w:t>
            </w:r>
          </w:p>
          <w:p w14:paraId="619748EC">
            <w:pPr>
              <w:spacing w:line="360" w:lineRule="auto"/>
              <w:rPr>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根据项目需求以及自身对项目的理解，</w:t>
            </w:r>
            <w:r>
              <w:rPr>
                <w:rFonts w:hint="eastAsia" w:cs="宋体"/>
                <w:b/>
                <w:bCs/>
                <w:color w:val="000000" w:themeColor="text1"/>
                <w:sz w:val="21"/>
                <w:szCs w:val="21"/>
                <w:highlight w:val="none"/>
                <w14:textFill>
                  <w14:solidFill>
                    <w14:schemeClr w14:val="tx1"/>
                  </w14:solidFill>
                </w14:textFill>
              </w:rPr>
              <w:t>①</w:t>
            </w:r>
            <w:r>
              <w:rPr>
                <w:rFonts w:hint="eastAsia" w:cs="宋体"/>
                <w:color w:val="000000" w:themeColor="text1"/>
                <w:sz w:val="21"/>
                <w:szCs w:val="21"/>
                <w:highlight w:val="none"/>
                <w14:textFill>
                  <w14:solidFill>
                    <w14:schemeClr w14:val="tx1"/>
                  </w14:solidFill>
                </w14:textFill>
              </w:rPr>
              <w:t>从</w:t>
            </w:r>
            <w:r>
              <w:rPr>
                <w:rFonts w:hint="eastAsia"/>
                <w:color w:val="000000" w:themeColor="text1"/>
                <w:sz w:val="21"/>
                <w:szCs w:val="21"/>
                <w:highlight w:val="none"/>
                <w14:textFill>
                  <w14:solidFill>
                    <w14:schemeClr w14:val="tx1"/>
                  </w14:solidFill>
                </w14:textFill>
              </w:rPr>
              <w:t>项目建设的背景和必要性、</w:t>
            </w:r>
            <w:r>
              <w:rPr>
                <w:rFonts w:hint="eastAsia"/>
                <w:b/>
                <w:bCs/>
                <w:color w:val="000000" w:themeColor="text1"/>
                <w:sz w:val="21"/>
                <w:szCs w:val="21"/>
                <w:highlight w:val="none"/>
                <w14:textFill>
                  <w14:solidFill>
                    <w14:schemeClr w14:val="tx1"/>
                  </w14:solidFill>
                </w14:textFill>
              </w:rPr>
              <w:t>②</w:t>
            </w:r>
            <w:r>
              <w:rPr>
                <w:rFonts w:hint="eastAsia"/>
                <w:color w:val="000000" w:themeColor="text1"/>
                <w:sz w:val="21"/>
                <w:szCs w:val="21"/>
                <w:highlight w:val="none"/>
                <w14:textFill>
                  <w14:solidFill>
                    <w14:schemeClr w14:val="tx1"/>
                  </w14:solidFill>
                </w14:textFill>
              </w:rPr>
              <w:t>业务需求分析、</w:t>
            </w:r>
            <w:r>
              <w:rPr>
                <w:rFonts w:hint="eastAsia" w:cs="宋体"/>
                <w:b/>
                <w:bCs/>
                <w:color w:val="000000" w:themeColor="text1"/>
                <w:sz w:val="21"/>
                <w:szCs w:val="21"/>
                <w:highlight w:val="none"/>
                <w14:textFill>
                  <w14:solidFill>
                    <w14:schemeClr w14:val="tx1"/>
                  </w14:solidFill>
                </w14:textFill>
              </w:rPr>
              <w:t>③</w:t>
            </w:r>
            <w:r>
              <w:rPr>
                <w:rFonts w:hint="eastAsia"/>
                <w:color w:val="000000" w:themeColor="text1"/>
                <w:sz w:val="21"/>
                <w:szCs w:val="21"/>
                <w:highlight w:val="none"/>
                <w14:textFill>
                  <w14:solidFill>
                    <w14:schemeClr w14:val="tx1"/>
                  </w14:solidFill>
                </w14:textFill>
              </w:rPr>
              <w:t>实施内容分析等方面进行了针对性的介绍及说明</w:t>
            </w:r>
            <w:r>
              <w:rPr>
                <w:rFonts w:hint="eastAsia" w:cs="宋体"/>
                <w:color w:val="000000" w:themeColor="text1"/>
                <w:sz w:val="21"/>
                <w:szCs w:val="21"/>
                <w:highlight w:val="none"/>
                <w14:textFill>
                  <w14:solidFill>
                    <w14:schemeClr w14:val="tx1"/>
                  </w14:solidFill>
                </w14:textFill>
              </w:rPr>
              <w:t>；对</w:t>
            </w:r>
            <w:r>
              <w:rPr>
                <w:rFonts w:hint="eastAsia" w:cs="宋体"/>
                <w:color w:val="000000" w:themeColor="text1"/>
                <w:sz w:val="21"/>
                <w:szCs w:val="21"/>
                <w:highlight w:val="none"/>
                <w:lang w:val="en-US" w:eastAsia="zh-CN"/>
                <w14:textFill>
                  <w14:solidFill>
                    <w14:schemeClr w14:val="tx1"/>
                  </w14:solidFill>
                </w14:textFill>
              </w:rPr>
              <w:t>④</w:t>
            </w:r>
            <w:r>
              <w:rPr>
                <w:rFonts w:hint="eastAsia"/>
                <w:color w:val="000000" w:themeColor="text1"/>
                <w:sz w:val="21"/>
                <w:szCs w:val="21"/>
                <w:highlight w:val="none"/>
                <w14:textFill>
                  <w14:solidFill>
                    <w14:schemeClr w14:val="tx1"/>
                  </w14:solidFill>
                </w14:textFill>
              </w:rPr>
              <w:t>项目实施过程中的重点、难点进行了详细的分析及说明；对</w:t>
            </w:r>
            <w:r>
              <w:rPr>
                <w:rFonts w:hint="eastAsia"/>
                <w:color w:val="000000" w:themeColor="text1"/>
                <w:sz w:val="21"/>
                <w:szCs w:val="21"/>
                <w:highlight w:val="none"/>
                <w:lang w:val="en-US" w:eastAsia="zh-CN"/>
                <w14:textFill>
                  <w14:solidFill>
                    <w14:schemeClr w14:val="tx1"/>
                  </w14:solidFill>
                </w14:textFill>
              </w:rPr>
              <w:t>⑤</w:t>
            </w:r>
            <w:r>
              <w:rPr>
                <w:rFonts w:hint="eastAsia"/>
                <w:color w:val="000000" w:themeColor="text1"/>
                <w:sz w:val="21"/>
                <w:szCs w:val="21"/>
                <w:highlight w:val="none"/>
                <w14:textFill>
                  <w14:solidFill>
                    <w14:schemeClr w14:val="tx1"/>
                  </w14:solidFill>
                </w14:textFill>
              </w:rPr>
              <w:t>项目实施进度和计划进度节点编制详细明确，保障措施能够确保项目顺利实施。</w:t>
            </w:r>
          </w:p>
          <w:p w14:paraId="0A069610">
            <w:pPr>
              <w:spacing w:line="288" w:lineRule="auto"/>
              <w:rPr>
                <w:rFonts w:hint="eastAsia" w:ascii="宋体" w:hAnsi="宋体"/>
                <w:b/>
                <w:bCs/>
                <w:color w:val="000000" w:themeColor="text1"/>
                <w:sz w:val="21"/>
                <w:szCs w:val="21"/>
                <w:highlight w:val="none"/>
                <w:lang w:val="en-US" w:eastAsia="zh-CN"/>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t>2、评分原则</w:t>
            </w:r>
          </w:p>
          <w:p w14:paraId="764F2933">
            <w:pPr>
              <w:spacing w:line="360" w:lineRule="auto"/>
              <w:contextualSpacing/>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w:t>
            </w:r>
            <w:r>
              <w:rPr>
                <w:rFonts w:hint="eastAsia" w:ascii="宋体" w:hAnsi="宋体"/>
                <w:color w:val="000000" w:themeColor="text1"/>
                <w:sz w:val="21"/>
                <w:szCs w:val="21"/>
                <w:highlight w:val="none"/>
                <w:lang w:val="en-US" w:eastAsia="zh-CN"/>
                <w14:textFill>
                  <w14:solidFill>
                    <w14:schemeClr w14:val="tx1"/>
                  </w14:solidFill>
                </w14:textFill>
              </w:rPr>
              <w:t>以上评审内容均提供且</w:t>
            </w:r>
            <w:r>
              <w:rPr>
                <w:rFonts w:hint="eastAsia" w:ascii="宋体" w:hAnsi="宋体"/>
                <w:color w:val="000000" w:themeColor="text1"/>
                <w:sz w:val="21"/>
                <w:szCs w:val="21"/>
                <w:highlight w:val="none"/>
                <w14:textFill>
                  <w14:solidFill>
                    <w14:schemeClr w14:val="tx1"/>
                  </w14:solidFill>
                </w14:textFill>
              </w:rPr>
              <w:t>提供的内容</w:t>
            </w:r>
            <w:r>
              <w:rPr>
                <w:rFonts w:hint="eastAsia" w:ascii="宋体" w:hAnsi="宋体"/>
                <w:color w:val="000000" w:themeColor="text1"/>
                <w:sz w:val="21"/>
                <w:szCs w:val="21"/>
                <w:highlight w:val="none"/>
                <w:lang w:val="en-US" w:eastAsia="zh-CN"/>
                <w14:textFill>
                  <w14:solidFill>
                    <w14:schemeClr w14:val="tx1"/>
                  </w14:solidFill>
                </w14:textFill>
              </w:rPr>
              <w:t>详细具体切合项目实际有针对性</w:t>
            </w:r>
            <w:r>
              <w:rPr>
                <w:rFonts w:hint="eastAsia" w:ascii="宋体" w:hAnsi="宋体"/>
                <w:color w:val="000000" w:themeColor="text1"/>
                <w:sz w:val="21"/>
                <w:szCs w:val="21"/>
                <w:highlight w:val="none"/>
                <w14:textFill>
                  <w14:solidFill>
                    <w14:schemeClr w14:val="tx1"/>
                  </w14:solidFill>
                </w14:textFill>
              </w:rPr>
              <w:t>的得满分</w:t>
            </w:r>
            <w:r>
              <w:rPr>
                <w:rFonts w:hint="eastAsia" w:ascii="宋体" w:hAnsi="宋体" w:cs="宋体"/>
                <w:color w:val="000000" w:themeColor="text1"/>
                <w:sz w:val="21"/>
                <w:szCs w:val="21"/>
                <w:highlight w:val="none"/>
                <w:lang w:val="en-US" w:eastAsia="zh-CN"/>
                <w14:textFill>
                  <w14:solidFill>
                    <w14:schemeClr w14:val="tx1"/>
                  </w14:solidFill>
                </w14:textFill>
              </w:rPr>
              <w:t>20</w:t>
            </w:r>
            <w:r>
              <w:rPr>
                <w:rFonts w:hint="eastAsia" w:ascii="宋体" w:hAnsi="宋体"/>
                <w:color w:val="000000" w:themeColor="text1"/>
                <w:sz w:val="21"/>
                <w:szCs w:val="21"/>
                <w:highlight w:val="none"/>
                <w14:textFill>
                  <w14:solidFill>
                    <w14:schemeClr w14:val="tx1"/>
                  </w14:solidFill>
                </w14:textFill>
              </w:rPr>
              <w:t>分；</w:t>
            </w:r>
          </w:p>
          <w:p w14:paraId="79D3C57F">
            <w:pPr>
              <w:spacing w:line="360" w:lineRule="auto"/>
              <w:contextualSpacing/>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（2）每缺一项内容扣</w:t>
            </w:r>
            <w:r>
              <w:rPr>
                <w:rFonts w:hint="eastAsia" w:ascii="宋体" w:hAnsi="宋体"/>
                <w:color w:val="000000" w:themeColor="text1"/>
                <w:sz w:val="21"/>
                <w:szCs w:val="21"/>
                <w:highlight w:val="none"/>
                <w:lang w:val="en-US" w:eastAsia="zh-CN"/>
                <w14:textFill>
                  <w14:solidFill>
                    <w14:schemeClr w14:val="tx1"/>
                  </w14:solidFill>
                </w14:textFill>
              </w:rPr>
              <w:t>4</w:t>
            </w:r>
            <w:r>
              <w:rPr>
                <w:rFonts w:ascii="宋体" w:hAnsi="宋体" w:cs="宋体"/>
                <w:color w:val="000000" w:themeColor="text1"/>
                <w:sz w:val="21"/>
                <w:szCs w:val="21"/>
                <w:highlight w:val="none"/>
                <w14:textFill>
                  <w14:solidFill>
                    <w14:schemeClr w14:val="tx1"/>
                  </w14:solidFill>
                </w14:textFill>
              </w:rPr>
              <w:t>分</w:t>
            </w:r>
            <w:r>
              <w:rPr>
                <w:rFonts w:hint="eastAsia" w:ascii="宋体" w:hAnsi="宋体"/>
                <w:color w:val="000000" w:themeColor="text1"/>
                <w:sz w:val="21"/>
                <w:szCs w:val="21"/>
                <w:highlight w:val="none"/>
                <w14:textFill>
                  <w14:solidFill>
                    <w14:schemeClr w14:val="tx1"/>
                  </w14:solidFill>
                </w14:textFill>
              </w:rPr>
              <w:t>；</w:t>
            </w:r>
          </w:p>
          <w:p w14:paraId="1474297B">
            <w:pPr>
              <w:spacing w:line="360" w:lineRule="auto"/>
              <w:contextualSpacing/>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w:t>
            </w:r>
            <w:r>
              <w:rPr>
                <w:rFonts w:hint="eastAsia" w:ascii="宋体" w:hAnsi="宋体" w:cs="宋体"/>
                <w:color w:val="000000" w:themeColor="text1"/>
                <w:sz w:val="21"/>
                <w:szCs w:val="21"/>
                <w:highlight w:val="none"/>
                <w:lang w:val="en-US" w:eastAsia="zh-CN"/>
                <w14:textFill>
                  <w14:solidFill>
                    <w14:schemeClr w14:val="tx1"/>
                  </w14:solidFill>
                </w14:textFill>
              </w:rPr>
              <w:t>以上每项内容</w:t>
            </w:r>
            <w:r>
              <w:rPr>
                <w:rFonts w:hint="eastAsia" w:ascii="宋体" w:hAnsi="宋体" w:cs="宋体"/>
                <w:color w:val="000000" w:themeColor="text1"/>
                <w:sz w:val="21"/>
                <w:szCs w:val="21"/>
                <w:highlight w:val="none"/>
                <w14:textFill>
                  <w14:solidFill>
                    <w14:schemeClr w14:val="tx1"/>
                  </w14:solidFill>
                </w14:textFill>
              </w:rPr>
              <w:t>存在下列情形之一的，每有一项扣</w:t>
            </w:r>
            <w:r>
              <w:rPr>
                <w:rFonts w:hint="eastAsia" w:ascii="宋体" w:hAnsi="宋体" w:cs="宋体"/>
                <w:color w:val="000000" w:themeColor="text1"/>
                <w:sz w:val="21"/>
                <w:szCs w:val="21"/>
                <w:highlight w:val="none"/>
                <w:lang w:val="en-US" w:eastAsia="zh-CN"/>
                <w14:textFill>
                  <w14:solidFill>
                    <w14:schemeClr w14:val="tx1"/>
                  </w14:solidFill>
                </w14:textFill>
              </w:rPr>
              <w:t>2.5</w:t>
            </w:r>
            <w:r>
              <w:rPr>
                <w:rFonts w:hint="eastAsia" w:ascii="宋体" w:hAnsi="宋体" w:cs="宋体"/>
                <w:color w:val="000000" w:themeColor="text1"/>
                <w:sz w:val="21"/>
                <w:szCs w:val="21"/>
                <w:highlight w:val="none"/>
                <w14:textFill>
                  <w14:solidFill>
                    <w14:schemeClr w14:val="tx1"/>
                  </w14:solidFill>
                </w14:textFill>
              </w:rPr>
              <w:t>分：</w:t>
            </w:r>
          </w:p>
          <w:p w14:paraId="0EDAFD1D">
            <w:pPr>
              <w:spacing w:line="360" w:lineRule="auto"/>
              <w:contextualSpacing/>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①</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内容有缺陷：</w:t>
            </w:r>
            <w:r>
              <w:rPr>
                <w:rFonts w:hint="eastAsia" w:ascii="宋体" w:hAnsi="宋体" w:cs="宋体"/>
                <w:color w:val="000000" w:themeColor="text1"/>
                <w:sz w:val="21"/>
                <w:szCs w:val="21"/>
                <w:highlight w:val="none"/>
                <w:lang w:val="en-US" w:eastAsia="zh-CN"/>
                <w14:textFill>
                  <w14:solidFill>
                    <w14:schemeClr w14:val="tx1"/>
                  </w14:solidFill>
                </w14:textFill>
              </w:rPr>
              <w:t xml:space="preserve">非专门针对本项目或不适用项目特性，例如采用通用化描述，未结合本项目的特定需求、环境、技术要求等进行阐述 </w:t>
            </w:r>
            <w:r>
              <w:rPr>
                <w:rFonts w:hint="eastAsia" w:ascii="宋体" w:hAnsi="宋体" w:cs="宋体"/>
                <w:color w:val="000000" w:themeColor="text1"/>
                <w:sz w:val="21"/>
                <w:szCs w:val="21"/>
                <w:highlight w:val="none"/>
                <w14:textFill>
                  <w14:solidFill>
                    <w14:schemeClr w14:val="tx1"/>
                  </w14:solidFill>
                </w14:textFill>
              </w:rPr>
              <w:t>；</w:t>
            </w:r>
          </w:p>
          <w:p w14:paraId="09AE8035">
            <w:pPr>
              <w:spacing w:line="360" w:lineRule="auto"/>
              <w:contextualSpacing/>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②</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内容前后矛盾或存在逻辑错误</w:t>
            </w:r>
            <w:r>
              <w:rPr>
                <w:rFonts w:hint="eastAsia" w:ascii="宋体" w:hAnsi="宋体" w:cs="宋体"/>
                <w:color w:val="000000" w:themeColor="text1"/>
                <w:sz w:val="21"/>
                <w:szCs w:val="21"/>
                <w:highlight w:val="none"/>
                <w:lang w:val="en-US" w:eastAsia="zh-CN"/>
                <w14:textFill>
                  <w14:solidFill>
                    <w14:schemeClr w14:val="tx1"/>
                  </w14:solidFill>
                </w14:textFill>
              </w:rPr>
              <w:t>：如在不同部分对同一事项的描述存在逻辑错误或前后矛盾或与本项目不相关的错误规范</w:t>
            </w:r>
            <w:r>
              <w:rPr>
                <w:rFonts w:hint="eastAsia" w:ascii="宋体" w:hAnsi="宋体" w:cs="宋体"/>
                <w:color w:val="000000" w:themeColor="text1"/>
                <w:sz w:val="21"/>
                <w:szCs w:val="21"/>
                <w:highlight w:val="none"/>
                <w14:textFill>
                  <w14:solidFill>
                    <w14:schemeClr w14:val="tx1"/>
                  </w14:solidFill>
                </w14:textFill>
              </w:rPr>
              <w:t>；</w:t>
            </w:r>
          </w:p>
          <w:p w14:paraId="64411CD5">
            <w:pPr>
              <w:spacing w:line="360" w:lineRule="auto"/>
              <w:contextualSpacing/>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③</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b/>
                <w:bCs/>
                <w:color w:val="000000" w:themeColor="text1"/>
                <w:sz w:val="21"/>
                <w:szCs w:val="21"/>
                <w:highlight w:val="none"/>
                <w14:textFill>
                  <w14:solidFill>
                    <w14:schemeClr w14:val="tx1"/>
                  </w14:solidFill>
                </w14:textFill>
              </w:rPr>
              <w:t>不利于项目实施</w:t>
            </w:r>
            <w:r>
              <w:rPr>
                <w:rFonts w:hint="eastAsia"/>
                <w:b/>
                <w:bCs/>
                <w:color w:val="000000" w:themeColor="text1"/>
                <w:sz w:val="21"/>
                <w:szCs w:val="21"/>
                <w:highlight w:val="none"/>
                <w:lang w:eastAsia="zh-CN"/>
                <w14:textFill>
                  <w14:solidFill>
                    <w14:schemeClr w14:val="tx1"/>
                  </w14:solidFill>
                </w14:textFill>
              </w:rPr>
              <w:t>：</w:t>
            </w:r>
            <w:r>
              <w:rPr>
                <w:rFonts w:hint="eastAsia"/>
                <w:b w:val="0"/>
                <w:bCs w:val="0"/>
                <w:color w:val="000000" w:themeColor="text1"/>
                <w:sz w:val="21"/>
                <w:szCs w:val="21"/>
                <w:highlight w:val="none"/>
                <w:lang w:val="en-US" w:eastAsia="zh-CN"/>
                <w14:textFill>
                  <w14:solidFill>
                    <w14:schemeClr w14:val="tx1"/>
                  </w14:solidFill>
                </w14:textFill>
              </w:rPr>
              <w:t>未结合项目实际，</w:t>
            </w:r>
            <w:r>
              <w:rPr>
                <w:rFonts w:hint="eastAsia"/>
                <w:b w:val="0"/>
                <w:bCs w:val="0"/>
                <w:color w:val="000000" w:themeColor="text1"/>
                <w:sz w:val="21"/>
                <w:szCs w:val="21"/>
                <w:highlight w:val="none"/>
                <w:lang w:eastAsia="zh-CN"/>
                <w14:textFill>
                  <w14:solidFill>
                    <w14:schemeClr w14:val="tx1"/>
                  </w14:solidFill>
                </w14:textFill>
              </w:rPr>
              <w:t>如所制定的计划或措施在实际操作中难以执行</w:t>
            </w:r>
            <w:r>
              <w:rPr>
                <w:rFonts w:hint="eastAsia"/>
                <w:b w:val="0"/>
                <w:bCs w:val="0"/>
                <w:color w:val="000000" w:themeColor="text1"/>
                <w:sz w:val="21"/>
                <w:szCs w:val="21"/>
                <w:highlight w:val="none"/>
                <w:lang w:val="en-US" w:eastAsia="zh-CN"/>
                <w14:textFill>
                  <w14:solidFill>
                    <w14:schemeClr w14:val="tx1"/>
                  </w14:solidFill>
                </w14:textFill>
              </w:rPr>
              <w:t>或</w:t>
            </w:r>
            <w:r>
              <w:rPr>
                <w:rFonts w:hint="eastAsia"/>
                <w:b w:val="0"/>
                <w:bCs w:val="0"/>
                <w:color w:val="000000" w:themeColor="text1"/>
                <w:sz w:val="21"/>
                <w:szCs w:val="21"/>
                <w:highlight w:val="none"/>
                <w:lang w:eastAsia="zh-CN"/>
                <w14:textFill>
                  <w14:solidFill>
                    <w14:schemeClr w14:val="tx1"/>
                  </w14:solidFill>
                </w14:textFill>
              </w:rPr>
              <w:t>不可能实现的情形，即所提出的承诺或措施在现有技术、资源、时间等条件下无法达成等任意一种情形</w:t>
            </w:r>
            <w:r>
              <w:rPr>
                <w:rFonts w:hint="eastAsia" w:ascii="宋体" w:hAnsi="宋体" w:cs="宋体"/>
                <w:b w:val="0"/>
                <w:bCs w:val="0"/>
                <w:color w:val="000000" w:themeColor="text1"/>
                <w:sz w:val="21"/>
                <w:szCs w:val="21"/>
                <w:highlight w:val="none"/>
                <w14:textFill>
                  <w14:solidFill>
                    <w14:schemeClr w14:val="tx1"/>
                  </w14:solidFill>
                </w14:textFill>
              </w:rPr>
              <w:t>；</w:t>
            </w:r>
          </w:p>
          <w:p w14:paraId="10599AAD">
            <w:pPr>
              <w:keepNext w:val="0"/>
              <w:keepLines w:val="0"/>
              <w:pageBreakBefore w:val="0"/>
              <w:widowControl/>
              <w:kinsoku/>
              <w:wordWrap/>
              <w:overflowPunct/>
              <w:topLinePunct w:val="0"/>
              <w:autoSpaceDE/>
              <w:autoSpaceDN/>
              <w:bidi w:val="0"/>
              <w:adjustRightInd/>
              <w:snapToGrid/>
              <w:spacing w:line="330" w:lineRule="exact"/>
              <w:jc w:val="left"/>
              <w:textAlignment w:val="top"/>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④</w:t>
            </w:r>
            <w:r>
              <w:rPr>
                <w:rFonts w:hint="eastAsia" w:ascii="宋体" w:hAnsi="宋体" w:cs="宋体"/>
                <w:b/>
                <w:bCs/>
                <w:color w:val="000000" w:themeColor="text1"/>
                <w:sz w:val="21"/>
                <w:szCs w:val="21"/>
                <w:highlight w:val="none"/>
                <w:lang w:val="en-US" w:eastAsia="zh-CN"/>
                <w14:textFill>
                  <w14:solidFill>
                    <w14:schemeClr w14:val="tx1"/>
                  </w14:solidFill>
                </w14:textFill>
              </w:rPr>
              <w:t>内容缺漏</w:t>
            </w:r>
            <w:r>
              <w:rPr>
                <w:rFonts w:hint="eastAsia" w:ascii="宋体" w:hAnsi="宋体" w:cs="宋体"/>
                <w:color w:val="000000" w:themeColor="text1"/>
                <w:sz w:val="21"/>
                <w:szCs w:val="21"/>
                <w:highlight w:val="none"/>
                <w:lang w:val="en-US" w:eastAsia="zh-CN"/>
                <w14:textFill>
                  <w14:solidFill>
                    <w14:schemeClr w14:val="tx1"/>
                  </w14:solidFill>
                </w14:textFill>
              </w:rPr>
              <w:t>：未对要求的内容进行描述</w:t>
            </w:r>
            <w:r>
              <w:rPr>
                <w:rFonts w:hint="eastAsia" w:ascii="宋体" w:hAnsi="宋体" w:cs="宋体"/>
                <w:color w:val="000000" w:themeColor="text1"/>
                <w:sz w:val="21"/>
                <w:szCs w:val="21"/>
                <w:highlight w:val="none"/>
                <w14:textFill>
                  <w14:solidFill>
                    <w14:schemeClr w14:val="tx1"/>
                  </w14:solidFill>
                </w14:textFill>
              </w:rPr>
              <w:t>。</w:t>
            </w:r>
          </w:p>
        </w:tc>
      </w:tr>
      <w:tr w14:paraId="5F822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trPr>
        <w:tc>
          <w:tcPr>
            <w:tcW w:w="1514" w:type="dxa"/>
            <w:vMerge w:val="continue"/>
            <w:vAlign w:val="center"/>
          </w:tcPr>
          <w:p w14:paraId="3DE47287">
            <w:pPr>
              <w:keepNext w:val="0"/>
              <w:keepLines w:val="0"/>
              <w:pageBreakBefore w:val="0"/>
              <w:widowControl/>
              <w:kinsoku/>
              <w:wordWrap/>
              <w:overflowPunct/>
              <w:topLinePunct w:val="0"/>
              <w:autoSpaceDE/>
              <w:autoSpaceDN/>
              <w:bidi w:val="0"/>
              <w:adjustRightInd/>
              <w:snapToGrid/>
              <w:spacing w:line="330" w:lineRule="exact"/>
              <w:rPr>
                <w:rFonts w:hint="eastAsia" w:ascii="宋体" w:hAnsi="宋体"/>
                <w:b w:val="0"/>
                <w:bCs/>
                <w:color w:val="000000" w:themeColor="text1"/>
                <w:sz w:val="21"/>
                <w:szCs w:val="21"/>
                <w:highlight w:val="none"/>
                <w14:textFill>
                  <w14:solidFill>
                    <w14:schemeClr w14:val="tx1"/>
                  </w14:solidFill>
                </w14:textFill>
              </w:rPr>
            </w:pPr>
          </w:p>
        </w:tc>
        <w:tc>
          <w:tcPr>
            <w:tcW w:w="1465" w:type="dxa"/>
            <w:vAlign w:val="center"/>
          </w:tcPr>
          <w:p w14:paraId="4271B8F4">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t>节能、</w:t>
            </w:r>
            <w:r>
              <w:rPr>
                <w:rFonts w:hint="eastAsia" w:ascii="宋体" w:hAnsi="宋体" w:eastAsia="宋体" w:cs="宋体"/>
                <w:b w:val="0"/>
                <w:bCs/>
                <w:color w:val="000000" w:themeColor="text1"/>
                <w:kern w:val="0"/>
                <w:sz w:val="21"/>
                <w:szCs w:val="21"/>
                <w:highlight w:val="none"/>
                <w:lang w:val="zh-TW" w:eastAsia="zh-CN" w:bidi="ar"/>
                <w14:textFill>
                  <w14:solidFill>
                    <w14:schemeClr w14:val="tx1"/>
                  </w14:solidFill>
                </w14:textFill>
              </w:rPr>
              <w:t>环保</w:t>
            </w:r>
            <w:r>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t>产品</w:t>
            </w:r>
          </w:p>
          <w:p w14:paraId="65D72DAB">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t>（满分</w:t>
            </w: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3</w:t>
            </w:r>
            <w:r>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t>分）</w:t>
            </w:r>
          </w:p>
        </w:tc>
        <w:tc>
          <w:tcPr>
            <w:tcW w:w="6703" w:type="dxa"/>
            <w:vAlign w:val="top"/>
          </w:tcPr>
          <w:p w14:paraId="0CA19A0E">
            <w:pPr>
              <w:pStyle w:val="13"/>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461F92E7">
            <w:pPr>
              <w:keepNext w:val="0"/>
              <w:keepLines w:val="0"/>
              <w:pageBreakBefore w:val="0"/>
              <w:widowControl/>
              <w:kinsoku/>
              <w:wordWrap/>
              <w:overflowPunct/>
              <w:topLinePunct w:val="0"/>
              <w:autoSpaceDE/>
              <w:autoSpaceDN/>
              <w:bidi w:val="0"/>
              <w:adjustRightInd/>
              <w:snapToGrid/>
              <w:spacing w:line="330" w:lineRule="exact"/>
              <w:ind w:firstLine="210" w:firstLineChars="100"/>
              <w:textAlignment w:val="top"/>
              <w:rPr>
                <w:rFonts w:ascii="宋体" w:hAnsi="宋体"/>
                <w:b w:val="0"/>
                <w:bCs/>
                <w:color w:val="000000" w:themeColor="text1"/>
                <w:kern w:val="0"/>
                <w:sz w:val="21"/>
                <w:szCs w:val="21"/>
                <w:highlight w:val="none"/>
                <w:lang w:bidi="ar"/>
                <w14:textFill>
                  <w14:solidFill>
                    <w14:schemeClr w14:val="tx1"/>
                  </w14:solidFill>
                </w14:textFill>
              </w:rPr>
            </w:pPr>
            <w:r>
              <w:rPr>
                <w:rFonts w:hint="eastAsia" w:ascii="宋体" w:hAnsi="宋体"/>
                <w:b w:val="0"/>
                <w:bCs/>
                <w:color w:val="000000" w:themeColor="text1"/>
                <w:kern w:val="0"/>
                <w:sz w:val="21"/>
                <w:szCs w:val="21"/>
                <w:highlight w:val="none"/>
                <w:lang w:val="en-US" w:eastAsia="zh-CN" w:bidi="ar"/>
                <w14:textFill>
                  <w14:solidFill>
                    <w14:schemeClr w14:val="tx1"/>
                  </w14:solidFill>
                </w14:textFill>
              </w:rPr>
              <w:t>1、</w:t>
            </w:r>
            <w:r>
              <w:rPr>
                <w:rFonts w:hint="eastAsia" w:ascii="宋体" w:hAnsi="宋体"/>
                <w:b w:val="0"/>
                <w:bCs/>
                <w:color w:val="000000" w:themeColor="text1"/>
                <w:kern w:val="0"/>
                <w:sz w:val="21"/>
                <w:szCs w:val="21"/>
                <w:highlight w:val="none"/>
                <w:lang w:bidi="ar"/>
                <w14:textFill>
                  <w14:solidFill>
                    <w14:schemeClr w14:val="tx1"/>
                  </w14:solidFill>
                </w14:textFill>
              </w:rPr>
              <w:t>投标产品有一项及以上认定为节能产品或环保产品的得</w:t>
            </w:r>
            <w:r>
              <w:rPr>
                <w:rFonts w:hint="eastAsia" w:ascii="宋体" w:hAnsi="宋体"/>
                <w:b w:val="0"/>
                <w:bCs/>
                <w:color w:val="000000" w:themeColor="text1"/>
                <w:kern w:val="0"/>
                <w:sz w:val="21"/>
                <w:szCs w:val="21"/>
                <w:highlight w:val="none"/>
                <w:lang w:val="en-US" w:eastAsia="zh-CN" w:bidi="ar"/>
                <w14:textFill>
                  <w14:solidFill>
                    <w14:schemeClr w14:val="tx1"/>
                  </w14:solidFill>
                </w14:textFill>
              </w:rPr>
              <w:t>1</w:t>
            </w:r>
            <w:r>
              <w:rPr>
                <w:rFonts w:hint="eastAsia" w:ascii="宋体" w:hAnsi="宋体"/>
                <w:b w:val="0"/>
                <w:bCs/>
                <w:color w:val="000000" w:themeColor="text1"/>
                <w:kern w:val="0"/>
                <w:sz w:val="21"/>
                <w:szCs w:val="21"/>
                <w:highlight w:val="none"/>
                <w:lang w:bidi="ar"/>
                <w14:textFill>
                  <w14:solidFill>
                    <w14:schemeClr w14:val="tx1"/>
                  </w14:solidFill>
                </w14:textFill>
              </w:rPr>
              <w:t>分。</w:t>
            </w:r>
          </w:p>
          <w:p w14:paraId="2FED7526">
            <w:pPr>
              <w:pStyle w:val="13"/>
              <w:spacing w:after="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b w:val="0"/>
                <w:bCs/>
                <w:color w:val="000000" w:themeColor="text1"/>
                <w:kern w:val="0"/>
                <w:sz w:val="21"/>
                <w:szCs w:val="21"/>
                <w:highlight w:val="none"/>
                <w:lang w:bidi="ar"/>
                <w14:textFill>
                  <w14:solidFill>
                    <w14:schemeClr w14:val="tx1"/>
                  </w14:solidFill>
                </w14:textFill>
              </w:rPr>
              <w:t>若货物为除强制节能产品以外的经国家认定的节能产品或环境标志产品，提供有效期内的节能产品认证证书或环境标志产品认证证书复印件</w:t>
            </w:r>
            <w:r>
              <w:rPr>
                <w:rFonts w:hint="eastAsia" w:hAnsi="宋体"/>
                <w:b w:val="0"/>
                <w:bCs/>
                <w:color w:val="000000" w:themeColor="text1"/>
                <w:kern w:val="0"/>
                <w:sz w:val="21"/>
                <w:szCs w:val="21"/>
                <w:highlight w:val="none"/>
                <w:lang w:eastAsia="zh-CN" w:bidi="ar"/>
                <w14:textFill>
                  <w14:solidFill>
                    <w14:schemeClr w14:val="tx1"/>
                  </w14:solidFill>
                </w14:textFill>
              </w:rPr>
              <w:t>。</w:t>
            </w:r>
          </w:p>
          <w:p w14:paraId="04AA2661">
            <w:pPr>
              <w:pStyle w:val="13"/>
              <w:spacing w:after="0" w:line="360" w:lineRule="auto"/>
              <w:rPr>
                <w:rFonts w:hint="eastAsia" w:ascii="宋体" w:hAnsi="宋体" w:eastAsia="宋体" w:cs="宋体"/>
                <w:b w:val="0"/>
                <w:bCs/>
                <w:color w:val="000000" w:themeColor="text1"/>
                <w:kern w:val="0"/>
                <w:sz w:val="21"/>
                <w:szCs w:val="21"/>
                <w:highlight w:val="none"/>
                <w:lang w:val="zh-TW" w:eastAsia="zh-CN" w:bidi="ar"/>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2、核心产品</w:t>
            </w:r>
            <w:r>
              <w:rPr>
                <w:rFonts w:hint="eastAsia" w:ascii="宋体" w:hAnsi="宋体" w:eastAsia="宋体" w:cs="宋体"/>
                <w:color w:val="000000" w:themeColor="text1"/>
                <w:sz w:val="21"/>
                <w:szCs w:val="21"/>
                <w:highlight w:val="none"/>
                <w14:textFill>
                  <w14:solidFill>
                    <w14:schemeClr w14:val="tx1"/>
                  </w14:solidFill>
                </w14:textFill>
              </w:rPr>
              <w:t>设备制造商具备GB/T39257制造企业绿色供应链管理体系认证证书</w:t>
            </w:r>
            <w:r>
              <w:rPr>
                <w:rFonts w:hint="eastAsia" w:hAnsi="宋体" w:cs="宋体"/>
                <w:color w:val="000000" w:themeColor="text1"/>
                <w:sz w:val="21"/>
                <w:szCs w:val="21"/>
                <w:highlight w:val="none"/>
                <w:lang w:val="en-US" w:eastAsia="zh-CN"/>
                <w14:textFill>
                  <w14:solidFill>
                    <w14:schemeClr w14:val="tx1"/>
                  </w14:solidFill>
                </w14:textFill>
              </w:rPr>
              <w:t>的得2分</w:t>
            </w:r>
            <w:r>
              <w:rPr>
                <w:rFonts w:hint="eastAsia"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提供证书复印件、全国认证认可信息公共服务平台查询链接及截图</w:t>
            </w:r>
            <w:r>
              <w:rPr>
                <w:rFonts w:hint="eastAsia"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；不满足不得分。</w:t>
            </w:r>
          </w:p>
        </w:tc>
      </w:tr>
      <w:tr w14:paraId="40559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trPr>
        <w:tc>
          <w:tcPr>
            <w:tcW w:w="1514" w:type="dxa"/>
            <w:vMerge w:val="continue"/>
            <w:vAlign w:val="center"/>
          </w:tcPr>
          <w:p w14:paraId="258316ED">
            <w:pPr>
              <w:keepNext w:val="0"/>
              <w:keepLines w:val="0"/>
              <w:pageBreakBefore w:val="0"/>
              <w:widowControl/>
              <w:kinsoku/>
              <w:wordWrap/>
              <w:overflowPunct/>
              <w:topLinePunct w:val="0"/>
              <w:autoSpaceDE/>
              <w:autoSpaceDN/>
              <w:bidi w:val="0"/>
              <w:adjustRightInd/>
              <w:snapToGrid/>
              <w:spacing w:line="330" w:lineRule="exact"/>
              <w:rPr>
                <w:rFonts w:ascii="宋体" w:hAnsi="宋体"/>
                <w:b w:val="0"/>
                <w:bCs/>
                <w:color w:val="000000" w:themeColor="text1"/>
                <w:sz w:val="21"/>
                <w:szCs w:val="21"/>
                <w:highlight w:val="none"/>
                <w14:textFill>
                  <w14:solidFill>
                    <w14:schemeClr w14:val="tx1"/>
                  </w14:solidFill>
                </w14:textFill>
              </w:rPr>
            </w:pPr>
          </w:p>
        </w:tc>
        <w:tc>
          <w:tcPr>
            <w:tcW w:w="1465" w:type="dxa"/>
            <w:vAlign w:val="center"/>
          </w:tcPr>
          <w:p w14:paraId="71EC0482">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bidi="ar"/>
                <w14:textFill>
                  <w14:solidFill>
                    <w14:schemeClr w14:val="tx1"/>
                  </w14:solidFill>
                </w14:textFill>
              </w:rPr>
              <w:t>投标产品</w:t>
            </w:r>
          </w:p>
          <w:p w14:paraId="23E91BB9">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bidi="ar"/>
                <w14:textFill>
                  <w14:solidFill>
                    <w14:schemeClr w14:val="tx1"/>
                  </w14:solidFill>
                </w14:textFill>
              </w:rPr>
              <w:t>类似业绩</w:t>
            </w:r>
          </w:p>
          <w:p w14:paraId="75E419FA">
            <w:pPr>
              <w:keepNext w:val="0"/>
              <w:keepLines w:val="0"/>
              <w:pageBreakBefore w:val="0"/>
              <w:widowControl/>
              <w:kinsoku/>
              <w:wordWrap/>
              <w:overflowPunct/>
              <w:topLinePunct w:val="0"/>
              <w:autoSpaceDE/>
              <w:autoSpaceDN/>
              <w:bidi w:val="0"/>
              <w:adjustRightInd/>
              <w:snapToGrid/>
              <w:spacing w:line="330" w:lineRule="exact"/>
              <w:jc w:val="left"/>
              <w:textAlignment w:val="top"/>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t>（满分</w:t>
            </w: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2</w:t>
            </w:r>
            <w:r>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t>分）</w:t>
            </w:r>
          </w:p>
        </w:tc>
        <w:tc>
          <w:tcPr>
            <w:tcW w:w="6703" w:type="dxa"/>
            <w:vAlign w:val="center"/>
          </w:tcPr>
          <w:p w14:paraId="5C5084BD">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t>根据投标人20</w:t>
            </w: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22</w:t>
            </w:r>
            <w:r>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t>至今完成过的类似业绩进行评审，每提供一项业绩证明材料得</w:t>
            </w: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0.5</w:t>
            </w:r>
            <w:r>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t>分，加至满分为止，没有或未提供业绩证明材料的不得分。</w:t>
            </w:r>
          </w:p>
          <w:p w14:paraId="0CAF5DFA">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zh-TW" w:eastAsia="zh-CN" w:bidi="ar"/>
                <w14:textFill>
                  <w14:solidFill>
                    <w14:schemeClr w14:val="tx1"/>
                  </w14:solidFill>
                </w14:textFill>
              </w:rPr>
              <w:t>注：</w:t>
            </w:r>
            <w:r>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t>业绩证明材料须提供签订的合同或中标通知书扫描件作为证明材料，无证明材料或证明材料不明确、无法体现业绩内容的，不予认可。</w:t>
            </w:r>
          </w:p>
        </w:tc>
      </w:tr>
      <w:tr w14:paraId="30199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8" w:hRule="atLeast"/>
        </w:trPr>
        <w:tc>
          <w:tcPr>
            <w:tcW w:w="1514" w:type="dxa"/>
            <w:vAlign w:val="center"/>
          </w:tcPr>
          <w:p w14:paraId="39F34380">
            <w:pPr>
              <w:keepNext w:val="0"/>
              <w:keepLines w:val="0"/>
              <w:pageBreakBefore w:val="0"/>
              <w:widowControl/>
              <w:kinsoku/>
              <w:wordWrap/>
              <w:overflowPunct/>
              <w:topLinePunct w:val="0"/>
              <w:autoSpaceDE/>
              <w:autoSpaceDN/>
              <w:bidi w:val="0"/>
              <w:adjustRightInd/>
              <w:snapToGrid/>
              <w:spacing w:line="330" w:lineRule="exact"/>
              <w:jc w:val="center"/>
              <w:rPr>
                <w:rFonts w:hint="eastAsia" w:ascii="宋体" w:hAnsi="宋体"/>
                <w:b w:val="0"/>
                <w:bCs/>
                <w:color w:val="000000" w:themeColor="text1"/>
                <w:kern w:val="0"/>
                <w:sz w:val="21"/>
                <w:szCs w:val="21"/>
                <w:highlight w:val="none"/>
                <w:lang w:bidi="ar"/>
                <w14:textFill>
                  <w14:solidFill>
                    <w14:schemeClr w14:val="tx1"/>
                  </w14:solidFill>
                </w14:textFill>
              </w:rPr>
            </w:pPr>
            <w:r>
              <w:rPr>
                <w:rFonts w:hint="eastAsia" w:ascii="宋体" w:hAnsi="宋体"/>
                <w:b w:val="0"/>
                <w:bCs/>
                <w:color w:val="000000" w:themeColor="text1"/>
                <w:kern w:val="0"/>
                <w:sz w:val="21"/>
                <w:szCs w:val="21"/>
                <w:highlight w:val="none"/>
                <w:lang w:bidi="ar"/>
                <w14:textFill>
                  <w14:solidFill>
                    <w14:schemeClr w14:val="tx1"/>
                  </w14:solidFill>
                </w14:textFill>
              </w:rPr>
              <w:t>技术部分</w:t>
            </w:r>
          </w:p>
          <w:p w14:paraId="79C0317C">
            <w:pPr>
              <w:widowControl/>
              <w:spacing w:line="360" w:lineRule="exact"/>
              <w:jc w:val="center"/>
              <w:textAlignment w:val="top"/>
              <w:rPr>
                <w:rFonts w:ascii="宋体" w:hAnsi="宋体"/>
                <w:b w:val="0"/>
                <w:bCs/>
                <w:color w:val="000000" w:themeColor="text1"/>
                <w:kern w:val="0"/>
                <w:sz w:val="21"/>
                <w:szCs w:val="21"/>
                <w:highlight w:val="none"/>
                <w:lang w:bidi="ar"/>
                <w14:textFill>
                  <w14:solidFill>
                    <w14:schemeClr w14:val="tx1"/>
                  </w14:solidFill>
                </w14:textFill>
              </w:rPr>
            </w:pPr>
            <w:r>
              <w:rPr>
                <w:rFonts w:hint="eastAsia" w:ascii="宋体" w:hAnsi="宋体"/>
                <w:b w:val="0"/>
                <w:bCs/>
                <w:color w:val="000000" w:themeColor="text1"/>
                <w:kern w:val="0"/>
                <w:sz w:val="21"/>
                <w:szCs w:val="21"/>
                <w:highlight w:val="none"/>
                <w:lang w:bidi="ar"/>
                <w14:textFill>
                  <w14:solidFill>
                    <w14:schemeClr w14:val="tx1"/>
                  </w14:solidFill>
                </w14:textFill>
              </w:rPr>
              <w:t>F3评分标准</w:t>
            </w:r>
          </w:p>
          <w:p w14:paraId="2A2E03B8">
            <w:pPr>
              <w:keepNext w:val="0"/>
              <w:keepLines w:val="0"/>
              <w:pageBreakBefore w:val="0"/>
              <w:widowControl/>
              <w:kinsoku/>
              <w:wordWrap/>
              <w:overflowPunct/>
              <w:topLinePunct w:val="0"/>
              <w:autoSpaceDE/>
              <w:autoSpaceDN/>
              <w:bidi w:val="0"/>
              <w:adjustRightInd/>
              <w:snapToGrid/>
              <w:spacing w:line="330" w:lineRule="exact"/>
              <w:rPr>
                <w:rFonts w:ascii="宋体" w:hAnsi="宋体"/>
                <w:b w:val="0"/>
                <w:bCs/>
                <w:color w:val="000000" w:themeColor="text1"/>
                <w:sz w:val="21"/>
                <w:szCs w:val="21"/>
                <w:highlight w:val="none"/>
                <w14:textFill>
                  <w14:solidFill>
                    <w14:schemeClr w14:val="tx1"/>
                  </w14:solidFill>
                </w14:textFill>
              </w:rPr>
            </w:pPr>
            <w:r>
              <w:rPr>
                <w:rFonts w:hint="eastAsia" w:ascii="宋体" w:hAnsi="宋体"/>
                <w:b w:val="0"/>
                <w:bCs/>
                <w:color w:val="000000" w:themeColor="text1"/>
                <w:kern w:val="0"/>
                <w:sz w:val="21"/>
                <w:szCs w:val="21"/>
                <w:highlight w:val="none"/>
                <w:lang w:bidi="ar"/>
                <w14:textFill>
                  <w14:solidFill>
                    <w14:schemeClr w14:val="tx1"/>
                  </w14:solidFill>
                </w14:textFill>
              </w:rPr>
              <w:t>（</w:t>
            </w:r>
            <w:r>
              <w:rPr>
                <w:rFonts w:hint="eastAsia" w:ascii="宋体" w:hAnsi="宋体"/>
                <w:b w:val="0"/>
                <w:bCs/>
                <w:color w:val="000000" w:themeColor="text1"/>
                <w:kern w:val="0"/>
                <w:sz w:val="21"/>
                <w:szCs w:val="21"/>
                <w:highlight w:val="none"/>
                <w:lang w:val="en-US" w:eastAsia="zh-CN" w:bidi="ar"/>
                <w14:textFill>
                  <w14:solidFill>
                    <w14:schemeClr w14:val="tx1"/>
                  </w14:solidFill>
                </w14:textFill>
              </w:rPr>
              <w:t>15</w:t>
            </w:r>
            <w:r>
              <w:rPr>
                <w:rFonts w:hint="eastAsia" w:ascii="宋体" w:hAnsi="宋体"/>
                <w:b w:val="0"/>
                <w:bCs/>
                <w:color w:val="000000" w:themeColor="text1"/>
                <w:kern w:val="0"/>
                <w:sz w:val="21"/>
                <w:szCs w:val="21"/>
                <w:highlight w:val="none"/>
                <w:lang w:bidi="ar"/>
                <w14:textFill>
                  <w14:solidFill>
                    <w14:schemeClr w14:val="tx1"/>
                  </w14:solidFill>
                </w14:textFill>
              </w:rPr>
              <w:t>分）</w:t>
            </w:r>
          </w:p>
        </w:tc>
        <w:tc>
          <w:tcPr>
            <w:tcW w:w="1465" w:type="dxa"/>
            <w:vAlign w:val="center"/>
          </w:tcPr>
          <w:p w14:paraId="7940DA4E">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t>技术参数</w:t>
            </w:r>
          </w:p>
          <w:p w14:paraId="32BA4295">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t>的响应程度</w:t>
            </w:r>
          </w:p>
          <w:p w14:paraId="0DDE59EA">
            <w:pPr>
              <w:keepNext w:val="0"/>
              <w:keepLines w:val="0"/>
              <w:pageBreakBefore w:val="0"/>
              <w:widowControl/>
              <w:kinsoku/>
              <w:wordWrap/>
              <w:overflowPunct/>
              <w:topLinePunct w:val="0"/>
              <w:autoSpaceDE/>
              <w:autoSpaceDN/>
              <w:bidi w:val="0"/>
              <w:adjustRightInd/>
              <w:snapToGrid/>
              <w:spacing w:line="330" w:lineRule="exact"/>
              <w:jc w:val="left"/>
              <w:textAlignment w:val="top"/>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t>（满分</w:t>
            </w: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15</w:t>
            </w:r>
            <w:r>
              <w:rPr>
                <w:rFonts w:hint="eastAsia" w:ascii="宋体" w:hAnsi="宋体" w:eastAsia="宋体" w:cs="宋体"/>
                <w:b w:val="0"/>
                <w:bCs/>
                <w:color w:val="000000" w:themeColor="text1"/>
                <w:kern w:val="0"/>
                <w:sz w:val="21"/>
                <w:szCs w:val="21"/>
                <w:highlight w:val="none"/>
                <w:lang w:val="zh-TW" w:eastAsia="zh-TW" w:bidi="ar"/>
                <w14:textFill>
                  <w14:solidFill>
                    <w14:schemeClr w14:val="tx1"/>
                  </w14:solidFill>
                </w14:textFill>
              </w:rPr>
              <w:t>分）</w:t>
            </w:r>
          </w:p>
          <w:p w14:paraId="11B6CF5F">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p>
        </w:tc>
        <w:tc>
          <w:tcPr>
            <w:tcW w:w="6703" w:type="dxa"/>
            <w:vAlign w:val="center"/>
          </w:tcPr>
          <w:p w14:paraId="6277F45A">
            <w:pPr>
              <w:widowControl/>
              <w:wordWrap w:val="0"/>
              <w:spacing w:after="0" w:line="360" w:lineRule="auto"/>
              <w:ind w:firstLine="480"/>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评审各产品配置的技术参数是否满足招标要求，有无技术偏离、相关证明资料或相关检测证明资料是否齐全。</w:t>
            </w:r>
          </w:p>
          <w:p w14:paraId="139719B6">
            <w:pPr>
              <w:widowControl/>
              <w:wordWrap w:val="0"/>
              <w:spacing w:after="0" w:line="360" w:lineRule="auto"/>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技术参数（不带“▲”项）和重要性能指标（带“▲”项）完全满足招标文件要求的，证明、检测材料齐全，无负偏离项得</w:t>
            </w:r>
            <w:r>
              <w:rPr>
                <w:rFonts w:hint="eastAsia" w:ascii="宋体" w:hAnsi="宋体" w:cs="宋体"/>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color w:val="000000" w:themeColor="text1"/>
                <w:sz w:val="21"/>
                <w:szCs w:val="21"/>
                <w:highlight w:val="none"/>
                <w14:textFill>
                  <w14:solidFill>
                    <w14:schemeClr w14:val="tx1"/>
                  </w14:solidFill>
                </w14:textFill>
              </w:rPr>
              <w:t>分；重要性能指标（带“▲”项）存在负偏离的，每项扣</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分，扣完为止；技术参数（不带“▲”项）存在负偏离的，每项扣</w:t>
            </w:r>
            <w:r>
              <w:rPr>
                <w:rFonts w:hint="eastAsia" w:ascii="宋体" w:hAnsi="宋体" w:cs="宋体"/>
                <w:color w:val="000000" w:themeColor="text1"/>
                <w:sz w:val="21"/>
                <w:szCs w:val="21"/>
                <w:highlight w:val="none"/>
                <w:lang w:val="en-US" w:eastAsia="zh-CN"/>
                <w14:textFill>
                  <w14:solidFill>
                    <w14:schemeClr w14:val="tx1"/>
                  </w14:solidFill>
                </w14:textFill>
              </w:rPr>
              <w:t>0.5</w:t>
            </w:r>
            <w:r>
              <w:rPr>
                <w:rFonts w:hint="eastAsia" w:ascii="宋体" w:hAnsi="宋体" w:eastAsia="宋体" w:cs="宋体"/>
                <w:color w:val="000000" w:themeColor="text1"/>
                <w:sz w:val="21"/>
                <w:szCs w:val="21"/>
                <w:highlight w:val="none"/>
                <w14:textFill>
                  <w14:solidFill>
                    <w14:schemeClr w14:val="tx1"/>
                  </w14:solidFill>
                </w14:textFill>
              </w:rPr>
              <w:t>分，扣完为止。</w:t>
            </w:r>
          </w:p>
          <w:p w14:paraId="4C51DF4F">
            <w:pPr>
              <w:keepNext w:val="0"/>
              <w:keepLines w:val="0"/>
              <w:pageBreakBefore w:val="0"/>
              <w:widowControl/>
              <w:kinsoku/>
              <w:wordWrap/>
              <w:overflowPunct/>
              <w:topLinePunct w:val="0"/>
              <w:autoSpaceDE/>
              <w:autoSpaceDN/>
              <w:bidi w:val="0"/>
              <w:adjustRightInd/>
              <w:snapToGrid/>
              <w:spacing w:line="330" w:lineRule="exact"/>
              <w:ind w:left="120" w:leftChars="50"/>
              <w:jc w:val="left"/>
              <w:textAlignment w:val="top"/>
              <w:rPr>
                <w:rFonts w:hint="eastAsia"/>
                <w:color w:val="000000" w:themeColor="text1"/>
                <w:sz w:val="21"/>
                <w:szCs w:val="21"/>
                <w:highlight w:val="none"/>
                <w:lang w:val="zh-TW"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注：投标人于投标文件中提供相关证明材料（包括但不限于彩页、官网、国家认证认可的检验（测）机构出具的检验（测）报告复印件或功能截图复印件)佐证投标文件相应承诺（承诺的与佐证材料体现的参数不一致的,以佐证材料体现的为准）；否则，评审中视为该技术指标未实质性响应招标文件要求，按负偏离处理。</w:t>
            </w:r>
          </w:p>
        </w:tc>
      </w:tr>
    </w:tbl>
    <w:p w14:paraId="6AB41832">
      <w:pPr>
        <w:tabs>
          <w:tab w:val="left" w:pos="2472"/>
        </w:tabs>
        <w:spacing w:line="360" w:lineRule="auto"/>
        <w:outlineLvl w:val="1"/>
        <w:rPr>
          <w:rFonts w:hint="eastAsia" w:ascii="宋体" w:hAnsi="宋体"/>
          <w:b w:val="0"/>
          <w:color w:val="auto"/>
          <w:sz w:val="21"/>
          <w:szCs w:val="21"/>
        </w:rPr>
      </w:pPr>
    </w:p>
    <w:p w14:paraId="15EE14DD">
      <w:pPr>
        <w:tabs>
          <w:tab w:val="left" w:pos="2472"/>
        </w:tabs>
        <w:spacing w:line="360" w:lineRule="auto"/>
        <w:outlineLvl w:val="1"/>
        <w:rPr>
          <w:rFonts w:ascii="宋体" w:hAnsi="宋体"/>
          <w:b w:val="0"/>
          <w:color w:val="auto"/>
          <w:sz w:val="21"/>
          <w:szCs w:val="21"/>
        </w:rPr>
      </w:pPr>
      <w:r>
        <w:rPr>
          <w:rFonts w:hint="eastAsia" w:ascii="宋体" w:hAnsi="宋体"/>
          <w:b w:val="0"/>
          <w:color w:val="auto"/>
          <w:sz w:val="21"/>
          <w:szCs w:val="21"/>
        </w:rPr>
        <w:t>1.评标方法：</w:t>
      </w:r>
    </w:p>
    <w:p w14:paraId="2B0194DA">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1.1本次评标采用综合评分法。评标委员会对满足招标文件实质性要求的投标文件，按照本章前附表规定的评分标准进行打分，并按上述评标总得分计算公式计算评标总得分，按评标总得分由高到低的顺序推荐中标候选人排序；评标总得分相等时，按投标报价由低到高顺序排序；</w:t>
      </w:r>
    </w:p>
    <w:p w14:paraId="427F1752">
      <w:pPr>
        <w:tabs>
          <w:tab w:val="left" w:pos="2472"/>
        </w:tabs>
        <w:spacing w:line="360" w:lineRule="auto"/>
        <w:outlineLvl w:val="1"/>
        <w:rPr>
          <w:color w:val="auto"/>
        </w:rPr>
      </w:pPr>
      <w:r>
        <w:rPr>
          <w:rFonts w:hint="eastAsia" w:ascii="宋体" w:hAnsi="宋体"/>
          <w:b w:val="0"/>
          <w:color w:val="auto"/>
          <w:sz w:val="21"/>
          <w:szCs w:val="21"/>
        </w:rPr>
        <w:t>2.评审程序和标准</w:t>
      </w:r>
    </w:p>
    <w:p w14:paraId="037A5871">
      <w:pPr>
        <w:pStyle w:val="34"/>
        <w:spacing w:after="0" w:line="360" w:lineRule="auto"/>
        <w:ind w:left="0" w:leftChars="0"/>
        <w:outlineLvl w:val="2"/>
        <w:rPr>
          <w:rFonts w:ascii="宋体" w:hAnsi="宋体" w:cs="宋体"/>
          <w:color w:val="auto"/>
          <w:szCs w:val="21"/>
        </w:rPr>
      </w:pPr>
      <w:r>
        <w:rPr>
          <w:rFonts w:hint="eastAsia" w:ascii="宋体" w:hAnsi="宋体" w:cs="宋体"/>
          <w:color w:val="auto"/>
          <w:szCs w:val="21"/>
        </w:rPr>
        <w:t>2.1.资格审查</w:t>
      </w:r>
    </w:p>
    <w:p w14:paraId="7E360CB8">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2.1.1评标委员会对投标人提交的资格审查资料，按审查标准进行审查（具体详见《评标方法前附表》），并作出资格审查合格或不合格的结论，只有资格审查合格的投标文件才能进入符合性审查。</w:t>
      </w:r>
    </w:p>
    <w:p w14:paraId="0222EC6F">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2.1.2如投标人为满足投标人资格要求提供虚假材料，一经查实，视为未实质性响应招标文件，投标人投标文件将按无效处理。</w:t>
      </w:r>
    </w:p>
    <w:p w14:paraId="187A61D3">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2.1.3</w:t>
      </w:r>
      <w:r>
        <w:rPr>
          <w:rFonts w:hint="eastAsia" w:ascii="宋体" w:hAnsi="宋体"/>
          <w:b w:val="0"/>
          <w:color w:val="auto"/>
          <w:sz w:val="21"/>
          <w:szCs w:val="21"/>
          <w:lang w:eastAsia="zh-CN"/>
        </w:rPr>
        <w:t>采购人</w:t>
      </w:r>
      <w:r>
        <w:rPr>
          <w:rFonts w:hint="eastAsia" w:ascii="宋体" w:hAnsi="宋体"/>
          <w:b w:val="0"/>
          <w:color w:val="auto"/>
          <w:sz w:val="21"/>
          <w:szCs w:val="21"/>
        </w:rPr>
        <w:t>或者</w:t>
      </w:r>
      <w:r>
        <w:rPr>
          <w:rFonts w:hint="eastAsia" w:ascii="宋体" w:hAnsi="宋体"/>
          <w:b w:val="0"/>
          <w:color w:val="auto"/>
          <w:sz w:val="21"/>
          <w:szCs w:val="21"/>
          <w:lang w:eastAsia="zh-CN"/>
        </w:rPr>
        <w:t>招标代理</w:t>
      </w:r>
      <w:r>
        <w:rPr>
          <w:rFonts w:hint="eastAsia" w:ascii="宋体" w:hAnsi="宋体"/>
          <w:b w:val="0"/>
          <w:color w:val="auto"/>
          <w:sz w:val="21"/>
          <w:szCs w:val="21"/>
        </w:rPr>
        <w:t>机构在资格审查过程中发现投标人有一项不符合上述规定的，该投标文件按无效投标处理。</w:t>
      </w:r>
    </w:p>
    <w:p w14:paraId="18851B41">
      <w:pPr>
        <w:spacing w:line="360" w:lineRule="auto"/>
        <w:ind w:left="480" w:leftChars="200"/>
        <w:jc w:val="left"/>
        <w:outlineLvl w:val="2"/>
        <w:rPr>
          <w:rFonts w:ascii="宋体" w:hAnsi="宋体"/>
          <w:b w:val="0"/>
          <w:color w:val="auto"/>
          <w:sz w:val="21"/>
          <w:szCs w:val="21"/>
        </w:rPr>
      </w:pPr>
      <w:r>
        <w:rPr>
          <w:rFonts w:hint="eastAsia" w:ascii="宋体" w:hAnsi="宋体"/>
          <w:b w:val="0"/>
          <w:color w:val="auto"/>
          <w:sz w:val="21"/>
          <w:szCs w:val="21"/>
        </w:rPr>
        <w:t>2.2符合性审查</w:t>
      </w:r>
    </w:p>
    <w:p w14:paraId="00D4D08D">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2.2.1评标委员会依据招标文件的规定，对符合资格的投标人的电子投标文件进行符合性审查（具体详见《评标方法前附表》），以确定其是否满足招标文件的实质性要求。</w:t>
      </w:r>
    </w:p>
    <w:p w14:paraId="5D962EAE">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2.2.2符合性审查内容及标准：详见招标文件第五章《评标方法》“评标方法前附表2.1符合性审查”，经审查有一项不符合的，该投标文件按无效投标处理。</w:t>
      </w:r>
    </w:p>
    <w:p w14:paraId="786CF815">
      <w:pPr>
        <w:spacing w:line="360" w:lineRule="auto"/>
        <w:ind w:left="418" w:leftChars="174"/>
        <w:jc w:val="left"/>
        <w:rPr>
          <w:rFonts w:ascii="宋体" w:hAnsi="宋体"/>
          <w:b w:val="0"/>
          <w:color w:val="auto"/>
          <w:sz w:val="21"/>
          <w:szCs w:val="21"/>
        </w:rPr>
      </w:pPr>
      <w:r>
        <w:rPr>
          <w:rFonts w:hint="eastAsia" w:ascii="宋体" w:hAnsi="宋体"/>
          <w:b w:val="0"/>
          <w:color w:val="auto"/>
          <w:sz w:val="21"/>
          <w:szCs w:val="21"/>
        </w:rPr>
        <w:t>2.3对未通过资格审查的投标人评标委员会应通过相关的决议或在评标报告中说明情况，评标委员会经评审，有效投标文件不足3家使得投标明显缺乏竞争的，评标委员会可以否决全部投标。所有投标被否决后，</w:t>
      </w:r>
      <w:r>
        <w:rPr>
          <w:rFonts w:hint="eastAsia" w:ascii="宋体" w:hAnsi="宋体"/>
          <w:b w:val="0"/>
          <w:color w:val="auto"/>
          <w:sz w:val="21"/>
          <w:szCs w:val="21"/>
          <w:lang w:eastAsia="zh-CN"/>
        </w:rPr>
        <w:t>采购人</w:t>
      </w:r>
      <w:r>
        <w:rPr>
          <w:rFonts w:hint="eastAsia" w:ascii="宋体" w:hAnsi="宋体"/>
          <w:b w:val="0"/>
          <w:color w:val="auto"/>
          <w:sz w:val="21"/>
          <w:szCs w:val="21"/>
        </w:rPr>
        <w:t>应当依法重新招标。当有效投标文件不足3家时，评标委员会认为仍能满足招标文件要求，并具有竞争性，将按下述方法推荐中标候选人。具体办法如下：（1）若有两家单位的，则仍然按下述评分方法推荐；（2）若只有一家单位，则由评标委员会对该单位投标文件做出综合评议推荐。</w:t>
      </w:r>
    </w:p>
    <w:p w14:paraId="562D0ED6">
      <w:pPr>
        <w:spacing w:line="360" w:lineRule="auto"/>
        <w:ind w:left="480" w:leftChars="200"/>
        <w:jc w:val="left"/>
        <w:outlineLvl w:val="2"/>
        <w:rPr>
          <w:rFonts w:ascii="宋体" w:hAnsi="宋体"/>
          <w:b w:val="0"/>
          <w:color w:val="auto"/>
          <w:sz w:val="21"/>
          <w:szCs w:val="21"/>
        </w:rPr>
      </w:pPr>
      <w:r>
        <w:rPr>
          <w:rFonts w:hint="eastAsia" w:ascii="宋体" w:hAnsi="宋体"/>
          <w:b w:val="0"/>
          <w:color w:val="auto"/>
          <w:sz w:val="21"/>
          <w:szCs w:val="21"/>
        </w:rPr>
        <w:t>2.4 评标方法和标准</w:t>
      </w:r>
    </w:p>
    <w:p w14:paraId="0CEA5C53">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2.4.1评标委员会按照招标文件中规定的评标方法和标准，对符合性审查合格的投标文件进行商务和技术评估，综合比较与评价。招标文件中没有规定的评标方法和标准，不作为评标依据。</w:t>
      </w:r>
    </w:p>
    <w:p w14:paraId="58D57C12">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2.4.2投标报价得分F1：按本章《评标方法前附表》的规定对投标报价进行计算并得出F1得分；</w:t>
      </w:r>
    </w:p>
    <w:p w14:paraId="4D9A54F5">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2.4.3商务部分得分F2：按本章《评标方法前附表》的规定对技术部分评分并计算出F2汇总得分</w:t>
      </w:r>
    </w:p>
    <w:p w14:paraId="2139E3F0">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2.4.4技术部分得分F3：按本章《评标方法前附表》的规定对商务部分评分并计算出F3汇总得分；</w:t>
      </w:r>
    </w:p>
    <w:p w14:paraId="46032ED2">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2.4.5评标总得分：按本章《评标方法前附表》的规定计算评标总得分。</w:t>
      </w:r>
    </w:p>
    <w:p w14:paraId="5CB59501">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2.5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认定其投标无效。</w:t>
      </w:r>
    </w:p>
    <w:p w14:paraId="473DFEFF">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2.6对投标人的价格分等客观评分项的评分应当一致，对其他需要借助专业知识评判的主观评分项，应当严格按照评分细则公正评分。</w:t>
      </w:r>
    </w:p>
    <w:p w14:paraId="5B493CBB">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2.7商务部分（F2）和技术部分（F3）由评标委员会各成员独立对每个投标人的投标文件进行评价，并汇总每个投标人的得分。投标人各项评分因素得分为该项因素评标委员会各成员汇总得分的算术平均值（保留小数点后两位），小数点后第三位“四舍五入”。</w:t>
      </w:r>
    </w:p>
    <w:p w14:paraId="7E8E8E9C">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2.8评标委员会成员要依法独立评审，并对评审意见承担个人责任。</w:t>
      </w:r>
    </w:p>
    <w:p w14:paraId="2A01C0A7">
      <w:pPr>
        <w:tabs>
          <w:tab w:val="left" w:pos="2472"/>
        </w:tabs>
        <w:spacing w:line="360" w:lineRule="auto"/>
        <w:outlineLvl w:val="1"/>
        <w:rPr>
          <w:rFonts w:ascii="宋体" w:hAnsi="宋体"/>
          <w:b w:val="0"/>
          <w:color w:val="auto"/>
          <w:sz w:val="21"/>
          <w:szCs w:val="21"/>
        </w:rPr>
      </w:pPr>
      <w:r>
        <w:rPr>
          <w:rFonts w:hint="eastAsia" w:ascii="宋体" w:hAnsi="宋体"/>
          <w:b w:val="0"/>
          <w:color w:val="auto"/>
          <w:sz w:val="21"/>
          <w:szCs w:val="21"/>
        </w:rPr>
        <w:t xml:space="preserve">3.投标文件的澄清、说明或者补正 </w:t>
      </w:r>
    </w:p>
    <w:p w14:paraId="65C0DAE0">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3.1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1632D907">
      <w:pPr>
        <w:spacing w:line="360" w:lineRule="auto"/>
        <w:ind w:left="480" w:leftChars="200"/>
        <w:jc w:val="left"/>
        <w:outlineLvl w:val="2"/>
        <w:rPr>
          <w:rFonts w:ascii="宋体" w:hAnsi="宋体"/>
          <w:b w:val="0"/>
          <w:color w:val="auto"/>
          <w:sz w:val="21"/>
          <w:szCs w:val="21"/>
        </w:rPr>
      </w:pPr>
      <w:r>
        <w:rPr>
          <w:rFonts w:hint="eastAsia" w:ascii="宋体" w:hAnsi="宋体"/>
          <w:b w:val="0"/>
          <w:color w:val="auto"/>
          <w:sz w:val="21"/>
          <w:szCs w:val="21"/>
        </w:rPr>
        <w:t>3.2评标委员会不接受投标人主动提出的澄清、说明或者补正。</w:t>
      </w:r>
    </w:p>
    <w:p w14:paraId="63712C36">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3.3 评标委员会对投标人提交的澄清、说明或者补正有疑问的，可以要求投标人进一步澄清、说明或者补正。</w:t>
      </w:r>
    </w:p>
    <w:p w14:paraId="228AB005">
      <w:pPr>
        <w:tabs>
          <w:tab w:val="left" w:pos="2472"/>
        </w:tabs>
        <w:spacing w:line="360" w:lineRule="auto"/>
        <w:outlineLvl w:val="1"/>
        <w:rPr>
          <w:rFonts w:ascii="宋体" w:hAnsi="宋体"/>
          <w:b w:val="0"/>
          <w:color w:val="auto"/>
          <w:sz w:val="21"/>
          <w:szCs w:val="21"/>
        </w:rPr>
      </w:pPr>
      <w:r>
        <w:rPr>
          <w:rFonts w:hint="eastAsia" w:ascii="宋体" w:hAnsi="宋体"/>
          <w:b w:val="0"/>
          <w:color w:val="auto"/>
          <w:sz w:val="21"/>
          <w:szCs w:val="21"/>
        </w:rPr>
        <w:t>4.评标结果</w:t>
      </w:r>
    </w:p>
    <w:p w14:paraId="58D5C4E0">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4.1提供相同品牌产品且通过资格审查、符合性审查的不同投标人参加同一合同项下投标的，按一家投标人计算，评审后得分最高的同品牌投标人获得中标人推荐资格；评审得分相同的，由投标报价最低的同品牌的投标人获得中标人的推荐资格，评审得分相同且投标报价相同时，按技术部分得分最高的同品牌的投标人获得中标人的推荐资格，其他同品牌的投标人不作为中标候选人。</w:t>
      </w:r>
    </w:p>
    <w:p w14:paraId="3A7D1539">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4.2投标文件满足招标文件全部实质性要求，且按照评审因素的量化指标评审得分最高的投标人将会被推荐为排名第一的中标候选人。</w:t>
      </w:r>
    </w:p>
    <w:p w14:paraId="1E4D2D4D">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4.3评标委员会按评标总得分由高到低顺序推荐中标候选人，评标总得分相等时，按投标报价由低到高顺序排序，并提出书面评标报告。</w:t>
      </w:r>
    </w:p>
    <w:p w14:paraId="42EBB0B1">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4.4评标委员会根据全体评标成员签字的原始评标记录和评标结果编写评标报告。</w:t>
      </w:r>
    </w:p>
    <w:p w14:paraId="30136D79">
      <w:pPr>
        <w:spacing w:line="360" w:lineRule="auto"/>
        <w:ind w:left="480" w:leftChars="200"/>
        <w:jc w:val="left"/>
        <w:rPr>
          <w:rFonts w:ascii="宋体" w:hAnsi="宋体"/>
          <w:b w:val="0"/>
          <w:color w:val="auto"/>
          <w:sz w:val="21"/>
          <w:szCs w:val="21"/>
        </w:rPr>
      </w:pPr>
      <w:r>
        <w:rPr>
          <w:rFonts w:hint="eastAsia" w:ascii="宋体" w:hAnsi="宋体"/>
          <w:b w:val="0"/>
          <w:color w:val="auto"/>
          <w:sz w:val="21"/>
          <w:szCs w:val="21"/>
        </w:rPr>
        <w:t>4.5评标委员会成员对需要共同认定的事项存在争议的，应当按照少数服从多数的原则作出结论。持不同意见的评标委员会成员应当在评标报告上签署不同意见及理由，否则视为同意评标报告。</w:t>
      </w:r>
    </w:p>
    <w:p w14:paraId="0C3329B3">
      <w:pPr>
        <w:spacing w:line="360" w:lineRule="auto"/>
        <w:ind w:left="480" w:leftChars="200"/>
        <w:jc w:val="left"/>
        <w:rPr>
          <w:rFonts w:ascii="宋体" w:hAnsi="宋体"/>
          <w:b w:val="0"/>
          <w:color w:val="auto"/>
          <w:sz w:val="21"/>
          <w:szCs w:val="21"/>
          <w:highlight w:val="red"/>
        </w:rPr>
      </w:pPr>
      <w:r>
        <w:rPr>
          <w:rFonts w:hint="eastAsia" w:ascii="宋体" w:hAnsi="宋体"/>
          <w:b w:val="0"/>
          <w:color w:val="auto"/>
          <w:sz w:val="21"/>
          <w:szCs w:val="21"/>
        </w:rPr>
        <w:t>4.6评标委员会发现招标文件存在歧义、重大缺陷导致评标工作无法进行，或者招标文件内容违反国家有关强制性规定的，应当停止评标工作，与</w:t>
      </w:r>
      <w:r>
        <w:rPr>
          <w:rFonts w:hint="eastAsia" w:ascii="宋体" w:hAnsi="宋体"/>
          <w:b w:val="0"/>
          <w:color w:val="auto"/>
          <w:sz w:val="21"/>
          <w:szCs w:val="21"/>
          <w:lang w:eastAsia="zh-CN"/>
        </w:rPr>
        <w:t>采购人</w:t>
      </w:r>
      <w:r>
        <w:rPr>
          <w:rFonts w:hint="eastAsia" w:ascii="宋体" w:hAnsi="宋体"/>
          <w:b w:val="0"/>
          <w:color w:val="auto"/>
          <w:sz w:val="21"/>
          <w:szCs w:val="21"/>
        </w:rPr>
        <w:t>或者</w:t>
      </w:r>
      <w:r>
        <w:rPr>
          <w:rFonts w:hint="eastAsia" w:ascii="宋体" w:hAnsi="宋体"/>
          <w:b w:val="0"/>
          <w:color w:val="auto"/>
          <w:sz w:val="21"/>
          <w:szCs w:val="21"/>
          <w:lang w:eastAsia="zh-CN"/>
        </w:rPr>
        <w:t>招标代理</w:t>
      </w:r>
      <w:r>
        <w:rPr>
          <w:rFonts w:hint="eastAsia" w:ascii="宋体" w:hAnsi="宋体"/>
          <w:b w:val="0"/>
          <w:color w:val="auto"/>
          <w:sz w:val="21"/>
          <w:szCs w:val="21"/>
        </w:rPr>
        <w:t>机构沟通并作书面记录。</w:t>
      </w:r>
      <w:r>
        <w:rPr>
          <w:rFonts w:hint="eastAsia" w:ascii="宋体" w:hAnsi="宋体"/>
          <w:b w:val="0"/>
          <w:color w:val="auto"/>
          <w:sz w:val="21"/>
          <w:szCs w:val="21"/>
          <w:lang w:eastAsia="zh-CN"/>
        </w:rPr>
        <w:t>采购人</w:t>
      </w:r>
      <w:r>
        <w:rPr>
          <w:rFonts w:hint="eastAsia" w:ascii="宋体" w:hAnsi="宋体"/>
          <w:b w:val="0"/>
          <w:color w:val="auto"/>
          <w:sz w:val="21"/>
          <w:szCs w:val="21"/>
        </w:rPr>
        <w:t>或者</w:t>
      </w:r>
      <w:r>
        <w:rPr>
          <w:rFonts w:hint="eastAsia" w:ascii="宋体" w:hAnsi="宋体"/>
          <w:b w:val="0"/>
          <w:color w:val="auto"/>
          <w:sz w:val="21"/>
          <w:szCs w:val="21"/>
          <w:lang w:eastAsia="zh-CN"/>
        </w:rPr>
        <w:t>招标代理</w:t>
      </w:r>
      <w:r>
        <w:rPr>
          <w:rFonts w:hint="eastAsia" w:ascii="宋体" w:hAnsi="宋体"/>
          <w:b w:val="0"/>
          <w:color w:val="auto"/>
          <w:sz w:val="21"/>
          <w:szCs w:val="21"/>
        </w:rPr>
        <w:t>机构确认后，应当修改招标文件，重新组织采购活动。</w:t>
      </w:r>
    </w:p>
    <w:p w14:paraId="445AD4B1">
      <w:pPr>
        <w:pStyle w:val="34"/>
        <w:sectPr>
          <w:pgSz w:w="11906" w:h="16838"/>
          <w:pgMar w:top="1440" w:right="1080" w:bottom="1440" w:left="1080" w:header="720" w:footer="720" w:gutter="0"/>
          <w:cols w:space="708" w:num="1"/>
        </w:sectPr>
      </w:pPr>
    </w:p>
    <w:bookmarkEnd w:id="6"/>
    <w:bookmarkEnd w:id="7"/>
    <w:bookmarkEnd w:id="483"/>
    <w:bookmarkEnd w:id="484"/>
    <w:bookmarkEnd w:id="485"/>
    <w:bookmarkEnd w:id="486"/>
    <w:p w14:paraId="24E5AA02">
      <w:pPr>
        <w:widowControl/>
        <w:numPr>
          <w:ilvl w:val="0"/>
          <w:numId w:val="4"/>
        </w:numPr>
        <w:spacing w:after="240" w:afterLines="100" w:line="440" w:lineRule="exact"/>
        <w:ind w:left="2818"/>
        <w:jc w:val="center"/>
        <w:outlineLvl w:val="0"/>
        <w:rPr>
          <w:sz w:val="44"/>
          <w:szCs w:val="44"/>
        </w:rPr>
      </w:pPr>
      <w:bookmarkStart w:id="489" w:name="_Toc480817651"/>
      <w:bookmarkStart w:id="490" w:name="_Toc401342142"/>
      <w:bookmarkStart w:id="491" w:name="_Toc8419"/>
      <w:r>
        <w:rPr>
          <w:rFonts w:hint="eastAsia" w:ascii="宋体" w:hAnsi="宋体"/>
          <w:color w:val="auto"/>
          <w:spacing w:val="20"/>
          <w:kern w:val="44"/>
          <w:sz w:val="44"/>
          <w:szCs w:val="44"/>
        </w:rPr>
        <w:t>采购内容</w:t>
      </w:r>
      <w:bookmarkEnd w:id="489"/>
      <w:bookmarkEnd w:id="490"/>
      <w:bookmarkEnd w:id="491"/>
    </w:p>
    <w:p w14:paraId="4386D104">
      <w:pPr>
        <w:widowControl/>
        <w:numPr>
          <w:ilvl w:val="0"/>
          <w:numId w:val="0"/>
        </w:numPr>
        <w:spacing w:after="240" w:afterLines="100" w:line="440" w:lineRule="exact"/>
        <w:jc w:val="both"/>
        <w:outlineLvl w:val="0"/>
        <w:rPr>
          <w:rFonts w:hint="default" w:eastAsia="宋体"/>
          <w:sz w:val="28"/>
          <w:szCs w:val="28"/>
          <w:lang w:val="en-US" w:eastAsia="zh-CN"/>
        </w:rPr>
      </w:pPr>
      <w:r>
        <w:rPr>
          <w:rFonts w:hint="eastAsia" w:ascii="宋体" w:hAnsi="宋体"/>
          <w:color w:val="auto"/>
          <w:spacing w:val="20"/>
          <w:kern w:val="44"/>
          <w:sz w:val="28"/>
          <w:szCs w:val="28"/>
          <w:lang w:val="en-US" w:eastAsia="zh-CN"/>
        </w:rPr>
        <w:t>本项目核心产品为：出口路由器、核心交换机、防火墙</w:t>
      </w:r>
    </w:p>
    <w:tbl>
      <w:tblPr>
        <w:tblStyle w:val="35"/>
        <w:tblW w:w="106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98"/>
        <w:gridCol w:w="996"/>
        <w:gridCol w:w="5727"/>
        <w:gridCol w:w="791"/>
        <w:gridCol w:w="841"/>
        <w:gridCol w:w="942"/>
        <w:gridCol w:w="822"/>
      </w:tblGrid>
      <w:tr w14:paraId="5EA9A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538D4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44186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产品名称</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5AF0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p w14:paraId="52EA79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技术规格</w:t>
            </w:r>
          </w:p>
          <w:p w14:paraId="2EAD2DCB">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8D34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单位</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C50D9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数量</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1FBB3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单价</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C6872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w:t>
            </w:r>
          </w:p>
        </w:tc>
      </w:tr>
      <w:tr w14:paraId="792AA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1061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14:paraId="201C956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一、网络设备</w:t>
            </w:r>
          </w:p>
        </w:tc>
      </w:tr>
      <w:tr w14:paraId="0B9BB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15"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71A92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CFA33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出口路由器</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45C1F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1、支持100G端口，实配出口带宽&gt;20G，整机吞吐可扩展至100G以上，设备整机高度不高于5U，交换容量不低于145Tbps，包转发不低于24500Mpps，若官网存在小值，以最小值为准。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2、支持在校园网出口运行PPPoE代拨、用户组选路或带宽控制等业务。同时在线的用户规模不小于2万人</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3、整机最大NAT并发会话数大于6000万。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4、单线卡IPV4流表容量800w，ipv6流表容量400w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5、为提高整机可靠性，需支持双系统备份功能，提供具有CMA和CNAS认证章的第三方权威机构检验报告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6、设备关键芯片CPU/交换芯片关键器件均为国产，提供具有CMA和CNAS认证章的第三方权威机构检验报告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7、整机配置双主控，冗余电源，业务槽位支持子母卡配置，万兆光口不少于20个，100G端口不少于4个，万兆多模光模块不少于4个。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8、支持路由引擎、业务载板/模块、电源/风扇等关键部件的高可用性热插拔设计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9、 支持CPP(CPU保护功能)，限制非法报文对CPU的攻击，保护路由器在各种环境下稳定工作；提供具有CNAS认证章的第三方权威机构检验报告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10、支持基础网络保护策略，对有攻击行为的用户进行隔离，保证网络安全稳定；提供具有CNAS认证章的第三方权威机构检验报告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 支持应用识别(自定义/预定义)，FPI首包识别，DPI深度识别，DNS关联识别。</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3240E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AB5C9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A721F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391727</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1EED4C">
            <w:pPr>
              <w:jc w:val="center"/>
              <w:rPr>
                <w:rFonts w:hint="eastAsia" w:ascii="宋体" w:hAnsi="宋体" w:eastAsia="宋体" w:cs="宋体"/>
                <w:b w:val="0"/>
                <w:bCs w:val="0"/>
                <w:i w:val="0"/>
                <w:iCs w:val="0"/>
                <w:color w:val="000000"/>
                <w:sz w:val="24"/>
                <w:szCs w:val="24"/>
                <w:u w:val="none"/>
              </w:rPr>
            </w:pPr>
          </w:p>
        </w:tc>
      </w:tr>
      <w:tr w14:paraId="4249B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6"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529D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3F2A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网络管理平台</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CF7116">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1、▲支持国产化信创操作系统部署 Kylin V10 SP3,支持Ubuntu 24.04 部署等。</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2、支持网元告警通过Syslog推送第三方服务器，提供界面截图。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3、对关键链路的实时状态具备智能检测功能，若状态发生变化，能够智能快速的定位故障点，并支持以多种告警形式通知管理员，以便使网络尽快恢复正常，提供功能截图。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4、支持光链路状态周期巡检、手动巡检；支持单台设备光链路状态检测；支持光链路预警阈值设置；提供功能截图。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5、支持第三方设备CPU节点，内存节点，MAC地址表，ARP表采集自定义，提供功能截图。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6、支持通过Excel批量导入、基于楼栋交换机端口两种方式绑定设备区域位置管理资产信息，适应不同工程厂商在网络开局阶段的工作流程，提供高效的资产登记和网络规划方案。投标时提供产品功能界面截图。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7、支持创建交换机的业务模板，支持图形化界面提前规划各端口业务。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8、当室内交换机出现故障，支持使用新设备的零配置替换故障设备，新设备上电后配置自动下发，无需手动配置。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当室内交换机出现故障，替换用的新设备支持智能零替换。支持自适应不同型号间的设备替换，以及替换后新设备支持终端在任意端口接入，并且终端在原有设备接入端口的配置可自动跟随到新设备端口。投标时提供产品功能界面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10、当网络出现环路时能自动产生告警，并在拓扑中显示具体的环路设备告警，能够查询到具体的环路端口，提供功能截图。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11、支持开启微信告警，网络告警推送到用户微信公众号；提供界面截图。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12、支持AP设备状态，AP设备名称，设备MAC，设备IP，设备位置，所属AC，AP组，设备型号，在线用户，在线时长，离线时长呈现。</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13、支持网络拓扑自定义，建立用户视角监控设备，运维更聚焦；提供界面截图。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14、支持4/5G路由SIM卡监控，包括端口，SIM卡拨号状态，网络信息，链路类型，国家地区。</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15、平台支持对有线、无线、路由、安全等设备的纳管。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16、本次配置500点网元设备的管理，3000台终端识别、防伪冒及阻断、准入管控功能，20点安全设备管理，20点路由器管理。</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23D3B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56205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C6430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192021</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65BA75">
            <w:pPr>
              <w:jc w:val="center"/>
              <w:rPr>
                <w:rFonts w:hint="eastAsia" w:ascii="宋体" w:hAnsi="宋体" w:eastAsia="宋体" w:cs="宋体"/>
                <w:b w:val="0"/>
                <w:bCs w:val="0"/>
                <w:i w:val="0"/>
                <w:iCs w:val="0"/>
                <w:color w:val="000000"/>
                <w:sz w:val="24"/>
                <w:szCs w:val="24"/>
                <w:u w:val="none"/>
              </w:rPr>
            </w:pPr>
          </w:p>
        </w:tc>
      </w:tr>
      <w:tr w14:paraId="2B4FD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8"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35E2B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7BA58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无线控制器</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2DEAE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1、▲配置千兆电口≥8个，千兆光口≥2个，万兆光口≥2个，Console接口1个，模块化冗余电源≥2个，USB3.0接口≥1个。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2、802.11转发性能≥20G，最大可支持管理2048个AP，配置本项目共不低于350个授权。</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3、无线 控制器具备虚拟化功能，多台无线控制器可以被虚拟化成一台控制器，实现虚拟控制器对所有成员AC的统一管理。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4、支持 802.11R快速漫游，提升漫游体验。</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5、无线控制器具备AP逃生功能，当在AC不可达造成AP离线时，离线的AP能够继续维持已经接入的终端保持业务正常，提升无线网络的可靠性。</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6、支持实时频谱防护,可视化射频干扰源对无线局域网的性能的影响。</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7、产品关键芯片（CPU/MAC/网卡等）采用国产安全可控芯片，提供具有 CMA或 CNAS认证印章的第三方权威机构检验报告证明复印件。</w:t>
            </w:r>
            <w:r>
              <w:rPr>
                <w:rFonts w:hint="eastAsia" w:ascii="宋体" w:hAnsi="宋体" w:eastAsia="宋体" w:cs="宋体"/>
                <w:b w:val="0"/>
                <w:bCs w:val="0"/>
                <w:i w:val="0"/>
                <w:iCs w:val="0"/>
                <w:color w:val="000000"/>
                <w:kern w:val="0"/>
                <w:sz w:val="24"/>
                <w:szCs w:val="24"/>
                <w:u w:val="none"/>
                <w:lang w:val="en-US" w:eastAsia="zh-CN" w:bidi="ar"/>
              </w:rPr>
              <w:br w:type="textWrapping"/>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4C67C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3944C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99E55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65624</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9ACA59">
            <w:pPr>
              <w:jc w:val="center"/>
              <w:rPr>
                <w:rFonts w:hint="eastAsia" w:ascii="宋体" w:hAnsi="宋体" w:eastAsia="宋体" w:cs="宋体"/>
                <w:b w:val="0"/>
                <w:bCs w:val="0"/>
                <w:i w:val="0"/>
                <w:iCs w:val="0"/>
                <w:color w:val="000000"/>
                <w:sz w:val="24"/>
                <w:szCs w:val="24"/>
                <w:u w:val="none"/>
              </w:rPr>
            </w:pPr>
          </w:p>
        </w:tc>
      </w:tr>
      <w:tr w14:paraId="391C1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1"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32D33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AF05C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核心交换机</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E8BC33">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一、▲单台配置要求：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主控引擎与业务板卡完全物理分离, 采用全分布式转发处理架构，独立主控引擎插槽≥2个，独立业务插槽数≥6个；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单台配置2个引擎、2个电源；</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单台配置24个千兆电、8个千兆光口、8个万兆光口；</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单台配置10个万兆多模光模块，万兆虚拟化线缆一根；</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二、参数要求：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1、▲交换容量≥102Tbps，包转发性能≥70000Mpps，以官网最小值为准；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2、风扇框冗余设计， 且为保证设备散热效果和可靠性，要求设备支持模块化风扇框，可热插拔，当单个风扇框发生故障时，有其他风扇正常运行，保证设备散热，要求独立风扇框个数≥2个；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3、设备支持硬件健康状态可视化，可以对风扇状态、电源、温度、板载电压进行监控，尤其是在日常巡查中发现电压异常前兆，可及时处理，避免出现电压异常宕机；</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4、为提高设备面板空间利用率，要求采用高密度端口设计，所投产品单张业务卡最大可用物理端口≥52个，整机转发业务物理端口≥312个；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5、支持N:1虚拟化：可将多台物理设备虚拟化为1台逻辑设备，虚拟组内设备具备统一的二层及三层转发表项，统一的管理界面，并可实现跨设备链路聚合；</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 支持VXLAN二三层分布式网关，支持EVPN，支持VXLAN双活；</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7、支持静态路由、RIP、RIPng、OSPF、OSPFv3、BGP、BGP4+、ISIS、ISISv6，支持路由协议多实例，支持GR for OSPF/IS-IS/BGP，支持策略路由；</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8、采用节能设计，核心交换机100G端口在负载100%的情况下每端口功率需要≤10W，10G端口在负载100%的情况下每端口功率需要≤2W；提供具有CMA或CAL或CNAS认证章的第三方权威机构检验报告证明。</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5FB3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6F695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26B18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103558</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0BFCF3">
            <w:pPr>
              <w:jc w:val="center"/>
              <w:rPr>
                <w:rFonts w:hint="eastAsia" w:ascii="宋体" w:hAnsi="宋体" w:eastAsia="宋体" w:cs="宋体"/>
                <w:b w:val="0"/>
                <w:bCs w:val="0"/>
                <w:i w:val="0"/>
                <w:iCs w:val="0"/>
                <w:color w:val="000000"/>
                <w:sz w:val="24"/>
                <w:szCs w:val="24"/>
                <w:u w:val="none"/>
              </w:rPr>
            </w:pPr>
          </w:p>
        </w:tc>
      </w:tr>
      <w:tr w14:paraId="0D177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31"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5DFF9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7440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数据中心交换机</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1C11E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1、独立业务插槽≥8个，支持可拔插双模块化电源，实现1+1冗余，支持热插拔；</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2、交换容量≥38Tbps，转发性能≥7000Mpps，以官网最小值为准。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3、支持1个硬盘插槽，本次提供硬盘容量≥1TB；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4、采用正交交换架构，交换网板与线卡成垂直90°正交连接且与主控引擎、业务板硬件分离，业务板槽位采用竖插槽方式设计；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5、为适应机柜并排部署，采取严格前后风道散热设计，确保与机房散热风道保持一致，提升散热效率</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6、为提高设备及整网稳定性，要求设备支持灵活插卡，模块化设计；并且网关卡异常不影响交换内网，双路由卡，支持主备、负载均衡模式应对单点故障；</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7、支持POE/POE+，同时可POE供电端口≥48个，POE最大输出功率≥1040W；</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8、支持硬件健康状态可视化，可以对风扇状态、电源、温度、板载电压进行监控，尤其是在日常巡查中发现电压异常前兆，可及时处理，避免出现电压异常宕机；</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9、▲配置万兆光口不少于16个，千兆电口不少于16个，万兆多模光模块不少于20个。</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9EFA9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F0CE1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48DA2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11338</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7CCB08">
            <w:pPr>
              <w:jc w:val="center"/>
              <w:rPr>
                <w:rFonts w:hint="eastAsia" w:ascii="宋体" w:hAnsi="宋体" w:eastAsia="宋体" w:cs="宋体"/>
                <w:b w:val="0"/>
                <w:bCs w:val="0"/>
                <w:i w:val="0"/>
                <w:iCs w:val="0"/>
                <w:color w:val="000000"/>
                <w:sz w:val="24"/>
                <w:szCs w:val="24"/>
                <w:u w:val="none"/>
              </w:rPr>
            </w:pPr>
          </w:p>
        </w:tc>
      </w:tr>
      <w:tr w14:paraId="77712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17"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184F3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CA153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超聚合设备</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55A52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1、配置≥80个下行独享万兆速率逻辑/物理接口，≥2个100G端口，≥4个25G光口，≥4个电口，配置模块化双交流电源，万兆多模光模块不少于4个；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2、交换容量≥18Tbps，包转发率≥3500Mpps（若出现X/Y值，以最小值为准）；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3、设备支持硬件健康状态可视化，可以对风扇状态、电源、温度进行监控；</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4、支持工作波长在1271nm~1571nm范围内的光模块，且各波长之间相互隔离，互不干扰；</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5、支持RIP，OSPF，BGP，RIPng，OSPFv3，BGP4+。；</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6、支持多虚一技术，可将多台物理设备虚拟化为一台逻辑设备统一管理；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7、支持RIP，OSPF，BGP，RIPng，OSPFv3，BGP4+</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8、支持CPU保护功能，能够针对发往CPU处理的各种报文进行流区分和优先级队列分级处理，保护交换机在各种环境下稳定工作；</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5D1B7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C362A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23154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37576</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34E975">
            <w:pPr>
              <w:jc w:val="center"/>
              <w:rPr>
                <w:rFonts w:hint="eastAsia" w:ascii="宋体" w:hAnsi="宋体" w:eastAsia="宋体" w:cs="宋体"/>
                <w:b w:val="0"/>
                <w:bCs w:val="0"/>
                <w:i w:val="0"/>
                <w:iCs w:val="0"/>
                <w:color w:val="000000"/>
                <w:sz w:val="24"/>
                <w:szCs w:val="24"/>
                <w:u w:val="none"/>
              </w:rPr>
            </w:pPr>
          </w:p>
        </w:tc>
      </w:tr>
      <w:tr w14:paraId="56BF3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67710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76F11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无源汇聚外框</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510B59">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楼栋侧汇聚外框，包含6个槽位，可插入无源汇聚，支持上架或贴墙安装</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89C39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79FCD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94F5D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247</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5B515C">
            <w:pPr>
              <w:jc w:val="center"/>
              <w:rPr>
                <w:rFonts w:hint="eastAsia" w:ascii="宋体" w:hAnsi="宋体" w:eastAsia="宋体" w:cs="宋体"/>
                <w:b w:val="0"/>
                <w:bCs w:val="0"/>
                <w:i w:val="0"/>
                <w:iCs w:val="0"/>
                <w:color w:val="000000"/>
                <w:sz w:val="24"/>
                <w:szCs w:val="24"/>
                <w:u w:val="none"/>
              </w:rPr>
            </w:pPr>
          </w:p>
        </w:tc>
      </w:tr>
      <w:tr w14:paraId="36DC7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E652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F92A0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无源汇聚</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ED1717">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1、汇聚设备的各通道间，应实现物理隔离；汇聚设备需支持集中机柜安装、交换设备线槽安装、壁挂等安装方式；汇聚器件完全无源，无需插电即可正常工作。</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2、▲为满足大汇聚场景的需要，汇聚产品固化端口数≥ 8。</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3、使用光模块的工作波长，应满足国家标准；支持双上行组网，提高链路可靠性。</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4、可显示整网拓扑，包括设备端口使用情况，链路故障能及时响应。</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5、汇聚设备各端口通道支持点到点透明传输，端口不分光、带宽不收敛，即接入侧端口速率与核心侧端口速率相同（投标文件中需提供官网截图及链接）。</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6、提供相关配件。</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71F8E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18685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E15E0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2146</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23E795">
            <w:pPr>
              <w:jc w:val="center"/>
              <w:rPr>
                <w:rFonts w:hint="eastAsia" w:ascii="宋体" w:hAnsi="宋体" w:eastAsia="宋体" w:cs="宋体"/>
                <w:b w:val="0"/>
                <w:bCs w:val="0"/>
                <w:i w:val="0"/>
                <w:iCs w:val="0"/>
                <w:color w:val="000000"/>
                <w:sz w:val="24"/>
                <w:szCs w:val="24"/>
                <w:u w:val="none"/>
              </w:rPr>
            </w:pPr>
          </w:p>
        </w:tc>
      </w:tr>
      <w:tr w14:paraId="23B33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0"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17C1C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F7DAA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光模块1</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A16E6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一组高功率万兆模块，包含8个不同波长光模块，单模，10KM，LC。</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E2202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E2F2D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D5A7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1980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2F8658">
            <w:pPr>
              <w:jc w:val="center"/>
              <w:rPr>
                <w:rFonts w:hint="eastAsia" w:ascii="宋体" w:hAnsi="宋体" w:eastAsia="宋体" w:cs="宋体"/>
                <w:b w:val="0"/>
                <w:bCs w:val="0"/>
                <w:i w:val="0"/>
                <w:iCs w:val="0"/>
                <w:color w:val="000000"/>
                <w:sz w:val="24"/>
                <w:szCs w:val="24"/>
                <w:u w:val="none"/>
              </w:rPr>
            </w:pPr>
          </w:p>
        </w:tc>
      </w:tr>
      <w:tr w14:paraId="783A3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7"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08ADD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0BE74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光模块2</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8C68F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万兆模块，单芯，可同时支持8种不同波长（8台接入设备），单模，10KM，LC，单模块最大传输带宽不低于80G。</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59DC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E64DD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A2CF3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5939</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1D825">
            <w:pPr>
              <w:jc w:val="center"/>
              <w:rPr>
                <w:rFonts w:hint="eastAsia" w:ascii="宋体" w:hAnsi="宋体" w:eastAsia="宋体" w:cs="宋体"/>
                <w:b w:val="0"/>
                <w:bCs w:val="0"/>
                <w:i w:val="0"/>
                <w:iCs w:val="0"/>
                <w:color w:val="000000"/>
                <w:sz w:val="24"/>
                <w:szCs w:val="24"/>
                <w:u w:val="none"/>
              </w:rPr>
            </w:pPr>
          </w:p>
        </w:tc>
      </w:tr>
      <w:tr w14:paraId="004A3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7"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842EE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25A5E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12口接入交换机</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F9304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1、固化10/100/1000M以太网电口≥12个，1G/10G SFP+光接口≥1个；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2、交换容量≥430Gbps，包转发率≥60Mpps(如官网以X/Y形式表述则以其中最小值为准)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3、设备采用静音无风扇节能设计，噪声值＜20dB；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4、为保证设备在受到外接机械碰撞时能够正常运行，要求所投交换机IK防护测试级别至少达到IK05，提供国家认可的检测机构出具的IK防护等级测试报告以及检测机构官网查询截图；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5、支持生成树协议RSTP(IEEE 802、1w)，完全保证快速收敛，提高容错能力，保证网络的稳定运行和链路的负载均衡，合理使用网络通道，提供冗余链路利用率；</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6、支持专门针对CPU的保护机制，能够针对发往CPU处理的各种报文进行流区分和优先级队列分级处理，保护交换机在各种环境下稳定工作；</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7、当交换机出现故障，支持替换用的新设备的零配置替换，新设备上电后配置自动下发，无需手动配置。投标时提供具有CMA或CAL或CNAS认证章的第三方权威机构检验报告证明；</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A79E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4B82D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B1A3B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1782</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89C0F3">
            <w:pPr>
              <w:jc w:val="center"/>
              <w:rPr>
                <w:rFonts w:hint="eastAsia" w:ascii="宋体" w:hAnsi="宋体" w:eastAsia="宋体" w:cs="宋体"/>
                <w:b w:val="0"/>
                <w:bCs w:val="0"/>
                <w:i w:val="0"/>
                <w:iCs w:val="0"/>
                <w:color w:val="000000"/>
                <w:sz w:val="24"/>
                <w:szCs w:val="24"/>
                <w:u w:val="none"/>
              </w:rPr>
            </w:pPr>
          </w:p>
        </w:tc>
      </w:tr>
      <w:tr w14:paraId="7363A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17"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082CD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0ECA3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4口POE交换机</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DA33A5">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1、固化10/100/1000M以太网电口≥ 4个，1G/2、5G/10G SFP+光接口≥ 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2、交换容量≥ 670Gbps，包转发率≥ 75Mpps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3、要求所投产品所有电口支持PoE和PoE+远程供电，整机POE供电功率为≥ 45W</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4、为保证设备在受到外接机械碰撞时能够正常运行，要求所投6、交换机IK防护测试级别至少达到IK05</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5、要求设备采用静音设计，噪声值＜20dB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6、要求设备采用金属外壳和金属网口设计，提供官网截图。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7、支持端口浪涌抗扰度≥ 8KV（即具备8KV的防雷能力），要求提供官网截图作为证明。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8、支持通过WEB可视化界面配置交换机</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室内交换机支持零配置上线。根据不同区域的业务创建相应业务模板后，绑定设备区域位置信息，设备开箱上电后配置即可自动从软件下发，无需在接入设备端刷入配置；投标时提供具有CMA或CAL或CNAS认证章的第三方权威机构检验报告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支持通过excel批量导入、基于楼栋交换机端口、微信小程序扫码三种方式绑定设备区域位置管理资产信息，适应不同工程厂商在网络开局阶段的工作流程，提供高效的资产登记和网络规划方案；投标时提供具有CMA或CAL或CNAS认证章的第三方权威机构检验报告证明；</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3ADD5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E8CA4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2A799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1524</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8E6FE">
            <w:pPr>
              <w:jc w:val="center"/>
              <w:rPr>
                <w:rFonts w:hint="eastAsia" w:ascii="宋体" w:hAnsi="宋体" w:eastAsia="宋体" w:cs="宋体"/>
                <w:b w:val="0"/>
                <w:bCs w:val="0"/>
                <w:i w:val="0"/>
                <w:iCs w:val="0"/>
                <w:color w:val="000000"/>
                <w:sz w:val="24"/>
                <w:szCs w:val="24"/>
                <w:u w:val="none"/>
              </w:rPr>
            </w:pPr>
          </w:p>
        </w:tc>
      </w:tr>
      <w:tr w14:paraId="53418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7"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C2BAF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4C99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8口POE交换机</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31556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1、固化10/100/1000M以太网电口≥ 8个，1G/2.5G/10G SFP+光接口≥ 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2、交换容量≥ 670Gbps，包转发率≥ 78Mpps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3、要求所投产品支持PoE和PoE+远程供电，PoE供电功率为125W</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4、为保证设备在受到外接机械碰撞时能够正常运行，要求所投6、交换机IK防护测试级别至少达到IK05</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5、要求设备采用静音设计，噪声值＜20dB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6、要求设备采用金属外壳和金属网口设计，提供官网截图。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7、支持端口浪涌抗扰度≥ 8KV（即具备8KV的防雷能力），要求提供官网截图作为证明。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8、符合国家低碳环保等政策要求，支持IEEE 802、3az标准的EEE节能技术，要求提供官网截图。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9、支持通过WEB可视化界面配置交换机</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室内交换机支持零配置上线。根据不同区域的业务创建相应业务模板后，绑定设备区域位置信息，设备开箱上电后配置即可自动从软件下发，无需在接入设备端刷入配置；投标时提供具有CMA或CAL或CNAS认证章的第三方权威机构检验报告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支持通过excel批量导入、基于楼栋交换机端口、微信小程序扫码三种方式绑定设备区域位置管理资产信息，适应不同工程厂商在网络开局阶段的工作流程，提供高效的资产登记和网络规划方案；投标时提供具有CMA或CAL或CNAS认证章的第三方权威机构检验报告证明；</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AAAB1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3E57F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57</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36AD4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1893</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B3A1E">
            <w:pPr>
              <w:jc w:val="center"/>
              <w:rPr>
                <w:rFonts w:hint="eastAsia" w:ascii="宋体" w:hAnsi="宋体" w:eastAsia="宋体" w:cs="宋体"/>
                <w:b w:val="0"/>
                <w:bCs w:val="0"/>
                <w:i w:val="0"/>
                <w:iCs w:val="0"/>
                <w:color w:val="000000"/>
                <w:sz w:val="24"/>
                <w:szCs w:val="24"/>
                <w:u w:val="none"/>
              </w:rPr>
            </w:pPr>
          </w:p>
        </w:tc>
      </w:tr>
      <w:tr w14:paraId="64662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4"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61065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904CA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放装AP</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A71016">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1、支持802.11be标准，采用双射频设计，整机空间流≥ 4条。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2、整机最大接入速率≥ 3.5Gbps。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3、支持2.5G以太网接口≥ 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4、支持2.5G光口≥ 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5、内置蓝牙5.3。提供官网截图和链接证明。。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7、所投AP具有WLAN自动网优功能，不借助任何网络优化软件，仅通过AP配置进行无线网络优化，降低无线网络中的频段干扰。</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8、支持终端智能识别技术，可识别终端类型并上报。</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9、支持基于SSID、射频卡的接入用户数限制。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10、支持基于终端数或流量的智能负载均衡，支持基于STA/SSID/AP的限速。</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86D99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78CA1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114</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BE5A1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1485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7C648F">
            <w:pPr>
              <w:jc w:val="center"/>
              <w:rPr>
                <w:rFonts w:hint="eastAsia" w:ascii="宋体" w:hAnsi="宋体" w:eastAsia="宋体" w:cs="宋体"/>
                <w:b w:val="0"/>
                <w:bCs w:val="0"/>
                <w:i w:val="0"/>
                <w:iCs w:val="0"/>
                <w:color w:val="000000"/>
                <w:sz w:val="24"/>
                <w:szCs w:val="24"/>
                <w:u w:val="none"/>
              </w:rPr>
            </w:pPr>
          </w:p>
        </w:tc>
      </w:tr>
      <w:tr w14:paraId="1B90D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502AD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48C91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本地电源适配器</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24233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单端口以太网供电适配器（千兆端口、支持802.3af协议标准供电）</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92BEC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A6E87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0CA6E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178</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D13914">
            <w:pPr>
              <w:jc w:val="center"/>
              <w:rPr>
                <w:rFonts w:hint="eastAsia" w:ascii="宋体" w:hAnsi="宋体" w:eastAsia="宋体" w:cs="宋体"/>
                <w:b w:val="0"/>
                <w:bCs w:val="0"/>
                <w:i w:val="0"/>
                <w:iCs w:val="0"/>
                <w:color w:val="000000"/>
                <w:sz w:val="24"/>
                <w:szCs w:val="24"/>
                <w:u w:val="none"/>
              </w:rPr>
            </w:pPr>
          </w:p>
        </w:tc>
      </w:tr>
      <w:tr w14:paraId="1AEBD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0"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F2FEC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70296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高密AP</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272ED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1、2.4GHz、5GHz频段均支持802、11be标准，采用三射频设计。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2、▲整机支持8条空间流，整机最大无线速率≥ 6.4Gbps。提供官网截图和链接证明。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3、支持5GHz内外置天线切换，提供官网截图和链接证明。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4、5GHz 单射频支持4*4 MIMO，且单射频最大接入速率≥5、76Gbps。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5、支持1个5G以太网电口和1个1G以太网电口，支持10G光口≥ 1个，提供官网截图和链接证明。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6、支持BLE 5.3，提供官网截图和链接证明。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7、支持USB 2.0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8、为快速建立高度隔离的安全网络，设备应支持实现AP虚拟化功能，实现一台AP虚拟为多台AP，分别受不同AC设备独立管理，互不影响。不同虚拟AP之间数据隔离，虚拟AP在AC上不占用AP License</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68C92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43D4B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AEDA9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2771</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2B9FE6">
            <w:pPr>
              <w:jc w:val="center"/>
              <w:rPr>
                <w:rFonts w:hint="eastAsia" w:ascii="宋体" w:hAnsi="宋体" w:eastAsia="宋体" w:cs="宋体"/>
                <w:b w:val="0"/>
                <w:bCs w:val="0"/>
                <w:i w:val="0"/>
                <w:iCs w:val="0"/>
                <w:color w:val="000000"/>
                <w:sz w:val="24"/>
                <w:szCs w:val="24"/>
                <w:u w:val="none"/>
              </w:rPr>
            </w:pPr>
          </w:p>
        </w:tc>
      </w:tr>
      <w:tr w14:paraId="182D5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FC02E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3FE76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室外AP</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C25E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1、室外型无线接入点，支持802、11be标准。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2、整机双射频，4条空间流，整机最大无线接入速率≥ 3.5Gbps。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3、内置全向天线设计。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4、支持2.5G有线接口≥ 1个，支持2.5G光口≥ 1个，支持内置蓝牙5.3，支持IP68防护等级，提供官网截图和链接证明。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5、避免无线网络中私接非法AP，所投AP具有非法AP的精确反制和模糊反制功能，能够主动识别非法设备并令非法设备不能使用。</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6、所投AP具有WLAN自动网优功能，不借助任何网络优化软件，仅通过AP配置进行无线网络优化，降低无线网络中的频段干扰。</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42C10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B0FAE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9CAC9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2138</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7F9E4B">
            <w:pPr>
              <w:jc w:val="center"/>
              <w:rPr>
                <w:rFonts w:hint="eastAsia" w:ascii="宋体" w:hAnsi="宋体" w:eastAsia="宋体" w:cs="宋体"/>
                <w:b w:val="0"/>
                <w:bCs w:val="0"/>
                <w:i w:val="0"/>
                <w:iCs w:val="0"/>
                <w:color w:val="000000"/>
                <w:sz w:val="24"/>
                <w:szCs w:val="24"/>
                <w:u w:val="none"/>
              </w:rPr>
            </w:pPr>
          </w:p>
        </w:tc>
      </w:tr>
      <w:tr w14:paraId="0C227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39"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214E6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1CF39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室外AP接入设备</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D302DE">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1、固化100/1000M SFP光接口≥ 24，10G/1G SFP+光接口≥ 4个，2个模块化电源插槽，本次配置2块交流电源，万兆单模光模块不少于2个，千兆单模光模块不少于30个；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2、交换容量≥ 670Gbps，转发率≥ 170Mpps；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3、支持静态路由、RIP/RIPng、OSPFv2/OSPFv3等三层路由协议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4、支持SAVI功能，可防止地址解析欺骗；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5、支持CPU保护功能，能限制非法报文对CPU的攻击，保护交换机在各种环境下稳定工作；</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6、支持虚拟化功能，可将多台物理设备虚拟化为一台逻辑设备统一管理，并且链路故障的收敛时间≤ 50ms；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7、符合国家低碳环保等政策要求，支持IEEE 802、3az标准的EEE节能技术；</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8、支持专门基础网络保护机制，能够限制用户向网络中发送数据包的速率，对有攻击行为的用户进行隔离，保证设备和整网的安全稳定运行；</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E4DB5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27C93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36528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7166</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29A777">
            <w:pPr>
              <w:jc w:val="center"/>
              <w:rPr>
                <w:rFonts w:hint="eastAsia" w:ascii="宋体" w:hAnsi="宋体" w:eastAsia="宋体" w:cs="宋体"/>
                <w:b w:val="0"/>
                <w:bCs w:val="0"/>
                <w:i w:val="0"/>
                <w:iCs w:val="0"/>
                <w:color w:val="000000"/>
                <w:sz w:val="24"/>
                <w:szCs w:val="24"/>
                <w:u w:val="none"/>
              </w:rPr>
            </w:pPr>
          </w:p>
        </w:tc>
      </w:tr>
      <w:tr w14:paraId="6C625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9C98E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72DDD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万兆单模光模块</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BE4BD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万兆LC接口模块（1310nm），10km，适用于SFP+接口</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45109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81731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ED97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763</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D9F0B">
            <w:pPr>
              <w:jc w:val="center"/>
              <w:rPr>
                <w:rFonts w:hint="eastAsia" w:ascii="宋体" w:hAnsi="宋体" w:eastAsia="宋体" w:cs="宋体"/>
                <w:b w:val="0"/>
                <w:bCs w:val="0"/>
                <w:i w:val="0"/>
                <w:iCs w:val="0"/>
                <w:color w:val="000000"/>
                <w:sz w:val="24"/>
                <w:szCs w:val="24"/>
                <w:u w:val="none"/>
              </w:rPr>
            </w:pPr>
          </w:p>
        </w:tc>
      </w:tr>
      <w:tr w14:paraId="2850F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0FE0F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5AB5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千兆单模光模块</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EB3C6E">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千兆单模光模块，1310nm，10KM</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C5A2C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AF76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3EABC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218</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AAC382">
            <w:pPr>
              <w:jc w:val="center"/>
              <w:rPr>
                <w:rFonts w:hint="eastAsia" w:ascii="宋体" w:hAnsi="宋体" w:eastAsia="宋体" w:cs="宋体"/>
                <w:b w:val="0"/>
                <w:bCs w:val="0"/>
                <w:i w:val="0"/>
                <w:iCs w:val="0"/>
                <w:color w:val="000000"/>
                <w:sz w:val="24"/>
                <w:szCs w:val="24"/>
                <w:u w:val="none"/>
              </w:rPr>
            </w:pPr>
          </w:p>
        </w:tc>
      </w:tr>
      <w:tr w14:paraId="069C9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8"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BFAA7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6C1AE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24口POE交换机</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3A6393">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1、固化10/100/1000M以太网端口≥ 24，固化10G/1G SFP+光接口≥ 4个，支持POE和POE+,同时可POE供电端口≥ 24个，POE最大输出功率≥ 370W；</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2、交换容量≥ 670Gbps，包转发率≥ 170Mpps；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3、设备MAC地址≥ 16K</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4、支持IPV4/IPV6静态路由</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5、为保证设备在受到外界机械碰撞时能够正常运行，要求所投交换机IK防护测试级别至少达到IK05，提供具有 CMA或CAL或 CNAS认证章的测试报告；</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6、为满足工作场所的耐高温要求，要求设备具备0~50°的宽温设计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7、支持生成树协议STP(IEEE 802、1d)，RSTP(IEEE 802、1w)和MSTP(IEEE 802、1s)，完全保证快速收敛，提高容错能力，保证网络的稳定运行和链路的负载均衡，合理使用网络通道，提供冗余链路利用率；</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F7F62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E039B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2860B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5761</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C679A4">
            <w:pPr>
              <w:jc w:val="center"/>
              <w:rPr>
                <w:rFonts w:hint="eastAsia" w:ascii="宋体" w:hAnsi="宋体" w:eastAsia="宋体" w:cs="宋体"/>
                <w:b w:val="0"/>
                <w:bCs w:val="0"/>
                <w:i w:val="0"/>
                <w:iCs w:val="0"/>
                <w:color w:val="000000"/>
                <w:sz w:val="24"/>
                <w:szCs w:val="24"/>
                <w:u w:val="none"/>
              </w:rPr>
            </w:pPr>
          </w:p>
        </w:tc>
      </w:tr>
      <w:tr w14:paraId="5D019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7"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6F6FD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4929B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24口光混主机</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3D3C75">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1、▲万兆SFP+光口≥ 4个，PoE+供电端口≥ 20个，PoE++供电端口≥ 4个，整机最大PoE输出功率≥ 480W，配套电源理线架；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2、单主机固化2.5G光口≥ 24个，支持对AP进行光电混合缆供电；</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3、支持简化部署，主AP和微AP可以通过光电混合缆传输数据和供电，室内最大支持1100米光电混合缆部署；为节省空间，光电混合缆采用扁缆，并采用钢丝防拉伸；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4、交换容量≥ 2.4Tbps，包转发率≥ 600Mpps；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5、配合管理软件实现供电端口可视化展示，可以展示端口供电情况（包括不仅限于电源开启状态、供电状态、功率、电流、电压）；需提供功能截图；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6、配合管理软件实现供电端口可视化展示，可以展示光口通讯状态（包括不仅限于接收功率、发送功率、温度、电压、电流）；需提供功能截图；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7、供电链路支持短路保护，当发生短路时，主机可识别短路，并停止供电，当检测短路状态恢复，可再次上电；需提供功能截图；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8、支持对无线终端负载均衡，支持本地数据转发；</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2FF9D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25CAE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B988D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11284</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6ADBCB">
            <w:pPr>
              <w:jc w:val="center"/>
              <w:rPr>
                <w:rFonts w:hint="eastAsia" w:ascii="宋体" w:hAnsi="宋体" w:eastAsia="宋体" w:cs="宋体"/>
                <w:b w:val="0"/>
                <w:bCs w:val="0"/>
                <w:i w:val="0"/>
                <w:iCs w:val="0"/>
                <w:color w:val="000000"/>
                <w:sz w:val="24"/>
                <w:szCs w:val="24"/>
                <w:u w:val="none"/>
              </w:rPr>
            </w:pPr>
          </w:p>
        </w:tc>
      </w:tr>
      <w:tr w14:paraId="2EB27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F4B0B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30BB9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48口光混主机</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C5611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1、▲交换容量≥ 2.4Tbps， 包转发率≥ 600Mpps，配套电源理线架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2、固化1G/2.5G SFP接口≥ 40个，1G/2.5G /10G SFP+接口≥8个，25G SFP28接口≥ 4个，40G QSFP+接口≥ 2个；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3、固化PoE供电接口，支持为≥ 48个PoE供电接口（通过DB78接口支持），单供电端口支持PoE、PoE+、PoE++，每个终端支持最大90W的PoE供电，为了保证设备兼容性，要求供电端口与光口分离设计；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4、为了方便PoE供电端口与光电混合缆续接，要求主机固化的PoE供电接口采用集中接口方式，单台主机集中接口≤2个；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5、支持RJ45的MGMT接口≥1个，RJ45的Console接口≥1个，USB接口≥1个，为了方便运维要求以上端口固化在设备前面板；</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6、支持RESET按键≥1个，PoE灯切换按键≥1个；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7、支持光电混合缆传输数据和供电，为节省空间，光电混合缆采用扁缆，并采用钢丝防拉伸；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8、为保证设备用电安全，主机支持供电链路保护功能，某一供电链路发生短路时，主机可识别并且停止供电，当检测到短路状态解除时，再进行供电；提供具有CMA或Tolly或CNAS标识的检验报告证明材料复印件；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9、支持CPU保护功能，对发往CPU的数据流进行流区分和优先级队列分级处理，根据情况进行宽带限速，保障CPU安全；提供具有CMA或Tolly或CNAS标识的检验报告证明材料复印件；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10、支持安全保护策略，可以对攻击源头进行隔离；提供具有CMA或Tolly或CNAS标识的检验报告证明材料复印件；</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D87F8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93C74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9649E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17519</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B496C9">
            <w:pPr>
              <w:jc w:val="center"/>
              <w:rPr>
                <w:rFonts w:hint="eastAsia" w:ascii="宋体" w:hAnsi="宋体" w:eastAsia="宋体" w:cs="宋体"/>
                <w:b w:val="0"/>
                <w:bCs w:val="0"/>
                <w:i w:val="0"/>
                <w:iCs w:val="0"/>
                <w:color w:val="000000"/>
                <w:sz w:val="24"/>
                <w:szCs w:val="24"/>
                <w:u w:val="none"/>
              </w:rPr>
            </w:pPr>
          </w:p>
        </w:tc>
      </w:tr>
      <w:tr w14:paraId="2146A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6"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0CF09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78B40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宿舍面板AP</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91A08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1、支持802.11ax标准，采用双射频设计，整机4条空间流。</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2、整机最大接入速率≥2.97Gbps，5GHz单射频支持2*2 MU-MIMO，且单射频最大接入速率≥ 2.4Gbps；2.4GHz单射频支持2*2 MU-MIMO，且单射频最大接入速率≥ 575Mbps，配套原厂盘纤底盒。</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3、支持蓝牙5.1。提供官网截图证明。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4、1个1G以太网光口上联（采用BOB架构），4个1G以太网电口下联。提供官网截图证明。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5、支持1个Micro USB的Console接口。</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6、支持1个凤凰接线端子受电，支持DC直流供电（DC 输入电压电流：48V/0.3A）或光电混合缆供电（满足802.3af PoE供电标准），整机最大功率不超过11W。</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7、支持简化部署，主AP和微AP可以通过光电混合缆传输数据和供电，室内最大支持1100米光电混合缆部署。提供官网截图证明。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8、支持即插即用，更换微AP后，无需做任何配置，即可替换使用。</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9、支持光口统一运维，在配合网管软件可以排查链路情况、光模块光衰情况。</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C7D6D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8245C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495</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C0E9E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1215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E0AC5A">
            <w:pPr>
              <w:jc w:val="center"/>
              <w:rPr>
                <w:rFonts w:hint="eastAsia" w:ascii="宋体" w:hAnsi="宋体" w:eastAsia="宋体" w:cs="宋体"/>
                <w:b w:val="0"/>
                <w:bCs w:val="0"/>
                <w:i w:val="0"/>
                <w:iCs w:val="0"/>
                <w:color w:val="000000"/>
                <w:sz w:val="24"/>
                <w:szCs w:val="24"/>
                <w:u w:val="none"/>
              </w:rPr>
            </w:pPr>
          </w:p>
        </w:tc>
      </w:tr>
      <w:tr w14:paraId="2652C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5"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3B915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5FD87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盘纤底盒</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4F12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定制盘纤底盒</w:t>
            </w:r>
            <w:r>
              <w:rPr>
                <w:rFonts w:hint="eastAsia" w:ascii="宋体" w:hAnsi="宋体" w:cs="宋体"/>
                <w:b w:val="0"/>
                <w:bCs w:val="0"/>
                <w:i w:val="0"/>
                <w:iCs w:val="0"/>
                <w:color w:val="000000"/>
                <w:kern w:val="0"/>
                <w:sz w:val="24"/>
                <w:szCs w:val="24"/>
                <w:u w:val="none"/>
                <w:lang w:val="en-US" w:eastAsia="zh-CN" w:bidi="ar"/>
              </w:rPr>
              <w:t>。</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8E1A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97A0F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99</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8632D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146</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21D15">
            <w:pPr>
              <w:jc w:val="center"/>
              <w:rPr>
                <w:rFonts w:hint="eastAsia" w:ascii="宋体" w:hAnsi="宋体" w:eastAsia="宋体" w:cs="宋体"/>
                <w:b w:val="0"/>
                <w:bCs w:val="0"/>
                <w:i w:val="0"/>
                <w:iCs w:val="0"/>
                <w:color w:val="000000"/>
                <w:sz w:val="24"/>
                <w:szCs w:val="24"/>
                <w:u w:val="none"/>
              </w:rPr>
            </w:pPr>
          </w:p>
        </w:tc>
      </w:tr>
      <w:tr w14:paraId="4D61F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7"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CD12D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19A0F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系统设备安调</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F17D5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交换机AP放装、设备上架部署安装调试、数据规划配置、网络调优运维、打印机扫描仪等终端因网络变化带来的配置。</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03B8E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项</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72D39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nil"/>
              <w:left w:val="single" w:color="000000" w:sz="4" w:space="0"/>
              <w:bottom w:val="single" w:color="000000" w:sz="4" w:space="0"/>
              <w:right w:val="single" w:color="000000" w:sz="4" w:space="0"/>
            </w:tcBorders>
            <w:shd w:val="clear" w:color="auto" w:fill="FFFFFF"/>
            <w:vAlign w:val="center"/>
          </w:tcPr>
          <w:p w14:paraId="4067CFA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119244 </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659312">
            <w:pPr>
              <w:jc w:val="center"/>
              <w:rPr>
                <w:rFonts w:hint="eastAsia" w:ascii="宋体" w:hAnsi="宋体" w:eastAsia="宋体" w:cs="宋体"/>
                <w:b w:val="0"/>
                <w:bCs w:val="0"/>
                <w:i w:val="0"/>
                <w:iCs w:val="0"/>
                <w:color w:val="000000"/>
                <w:sz w:val="24"/>
                <w:szCs w:val="24"/>
                <w:u w:val="none"/>
              </w:rPr>
            </w:pPr>
          </w:p>
        </w:tc>
      </w:tr>
      <w:tr w14:paraId="5B242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0" w:hRule="atLeast"/>
        </w:trPr>
        <w:tc>
          <w:tcPr>
            <w:tcW w:w="1061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14:paraId="651771C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二、安全等保</w:t>
            </w:r>
          </w:p>
        </w:tc>
      </w:tr>
      <w:tr w14:paraId="1FD0A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41"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0781B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8D1AA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数据中心防火墙</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42063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1.要求固化千兆电口数量≥8个；固化千兆光口数量≥2个；固化万兆光口数量≥4个；2个扩展槽；配置≥1T硬盘；</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2.配置≥3年病毒库、入侵防御特征库、URL特征库、应用识别特征库、威胁情报特征库升级；</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3.支持扩展热插拔冗余电源；</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4.最大整机吞吐≥10Gbps，IPS吞吐量≥5Gbps，最大并发连接≥100万，最大新建连接≥12万；</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策略模拟功能，可提供一个虚拟的策略空间来对运行创建的模拟策略，模拟策略不会对真实业务流量产生影响，但可以把模拟策略的执行结果与现有的真实策略的不同的处置动作进行对比展现，方便用户判断模拟策略是否会对重要业务产生不良影响，如模拟策略符合用户需求，可一键转化为真实策略，需提供第三方权威机构测试报；</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6.支持自动扫描用户网内资产，自动识别资产端口和协议启用情况，结合用户资产信息生成推荐的安全防护策略；</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7.支持基于流量学习的方式对网内资产的互访关系进行梳理，可视化展示目标资产的端口的访问关系，包括：访问源IP、命中策略、阻断次数、最近一次阻断时间等信息，需提供第三方权威机构测试报；</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应具备策略优化能力，支持对配置的策略进行梳理，能够识别策略问题，问题类型包括但不限于一般问题、严重问题、建议优化等；分析维度包括但不限于从未匹配、7天未匹配、30天未匹配、90天未匹配、冗余策略、冲突策略、组合策略、归纳策略、过期策略等；对问题策略支持列表展示，并提供优化建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9.应支持策略的全生命周期展现，包括策略的变更时间、变更类型、变更账号、变更策略、变更内容等；支持通过颜色区分策略的变更项、删除等；支持策略项变更前后的对比展示；</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10.设备支持一键开启/关闭威胁情报的功能；</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为了满足上级监管单位要求阻断自定义恶意情报（域名/IP等）的需求，要求设备支持自定义情报功能，允许用户导入收集到的恶意情报信息，自定义情报在未取得威胁情报特征库更新授权的状态下依然可以生效；支持导入自定义情报的条目不少于8W条；当自定义情报中个别对象的风险消失时，可一键将自定义的威胁对象设置为例外，设置例外后不再对该例外对象拦截阻断。</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A541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9C3CD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9C3BF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75663 </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225C64">
            <w:pPr>
              <w:jc w:val="center"/>
              <w:rPr>
                <w:rFonts w:hint="eastAsia" w:ascii="宋体" w:hAnsi="宋体" w:eastAsia="宋体" w:cs="宋体"/>
                <w:b w:val="0"/>
                <w:bCs w:val="0"/>
                <w:i w:val="0"/>
                <w:iCs w:val="0"/>
                <w:color w:val="000000"/>
                <w:sz w:val="24"/>
                <w:szCs w:val="24"/>
                <w:u w:val="none"/>
              </w:rPr>
            </w:pPr>
          </w:p>
        </w:tc>
      </w:tr>
      <w:tr w14:paraId="0B631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4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0FDB5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C2303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防火墙</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5B2D3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要求固化千兆电口数量≥16个；固化万兆光口数量≥6个；2个扩展槽，可扩展2端口40G扩展卡；支持可插拔480G企业级固态硬盘；支持扩展热插拔冗余电源；配置≥3年病毒库、入侵防御特征库、URL特征库、应用识别特征库、威胁情报特征库升级；；</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2、最大整机吞吐≥20Gbps ，IPS吞吐量≥8Gbps；最大并发连接≥600万；每秒新建连接≥16万；</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3、支持策略模拟功能，可提供一个虚拟的策略空间来对运行创建的模拟策略，模拟策略不会对真实业务流量产生影响 ，但可以把模拟策略的执行结果与现有的真实策略的不同的处置动作进行对比展现，方便用户判断模拟策略是否会对重要业务产生不良影响，如模拟策略符合用户需求，可一键转化为真实策略；提供第三方权威机构测试报告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4、▲支持自动扫描用户网内资产，自动识别资产端口和协议启用情况，结合用户资产信息生成推荐的安全防护策略；提供第三方权威机构测试报告证明；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5、支持基于流量学习的方式对网内资产的互访关系进行梳理，可视化展示目标资产的端口的访问关系，包括：访问源IP、命中策略、阻断次数、最近一次阻断时间等信息；提供第三方权威机构测试报告证明；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支持策略配置向导功能，运维人员可通过向导流程完成地址对象创建、策略创建、策略模拟运行、策略执行等必要配置步骤；</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6、要求支持显示策略来源、首次创建时间、源安全区域、源地址、目的安全区域、目的地址、服务、应用、首次匹配时间、命中次数统计；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应具备策略优化能力，支持对配置的策略进行梳理，能够识别策略问题，问题类型包括但不限于一般问题、严重问题、建议优化等；分析维度包括但不限于从未匹配、7天未匹配、30天未匹配、90天未匹配、冗余策略、冲突策略、组合策略、归纳策略、过期策略等；对问题策略支持列表展示，并提供优化建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8、应支持策略的全生命周期展现，包括策略的变更时间、变更类型、变更账号、变更策略、变更内容等；支持通过颜色区分策略的变更项、删除、新增等；支持策略项变更前后的对比展示；</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E3399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0A85F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10B81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121912 </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4A1C76">
            <w:pPr>
              <w:jc w:val="center"/>
              <w:rPr>
                <w:rFonts w:hint="eastAsia" w:ascii="宋体" w:hAnsi="宋体" w:eastAsia="宋体" w:cs="宋体"/>
                <w:b w:val="0"/>
                <w:bCs w:val="0"/>
                <w:i w:val="0"/>
                <w:iCs w:val="0"/>
                <w:color w:val="000000"/>
                <w:sz w:val="24"/>
                <w:szCs w:val="24"/>
                <w:u w:val="none"/>
              </w:rPr>
            </w:pPr>
          </w:p>
        </w:tc>
      </w:tr>
      <w:tr w14:paraId="33E4C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16"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AC6B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8A1B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堡垒机</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71DD1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1、运维审计堡垒机，采用1U专用的硬件架构，软硬件一体设备；存储空间≥1TB；自带设备节点license许可数量≥50个；固化前兆电口数量≥6个，其中一个为管理口，单电源；</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2、支持树形结构的不限级数分级管理；支持用户批量导入导出，支持用户批量、注销、锁定、解锁；支持用户批量绑定功能角色和授权岗位；</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3、支持建立临时用户，设置用户允许登录的有效时间段，到期后自动失效；</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4、支持按照柱形图方式统计查看系统中不同资源所占比例及数量；</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5、支持资源的登录及改密驱动的自定义扩展，可以按照资源类型选择对应驱动，减少被管资源由于版本不同导致单点登录失败的情况；</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6、支持基于资源组的扩展属性自定义，根据自定义的扩展属性字段，添加资源相关属性；以便基于扩展属性进行资源筛选和授权；</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7、支持SSH、TELNET、FTP、SFTP、VNC、XWINDOW、WINDOWS文件共享等协议；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8、支持修改资源的开放协议及对应协议的端口，同时支持批量资源协议端口；</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9、运维人员输入账号密码成功单点登录后，系统将自动上收账号到对应资源的账号列表；便于借助拥有资源登录权限的运维人员将资源账户进行上收；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10、支持对unix资源、网络资源、windows资源、ad、数据库资源、中间件资源进行密码变更；密码变更可以根据密码策略的要求进行变更，变更的密码符合密码策略中关于密码强度的要求；支持周期性执行改密任务；</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EA170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E9CDB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4CAE9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50784 </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4D4D0">
            <w:pPr>
              <w:jc w:val="center"/>
              <w:rPr>
                <w:rFonts w:hint="eastAsia" w:ascii="宋体" w:hAnsi="宋体" w:eastAsia="宋体" w:cs="宋体"/>
                <w:b w:val="0"/>
                <w:bCs w:val="0"/>
                <w:i w:val="0"/>
                <w:iCs w:val="0"/>
                <w:color w:val="000000"/>
                <w:sz w:val="24"/>
                <w:szCs w:val="24"/>
                <w:u w:val="none"/>
              </w:rPr>
            </w:pPr>
          </w:p>
        </w:tc>
      </w:tr>
      <w:tr w14:paraId="648FC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A1136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BE97C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数据库审计</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38083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1.采用独立的标准机架式硬件架构，软硬件一体化系统；一个DB9串口，不少于6个100/1000M 电口，其中一个管理口，其余的为审计口，硬盘1T；</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2.采用全操作系统，内嵌数据库，用户无需另外安装操作系统及数据库管理系统；</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3.性能指标：网络吞吐量1G，SQL峰值吞吐处理能力100Mbps，sql峰值事件处理能力5000SQL/秒，sql入库速率5000条/S，并发会后数100，日志存储6亿，审计记录查询性能2000万条/秒；</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4.包括审计引擎及管理后台软件、策略管理、告警管理、权限管理、系统日志、系统配置；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5.支持Oracle、SQL-Server、DB2、Informix、Sybase、MySQL、PostgreSQL、人大金仓、达梦、神州通用等数据库的审计，满足信息化系统数据库的安全审计需要；</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6.可支持同时审计多个不同类型的数据库,审计数据统一存储、查询、分析、统计；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7.采用旁路部署方式对原有网络不造成影响，网络审计产品的故障不影响被审计系统的正常运行；</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8.本表中所有功能的实现，均无需在被审计数据库服务器上安装任何软件代理或插件，无需提供被审计数据库服务器的任何管理账号和密码；</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8E10D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C9D0F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C30C7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43571 </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32A46E">
            <w:pPr>
              <w:jc w:val="center"/>
              <w:rPr>
                <w:rFonts w:hint="eastAsia" w:ascii="宋体" w:hAnsi="宋体" w:eastAsia="宋体" w:cs="宋体"/>
                <w:b w:val="0"/>
                <w:bCs w:val="0"/>
                <w:i w:val="0"/>
                <w:iCs w:val="0"/>
                <w:color w:val="000000"/>
                <w:sz w:val="24"/>
                <w:szCs w:val="24"/>
                <w:u w:val="none"/>
              </w:rPr>
            </w:pPr>
          </w:p>
        </w:tc>
      </w:tr>
      <w:tr w14:paraId="3FA38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88"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1F11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6AF70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日志审计系统</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CCA1D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1、软硬一体化1U标准机架式设备；内存8GB；企业级2TB硬盘；6个千兆电口，一个管理口；</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2、资产管理：可以添加、修改、删除资产对资产的基本属性进行维护资产可以增加自定义属性；</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3、系统支持对IP对象的自动发现功能对自动发现的设备可以转资产或删除；提供功能截图；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4、支持拓扑管理，并能够支持拓扑维度展示整体安全、事件分布、告警分布等；提供功能截图；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5、系统需支持Syslog、Syslog-ng 、SNMP Trap、文件、WMI、FTP、数据库、NetFlow、页面导入、镜像流量、SMB、插件扩展、Kafka、SFlow、二进制等方式采集日志；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6、标准化自动识别系统类型至少达到800种，解析日志种类超过2万种；</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C3BC0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D67A5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43168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41160 </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E9D10E">
            <w:pPr>
              <w:jc w:val="center"/>
              <w:rPr>
                <w:rFonts w:hint="eastAsia" w:ascii="宋体" w:hAnsi="宋体" w:eastAsia="宋体" w:cs="宋体"/>
                <w:b w:val="0"/>
                <w:bCs w:val="0"/>
                <w:i w:val="0"/>
                <w:iCs w:val="0"/>
                <w:color w:val="000000"/>
                <w:sz w:val="24"/>
                <w:szCs w:val="24"/>
                <w:u w:val="none"/>
              </w:rPr>
            </w:pPr>
          </w:p>
        </w:tc>
      </w:tr>
      <w:tr w14:paraId="6B147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0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03C3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E4E71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上网行为管理</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E77139">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1、所提供产品须整机最少支持2个千兆电口和4个扩展槽，支持8千兆电/8千兆光/2口万兆光/4口万兆光；具有1TB的硬盘存储；双电源，提供三年特征库授权；</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2、设备最大吞吐≥6Gbps，全功能开启审计适用带宽≥2Gbps（双向），要求所投整机最大支持并发连接数400万，要求所投整机每秒新建连接数≥50000/秒；</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3、ARP表/邻居表支持Web管理ARP表查看，并支持指定静态ARP；支持Web管理IPv6邻居表查看，并支持指定静态；提供功能截图证明；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4、部署模式支持路由模式，旁路模式、网桥模式、混合模式部署；切换部署模式无需重启，不影响设备正常使用；提供功能截图证明；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5、支持基于应用层服务和SAAS的策略路由，可基于IP、国家列表、ISP自动地址表（电信、移动、网通、铁通等）和域名来控制目的地址；</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支持PPPoE拨号以及负载均衡；支持基于链路的上行、下行、总流量自动均衡的多链路负载均衡算法，基于固定指派链路的自动均衡算法，基于最佳路径的多链路负载均衡算法；支持基于轮询的多链路负载均衡算法；</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7、链路聚合支持将多个以太网物理端口捆绑成一条逻辑端口，即将多个端口捆绑成一个逻辑的端口以增加带宽，同时增加链路备份；提供功能截图证明；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8、VPN支持L2TP、GRE VPN、PPTP、IPSec；</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9、针对内网用户的Web访问质量进行检测，对整体网络提供清晰的整体网络质量评级；</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10支持DNS链路健康检查算法；支持ICMP链路健康检查算法；支持TCP链路健康检查算法；支持自定义的链路健康检查算法；</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11加速老化：支持对TCP、UDP、ICMP、TCP SYN超时时间，无回应UDP超时时间设置，并能支持按照新建会话与总会话比例设置老化开始或者结束；提供功能截图证明；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12用户有效期设置：支持临时账户、绑定账户、认证账户等多种用户身份的有效期设置，支持过期冻结、支持无流量自动下线；提供功能截图证明；</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0B549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4E1AE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C73AB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230182 </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CB9780">
            <w:pPr>
              <w:jc w:val="center"/>
              <w:rPr>
                <w:rFonts w:hint="eastAsia" w:ascii="宋体" w:hAnsi="宋体" w:eastAsia="宋体" w:cs="宋体"/>
                <w:b w:val="0"/>
                <w:bCs w:val="0"/>
                <w:i w:val="0"/>
                <w:iCs w:val="0"/>
                <w:color w:val="000000"/>
                <w:sz w:val="24"/>
                <w:szCs w:val="24"/>
                <w:u w:val="none"/>
              </w:rPr>
            </w:pPr>
          </w:p>
        </w:tc>
      </w:tr>
      <w:tr w14:paraId="25D00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0988E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64BC4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认证计费软件</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EFF9B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1、为降低出口链路单点故障，此次部署的认证计费系统为旁路部署模式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2、为最大限度地利用原有服务器资源，降低采购成本，此次采购的认证计费系统为软件形态产品，本次配置5000个用户数授</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3、为管理的方便性和灵活性，要求系统满足基于B/S方式进行操作管理端和用户自助端</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4、为实现更严格的管理控制，要求满足基于客户端的有线和无线接入方式 ，可实现和运营商的对接</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5、支持准入准出一体化认证方案</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6、要求支持双因子认证，采用两种及以上的组合鉴别技术，在用户通过扫码认证成功后进行账户密码认证</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7、要求最高满足30万终端同时在线，有效、无线、无感认证达到1500TPS，提供专业机构测试报告。</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8、有线、无线的无感知认证，并设置一个用户名可以注册的MAC数。</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9、支持识别终端接入类型，并将终端分类为PC、手机、其他移动设备三大类，并基于设备类型做接入数量控制，要求识别准确率不低于99%，提供提供专业检测报告。</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10、要求支持对接学校APP/钉钉平台，实现APP一键认证，用户点击工作台-一键认证，无需输出账户密码，即可完成认证。</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11、支持多因素认证，支持对接学校飞书、企业微信等系统，实现扫码认证、短信验证码认证，提供功能页面截图。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支持学生自助上网页面，支持学生通过短信找回密码，支持和运营商对接实现代拨功能。</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6FB53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C30A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23A79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384160 </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31C29F">
            <w:pPr>
              <w:jc w:val="center"/>
              <w:rPr>
                <w:rFonts w:hint="eastAsia" w:ascii="宋体" w:hAnsi="宋体" w:eastAsia="宋体" w:cs="宋体"/>
                <w:b w:val="0"/>
                <w:bCs w:val="0"/>
                <w:i w:val="0"/>
                <w:iCs w:val="0"/>
                <w:color w:val="000000"/>
                <w:sz w:val="24"/>
                <w:szCs w:val="24"/>
                <w:u w:val="none"/>
              </w:rPr>
            </w:pPr>
          </w:p>
        </w:tc>
      </w:tr>
      <w:tr w14:paraId="1EF65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8"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8C254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0726A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等保评测</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E03DE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由有资质的第三方对网络系统进行二级安全等保评测</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B2CB1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次</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58BEE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50841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34000 </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0FCB45">
            <w:pPr>
              <w:jc w:val="center"/>
              <w:rPr>
                <w:rFonts w:hint="eastAsia" w:ascii="宋体" w:hAnsi="宋体" w:eastAsia="宋体" w:cs="宋体"/>
                <w:b w:val="0"/>
                <w:bCs w:val="0"/>
                <w:i w:val="0"/>
                <w:iCs w:val="0"/>
                <w:color w:val="000000"/>
                <w:sz w:val="24"/>
                <w:szCs w:val="24"/>
                <w:u w:val="none"/>
              </w:rPr>
            </w:pPr>
          </w:p>
        </w:tc>
      </w:tr>
      <w:tr w14:paraId="10BCA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0"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B5B27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68AF2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系统设备安调</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44042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设备放装、上架部署、安装调试、调优、运维。</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1B5B3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项</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2E938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B8D4C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28515 </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358660">
            <w:pPr>
              <w:jc w:val="center"/>
              <w:rPr>
                <w:rFonts w:hint="eastAsia" w:ascii="宋体" w:hAnsi="宋体" w:eastAsia="宋体" w:cs="宋体"/>
                <w:b w:val="0"/>
                <w:bCs w:val="0"/>
                <w:i w:val="0"/>
                <w:iCs w:val="0"/>
                <w:color w:val="000000"/>
                <w:sz w:val="24"/>
                <w:szCs w:val="24"/>
                <w:u w:val="none"/>
              </w:rPr>
            </w:pPr>
          </w:p>
        </w:tc>
      </w:tr>
      <w:tr w14:paraId="4F8BA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7" w:hRule="atLeast"/>
        </w:trPr>
        <w:tc>
          <w:tcPr>
            <w:tcW w:w="1061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14:paraId="7B06E06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三、智慧校园百事通</w:t>
            </w:r>
          </w:p>
        </w:tc>
      </w:tr>
      <w:tr w14:paraId="295EF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3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6C805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6D721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智慧校园百事通</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B2B62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1、提供满足校园百事通问答平台安装部署的一体机，需满足以下配置要求：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CPU：≧2颗，每颗处理器基本频率2.9GHz、缓存24MB、16核/32线程</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内存：8*32GB DDR4 内存条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HDD：4*8T机械硬盘</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SSD：2*960G固态硬盘</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RAID：16口riad卡，RAID级别 0，1，5，6，10，50，60，配置缓存≥8G</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GPU：≧2*L20 GPU卡，计算核心：11776，显存：48G</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提供AI智能问答平台，功能包括本地化大模型部署、AI对话功能、语音输入支持、RAG知识问答、知识导入管理、知识治理、数据看板、权限管理、敏感词安全过滤、首页个性化配置、应用导航管理、分享链接管理、安全大模型。提供3年系统维保，实现与学校统一身份认证系统对接。支持包括Qwen、Deepseek 等至少两种国产开源大语言模型进行搭建。</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2、知识库导入能力支持pdf、word（doc、docx）、txt、csv、xlsx、html、md 等常见文档格式；通过上传本地CSV格式的QA数据,读取文档内容作为数据源；单次可支持100个文件上传，单个文件可支持最大500MB。支持通过编辑QA问答对，导入生成数据源，QA对支持在线富文本的编辑与导入。支持智能语义切片，可保障文本切片内容的语义完整性，且切片内容可展示与编辑。</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3、支持网页多级深度爬取，支持网页非正文内容、无关信息过滤，支持网页的定时爬取更新。（提供产品功能证明截图加盖投标人公章）</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4、支持智能问答，支持基于检索增强生成技术，从知识库中提取相关信息，结合LLM生成准确、上下文相关的回答；支持多智能体协同的复杂智能体。</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开启Deepseek深度思考模式；支持展示对话中工作流执行流程；支持智能拒答，在知识库中没有出现用户问题的答案或敏感词时，可以精准拒答；可以对不明确的用户意图进行反问和确认；支持LLM图文回复等功能。支持智能对话中展示引用资料，支持精准引用。</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6、支持在一个界面上展示待处理的问题回答治理、知识库文档治理、词条治理、审核发布的数量及待治理问题详情。（提供产品功能证明截图加盖投标人公章）</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7、▲支持重复知识监测，展示相似文档数、文档相似度，对文档进行保留或去除操作；支持展示文档有效期，对老化文档进行删除或修改过期时间（提供产品功能证明截图加盖投标人公章）</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支持主动监测并筛选出当前未回答的未知问题，关联相关问题，对未知问题编辑预期回答或忽略，并可测试答复效果；支持针对用户点踩问题，重新编辑回答或忽略，并可测试答复效果；支持针对高频问题，关联相关问题，对高频问题更新预期回答或忽略，并可测试答复效果；支持在系统上新增贴合用户场景的专业词、同义词，通过模版上传导入专业词库；支持对重新编辑的问答对进行审核，选择发布、打回词条，并可测试答复效果。</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支持从用户输入、模型输出两端，通过安全大模型让敏感信息不流出、输出信息不违规。对用户敏输入的敏感词进行识别，当咨询过程中存在敏感字情况拒答。内置敏感词库，用户可自定义对当前敏感词进行编辑，通过界面添加或模版导入方式新增敏感词。</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10、支持通过学校SSO返回的字段，配置用户角色规则，支持通过动态规则配置角色与知识库权限；支持手动新建用户、角色；支持管理员通过权限管理模块，为不同⻆⾊的⽤⼾设定其对知识库、数据接⼝的访问权限和管理权限，以保障数据的安全性。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11、支持在一个数据看板界面上展示用户数、对话数、会话数、平均满意度、高频词云、近期对话等（提供产品功能证明截图加盖投标人公章）；</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A47D9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EC901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A926B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498960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58A4B5">
            <w:pPr>
              <w:jc w:val="center"/>
              <w:rPr>
                <w:rFonts w:hint="eastAsia" w:ascii="宋体" w:hAnsi="宋体" w:eastAsia="宋体" w:cs="宋体"/>
                <w:b w:val="0"/>
                <w:bCs w:val="0"/>
                <w:i w:val="0"/>
                <w:iCs w:val="0"/>
                <w:color w:val="000000"/>
                <w:sz w:val="24"/>
                <w:szCs w:val="24"/>
                <w:u w:val="none"/>
              </w:rPr>
            </w:pPr>
          </w:p>
        </w:tc>
      </w:tr>
      <w:tr w14:paraId="7EBDE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1061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14:paraId="6E4CBF0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四、5G双域专网</w:t>
            </w:r>
          </w:p>
        </w:tc>
      </w:tr>
      <w:tr w14:paraId="758AB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58"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BB67D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B3E94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5G专网身份中台</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993BA0">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1、支持基于不同用户类型下发不同IP以实现网络权限控制，支持根据手机号分配/绑定固定IP与动态IP两种方式。</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为了能够全面灵活管控5G校园专网权限，要求系统支持设置不同身份类型的不同状态的认证许可；支持身份标准可添加新身份状态、编辑身份状态、删除身份状态，生涯访问控制自动调整为新的状态，支持可视化配置认证许可规则；支持动态感知学校人员身份与状态变化并自动调整5G校园专网权限。</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为了方便校方灵活定义身份类型与5G准入控制策略与权限控制策略，要求能够灵活定义人员状态，人员状态也随着不同身份类型而不同，身份数据层面的弹性扩展能力保障学校端对各类人员信息与状态需求变化的支撑；支持身份元数据的管理和扩展，支持新增或设置组织内各种身份类型，组织身份类型可设定代码。</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当组织架构调整、岗位体系变动、人员调动、学生学籍状态等情况发生时，可通过各维度已有的人员关联关系，自动改变群组节点-人员关系，快速、方便的支撑信息中心维护工作，快速调整对应的人员名单支撑业务流程、应用使用，确保5G认证准入的实时性。</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对接SMF/UPF/运营商CRM系统，实现无感权限下发，手机号不正确或者手机号与DNN不匹配则直接认证拒绝不下发IP，能够实现基于不同用户类型下发不同IP以实现网络权限控制，能够实现手机号固定IP与手机号动态分配IP两种方式。手机号不正确或者手机号与DNN不匹配则直接认证拒绝不下发IP，学生下发学生对应的IP、教职工下发教职工对应的IP、运维人员下发运维人员对应的IP。需提具体技术原理以及对接案例，并加盖公章。</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6、支持对接5G身份组件实现全面灵活动态管控5G校园专网权限，并向运营商SMF/UPF下发IP进行权限控制；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7、支持无感二次鉴权，能够对接运营商的UPF/SMF设备，实现基于IMSI与手机号的入网认证。要求认证过程中无需用户在终端上做任何配置或操作。需提具体技术原理以及对接案例，并加盖公章。</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FFE95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066FB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A45A4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59570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C76FEE">
            <w:pPr>
              <w:jc w:val="center"/>
              <w:rPr>
                <w:rFonts w:hint="eastAsia" w:ascii="宋体" w:hAnsi="宋体" w:eastAsia="宋体" w:cs="宋体"/>
                <w:b w:val="0"/>
                <w:bCs w:val="0"/>
                <w:i w:val="0"/>
                <w:iCs w:val="0"/>
                <w:color w:val="000000"/>
                <w:sz w:val="24"/>
                <w:szCs w:val="24"/>
                <w:u w:val="none"/>
              </w:rPr>
            </w:pPr>
          </w:p>
        </w:tc>
      </w:tr>
      <w:tr w14:paraId="07D36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F5B7B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970D6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5G身份中台人数</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4A397">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按照5G专网在线用户数计算，每在线一个用户占用1个License；本次含5000开户数授权；</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6F2AB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A0181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CB950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59570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ED1EAD">
            <w:pPr>
              <w:jc w:val="center"/>
              <w:rPr>
                <w:rFonts w:hint="eastAsia" w:ascii="宋体" w:hAnsi="宋体" w:eastAsia="宋体" w:cs="宋体"/>
                <w:b w:val="0"/>
                <w:bCs w:val="0"/>
                <w:i w:val="0"/>
                <w:iCs w:val="0"/>
                <w:color w:val="000000"/>
                <w:sz w:val="24"/>
                <w:szCs w:val="24"/>
                <w:u w:val="none"/>
              </w:rPr>
            </w:pPr>
          </w:p>
        </w:tc>
      </w:tr>
      <w:tr w14:paraId="78CE4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CA3C5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1D56C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5G身份中台对接组件</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41BD3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支持对接SMF/UPF/运营商CRM系统，实现无感权限下发，手机号不正确或者手机号与DNN不匹配则直接认证拒绝不下发IP，能够实现基于不同用户类型下发不同IP以实现网络权限控制，能够实现手机号固定IP与手机号动态分配IP两种方式。手机号不正确或者手机号与DNN不匹配则直接认证拒绝不下发IP，学生下发学生对应的IP、教职工下发教职工对应的IP、运维人员下发运维人员对应的IP。</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2、支持对接5G身份组件实现全面灵活动态管控5G校园专网权限，并向运营商SMF/UPF下发IP进行权限控制。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3、支持无感二次鉴权，能够对接运营商的UPF/SMF设备，实现基于IMSI与手机号的入网认证。要求认证过程中无需用户在终端上做任何配置或操作。需提具体技术原理以及对接案例，并加盖厂商公章。</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4、支持对5G校园网用户进行实名审计，为了方便5G用户使用，要求实现用户无需做任何操作就能够接入校园网或城域网，同时需要做到基于IP与账号的实名审计。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5、支持基于IP与账号/手机号的实名审计对接，向学校现有实名审计系统或行为管理平台实时发送实名数据。</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BBEE4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89F00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43940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119540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DB0600">
            <w:pPr>
              <w:jc w:val="center"/>
              <w:rPr>
                <w:rFonts w:hint="eastAsia" w:ascii="宋体" w:hAnsi="宋体" w:eastAsia="宋体" w:cs="宋体"/>
                <w:b w:val="0"/>
                <w:bCs w:val="0"/>
                <w:i w:val="0"/>
                <w:iCs w:val="0"/>
                <w:color w:val="000000"/>
                <w:sz w:val="24"/>
                <w:szCs w:val="24"/>
                <w:u w:val="none"/>
              </w:rPr>
            </w:pPr>
          </w:p>
        </w:tc>
      </w:tr>
      <w:tr w14:paraId="7A7C1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4"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B8FAC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5F9E3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5G身份中台适应性更新服务</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060959">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服务，每年提供因软件运行环境变化而导致的必要性支撑，如操作系统、数据库等不可预知的漏洞补丁升级后，需要软件更新做适应性调整；每年提供因适应市场环境或客户要求增加的优化功能。</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5D347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8E32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61229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59570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F1DB8A">
            <w:pPr>
              <w:jc w:val="center"/>
              <w:rPr>
                <w:rFonts w:hint="eastAsia" w:ascii="宋体" w:hAnsi="宋体" w:eastAsia="宋体" w:cs="宋体"/>
                <w:b w:val="0"/>
                <w:bCs w:val="0"/>
                <w:i w:val="0"/>
                <w:iCs w:val="0"/>
                <w:color w:val="000000"/>
                <w:sz w:val="24"/>
                <w:szCs w:val="24"/>
                <w:u w:val="none"/>
              </w:rPr>
            </w:pPr>
          </w:p>
        </w:tc>
      </w:tr>
      <w:tr w14:paraId="16A1F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7"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3120A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02139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系统设备安调</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61BE0">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设备放装、上架部署、安装调试、调优、运维。</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06B9F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项</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36BC1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6CE07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23860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31E14C">
            <w:pPr>
              <w:jc w:val="center"/>
              <w:rPr>
                <w:rFonts w:hint="eastAsia" w:ascii="宋体" w:hAnsi="宋体" w:eastAsia="宋体" w:cs="宋体"/>
                <w:b w:val="0"/>
                <w:bCs w:val="0"/>
                <w:i w:val="0"/>
                <w:iCs w:val="0"/>
                <w:color w:val="000000"/>
                <w:sz w:val="24"/>
                <w:szCs w:val="24"/>
                <w:u w:val="none"/>
              </w:rPr>
            </w:pPr>
          </w:p>
        </w:tc>
      </w:tr>
      <w:tr w14:paraId="585ED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6" w:hRule="atLeast"/>
        </w:trPr>
        <w:tc>
          <w:tcPr>
            <w:tcW w:w="1061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14:paraId="2A9C8AE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五、虚拟化系统</w:t>
            </w:r>
          </w:p>
        </w:tc>
      </w:tr>
      <w:tr w14:paraId="00630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6"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73F8E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3D328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集中式存储</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6E2A63">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1、品牌要求：国产存储厂商，为便于运维及管理，要求虚拟化软件、存储产品为同一品牌。</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▲2、产品描述：双控Active-Active架构，SAN构采用SAN统一集成的控制器架构，统一管理；（具备FC/IP SAN融合组网能力）；配置控制器数量2；配置64GB缓存；支持2U12，2U25，3U48盘位控制柜。配置8个1Gb iscsi+8个16Gb FC主机接口。配置8块8TB 3.5英寸 企业级SAS存储硬盘；RAID支持：支持RAID0, 1, 5, 6, 10,分布式RAID等；支持不同RAID类型在同一个磁盘箱内的共存；  标配BBU+Flash，本地复制（快照、卷镜像、卷克隆、卷备份、迁移）、QoS功能。</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3、智能分层:支持四层数据分层，可以将热点数据在不同存储介质之间进行在线迁移，实现存储成本和性能的平衡，提高客户投资回报率（提供官网链接及截图）。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4、智能异构虚拟化: 可以通过自身的存储异构虚拟化技术来接管第三方的存储资源，形成统一的虚拟资源池，并提供存储间的数据保护，数据迁移等服务。（提供官网链接及截图）。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5、智能精简︰存储资源的分配不再受存储物理空间大小的限制，可实现按需分配，降低初期成本投入，大幅度提高存储资源利用率。</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6、技术支持服务：提供原厂认证工程师安装服务，设备原厂商提供至少三年现场保修。</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564BC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69B5C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7AB3F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188918</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12A5D8">
            <w:pPr>
              <w:jc w:val="center"/>
              <w:rPr>
                <w:rFonts w:hint="eastAsia" w:ascii="宋体" w:hAnsi="宋体" w:eastAsia="宋体" w:cs="宋体"/>
                <w:b w:val="0"/>
                <w:bCs w:val="0"/>
                <w:i w:val="0"/>
                <w:iCs w:val="0"/>
                <w:color w:val="000000"/>
                <w:sz w:val="24"/>
                <w:szCs w:val="24"/>
                <w:u w:val="none"/>
              </w:rPr>
            </w:pPr>
          </w:p>
        </w:tc>
      </w:tr>
      <w:tr w14:paraId="12D48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FC158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7A862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虚拟化软件</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982D0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本次配置3个节点所需的CPU授权及管理端授权，含原厂认证工程师安装服务，1年原厂技术支持服务。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1、支持物理机的全部功能，如具有自己的资源（CPU，内存，网卡，存储、软驱、光驱、显卡等），可以指定单独的IP地址、MAC地址等</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2、为方便运维人员操作，提供B/S和C/S两种虚拟机控制台使用方式，C/S客户端无任何授权限制，支持本地文件托拉拽到虚拟机内部且支持和本地共享粘贴板，提供截图证明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支持虚拟机和裸金属服务器统一管理，支持对裸金属服务器远程电源管理、挂载安装ISO镜像等操作，可将虚拟机镜像部署为裸金属服务器操作系统，可查看裸金属服务器电源状态、CPU、内存、硬盘等硬件信息，支持打开裸金属服务器控制台进行运维操作，提供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4、支持在线跨云迁移功能，在管理界面内将其它站点虚拟机不中断的迁移到超融合平台内，跨云迁移的站点包括但不限于vSphere、所提供品牌虚拟化平台等，迁移过程无需手动关机和重启操作，提供截图证明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提供云边协同管理功能，支持中心站点分发应用至各个边缘站点，可一键将中心站点已部署配置完毕的应用虚拟机迁移至各边缘站点，支持基于GIS技术的全局站点展示视图，实时查看各站点资源状态，提供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6、提供手机app管理软件（附截图），支持安卓或者IOS平台，输入超融合管理平台的IP、账户等信息即可进行远程管理和监控，app市场可下载验证</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7、支持虚拟机启动、暂停、恢复、重启、关闭、关闭电源、克隆、快速克隆、迁移、备份、模板导入导出、快照等功能</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8、支持嵌套虚拟化，虚拟化系统可灵活支持第三方虚拟化系统，方便运维测试与调试对接</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9、支持主流的X86架构的操作系统，包括Windows Server 2003/2008/2012/2016/2019， 以及Oracle、Redhat、OpenSuse、Debian、Ubuntu、CentOS、红旗、银河麒麟、凝思等主流Linux OS，同时支持Mac OS/VxWorks/安卓等嵌入式操作系统</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支持动态资源调度、智能电源管理等配置功能；支持虚拟机故障HA功能，可配置HA接入控制策略，HA最大尝试次数，且支持HA故障切换主机设置，达到故障隔离的效果，并支持配置虚拟机自启动策略和启动优先级，提供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11、支持GPU组功能，支持多块GPU透传给一个虚拟机使用，支持vGPU功能；支持FPGA卡透传给虚拟机使用，满足AI、高性能计算场景，提供产品截图证明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12、支持大内存页和DPDK加速功能，虚拟化界面可配置内存页大小和页数，支持虚拟机NUMA感知功能，保证虚拟机OS的NUMA与主机的NUMA拓扑保持一致，并显示大内存页的使用量和可用内存，提供截图证明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13、支持精细化的虚拟机迁移控制，可配置虚拟机迁移速度和虚拟机迁移带宽百分比，通过设置虚拟机迁移带宽百分比可调整虚拟机迁移时所占用的管理网带宽，保障用户业务正常运行，提供截图证明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14、支持vAPP功能，可配置若干台虚拟机组成的应用组，可设置虚拟机启动顺序和启动间隔时间，可批量修改虚拟机组的参数，提供功能截图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15、支持一键开启和关闭数据中心内、集群内的所有虚拟机，并设置虚拟机跟随主机启动策略以及虚拟机启动优先级策略，方便机房搬迁或关电运维场景使用，提供截图证明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16、提供全局分布式SDN功能，以避免SDN控制节点故障，提供分布式SDN硬件加速能力，可提供更高转发性能，SDN支持VLAN/VXLAN模式，提供截图证明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17、支持全局分布式SDN智能加速，卸载分布式SDN网络的数据平面到硬件网卡，通过对东西向Overlay网络流量和南北向流量卸载，大幅提高网络转发性能并节省主机资源，提供产品界面功能以及开启智能加速前后的对比测试报告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18、为方便运维操作，支持网络图形化编排，编辑网络拓扑及拖拽网元即可完成网络拓扑的创建、变更、属性编辑，提供截图证明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19、支持物理网卡定位功能，可在平台发现网卡故障后，在管理界面直接点亮损坏网卡，方便运维人员到机房快速发现故障网卡设备，支持主备上行链路倒换，提供截图证明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20、为节约公网IP地址，满足多个业务系统被互联网访问的场景需求，支持端口映射NAPT技术，实现IP地址+端口的转换</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21、支持分布式防火墙功能，防火墙可应用于业务网络或分布式NAT网关，可根据源\目的IP和端口设置防火墙规则，支持TCP/UDP/ICMP或任意协议；支持配置安全组，根据虚拟机出\入口的协议和端口范围设置安全组之间或安全组到网段之间的访问规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22、支持分布式路由器功能，可关联业务子网进行路由通信，可配置分布式NAT网关和SNAT网络转换地址进行外部通信；支持分布式NAT网关功能，NAT地址可绑定虚拟机的虚拟网卡，外部流量通过该地址访问虚拟机</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23、同时支持网络sFlow和netFlow功能，配合第三方流量分析工具进行流量监控，支持组播转发、广播抑制、DHCP防护等功能，支持本地端口镜像、本地业务网络镜像、远程端口镜像等多种端口镜像模式，提供截图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24、为保障兼容性以及售后服务的一致性，存储、虚拟化软件为同一品牌。</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27880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39891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2F41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101396</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047897">
            <w:pPr>
              <w:jc w:val="center"/>
              <w:rPr>
                <w:rFonts w:hint="eastAsia" w:ascii="宋体" w:hAnsi="宋体" w:eastAsia="宋体" w:cs="宋体"/>
                <w:b w:val="0"/>
                <w:bCs w:val="0"/>
                <w:i w:val="0"/>
                <w:iCs w:val="0"/>
                <w:color w:val="000000"/>
                <w:sz w:val="24"/>
                <w:szCs w:val="24"/>
                <w:u w:val="none"/>
              </w:rPr>
            </w:pPr>
          </w:p>
        </w:tc>
      </w:tr>
      <w:tr w14:paraId="5313E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7869B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8D7F3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系统设备安调</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BB0BC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提供3块16Gb双口HBA卡，提供原厂认证工程师安装服务，原厂技术支持服务，提供设备上架部署、安装调试、调优、运维服务。</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CC595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项</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228F2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379C5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112747 </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2118AB">
            <w:pPr>
              <w:jc w:val="center"/>
              <w:rPr>
                <w:rFonts w:hint="eastAsia" w:ascii="宋体" w:hAnsi="宋体" w:eastAsia="宋体" w:cs="宋体"/>
                <w:b w:val="0"/>
                <w:bCs w:val="0"/>
                <w:i w:val="0"/>
                <w:iCs w:val="0"/>
                <w:color w:val="000000"/>
                <w:sz w:val="24"/>
                <w:szCs w:val="24"/>
                <w:u w:val="none"/>
              </w:rPr>
            </w:pPr>
          </w:p>
        </w:tc>
      </w:tr>
      <w:tr w14:paraId="71D3C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9" w:hRule="atLeast"/>
        </w:trPr>
        <w:tc>
          <w:tcPr>
            <w:tcW w:w="1061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14:paraId="2FCBA56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六、机房综合布线</w:t>
            </w:r>
          </w:p>
        </w:tc>
      </w:tr>
      <w:tr w14:paraId="6C844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31"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F4233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CECBC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数据线</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1D28E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1.产品符合ISO/IEC 11801-1、ANSI/TIA-568.2-D、IEC 61156-5标准中Category 6要求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2.产品结构：U/UTP非屏蔽，线对十字骨架隔离</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3.导体规格：4*2*23AWG实心裸铜</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4.绝缘材料：HDPE</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5.护套材料：PVC</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6.护套直径：6.1±0.4mm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7.最高工作频率：250MHz</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8.传输延迟：≤45ns/100m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9.直流电阻：≤9.38Ω</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10.直流电阻不平衡：≤5%</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11.工作温度：-20~60℃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12.环保原材料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w:t>
            </w:r>
            <w:r>
              <w:rPr>
                <w:rFonts w:hint="eastAsia" w:ascii="宋体" w:hAnsi="宋体" w:cs="宋体"/>
                <w:b w:val="0"/>
                <w:bCs w:val="0"/>
                <w:i w:val="0"/>
                <w:iCs w:val="0"/>
                <w:color w:val="000000"/>
                <w:kern w:val="0"/>
                <w:sz w:val="24"/>
                <w:szCs w:val="24"/>
                <w:u w:val="none"/>
                <w:lang w:val="en-US" w:eastAsia="zh-CN" w:bidi="ar"/>
              </w:rPr>
              <w:t>3</w:t>
            </w:r>
            <w:r>
              <w:rPr>
                <w:rFonts w:hint="eastAsia" w:ascii="宋体" w:hAnsi="宋体" w:eastAsia="宋体" w:cs="宋体"/>
                <w:b w:val="0"/>
                <w:bCs w:val="0"/>
                <w:i w:val="0"/>
                <w:iCs w:val="0"/>
                <w:color w:val="000000"/>
                <w:kern w:val="0"/>
                <w:sz w:val="24"/>
                <w:szCs w:val="24"/>
                <w:u w:val="none"/>
                <w:lang w:val="en-US" w:eastAsia="zh-CN" w:bidi="ar"/>
              </w:rPr>
              <w:t>.产品支持ANSI/TIA-568.2-D标准永久链路应用,提供CMA/CNAS中国认可检测机构出具测试报告</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w:t>
            </w:r>
            <w:r>
              <w:rPr>
                <w:rFonts w:hint="eastAsia" w:ascii="宋体" w:hAnsi="宋体" w:cs="宋体"/>
                <w:b w:val="0"/>
                <w:bCs w:val="0"/>
                <w:i w:val="0"/>
                <w:iCs w:val="0"/>
                <w:color w:val="000000"/>
                <w:kern w:val="0"/>
                <w:sz w:val="24"/>
                <w:szCs w:val="24"/>
                <w:u w:val="none"/>
                <w:lang w:val="en-US" w:eastAsia="zh-CN" w:bidi="ar"/>
              </w:rPr>
              <w:t>4</w:t>
            </w:r>
            <w:r>
              <w:rPr>
                <w:rFonts w:hint="eastAsia" w:ascii="宋体" w:hAnsi="宋体" w:eastAsia="宋体" w:cs="宋体"/>
                <w:b w:val="0"/>
                <w:bCs w:val="0"/>
                <w:i w:val="0"/>
                <w:iCs w:val="0"/>
                <w:color w:val="000000"/>
                <w:kern w:val="0"/>
                <w:sz w:val="24"/>
                <w:szCs w:val="24"/>
                <w:u w:val="none"/>
                <w:lang w:val="en-US" w:eastAsia="zh-CN" w:bidi="ar"/>
              </w:rPr>
              <w:t>.产品传输性能符合YD/T1019标准中Category 6要求,提供CMA/CNAS中国认可检测机构出具测试报告</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550D5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箱</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D746A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48</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D714F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763</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3E970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305</w:t>
            </w:r>
          </w:p>
        </w:tc>
      </w:tr>
      <w:tr w14:paraId="1A2A5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9"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37253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EE69C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皮线光缆</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EF749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1.抗弯曲光纤，优良的光学性能，两侧平行对称加强件，有效保护光纤</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2.V槽结构设计，易剥离，方便、快捷，中心套管内填充阻水材料、利于保护纤芯</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3.LSZH护套，安全环保</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4.模场直径：9±0.5um，包层直径：125±0.7um，包层不圆度：≤1%</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5.光缆截止波长：1260nm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6.衰    减：≤0.36(dB/km，@1310nm)  ≤0.22dB(dB/km，@1550nm)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7.短期拉伸力：80N，长期拉伸力：40N</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8.动态弯曲半径：≥20 H，静态弯曲半径：≥10 H</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9.工作温度：-20~60℃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w:t>
            </w:r>
            <w:r>
              <w:rPr>
                <w:rFonts w:hint="eastAsia" w:ascii="宋体" w:hAnsi="宋体" w:cs="宋体"/>
                <w:b w:val="0"/>
                <w:bCs w:val="0"/>
                <w:i w:val="0"/>
                <w:iCs w:val="0"/>
                <w:color w:val="000000"/>
                <w:kern w:val="0"/>
                <w:sz w:val="24"/>
                <w:szCs w:val="24"/>
                <w:u w:val="none"/>
                <w:lang w:val="en-US" w:eastAsia="zh-CN" w:bidi="ar"/>
              </w:rPr>
              <w:t>0</w:t>
            </w:r>
            <w:r>
              <w:rPr>
                <w:rFonts w:hint="eastAsia" w:ascii="宋体" w:hAnsi="宋体" w:eastAsia="宋体" w:cs="宋体"/>
                <w:b w:val="0"/>
                <w:bCs w:val="0"/>
                <w:i w:val="0"/>
                <w:iCs w:val="0"/>
                <w:color w:val="000000"/>
                <w:kern w:val="0"/>
                <w:sz w:val="24"/>
                <w:szCs w:val="24"/>
                <w:u w:val="none"/>
                <w:lang w:val="en-US" w:eastAsia="zh-CN" w:bidi="ar"/>
              </w:rPr>
              <w:t>.产品符合GB/T50312,GB/T15972.40和TD/T1997.1标准要求,提供CMA/CNAS中国认可检测机构出具测试报告</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47A6A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盘</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16AA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44F85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750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79BBB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1KM</w:t>
            </w:r>
          </w:p>
        </w:tc>
      </w:tr>
      <w:tr w14:paraId="3C2A7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8"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5B98F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CD5E7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光电混合缆</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B823F6">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不低于：室内1芯光纤+2x0.5mm²电缆，单卷305米线长室内光电混合缆。</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9CB74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卷</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75A24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110</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1FFA6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1145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328FD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305</w:t>
            </w:r>
          </w:p>
        </w:tc>
      </w:tr>
      <w:tr w14:paraId="52687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8"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2FFE0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7AAD6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12芯室内</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30CA46">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1.产品符合YD/T 1258.4、IEC 60794-2-20标准要求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2.单芯紧套结构，利于纤芯的保护,芳纶加强元件、优良的抗拉性能</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3.纤芯规格：9/125um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4.模场直径：9±0.5um，包层直径：125±0.7um，包层不圆度：≤1%</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5.光缆截止波长：1260nm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6.衰减：≤0.40(dB/km，@1310nm)  ≤0.3dB(dB/km，@1550nm)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7.护套材料：LSZH</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8.短期拉伸力：1320N（＞12芯）、长期拉伸力：400N（≤12芯）</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9.动态弯曲半径：≥20 OD，静态弯曲半径：≥10 OD</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10.工作温度：-20~60℃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11.产品传输性能达到TD/T1258.4标准中的要求，提供国家认可权威检测机构的测试报告佐证</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7187B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米</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2123E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500</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8582B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344A0">
            <w:pPr>
              <w:jc w:val="center"/>
              <w:rPr>
                <w:rFonts w:hint="eastAsia" w:ascii="宋体" w:hAnsi="宋体" w:eastAsia="宋体" w:cs="宋体"/>
                <w:b w:val="0"/>
                <w:bCs w:val="0"/>
                <w:i w:val="0"/>
                <w:iCs w:val="0"/>
                <w:color w:val="000000"/>
                <w:sz w:val="24"/>
                <w:szCs w:val="24"/>
                <w:u w:val="none"/>
              </w:rPr>
            </w:pPr>
          </w:p>
        </w:tc>
      </w:tr>
      <w:tr w14:paraId="25441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4"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D5BA0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821AE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12芯室外</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28C213">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1.产品符合YD/T 901标准要求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2.产品护套印有厂家logo，产品型号，易于识别和品质追溯</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3.优质纤芯置于松套管内、优良的光学性能，中心套管内填充阻水材料、利于保护纤芯</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4.PSP双面涂塑铝带，提高光缆的抗渗透能力，中心加强钢丝，保证光缆的抗拉强度，PE护套，良好的机械物理特性和环境特性</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5.纤芯规格：9/125um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6.模场直径：9±0.5um，包层直径：125±0.7um，包层不圆度：≤1%</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7.光缆截止波长：1260nm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8.衰减：≤0.36(dB/km，@1310nm)  ≤0.22dB(dB/km，@1550nm)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9.短期拉伸力：1500N ，长期拉伸力：600N</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10.动态弯曲半径：≥20 OD，静态弯曲半径：≥10 OD</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11.工作温度：-40~70℃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12.产品传输性能达到TD/T901-2018标准中的要求，提供CMA/CNAS中国认可检测机构出具测试报告</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D6E92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盘</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2CBE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A2DAE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9450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4198C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3KM</w:t>
            </w:r>
          </w:p>
        </w:tc>
      </w:tr>
      <w:tr w14:paraId="7BA26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18"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27324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D404B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48芯室外铠装</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6D7FAE">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1.产品符合YD/T 901  IEC 60794-1标准要求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2.产品护套印有厂家logo，产品型号，易于识别和品质追溯</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3.优质纤芯置于松套管内、优良的光学性能，中心套管内填充阻水材料、利于保护纤芯</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4.APL双面涂塑铝带，提高光缆的抗渗透能力，PSP双面涂塑钢带纵包结构，进一步强化光缆的抗渗透能力</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5.中心加强钢丝，保证光缆的抗拉强度，PE护套，良好的机械物理特性和环境特性</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6.纤芯规格：9/125um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7.模场直径：9±0.5um，包层直径：125±0.7um，包层不圆度：≤1%</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8.光缆截止波长：1260nm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9.衰减：≤0.36(dB/km，@1310nm)  ≤0.22dB(dB/km，@1550nm)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10.短期拉伸力：1500N，长期拉伸力：600N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11.动态弯曲半径：≥20 OD，静态弯曲半径：≥10 OD</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12.工作温度：-40~60℃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13.产品符合GB/T50312,GB/T15972.40和TD/T901-2018标准要求，提供CMA/CNAS中国认可检测机构出具测试报告</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624EB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盘</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CCE15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F7722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29700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D98C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2KM</w:t>
            </w:r>
          </w:p>
        </w:tc>
      </w:tr>
      <w:tr w14:paraId="1EC49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7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D7702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10907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12芯ODF</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4B00A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1.满足YD/T788-2011、GB/T2423-2008、GB/T3873-1998、GB/T9286-1998等国内标准及IEC 61300-3-15、IEC 61300-3-16 、IEC 61300-3-17 、IEC 61300-3-23等国际标准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2.结构件采用加厚镀锌钝化处理，冷轧钢板和表面喷涂工艺</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3.标准19英寸安装，半封闭结构</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4.使用LC12芯熔接配线一体化模块，可抽出架体外部操作</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5.依据机架需求可实现上、下进缆方式</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6.LC适配器，适用于带状和束状光缆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7.连接器插入损耗：≤ 0.3dB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8.回波损耗：PC型≥45dB，UPC型≥50dB，APC型≥60dB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9.插拔耐久性寿命：≥1000次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10.工作温度：-40℃～+60℃,环境湿度：≤95%（+40℃时）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11.大气压力：70 kPa～106 kPa</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12.使用环境：室内机架固定</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13.有可靠、完善的光缆固定、开剥、接地保护装置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14.配线架功能，LC适配器，尾纤的插入损耗，回波损耗均达到YD/T778-2011,YD/T1272.1-2018标准要求，提供CMA/CNAS中国认可检测机构出具测试报告</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A5D02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A5684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8AE9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281</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4078F1">
            <w:pPr>
              <w:jc w:val="center"/>
              <w:rPr>
                <w:rFonts w:hint="eastAsia" w:ascii="宋体" w:hAnsi="宋体" w:eastAsia="宋体" w:cs="宋体"/>
                <w:b w:val="0"/>
                <w:bCs w:val="0"/>
                <w:i w:val="0"/>
                <w:iCs w:val="0"/>
                <w:color w:val="000000"/>
                <w:sz w:val="24"/>
                <w:szCs w:val="24"/>
                <w:u w:val="none"/>
              </w:rPr>
            </w:pPr>
          </w:p>
        </w:tc>
      </w:tr>
      <w:tr w14:paraId="4BB8B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7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7DDD7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05295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72芯ODF</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22DBB9">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1.满足YD/T788-2011、GB/T2423-2008、GB/T3873-1998、GB/T9286-1998等国内标准及IEC 61300-3-15、IEC 61300-3-16 、IEC 61300-3-17 、IEC 61300-3-23等国际标准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2.结构件采用加厚镀锌钝化处理，冷轧钢板和表面喷涂工艺</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3.标准19英寸安装，半封闭结构</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4.使用LC12芯熔接配线一体化模块，可抽出架体外部操作</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5.依据机架需求可实现上、下进缆方式</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6.LC适配器，适用于带状和束状光缆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7.连接器插入损耗：≤ 0.3dB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8.回波损耗：PC型≥45dB，UPC型≥50dB，APC型≥60dB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9.插拔耐久性寿命：≥1000次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10.工作温度：-40℃～+60℃,环境湿度：≤95%（+40℃时）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11.大气压力：70 kPa～106 kPa</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12.使用环境：室内机架固定</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13.有可靠、完善的光缆固定、开剥、接地保护装置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14.配线架功能，LC适配器，尾纤的插入损耗，回波损耗均达到YD/T778-2011,YD/T1272.1-2018标准要求，提供CMA/CNAS中国认可检测机构出具测试报告</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CF768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2A800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3A245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675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CE90F9">
            <w:pPr>
              <w:jc w:val="center"/>
              <w:rPr>
                <w:rFonts w:hint="eastAsia" w:ascii="宋体" w:hAnsi="宋体" w:eastAsia="宋体" w:cs="宋体"/>
                <w:b w:val="0"/>
                <w:bCs w:val="0"/>
                <w:i w:val="0"/>
                <w:iCs w:val="0"/>
                <w:color w:val="000000"/>
                <w:sz w:val="24"/>
                <w:szCs w:val="24"/>
                <w:u w:val="none"/>
              </w:rPr>
            </w:pPr>
          </w:p>
        </w:tc>
      </w:tr>
      <w:tr w14:paraId="464A7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7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B2879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6E97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96芯ODF</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C0ED80">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1.满足YD/T788-2011、GB/T2423-2008、GB/T3873-1998、GB/T9286-1998等国内标准及IEC 61300-3-15、IEC 61300-3-16 、IEC 61300-3-17 、IEC 61300-3-23等国际标准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2.结构件采用加厚镀锌钝化处理，冷轧钢板和表面喷涂工艺</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3.标准19英寸安装，半封闭结构</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4.使用LC12芯熔接配线一体化模块，可抽出架体外部操作</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5.依据机架需求可实现上、下进缆方式</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6.LC适配器，适用于带状和束状光缆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7.连接器插入损耗：≤ 0.3dB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8.回波损耗：PC型≥45dB，UPC型≥50dB，APC型≥60dB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9.插拔耐久性寿命：≥1000次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10.工作温度：-40℃～+60℃,环境湿度：≤95%（+40℃时）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11.大气压力：70 kPa～106 kPa</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12.使用环境：室内机架固定</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13.有可靠、完善的光缆固定、开剥、接地保护装置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14.配线架功能，LC适配器，尾纤的插入损耗，回波损耗均达到YD/T778-2011,YD/T1272.1-2018标准要求，提供CMA/CNAS中国认可检测机构出具测试报告</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E6ED5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FC03E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10A95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825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D5BF1B">
            <w:pPr>
              <w:jc w:val="center"/>
              <w:rPr>
                <w:rFonts w:hint="eastAsia" w:ascii="宋体" w:hAnsi="宋体" w:eastAsia="宋体" w:cs="宋体"/>
                <w:b w:val="0"/>
                <w:bCs w:val="0"/>
                <w:i w:val="0"/>
                <w:iCs w:val="0"/>
                <w:color w:val="000000"/>
                <w:sz w:val="24"/>
                <w:szCs w:val="24"/>
                <w:u w:val="none"/>
              </w:rPr>
            </w:pPr>
          </w:p>
        </w:tc>
      </w:tr>
      <w:tr w14:paraId="68F85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F54F2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1DC35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144芯ODF</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2E749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1.满足YD/T788-2011、GB/T2423-2008、GB/T3873-1998、GB/T9286-1998等国内标准及IEC 61300-3-15、IEC 61300-3-16 、IEC 61300-3-17 、IEC 61300-3-23等国际标准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2.结构件采用加厚镀锌钝化处理，冷轧钢板和表面喷涂工艺</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3.标准19英寸安装，半封闭结构</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4.使用LC12芯熔接配线一体化模块，可抽出架体外部操作</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5.依据机架需求可实现上、下进缆方式</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6.LC适配器，适用于带状和束状光缆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7.连接器插入损耗：≤ 0.3dB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8.回波损耗：PC型≥45dB，UPC型≥50dB，APC型≥60dB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9.插拔耐久性寿命：≥1000次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10.工作温度：-40℃～+60℃,环境湿度：≤95%（+40℃时）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11.大气压力：70 kPa～106 kPa</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12.使用环境：室内机架固定</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13.有可靠、完善的光缆固定、开剥、接地保护装置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14.配线架功能，LC适配器，尾纤的插入损耗，回波损耗均达到YD/T778-2011,YD/T1272.1-2018标准要求，提供CMA/CNAS中国认可检测机构出具测试报告</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F697F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E255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566A1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1125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821B35">
            <w:pPr>
              <w:jc w:val="center"/>
              <w:rPr>
                <w:rFonts w:hint="eastAsia" w:ascii="宋体" w:hAnsi="宋体" w:eastAsia="宋体" w:cs="宋体"/>
                <w:b w:val="0"/>
                <w:bCs w:val="0"/>
                <w:i w:val="0"/>
                <w:iCs w:val="0"/>
                <w:color w:val="000000"/>
                <w:sz w:val="24"/>
                <w:szCs w:val="24"/>
                <w:u w:val="none"/>
              </w:rPr>
            </w:pPr>
          </w:p>
        </w:tc>
      </w:tr>
      <w:tr w14:paraId="5EB19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60"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999A6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25DA6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288落地光交</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DA401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1.箱体采用优质冷轧钢板，表面静电环氧粉末喷涂；2000*840*300mm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2.塑胶件阻燃性能符合GB5169.16的要求，环保性能符合RoHs2.0。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3.封闭式架体结构，正面双开门、左右侧板可拆卸，方便并架；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4.支持FC、SC、LC等适配器安装，支持托盘式光分路器及熔配一体化托盘安装；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5.熔配一体化托盘可抽拉出来熔接、配线，方便操作；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6.全正面操作，上、下进缆方式可自由调配；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7.可靠的光缆引入、固定保护装置，同时适用于带状光缆及束状光缆操作；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8.合理走纤路由设计，确保光纤、光缆在任何位置的弯曲半径大于40mm；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9.机柜材料为优质冷轧钢板静电环氧粉末喷涂而成，外形美观。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10.标称工作波长：850nm、1310nm、1550nm；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11.插入损耗：≤0.3dB；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12.回波损耗：PC型≥45dB UPC型≥50dB APC型≥60dB；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13.连接器寿命：1000次插拔后，插入损耗变化量＜0.1 dB；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14.箱体高压防护地与箱体绝缘，绝缘电阻＞1000MΩ/500V(DC)；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15.箱体高压防护地与箱体间耐压＞3000V(DC)/5s不击穿，无飞弧；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16.其余性能指标遵循YD/T 778-2011 ODF行业标准及相关行业标准要求。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17.工作温度：-25℃ ~ +55℃；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18.工作湿度：≤93﹪（40℃）；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19.大气压力：70kPa ~ 106kPa。</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1CA84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9720F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FABC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2625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C0059E">
            <w:pPr>
              <w:jc w:val="center"/>
              <w:rPr>
                <w:rFonts w:hint="eastAsia" w:ascii="宋体" w:hAnsi="宋体" w:eastAsia="宋体" w:cs="宋体"/>
                <w:b w:val="0"/>
                <w:bCs w:val="0"/>
                <w:i w:val="0"/>
                <w:iCs w:val="0"/>
                <w:color w:val="000000"/>
                <w:sz w:val="24"/>
                <w:szCs w:val="24"/>
                <w:u w:val="none"/>
              </w:rPr>
            </w:pPr>
          </w:p>
        </w:tc>
      </w:tr>
      <w:tr w14:paraId="24943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176C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EC9AA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LC单模尾纤</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E7DA27">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1.产品符合YD/T 1272系列光纤活动连接器标准要求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2.插入损耗：≤0.20dB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3.回波损耗：≥35dB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4.重复性：≤0.10dB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5.互换性：≤0.20dB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6.工作温度：-20~60℃                                                                       </w:t>
            </w:r>
            <w:r>
              <w:rPr>
                <w:rFonts w:hint="eastAsia" w:ascii="宋体" w:hAnsi="宋体" w:cs="宋体"/>
                <w:b w:val="0"/>
                <w:bCs w:val="0"/>
                <w:i w:val="0"/>
                <w:iCs w:val="0"/>
                <w:color w:val="000000"/>
                <w:kern w:val="0"/>
                <w:sz w:val="24"/>
                <w:szCs w:val="24"/>
                <w:u w:val="none"/>
                <w:lang w:val="en-US" w:eastAsia="zh-CN" w:bidi="ar"/>
              </w:rPr>
              <w:t>7</w:t>
            </w:r>
            <w:r>
              <w:rPr>
                <w:rFonts w:hint="eastAsia" w:ascii="宋体" w:hAnsi="宋体" w:eastAsia="宋体" w:cs="宋体"/>
                <w:b w:val="0"/>
                <w:bCs w:val="0"/>
                <w:i w:val="0"/>
                <w:iCs w:val="0"/>
                <w:color w:val="000000"/>
                <w:kern w:val="0"/>
                <w:sz w:val="24"/>
                <w:szCs w:val="24"/>
                <w:u w:val="none"/>
                <w:lang w:val="en-US" w:eastAsia="zh-CN" w:bidi="ar"/>
              </w:rPr>
              <w:t>.尾纤的插入损耗，回波损耗均达到 YD/T1272.1-2018标准要求，提供CMA/CNAS中国认可检测机构出具测试报告</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1DD4D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条</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90F10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920</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FBF43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0138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接入尾纤</w:t>
            </w:r>
          </w:p>
        </w:tc>
      </w:tr>
      <w:tr w14:paraId="388BB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17"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2221A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26572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SC单模跳纤</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4C0907">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1.产品符合YD/T 1272系列光纤活动连接器标准要求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2.插入损耗：≤0.20dB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3.回波损耗：≥35dB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4.重复性：≤0.10dB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5.互换性：≤0.20dB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6.工作温度：-20~60℃</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4DFB3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条</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8EC71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240</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2FBA9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70E61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光交跳纤</w:t>
            </w:r>
          </w:p>
        </w:tc>
      </w:tr>
      <w:tr w14:paraId="4EFC7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CA73F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BE42A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LC单模跳纤</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445D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1.产品符合YD/T 1272系列光纤活动连接器标准要求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2.插入损耗：≤0.20dB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3.回波损耗：≥35dB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4.重复性：≤0.10dB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5.互换性：≤0.20dB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6.工作温度：-20~60℃                                                                       </w:t>
            </w:r>
            <w:r>
              <w:rPr>
                <w:rFonts w:hint="eastAsia" w:ascii="宋体" w:hAnsi="宋体" w:cs="宋体"/>
                <w:b w:val="0"/>
                <w:bCs w:val="0"/>
                <w:i w:val="0"/>
                <w:iCs w:val="0"/>
                <w:color w:val="000000"/>
                <w:kern w:val="0"/>
                <w:sz w:val="24"/>
                <w:szCs w:val="24"/>
                <w:u w:val="none"/>
                <w:lang w:val="en-US" w:eastAsia="zh-CN" w:bidi="ar"/>
              </w:rPr>
              <w:t>7</w:t>
            </w:r>
            <w:r>
              <w:rPr>
                <w:rFonts w:hint="eastAsia" w:ascii="宋体" w:hAnsi="宋体" w:eastAsia="宋体" w:cs="宋体"/>
                <w:b w:val="0"/>
                <w:bCs w:val="0"/>
                <w:i w:val="0"/>
                <w:iCs w:val="0"/>
                <w:color w:val="000000"/>
                <w:kern w:val="0"/>
                <w:sz w:val="24"/>
                <w:szCs w:val="24"/>
                <w:u w:val="none"/>
                <w:lang w:val="en-US" w:eastAsia="zh-CN" w:bidi="ar"/>
              </w:rPr>
              <w:t>.跳纤的插入损耗，回波损耗均达到 YD/T1272.1-2018标准要求，提供CMA/CNAS中国认可检测机构出具测试报告</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EFE2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条</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5D74E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120</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63082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EBC38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汇聚跳纤</w:t>
            </w:r>
          </w:p>
        </w:tc>
      </w:tr>
      <w:tr w14:paraId="296F9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8"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3DAA6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9098E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铠装尾缆</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D8510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1.铠装尾纤外部包裹一层金属铠装，以增加尾纤的抗拉强度和防鼠咬功能。尾纤适用于室外恶劣环境及室内鼠害较多的地方，能有效保护光纤不受损害。铠装尾纤的芯数根据实际需求进行定制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2.产品符合YD/T 1272系列光纤活动连接器标准要求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3.插入损耗：≤0.20dB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4.回波损耗：≥35dB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5.重复性：≤0.10dB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6.互换性：≤0.20dB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7.工作温度：-20~60℃</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CF112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条</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1132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64EA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390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02E6D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机房光交</w:t>
            </w:r>
          </w:p>
        </w:tc>
      </w:tr>
      <w:tr w14:paraId="3C1CE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7"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EE97B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87774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RVV3*2.5</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5FE14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1.产品标准：GB/T 5023.5-2008，IEC60227</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2.导体材质：高纯度无氧铜，通过国际/国家认可资质质量检验机构的测试，提供检测报告</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3.额定电压：UO/U为300/500V,载流量参考值26A</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4.绝缘护套材料：优质聚氯乙烯材质，通过国际/国家认可资质质量检验机构的测试，提供检测报告</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5.绝缘厚度0.8mm,护套厚度1.1mm,产品外径9.2-11.4mm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6.护套颜色：黑色或灰色可选</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7.芯线标识：3芯/2.5mm2,每芯带有彩色护套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8.20℃时导体电阻≤7.98Ω/KM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9.抗张强度：绝缘、护套老化前抗张强度≥10.0N/mm2,绝缘、护套老化前断裂伸长率≥150N/mm2</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10.允许弯曲半径:电缆外径（D）小于等于16mm时，应不小于4D，大于16mm时，应不小于6D</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11.100m/200m 每卷或定制长度</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12.温度范围：安装温度0℃~+50℃，工作温度-30℃~+70℃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13.产品通过CCC，提供认证证书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40209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卷</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FBABD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AC531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1898</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CDCC0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汇聚电缆</w:t>
            </w:r>
          </w:p>
        </w:tc>
      </w:tr>
      <w:tr w14:paraId="4DEEE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7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1E023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22BD8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RVV3*1</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D08DC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1.产品标准：GB/T 5023.5-2008，IEC60227</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2.导体材质：高纯度无氧铜，通过国际/国家认可资质质量检验机构的测试，提供检测报告</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3.额定电压：UO/U为300/500V,载流量参考值11A</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4.绝缘护套材料：优质聚氯乙烯材质，通过国际/国家认可资质质量检验机构的测试，提供检测报告</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5.绝缘厚度0.6mm,护套厚度0.8mm,产品外径6.3-8.0mm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6.护套颜色：黑色或灰色可选</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7.芯线标识：3芯/1.0mm2,每芯带有彩色护套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8.20℃时导体电阻≤19.5Ω/KM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9.抗张强度：绝缘、护套老化前抗张强度≥10.0N/mm2,绝缘、护套老化前断裂伸长率≥150N/mm2</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10.允许弯曲半径:电缆外径（D）小于等于16mm时，应不小于4D，大于16mm时，应不小于6D</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11.100m/200m 每卷或定制长度</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12.温度范围：安装温度0℃~+50℃，工作温度-30℃~+70℃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13.产品通过CCC，提供认证证书</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55B9E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卷</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E93AC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D274A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832</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D235D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接入电缆</w:t>
            </w:r>
          </w:p>
        </w:tc>
      </w:tr>
      <w:tr w14:paraId="66E30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7B33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0FDCC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壁挂机柜</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4DDE2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后加强板挂墙设计，4方孔条(立柱)厚度为1.5mm、安装梁厚度为1.2mm，侧门0.8mm；配置：20套螺丝、1把T型工具；静载60KG</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17E65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E311A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114</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2549E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33AFB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接入柜</w:t>
            </w:r>
          </w:p>
        </w:tc>
      </w:tr>
      <w:tr w14:paraId="2C587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0"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7C104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2F794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落地机柜</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0BA5B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2个通风六角网孔门(前后门带锁）、4方孔条(立柱)厚度为2.0mm、安装梁厚度为1.5mm、其他为1.2mm；配置：1块固定隔板、2个风扇、1根风扇线、20套螺丝、1把T型工具、4个重载支撑脚、4个重载万向轮；静载800KG</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A4106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DC544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A0D50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2205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CBDC1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汇聚柜</w:t>
            </w:r>
          </w:p>
        </w:tc>
      </w:tr>
      <w:tr w14:paraId="45108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0"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CFA56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1F3C3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10安PDU</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964529">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输入：接线盒  额定电流：10A；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输出：5位国标10A五孔；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功能：标准机柜横装、单控开关。</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44219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条</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605D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114</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A7F6A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126</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8A4E5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接入柜</w:t>
            </w:r>
          </w:p>
        </w:tc>
      </w:tr>
      <w:tr w14:paraId="36D9C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0"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4C1E3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4EE74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32安PDU</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4C1985">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输入：接线盒+2P/32A空开   额定电流：32A；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输出：5位国标10A五孔；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功能：标准机柜横装。</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B296E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条</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6C3BE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D5FCC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179</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DA287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汇聚柜</w:t>
            </w:r>
          </w:p>
        </w:tc>
      </w:tr>
      <w:tr w14:paraId="043EA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58022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7B67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综合布线配件</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55129D">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熔纤盘、波纹管、PVC管、直接、三通、弯头、线槽、管卡、线卡、水晶头等</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2CAD9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E8EA8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FAF65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6750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A66C28">
            <w:pPr>
              <w:jc w:val="center"/>
              <w:rPr>
                <w:rFonts w:hint="eastAsia" w:ascii="宋体" w:hAnsi="宋体" w:eastAsia="宋体" w:cs="宋体"/>
                <w:b w:val="0"/>
                <w:bCs w:val="0"/>
                <w:i w:val="0"/>
                <w:iCs w:val="0"/>
                <w:color w:val="000000"/>
                <w:sz w:val="24"/>
                <w:szCs w:val="24"/>
                <w:u w:val="none"/>
              </w:rPr>
            </w:pPr>
          </w:p>
        </w:tc>
      </w:tr>
      <w:tr w14:paraId="2C007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9F4A4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9DB076">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cs="宋体"/>
                <w:b w:val="0"/>
                <w:bCs w:val="0"/>
                <w:i w:val="0"/>
                <w:iCs w:val="0"/>
                <w:color w:val="000000" w:themeColor="text1"/>
                <w:kern w:val="0"/>
                <w:sz w:val="24"/>
                <w:szCs w:val="24"/>
                <w:u w:val="none"/>
                <w:lang w:val="en-US" w:eastAsia="zh-CN" w:bidi="ar"/>
                <w14:textFill>
                  <w14:solidFill>
                    <w14:schemeClr w14:val="tx1"/>
                  </w14:solidFill>
                </w14:textFill>
              </w:rPr>
              <w:t>综合布线施工</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DB21F0">
            <w:pPr>
              <w:keepNext w:val="0"/>
              <w:keepLines w:val="0"/>
              <w:widowControl/>
              <w:suppressLineNumbers w:val="0"/>
              <w:jc w:val="left"/>
              <w:textAlignment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kern w:val="0"/>
                <w:sz w:val="24"/>
                <w:szCs w:val="24"/>
                <w:u w:val="none"/>
                <w:lang w:val="en-US" w:eastAsia="zh-CN" w:bidi="ar"/>
                <w14:textFill>
                  <w14:solidFill>
                    <w14:schemeClr w14:val="tx1"/>
                  </w14:solidFill>
                </w14:textFill>
              </w:rPr>
              <w:t>乙方负责安装调试服务。</w:t>
            </w:r>
            <w:r>
              <w:rPr>
                <w:rFonts w:hint="eastAsia" w:ascii="宋体" w:hAnsi="宋体" w:cs="宋体"/>
                <w:b w:val="0"/>
                <w:bCs w:val="0"/>
                <w:i w:val="0"/>
                <w:iCs w:val="0"/>
                <w:color w:val="000000" w:themeColor="text1"/>
                <w:kern w:val="0"/>
                <w:sz w:val="24"/>
                <w:szCs w:val="24"/>
                <w:u w:val="none"/>
                <w:lang w:val="en-US" w:eastAsia="zh-CN" w:bidi="ar"/>
                <w14:textFill>
                  <w14:solidFill>
                    <w14:schemeClr w14:val="tx1"/>
                  </w14:solidFill>
                </w14:textFill>
              </w:rPr>
              <w:t>(含路由勘测、线缆敷设、光纤熔接、跳纤、故障处理、材料搬运等。）</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03BA36">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cs="宋体"/>
                <w:b w:val="0"/>
                <w:bCs w:val="0"/>
                <w:i w:val="0"/>
                <w:iCs w:val="0"/>
                <w:color w:val="000000" w:themeColor="text1"/>
                <w:kern w:val="0"/>
                <w:sz w:val="24"/>
                <w:szCs w:val="24"/>
                <w:u w:val="none"/>
                <w:lang w:val="en-US" w:eastAsia="zh-CN" w:bidi="ar"/>
                <w14:textFill>
                  <w14:solidFill>
                    <w14:schemeClr w14:val="tx1"/>
                  </w14:solidFill>
                </w14:textFill>
              </w:rPr>
              <w:t>KM</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5286ED">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cs="宋体"/>
                <w:b w:val="0"/>
                <w:bCs w:val="0"/>
                <w:i w:val="0"/>
                <w:iCs w:val="0"/>
                <w:color w:val="000000" w:themeColor="text1"/>
                <w:kern w:val="0"/>
                <w:sz w:val="24"/>
                <w:szCs w:val="24"/>
                <w:u w:val="none"/>
                <w:lang w:val="en-US" w:eastAsia="zh-CN" w:bidi="ar"/>
                <w14:textFill>
                  <w14:solidFill>
                    <w14:schemeClr w14:val="tx1"/>
                  </w14:solidFill>
                </w14:textFill>
              </w:rPr>
              <w:t>约8</w:t>
            </w:r>
            <w:r>
              <w:rPr>
                <w:rFonts w:hint="eastAsia" w:ascii="宋体" w:hAnsi="宋体" w:eastAsia="宋体" w:cs="宋体"/>
                <w:b w:val="0"/>
                <w:bCs w:val="0"/>
                <w:i w:val="0"/>
                <w:iCs w:val="0"/>
                <w:color w:val="000000" w:themeColor="text1"/>
                <w:kern w:val="0"/>
                <w:sz w:val="24"/>
                <w:szCs w:val="24"/>
                <w:u w:val="none"/>
                <w:lang w:val="en-US" w:eastAsia="zh-CN" w:bidi="ar"/>
                <w14:textFill>
                  <w14:solidFill>
                    <w14:schemeClr w14:val="tx1"/>
                  </w14:solidFill>
                </w14:textFill>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DAC522">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kern w:val="0"/>
                <w:sz w:val="24"/>
                <w:szCs w:val="24"/>
                <w:u w:val="none"/>
                <w:lang w:val="en-US" w:eastAsia="zh-CN" w:bidi="ar"/>
                <w14:textFill>
                  <w14:solidFill>
                    <w14:schemeClr w14:val="tx1"/>
                  </w14:solidFill>
                </w14:textFill>
              </w:rPr>
              <w:t>3000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D8E626">
            <w:pPr>
              <w:jc w:val="center"/>
              <w:rPr>
                <w:rFonts w:hint="eastAsia" w:ascii="宋体" w:hAnsi="宋体" w:eastAsia="宋体" w:cs="宋体"/>
                <w:b w:val="0"/>
                <w:bCs w:val="0"/>
                <w:i w:val="0"/>
                <w:iCs w:val="0"/>
                <w:color w:val="000000"/>
                <w:sz w:val="24"/>
                <w:szCs w:val="24"/>
                <w:u w:val="none"/>
              </w:rPr>
            </w:pPr>
          </w:p>
        </w:tc>
      </w:tr>
      <w:tr w14:paraId="72D24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1061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14:paraId="710D699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七、微模块数据中心</w:t>
            </w:r>
          </w:p>
        </w:tc>
      </w:tr>
      <w:tr w14:paraId="283A1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31"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8C549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CDB88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基础设施一体柜</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347BE7">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一、主体设施</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1.基础设施一体柜，集成不间断电源主机、配电、监控、空气调节器一体化集成在一个综合柜，设备柜在综合柜两侧灵活扩展，可支持消防灭火模块：即插即用免改造；</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2.10KVA机架式不间断电源主机 2台（叠加并机≥20kw），模块内供配电系统1套，12.5KW制冷量机架式精密空气调节器2台，模块内动环监控系统1套提供安装控件及设备附件。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3</w:t>
            </w:r>
            <w:r>
              <w:rPr>
                <w:rFonts w:hint="eastAsia" w:ascii="宋体" w:hAnsi="宋体" w:eastAsia="宋体" w:cs="宋体"/>
                <w:b w:val="0"/>
                <w:bCs w:val="0"/>
                <w:i w:val="0"/>
                <w:iCs w:val="0"/>
                <w:color w:val="000000"/>
                <w:kern w:val="0"/>
                <w:sz w:val="24"/>
                <w:szCs w:val="24"/>
                <w:u w:val="none"/>
                <w:lang w:val="en-US" w:eastAsia="zh-CN" w:bidi="ar"/>
              </w:rPr>
              <w:t>.为保证机房系统的统一规划、管理、调试及可靠性，不间断电源主机、空气调节器、配电、服务器机柜、监控主机、管理系统、服务器监控主机为同一品牌。</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二、不间断电源</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1.不间断电源集成于基础设施一体柜，采用10kVA在线式高频不间断电源主机，实际功率不低于10KW；支持单单/三单工作模式可调，支持机架安装；独立开关机键，一键智能化开机免调测；（提供原厂证明材料）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2.输入参数：输入电压范围：单相80V AC～280V AC； 三相138V AC～485V AC;输入频率范围40-70Hz；输入电流谐波失真THDi＜3％；输入功率因素≥ 0.99</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3.输出参数：输出电压：单相220V/230V/240V±1%；输出功率因数≥0.98；输出电压谐波失真THD &lt;1% ；输出频率：50/60±0.1Hz；（提供原厂证明材料）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4.过载能力：负载≤105%，连续工作，105%＜负载≤125%，10min后转旁路，125%＜负载≤150%，60s后转旁路；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5.整机效率（最高值）≥96%；ECO模式下，效率≥99%</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6.市电电池切换时间：0s；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7.环境：噪音≤58db，工作温度：0℃～50℃；0% RH～95% RH（无凝露）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8.通信：支持多种通讯协议接口，支持提供实时报警及短信接收功能；可选配4G模块，支持多站点云化管理；内置WIFI与手机APP通讯;（提供原厂证明材料）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9.不间断电源配电系统具有分级下电功能，在一些异常场景下应该可以切断次要负载的输出，保护主要设备的稳定供电；</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10.电池组智能管理功能：电池自动均浮充转换、电池温度补偿、电池容量预测、电池智能休眠技术、电池节数12-20节可调等；支持新旧锂电混合并用，支持分期扩容；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11.交流输入端满足5kA防雷。</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12.为保证不间断电源系统接入动环监控系统的网络安全性，预防不间断电源主机被黑客攻击控制所导致的机房断电故障，不间断电源主机须获得《社会公共安全产品认证》证书（提供第三方证明材料）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13.提供泰尔认证（提供第三方证明材料）；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三、空气调节器</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1.精密空气调节器集成于基础设施一体柜，机架式安装，仅占用11U高空间，内机6个EC风机水平送风；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2.精密空气调节器采用全直流变频压缩机，冷量可实现20%～100%无级调节；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3.电机变频启动，降低启动电流，消除对电网和其他用电单位的冲击；</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4.精密空气调节器设备具有FE接口，以MAC协议总线组网，实现群控功能；</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5.采用电子膨胀阀，可快速准确的根据温湿度需求调节制冷剂流量；</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6.采用PTC电加热具有自动复位和不可恢复双重保护功能；</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7.低载除湿：低载无凝露设计，空气调节器应具备低载无凝露的设计，可以使低负载（最低10%）、高湿环境中冷通道的湿度下有效除湿，湿度维持在20%-80%；除湿量≥3.3kg/h；（提供第三方证明材料）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8.加热加湿：空气调节器支持（选配）加热加湿功能，加湿量不少于1.0kg/h，加热功率不小于3kW，加湿功能应采用零耗电湿膜加湿节能型设计，以降低机组功耗，节能环保（提供第三方证明材料）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9.制冷剂管路和水管管路均可选择上、下走管场景，精密空气调节器内外机管路免焊接设计，为保证制冷效果，空调连管最大长度小于80米；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10.精密空气调节器冗余：模块内精密空气调节器可实现N+1冗余配置；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技术参数：制冷量≥12.5kW；能效比≥3；精密空气调节器风量≥2600m³/h；采用R410A制冷剂，精密空气调节器出厂自带制冷剂不少于6kg，单台精密空气调节器铜管长度≤30米时无需再添加制冷剂，以满足现场快速安装需求；（提供原厂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12.为保证精密空气调节器整体质量，需提供关键部件的安全检测报告（高频变压器、继电器、熔断体等）（提供第三方证明材料）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13.提供CCC认证证书（提供第三方证明材料）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四、动环监控</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1、模块内动环监控主机集成于基础设施一体柜；动环监控系统采用嵌入式监控主机，支持数据加密,支持提供统一北向接口和南向接口；主机支持双电源 ；支持扩展端口；                                                                                       2、支持房间级监控和门禁，支持不少于3路摄像机接入，并提供POE供电；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3、应支持近端wifi功能，支持手机APP；支持APP视图功能，生成和实际布置匹配的布局图，呈现监控数据；（提供原厂证明材料）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4、模块应配备10英寸以上的统一监控显示屏，支持多点触控，可实现对模块所有动环进行监控；</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5、支持告警功能；实时告警，提供故障原因和解决办法，分级别告警，告警和灯光联动；支持短信、邮件告警通知、同时支持不少于500条活动告警；                                                                                                          6、支持历史查询功能；查看告警历史数据、设备性能历史数据、操作日志历史和数据导出；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7、支持联动控制功能；若烟感告警产生或机柜温度过高，联动机柜前后门自动弹开。提供气弹簧的检验报告；（提供第三方证明材料）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8、支持远程Web界面访问，多模块支持网管统一监控</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9、智能运维系统：</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⑴.标配手机APP移动运维管理（支持4G卡远程通讯），包括功能有：实时数据检测、维保服务状态（维护时间、到期时间等）、一键报修服务、设备保养服务（设备软件版本检测更新、耗材维护提醒、参数检查、外观检测、环境检查、电池深度检查、连接电缆检查等）日志采集发送功能、智能在线客服7*24*365天实时在线处理设备故障问题、报警检测通知（微信通知、短信通知、电话通知、APP通知等多方式报警服务）、多账号成员管理系统（可单独设置管理权限）；（提供原厂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⑵.标配远程查看基础设施一体柜实时数据：电流、负载率、功率因素、相电压、有功功率、动环监控频率、电池剩余电量、电池温度、电池电流、电池电压、备电时间等详细参数）；（提供原厂证明材料）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⑶.标配多产品统一远程运维系统（例如：UPS主机远程运维、精密空调远程运维、模块化机房远程运维等同一品牌设备管理）；（提供原厂证明材料）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10、为保障无线通信网络安全，需提供国产化无线通信模块证明资料，提供主控模组单板和环境监控主机为国产自主可控同一厂商生产；（提供第三方证明材料）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11、动力环境监控主机符合信息安全技术规范CSPSH-GF-001:2017：</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（1）安全功能要求：标识和鉴别、用户数据保护、安全管理、TOE访问、TSF保护、可信路径/信道、安全审计等检测内容需全部合格（提供第三方证明材料）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（2）安全保障要求：开发、指导性文档、生命周期支持、测试、脆弱性分析等检测内容需全部合格（提供第三方证明材料）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12、为保障动环监控系统的网络安全性，预防动力环境监控主机被黑客网络攻击控制，造成机房故障，须获得《社会公共安全产品认证》证书（提供第三方证明材料）</w:t>
            </w:r>
            <w:r>
              <w:rPr>
                <w:rFonts w:hint="eastAsia" w:ascii="宋体" w:hAnsi="宋体" w:eastAsia="宋体" w:cs="宋体"/>
                <w:b w:val="0"/>
                <w:bCs w:val="0"/>
                <w:i w:val="0"/>
                <w:iCs w:val="0"/>
                <w:color w:val="FF0000"/>
                <w:kern w:val="0"/>
                <w:sz w:val="24"/>
                <w:szCs w:val="24"/>
                <w:highlight w:val="yellow"/>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五、其它参数</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集成于集成设施一体柜，系统参数：配电模块机架式安装，包括防雷器、不间断电源输入/输出/维修旁路、IT供电、智能温控产品，支持单路和双路输入，双路供电时支持ATS配电模块配置；配电模块需要≥12路IT输出，空气调节器输出≥3路；</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2、配电模块应配置C级防雷器，防雷器前端需具有防雷保护开关，同时具有防雷开关或防雷器故障指示的微动开关，以便远程监控防雷状态。</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BFA46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51C4F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5EE86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187203</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5BA22B">
            <w:pPr>
              <w:jc w:val="center"/>
              <w:rPr>
                <w:rFonts w:hint="eastAsia" w:ascii="宋体" w:hAnsi="宋体" w:eastAsia="宋体" w:cs="宋体"/>
                <w:b w:val="0"/>
                <w:bCs w:val="0"/>
                <w:i w:val="0"/>
                <w:iCs w:val="0"/>
                <w:color w:val="000000"/>
                <w:sz w:val="24"/>
                <w:szCs w:val="24"/>
                <w:u w:val="none"/>
              </w:rPr>
            </w:pPr>
          </w:p>
        </w:tc>
      </w:tr>
      <w:tr w14:paraId="2DDAD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B14A8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FA89E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室外机</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D5AB6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1、精密空气调节器配套室外机；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2、使用温度：–20℃～+45℃；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3、安装条件：室外机高于室内机时，支持垂直高度差≤30m，室内机高于室外机时，垂直高度差≤8m；单程连管等效最大长度：≤80m；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4、技术参数祥见空气调节器室内机</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844E7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09FEC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1832F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22766</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94D857">
            <w:pPr>
              <w:jc w:val="center"/>
              <w:rPr>
                <w:rFonts w:hint="eastAsia" w:ascii="宋体" w:hAnsi="宋体" w:eastAsia="宋体" w:cs="宋体"/>
                <w:b w:val="0"/>
                <w:bCs w:val="0"/>
                <w:i w:val="0"/>
                <w:iCs w:val="0"/>
                <w:color w:val="000000"/>
                <w:sz w:val="24"/>
                <w:szCs w:val="24"/>
                <w:u w:val="none"/>
              </w:rPr>
            </w:pPr>
          </w:p>
        </w:tc>
      </w:tr>
      <w:tr w14:paraId="1CE73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6"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C2C14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034BE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机柜系统</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540723">
            <w:pPr>
              <w:keepNext w:val="0"/>
              <w:keepLines w:val="0"/>
              <w:widowControl/>
              <w:suppressLineNumbers w:val="0"/>
              <w:jc w:val="left"/>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1、模块（宽×深×高）：单模块：Lx1350mmx2000mm；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2、IT机柜：600mmx1100mmx2000mm，静载≥2400kg，机柜防护等级不低于IP20；前后门智能门锁，可检测门开关状态，支持本地钥匙打开，并支持通过密码、面部识别等方式打开机柜门。（提供原厂证明材料）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3、密封通道：同时密封冷、热通道，送风冷通道≤250mm，模块整体深度≤1350mm，机柜采用前后封闭设计，前后门单开，前门配置玻璃，以便内部设备可视，并降低设备运行声音；（提供原厂证明材料）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4</w:t>
            </w:r>
            <w:r>
              <w:rPr>
                <w:rFonts w:hint="eastAsia" w:ascii="宋体" w:hAnsi="宋体" w:eastAsia="宋体" w:cs="宋体"/>
                <w:b w:val="0"/>
                <w:bCs w:val="0"/>
                <w:i w:val="0"/>
                <w:iCs w:val="0"/>
                <w:color w:val="000000"/>
                <w:kern w:val="0"/>
                <w:sz w:val="24"/>
                <w:szCs w:val="24"/>
                <w:u w:val="none"/>
                <w:lang w:val="en-US" w:eastAsia="zh-CN" w:bidi="ar"/>
              </w:rPr>
              <w:t>、安装方式：防静电地板或水泥地面安装。</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5</w:t>
            </w:r>
            <w:r>
              <w:rPr>
                <w:rFonts w:hint="eastAsia" w:ascii="宋体" w:hAnsi="宋体" w:eastAsia="宋体" w:cs="宋体"/>
                <w:b w:val="0"/>
                <w:bCs w:val="0"/>
                <w:i w:val="0"/>
                <w:iCs w:val="0"/>
                <w:color w:val="000000"/>
                <w:kern w:val="0"/>
                <w:sz w:val="24"/>
                <w:szCs w:val="24"/>
                <w:u w:val="none"/>
                <w:lang w:val="en-US" w:eastAsia="zh-CN" w:bidi="ar"/>
              </w:rPr>
              <w:t>、走线设计：模块输入电缆支持上、下进线，模块内部电缆支持上走线；</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76494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4D3CE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995BE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10361</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8EF96">
            <w:pPr>
              <w:jc w:val="center"/>
              <w:rPr>
                <w:rFonts w:hint="eastAsia" w:ascii="宋体" w:hAnsi="宋体" w:eastAsia="宋体" w:cs="宋体"/>
                <w:b w:val="0"/>
                <w:bCs w:val="0"/>
                <w:i w:val="0"/>
                <w:iCs w:val="0"/>
                <w:color w:val="000000"/>
                <w:sz w:val="24"/>
                <w:szCs w:val="24"/>
                <w:u w:val="none"/>
              </w:rPr>
            </w:pPr>
          </w:p>
        </w:tc>
      </w:tr>
      <w:tr w14:paraId="2E25C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0"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EFB03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09D7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PDU配电单元</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7F616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1.输入电压范围:187V AC～264V AC，1Ph最大输入电流32A;每个机柜应配置两条国标配电排，单条配电排支持不少于20个10A和4个16A插孔。</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2.国标插座，全高竖装。</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5BA3D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EC3BB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CC321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825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BDEA2">
            <w:pPr>
              <w:jc w:val="center"/>
              <w:rPr>
                <w:rFonts w:hint="eastAsia" w:ascii="宋体" w:hAnsi="宋体" w:eastAsia="宋体" w:cs="宋体"/>
                <w:b w:val="0"/>
                <w:bCs w:val="0"/>
                <w:i w:val="0"/>
                <w:iCs w:val="0"/>
                <w:color w:val="000000"/>
                <w:sz w:val="24"/>
                <w:szCs w:val="24"/>
                <w:u w:val="none"/>
              </w:rPr>
            </w:pPr>
          </w:p>
        </w:tc>
      </w:tr>
      <w:tr w14:paraId="62A81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7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8AC6A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C47D1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电池组</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430AD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1.电池类型：免维护铅酸蓄电池，阀控密封式设计，12V100AH蓄电池32节，含电池柜、电池组内部连接电缆，含电池组和UPS机头连接电缆；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2.为保障蓄电池产品质量需提供：泰尔认证及泰尔检测报告</w:t>
            </w: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（提供证明材料，盖原厂公章）；</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3.为保障蓄电池产品供货及时，供货品牌应具备相应生产能力及全国工业产品生产许可证（提供证明材料，盖原厂公章）；</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themeColor="text1"/>
                <w:kern w:val="0"/>
                <w:sz w:val="24"/>
                <w:szCs w:val="24"/>
                <w:u w:val="none"/>
                <w:lang w:val="en-US" w:eastAsia="zh-CN" w:bidi="ar"/>
                <w14:textFill>
                  <w14:solidFill>
                    <w14:schemeClr w14:val="tx1"/>
                  </w14:solidFill>
                </w14:textFill>
              </w:rPr>
              <w:t>4.</w:t>
            </w:r>
            <w:bookmarkStart w:id="492" w:name="_GoBack"/>
            <w:bookmarkEnd w:id="492"/>
            <w:r>
              <w:rPr>
                <w:rFonts w:hint="eastAsia" w:ascii="宋体" w:hAnsi="宋体" w:eastAsia="宋体" w:cs="宋体"/>
                <w:b w:val="0"/>
                <w:bCs w:val="0"/>
                <w:i w:val="0"/>
                <w:iCs w:val="0"/>
                <w:color w:val="000000" w:themeColor="text1"/>
                <w:kern w:val="0"/>
                <w:sz w:val="24"/>
                <w:szCs w:val="24"/>
                <w:u w:val="none"/>
                <w:lang w:val="en-US" w:eastAsia="zh-CN" w:bidi="ar"/>
                <w14:textFill>
                  <w14:solidFill>
                    <w14:schemeClr w14:val="tx1"/>
                  </w14:solidFill>
                </w14:textFill>
              </w:rPr>
              <w:t>要求蓄电池厂家具有：</w:t>
            </w:r>
            <w:r>
              <w:rPr>
                <w:rFonts w:hint="eastAsia" w:ascii="宋体" w:hAnsi="宋体" w:cs="宋体"/>
                <w:b w:val="0"/>
                <w:bCs w:val="0"/>
                <w:i w:val="0"/>
                <w:iCs w:val="0"/>
                <w:color w:val="000000" w:themeColor="text1"/>
                <w:kern w:val="0"/>
                <w:sz w:val="24"/>
                <w:szCs w:val="24"/>
                <w:u w:val="none"/>
                <w:lang w:val="en-US" w:eastAsia="zh-CN" w:bidi="ar"/>
                <w14:textFill>
                  <w14:solidFill>
                    <w14:schemeClr w14:val="tx1"/>
                  </w14:solidFill>
                </w14:textFill>
              </w:rPr>
              <w:t>有</w:t>
            </w:r>
            <w:r>
              <w:rPr>
                <w:rFonts w:hint="eastAsia" w:ascii="宋体" w:hAnsi="宋体" w:eastAsia="宋体" w:cs="宋体"/>
                <w:b w:val="0"/>
                <w:bCs w:val="0"/>
                <w:i w:val="0"/>
                <w:iCs w:val="0"/>
                <w:color w:val="000000" w:themeColor="text1"/>
                <w:kern w:val="0"/>
                <w:sz w:val="24"/>
                <w:szCs w:val="24"/>
                <w:u w:val="none"/>
                <w:lang w:val="en-US" w:eastAsia="zh-CN" w:bidi="ar"/>
                <w14:textFill>
                  <w14:solidFill>
                    <w14:schemeClr w14:val="tx1"/>
                  </w14:solidFill>
                </w14:textFill>
              </w:rPr>
              <w:t>害物质过程管理体系认证、电池回收资质（提供证明材料，盖原厂公章）；</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5</w:t>
            </w:r>
            <w:r>
              <w:rPr>
                <w:rFonts w:hint="eastAsia" w:ascii="宋体" w:hAnsi="宋体" w:eastAsia="宋体" w:cs="宋体"/>
                <w:b w:val="0"/>
                <w:bCs w:val="0"/>
                <w:i w:val="0"/>
                <w:iCs w:val="0"/>
                <w:color w:val="000000"/>
                <w:kern w:val="0"/>
                <w:sz w:val="24"/>
                <w:szCs w:val="24"/>
                <w:u w:val="none"/>
                <w:lang w:val="en-US" w:eastAsia="zh-CN" w:bidi="ar"/>
              </w:rPr>
              <w:t>.温度特性：蓄电池在工作环境温度为0℃时的容量应不低于该电池实际容量（25℃时的C10）的80%。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6</w:t>
            </w:r>
            <w:r>
              <w:rPr>
                <w:rFonts w:hint="eastAsia" w:ascii="宋体" w:hAnsi="宋体" w:eastAsia="宋体" w:cs="宋体"/>
                <w:b w:val="0"/>
                <w:bCs w:val="0"/>
                <w:i w:val="0"/>
                <w:iCs w:val="0"/>
                <w:color w:val="000000"/>
                <w:kern w:val="0"/>
                <w:sz w:val="24"/>
                <w:szCs w:val="24"/>
                <w:u w:val="none"/>
                <w:lang w:val="en-US" w:eastAsia="zh-CN" w:bidi="ar"/>
              </w:rPr>
              <w:t>.蓄电池容量保存率：在温度为25℃时蓄电池静置28天后，容量保存率不低于该电池实际容量（25℃时的C10）的≥</w:t>
            </w:r>
            <w:r>
              <w:rPr>
                <w:rFonts w:hint="eastAsia" w:ascii="宋体" w:hAnsi="宋体" w:cs="宋体"/>
                <w:b w:val="0"/>
                <w:bCs w:val="0"/>
                <w:i w:val="0"/>
                <w:iCs w:val="0"/>
                <w:color w:val="000000"/>
                <w:kern w:val="0"/>
                <w:sz w:val="24"/>
                <w:szCs w:val="24"/>
                <w:u w:val="none"/>
                <w:lang w:val="en-US" w:eastAsia="zh-CN" w:bidi="ar"/>
              </w:rPr>
              <w:t>80</w:t>
            </w:r>
            <w:r>
              <w:rPr>
                <w:rFonts w:hint="eastAsia" w:ascii="宋体" w:hAnsi="宋体" w:eastAsia="宋体" w:cs="宋体"/>
                <w:b w:val="0"/>
                <w:bCs w:val="0"/>
                <w:i w:val="0"/>
                <w:iCs w:val="0"/>
                <w:color w:val="000000"/>
                <w:kern w:val="0"/>
                <w:sz w:val="24"/>
                <w:szCs w:val="24"/>
                <w:u w:val="none"/>
                <w:lang w:val="en-US" w:eastAsia="zh-CN" w:bidi="ar"/>
              </w:rPr>
              <w:t>%，需提供第三方检测报告。（提供证明材料，盖原厂公章）；</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7</w:t>
            </w:r>
            <w:r>
              <w:rPr>
                <w:rFonts w:hint="eastAsia" w:ascii="宋体" w:hAnsi="宋体" w:eastAsia="宋体" w:cs="宋体"/>
                <w:b w:val="0"/>
                <w:bCs w:val="0"/>
                <w:i w:val="0"/>
                <w:iCs w:val="0"/>
                <w:color w:val="000000"/>
                <w:kern w:val="0"/>
                <w:sz w:val="24"/>
                <w:szCs w:val="24"/>
                <w:u w:val="none"/>
                <w:lang w:val="en-US" w:eastAsia="zh-CN" w:bidi="ar"/>
              </w:rPr>
              <w:t>.蓄电池组进入浮充状态24h后，各蓄电池间的端电压差值≤480mV（12V）；</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8</w:t>
            </w:r>
            <w:r>
              <w:rPr>
                <w:rFonts w:hint="eastAsia" w:ascii="宋体" w:hAnsi="宋体" w:eastAsia="宋体" w:cs="宋体"/>
                <w:b w:val="0"/>
                <w:bCs w:val="0"/>
                <w:i w:val="0"/>
                <w:iCs w:val="0"/>
                <w:color w:val="000000"/>
                <w:kern w:val="0"/>
                <w:sz w:val="24"/>
                <w:szCs w:val="24"/>
                <w:u w:val="none"/>
                <w:lang w:val="en-US" w:eastAsia="zh-CN" w:bidi="ar"/>
              </w:rPr>
              <w:t>.蓄电池密封反应效率：蓄电池密封反应效率应不低于97%，需提供第三方检测报告（提供证明材料，盖原厂公章）；</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6AC00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组</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C110F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2E159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40884</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DB2D21">
            <w:pPr>
              <w:jc w:val="center"/>
              <w:rPr>
                <w:rFonts w:hint="eastAsia" w:ascii="宋体" w:hAnsi="宋体" w:eastAsia="宋体" w:cs="宋体"/>
                <w:b w:val="0"/>
                <w:bCs w:val="0"/>
                <w:i w:val="0"/>
                <w:iCs w:val="0"/>
                <w:color w:val="000000"/>
                <w:sz w:val="24"/>
                <w:szCs w:val="24"/>
                <w:u w:val="none"/>
              </w:rPr>
            </w:pPr>
          </w:p>
        </w:tc>
      </w:tr>
      <w:tr w14:paraId="52626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17"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1394A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C11B3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动环前端采集设备</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1122B9">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1、监控报警提示灯 1 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2、智能ETH插座 1 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3、ETH转换器 1 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4、水浸传感器 1 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5、视频存储1周 1 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6、温湿度传感器 1 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7、双空调下走管组件 1套；</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C7BDA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89C2D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14181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11130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41265F">
            <w:pPr>
              <w:jc w:val="center"/>
              <w:rPr>
                <w:rFonts w:hint="eastAsia" w:ascii="宋体" w:hAnsi="宋体" w:eastAsia="宋体" w:cs="宋体"/>
                <w:b w:val="0"/>
                <w:bCs w:val="0"/>
                <w:i w:val="0"/>
                <w:iCs w:val="0"/>
                <w:color w:val="000000"/>
                <w:sz w:val="24"/>
                <w:szCs w:val="24"/>
                <w:u w:val="none"/>
              </w:rPr>
            </w:pPr>
          </w:p>
        </w:tc>
      </w:tr>
      <w:tr w14:paraId="42F6B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C8DB1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43ABF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模块化机房安装附件</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1818C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1.精密空调安装铜管，按20m/台核算，超出另计；</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EA337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26FD5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B451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6000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6D2F36">
            <w:pPr>
              <w:jc w:val="center"/>
              <w:rPr>
                <w:rFonts w:hint="eastAsia" w:ascii="宋体" w:hAnsi="宋体" w:eastAsia="宋体" w:cs="宋体"/>
                <w:b w:val="0"/>
                <w:bCs w:val="0"/>
                <w:i w:val="0"/>
                <w:iCs w:val="0"/>
                <w:color w:val="000000"/>
                <w:sz w:val="24"/>
                <w:szCs w:val="24"/>
                <w:u w:val="none"/>
              </w:rPr>
            </w:pPr>
          </w:p>
        </w:tc>
      </w:tr>
      <w:tr w14:paraId="5065C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FC9A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E5D20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模块电缆附件</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4E7867">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1.模块内的原厂配套功率和信号电缆；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2.含模块与外部配电柜的连接电缆20米，超出另计；</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46B02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FD66E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B1215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7953</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AD8008">
            <w:pPr>
              <w:jc w:val="center"/>
              <w:rPr>
                <w:rFonts w:hint="eastAsia" w:ascii="宋体" w:hAnsi="宋体" w:eastAsia="宋体" w:cs="宋体"/>
                <w:b w:val="0"/>
                <w:bCs w:val="0"/>
                <w:i w:val="0"/>
                <w:iCs w:val="0"/>
                <w:color w:val="000000"/>
                <w:sz w:val="24"/>
                <w:szCs w:val="24"/>
                <w:u w:val="none"/>
              </w:rPr>
            </w:pPr>
          </w:p>
        </w:tc>
      </w:tr>
      <w:tr w14:paraId="6B39F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1CB4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E0C4F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承重底座</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DAECE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现场定制机柜、电池柜、空调室外机承重底座；</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E21F7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D454D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6220B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975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9A65C1">
            <w:pPr>
              <w:jc w:val="center"/>
              <w:rPr>
                <w:rFonts w:hint="eastAsia" w:ascii="宋体" w:hAnsi="宋体" w:eastAsia="宋体" w:cs="宋体"/>
                <w:b w:val="0"/>
                <w:bCs w:val="0"/>
                <w:i w:val="0"/>
                <w:iCs w:val="0"/>
                <w:color w:val="000000"/>
                <w:sz w:val="24"/>
                <w:szCs w:val="24"/>
                <w:u w:val="none"/>
              </w:rPr>
            </w:pPr>
          </w:p>
        </w:tc>
      </w:tr>
      <w:tr w14:paraId="46C1B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4D1C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24C35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电缆</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673B2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铜缆 4X25+1X16</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200F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米</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0454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90</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7E020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5187CD">
            <w:pPr>
              <w:jc w:val="center"/>
              <w:rPr>
                <w:rFonts w:hint="eastAsia" w:ascii="宋体" w:hAnsi="宋体" w:eastAsia="宋体" w:cs="宋体"/>
                <w:b w:val="0"/>
                <w:bCs w:val="0"/>
                <w:i w:val="0"/>
                <w:iCs w:val="0"/>
                <w:color w:val="000000"/>
                <w:sz w:val="24"/>
                <w:szCs w:val="24"/>
                <w:u w:val="none"/>
              </w:rPr>
            </w:pPr>
          </w:p>
        </w:tc>
      </w:tr>
      <w:tr w14:paraId="15376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FF096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1C0E7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配电箱</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05C4A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国产空开、国产断路器、配置防雷防浪涌保护器</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3CA8E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F510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88B89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5250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52A1A8">
            <w:pPr>
              <w:jc w:val="center"/>
              <w:rPr>
                <w:rFonts w:hint="eastAsia" w:ascii="宋体" w:hAnsi="宋体" w:eastAsia="宋体" w:cs="宋体"/>
                <w:b w:val="0"/>
                <w:bCs w:val="0"/>
                <w:i w:val="0"/>
                <w:iCs w:val="0"/>
                <w:color w:val="000000"/>
                <w:sz w:val="24"/>
                <w:szCs w:val="24"/>
                <w:u w:val="none"/>
              </w:rPr>
            </w:pPr>
          </w:p>
        </w:tc>
      </w:tr>
      <w:tr w14:paraId="4C6D7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467DE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6AC06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实施交付</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3A60CD">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数据中心基础设施模块化解决方案实施服务-高级督导:含模块化机柜内部线缆布线、蓄电池布线、空调铜管布线以及设备安装调试服务。（含：二次搬运、布线实施、安装调试）物流运输（含卸货及二次搬运）</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3F1C9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项</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58AD7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AC65A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33000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5F89B6">
            <w:pPr>
              <w:jc w:val="center"/>
              <w:rPr>
                <w:rFonts w:hint="eastAsia" w:ascii="宋体" w:hAnsi="宋体" w:eastAsia="宋体" w:cs="宋体"/>
                <w:b w:val="0"/>
                <w:bCs w:val="0"/>
                <w:i w:val="0"/>
                <w:iCs w:val="0"/>
                <w:color w:val="000000"/>
                <w:sz w:val="24"/>
                <w:szCs w:val="24"/>
                <w:u w:val="none"/>
              </w:rPr>
            </w:pPr>
          </w:p>
        </w:tc>
      </w:tr>
      <w:tr w14:paraId="43A82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1061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14:paraId="18DA759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八、数据中心基础设施</w:t>
            </w:r>
          </w:p>
        </w:tc>
      </w:tr>
      <w:tr w14:paraId="02108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1"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F711A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C181B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地面-防尘漆</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AF8E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粉刷区域：地面</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粉刷遍数：三底两面</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技术参数：到达环保标准、无气味、达到GB/T9756-2009《合成树脂乳液内墙涂料》、JG/T172-2005《弹性建筑涂料》、GB18582-2008《室内装饰装修材料内墙涂料中有害物质限量》、HJ/T201-2005《环境标志产品技术要求水性涂料》中优等品指标。表干时间≤2h；</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052FD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m2</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5D53B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7A8D8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98</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113F96">
            <w:pPr>
              <w:jc w:val="center"/>
              <w:rPr>
                <w:rFonts w:hint="eastAsia" w:ascii="宋体" w:hAnsi="宋体" w:eastAsia="宋体" w:cs="宋体"/>
                <w:b w:val="0"/>
                <w:bCs w:val="0"/>
                <w:i w:val="0"/>
                <w:iCs w:val="0"/>
                <w:color w:val="000000"/>
                <w:sz w:val="24"/>
                <w:szCs w:val="24"/>
                <w:u w:val="none"/>
              </w:rPr>
            </w:pPr>
          </w:p>
        </w:tc>
      </w:tr>
      <w:tr w14:paraId="4B1F8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6E8A4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0D3CE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抗静电地板</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6B238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1、支架高度:200mm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2、瓷砖面防静电高架活动地板600*600，无边，含支架</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C4C76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m2</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EF74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57F3C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570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C5CD72">
            <w:pPr>
              <w:jc w:val="center"/>
              <w:rPr>
                <w:rFonts w:hint="eastAsia" w:ascii="宋体" w:hAnsi="宋体" w:eastAsia="宋体" w:cs="宋体"/>
                <w:b w:val="0"/>
                <w:bCs w:val="0"/>
                <w:i w:val="0"/>
                <w:iCs w:val="0"/>
                <w:color w:val="000000"/>
                <w:sz w:val="24"/>
                <w:szCs w:val="24"/>
                <w:u w:val="none"/>
              </w:rPr>
            </w:pPr>
          </w:p>
        </w:tc>
      </w:tr>
      <w:tr w14:paraId="41565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2F25C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1374E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地板周边角钢支撑</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2F85A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镀锌角钢焊接</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FFDF5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米</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D0157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CCEA2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78</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595C20">
            <w:pPr>
              <w:jc w:val="center"/>
              <w:rPr>
                <w:rFonts w:hint="eastAsia" w:ascii="宋体" w:hAnsi="宋体" w:eastAsia="宋体" w:cs="宋体"/>
                <w:b w:val="0"/>
                <w:bCs w:val="0"/>
                <w:i w:val="0"/>
                <w:iCs w:val="0"/>
                <w:color w:val="000000"/>
                <w:sz w:val="24"/>
                <w:szCs w:val="24"/>
                <w:u w:val="none"/>
              </w:rPr>
            </w:pPr>
          </w:p>
        </w:tc>
      </w:tr>
      <w:tr w14:paraId="00BAE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0B64B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45EBE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门口踏步</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CD720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静电地板钢制结构踏步。</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2756A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项</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FC50C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2C654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630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581773">
            <w:pPr>
              <w:jc w:val="center"/>
              <w:rPr>
                <w:rFonts w:hint="eastAsia" w:ascii="宋体" w:hAnsi="宋体" w:eastAsia="宋体" w:cs="宋体"/>
                <w:b w:val="0"/>
                <w:bCs w:val="0"/>
                <w:i w:val="0"/>
                <w:iCs w:val="0"/>
                <w:color w:val="000000"/>
                <w:sz w:val="24"/>
                <w:szCs w:val="24"/>
                <w:u w:val="none"/>
              </w:rPr>
            </w:pPr>
          </w:p>
        </w:tc>
      </w:tr>
      <w:tr w14:paraId="2E927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735A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5920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防鼠板</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77780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定制不锈钢防鼠板，安装在机房入户门口</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75A20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45307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3CD0E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900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FBC921">
            <w:pPr>
              <w:jc w:val="center"/>
              <w:rPr>
                <w:rFonts w:hint="eastAsia" w:ascii="宋体" w:hAnsi="宋体" w:eastAsia="宋体" w:cs="宋体"/>
                <w:b w:val="0"/>
                <w:bCs w:val="0"/>
                <w:i w:val="0"/>
                <w:iCs w:val="0"/>
                <w:color w:val="000000"/>
                <w:sz w:val="24"/>
                <w:szCs w:val="24"/>
                <w:u w:val="none"/>
              </w:rPr>
            </w:pPr>
          </w:p>
        </w:tc>
      </w:tr>
      <w:tr w14:paraId="3F9EA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47026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882AC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踢脚线</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235317">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哑光，高100mm，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面层材料品种、规格、颜色:10mm不锈钢踢脚</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E0338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米</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DD97D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DC839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188</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27E6F8">
            <w:pPr>
              <w:jc w:val="center"/>
              <w:rPr>
                <w:rFonts w:hint="eastAsia" w:ascii="宋体" w:hAnsi="宋体" w:eastAsia="宋体" w:cs="宋体"/>
                <w:b w:val="0"/>
                <w:bCs w:val="0"/>
                <w:i w:val="0"/>
                <w:iCs w:val="0"/>
                <w:color w:val="000000"/>
                <w:sz w:val="24"/>
                <w:szCs w:val="24"/>
                <w:u w:val="none"/>
              </w:rPr>
            </w:pPr>
          </w:p>
        </w:tc>
      </w:tr>
      <w:tr w14:paraId="34F58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B07B0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EBFA3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设备底座支架</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54B92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模块化机柜6个、空调外机2个，5#角钢现场焊接制作</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26FF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44FD0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91B65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1050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633B62">
            <w:pPr>
              <w:jc w:val="center"/>
              <w:rPr>
                <w:rFonts w:hint="eastAsia" w:ascii="宋体" w:hAnsi="宋体" w:eastAsia="宋体" w:cs="宋体"/>
                <w:b w:val="0"/>
                <w:bCs w:val="0"/>
                <w:i w:val="0"/>
                <w:iCs w:val="0"/>
                <w:color w:val="000000"/>
                <w:sz w:val="24"/>
                <w:szCs w:val="24"/>
                <w:u w:val="none"/>
              </w:rPr>
            </w:pPr>
          </w:p>
        </w:tc>
      </w:tr>
      <w:tr w14:paraId="334C6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EA625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EEBA6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设备底座支架</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642FE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电池柜2个10#槽钢现场焊接制作</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78E3B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C655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36036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1200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3A2A66">
            <w:pPr>
              <w:jc w:val="center"/>
              <w:rPr>
                <w:rFonts w:hint="eastAsia" w:ascii="宋体" w:hAnsi="宋体" w:eastAsia="宋体" w:cs="宋体"/>
                <w:b w:val="0"/>
                <w:bCs w:val="0"/>
                <w:i w:val="0"/>
                <w:iCs w:val="0"/>
                <w:color w:val="000000"/>
                <w:sz w:val="24"/>
                <w:szCs w:val="24"/>
                <w:u w:val="none"/>
              </w:rPr>
            </w:pPr>
          </w:p>
        </w:tc>
      </w:tr>
      <w:tr w14:paraId="01671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1"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36A7E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EB9C2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墙面-双飞粉乳胶漆</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81939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粉刷区域：墙面</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粉刷遍数：三底两面</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技术参数：到达环保标准、无气味、达到GB/T9756-2009《合成树脂乳液内墙涂料》、JG/T172-2005《弹性建筑涂料》、GB18582-2008《室内装饰装修材料内墙涂料中有害物质限量》、HJ/T201-2005《环境标志产品技术要求水性涂料》中优等品指标。表干时间≤2h；</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EBC21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m2</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F3DC1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79</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C6B07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98</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E7821">
            <w:pPr>
              <w:jc w:val="center"/>
              <w:rPr>
                <w:rFonts w:hint="eastAsia" w:ascii="宋体" w:hAnsi="宋体" w:eastAsia="宋体" w:cs="宋体"/>
                <w:b w:val="0"/>
                <w:bCs w:val="0"/>
                <w:i w:val="0"/>
                <w:iCs w:val="0"/>
                <w:color w:val="000000"/>
                <w:sz w:val="24"/>
                <w:szCs w:val="24"/>
                <w:u w:val="none"/>
              </w:rPr>
            </w:pPr>
          </w:p>
        </w:tc>
      </w:tr>
      <w:tr w14:paraId="5BF4F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F3BC6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4DF0D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窗户封堵</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D219A6">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原有机房窗户进行石膏板封堵</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16726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扇</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71469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A8840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1050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43890">
            <w:pPr>
              <w:jc w:val="center"/>
              <w:rPr>
                <w:rFonts w:hint="eastAsia" w:ascii="宋体" w:hAnsi="宋体" w:eastAsia="宋体" w:cs="宋体"/>
                <w:b w:val="0"/>
                <w:bCs w:val="0"/>
                <w:i w:val="0"/>
                <w:iCs w:val="0"/>
                <w:color w:val="000000"/>
                <w:sz w:val="24"/>
                <w:szCs w:val="24"/>
                <w:u w:val="none"/>
              </w:rPr>
            </w:pPr>
          </w:p>
        </w:tc>
      </w:tr>
      <w:tr w14:paraId="13C7B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93879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C80F2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双开防火门</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B250A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甲级防火双开门,含五金配件、含闭门器，水泥浇灌填充。</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A24C0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樘</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AC439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B0D41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6300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D26A8E">
            <w:pPr>
              <w:jc w:val="center"/>
              <w:rPr>
                <w:rFonts w:hint="eastAsia" w:ascii="宋体" w:hAnsi="宋体" w:eastAsia="宋体" w:cs="宋体"/>
                <w:b w:val="0"/>
                <w:bCs w:val="0"/>
                <w:i w:val="0"/>
                <w:iCs w:val="0"/>
                <w:color w:val="000000"/>
                <w:sz w:val="24"/>
                <w:szCs w:val="24"/>
                <w:u w:val="none"/>
              </w:rPr>
            </w:pPr>
          </w:p>
        </w:tc>
      </w:tr>
      <w:tr w14:paraId="76874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1"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3BDA9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FAEE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顶面-防尘漆</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782C90">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粉刷区域：顶面</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粉刷遍数：三底两面</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技术参数：到达环保标准、无气味、达到GB/T9756-2009《合成树脂乳液内墙涂料》、JG/T172-2005《弹性建筑涂料》、GB18582-2008《室内装饰装修材料内墙涂料中有害物质限量》、HJ/T201-2005《环境标志产品技术要求水性涂料》中优等品指标。表干时间≤2h；</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1A1A6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m2</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6E03C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5DD63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98</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3BA530">
            <w:pPr>
              <w:jc w:val="center"/>
              <w:rPr>
                <w:rFonts w:hint="eastAsia" w:ascii="宋体" w:hAnsi="宋体" w:eastAsia="宋体" w:cs="宋体"/>
                <w:b w:val="0"/>
                <w:bCs w:val="0"/>
                <w:i w:val="0"/>
                <w:iCs w:val="0"/>
                <w:color w:val="000000"/>
                <w:sz w:val="24"/>
                <w:szCs w:val="24"/>
                <w:u w:val="none"/>
              </w:rPr>
            </w:pPr>
          </w:p>
        </w:tc>
      </w:tr>
      <w:tr w14:paraId="59062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5F393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6BF35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铝合金微孔天花吊顶</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D27E7">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铝合金微孔天花吊顶，颜色：白色，含吊杆、龙骨等材料600*600*0.8</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3F4A7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m2</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A5188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E4594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278</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4EA6A">
            <w:pPr>
              <w:jc w:val="center"/>
              <w:rPr>
                <w:rFonts w:hint="eastAsia" w:ascii="宋体" w:hAnsi="宋体" w:eastAsia="宋体" w:cs="宋体"/>
                <w:b w:val="0"/>
                <w:bCs w:val="0"/>
                <w:i w:val="0"/>
                <w:iCs w:val="0"/>
                <w:color w:val="000000"/>
                <w:sz w:val="24"/>
                <w:szCs w:val="24"/>
                <w:u w:val="none"/>
              </w:rPr>
            </w:pPr>
          </w:p>
        </w:tc>
      </w:tr>
      <w:tr w14:paraId="765AD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5DA60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7C0DA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插座电缆</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7B595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机房墙面安装6个维修插座线缆，含墙面开槽暗敷KBG管水泥砂浆修补，穿线人工费</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CC2A9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项</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05258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72783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4500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5540CF">
            <w:pPr>
              <w:jc w:val="center"/>
              <w:rPr>
                <w:rFonts w:hint="eastAsia" w:ascii="宋体" w:hAnsi="宋体" w:eastAsia="宋体" w:cs="宋体"/>
                <w:b w:val="0"/>
                <w:bCs w:val="0"/>
                <w:i w:val="0"/>
                <w:iCs w:val="0"/>
                <w:color w:val="000000"/>
                <w:sz w:val="24"/>
                <w:szCs w:val="24"/>
                <w:u w:val="none"/>
              </w:rPr>
            </w:pPr>
          </w:p>
        </w:tc>
      </w:tr>
      <w:tr w14:paraId="311D7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37BA1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43A65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照明电缆</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A1A81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机房顶面照明供电线缆，含墙面开槽暗敷KBG管水泥砂浆修补，穿线人工费</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ADD9C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项</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131B9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B2B8F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4500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7EDF3">
            <w:pPr>
              <w:jc w:val="center"/>
              <w:rPr>
                <w:rFonts w:hint="eastAsia" w:ascii="宋体" w:hAnsi="宋体" w:eastAsia="宋体" w:cs="宋体"/>
                <w:b w:val="0"/>
                <w:bCs w:val="0"/>
                <w:i w:val="0"/>
                <w:iCs w:val="0"/>
                <w:color w:val="000000"/>
                <w:sz w:val="24"/>
                <w:szCs w:val="24"/>
                <w:u w:val="none"/>
              </w:rPr>
            </w:pPr>
          </w:p>
        </w:tc>
      </w:tr>
      <w:tr w14:paraId="13FE1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A0CB2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0487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LED平板灯</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6AAFA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照明LED平板灯  白光 30W</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86C0D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盏</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A9822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24EE2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390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EA8C0">
            <w:pPr>
              <w:jc w:val="center"/>
              <w:rPr>
                <w:rFonts w:hint="eastAsia" w:ascii="宋体" w:hAnsi="宋体" w:eastAsia="宋体" w:cs="宋体"/>
                <w:b w:val="0"/>
                <w:bCs w:val="0"/>
                <w:i w:val="0"/>
                <w:iCs w:val="0"/>
                <w:color w:val="000000"/>
                <w:sz w:val="24"/>
                <w:szCs w:val="24"/>
                <w:u w:val="none"/>
              </w:rPr>
            </w:pPr>
          </w:p>
        </w:tc>
      </w:tr>
      <w:tr w14:paraId="39677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84A63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7EF1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应急照明灯</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F4581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机房、维护间墙面安装应急照明灯，内置蓄电池</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ACAF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57BAF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EC3D6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FFCFA6">
            <w:pPr>
              <w:jc w:val="center"/>
              <w:rPr>
                <w:rFonts w:hint="eastAsia" w:ascii="宋体" w:hAnsi="宋体" w:eastAsia="宋体" w:cs="宋体"/>
                <w:b w:val="0"/>
                <w:bCs w:val="0"/>
                <w:i w:val="0"/>
                <w:iCs w:val="0"/>
                <w:color w:val="000000"/>
                <w:sz w:val="24"/>
                <w:szCs w:val="24"/>
                <w:u w:val="none"/>
              </w:rPr>
            </w:pPr>
          </w:p>
        </w:tc>
      </w:tr>
      <w:tr w14:paraId="19B6D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72534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ACEB4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墙面插座</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92BB8D">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五孔墙插，含底盒，暗装型，含墙面开槽，暗装，及墙面水泥砂浆修补、人工费</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B6CC8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只</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36EB6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D7501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1742A9">
            <w:pPr>
              <w:jc w:val="center"/>
              <w:rPr>
                <w:rFonts w:hint="eastAsia" w:ascii="宋体" w:hAnsi="宋体" w:eastAsia="宋体" w:cs="宋体"/>
                <w:b w:val="0"/>
                <w:bCs w:val="0"/>
                <w:i w:val="0"/>
                <w:iCs w:val="0"/>
                <w:color w:val="000000"/>
                <w:sz w:val="24"/>
                <w:szCs w:val="24"/>
                <w:u w:val="none"/>
              </w:rPr>
            </w:pPr>
          </w:p>
        </w:tc>
      </w:tr>
      <w:tr w14:paraId="4BFBE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98573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475B0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照明开关</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2610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双联翘板开关 含暗装底盒，，含墙面开槽，暗装，及墙面水泥砂浆修补、人工费</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A674A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只</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7BB0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FCC57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8942D5">
            <w:pPr>
              <w:jc w:val="center"/>
              <w:rPr>
                <w:rFonts w:hint="eastAsia" w:ascii="宋体" w:hAnsi="宋体" w:eastAsia="宋体" w:cs="宋体"/>
                <w:b w:val="0"/>
                <w:bCs w:val="0"/>
                <w:i w:val="0"/>
                <w:iCs w:val="0"/>
                <w:color w:val="000000"/>
                <w:sz w:val="24"/>
                <w:szCs w:val="24"/>
                <w:u w:val="none"/>
              </w:rPr>
            </w:pPr>
          </w:p>
        </w:tc>
      </w:tr>
      <w:tr w14:paraId="03C32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81717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7D1C2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机房电力配件</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51C113">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KBG钢管、铜鼻子，热缩套，防火泥、绝缘胶等</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6D184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批</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3382B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B57AB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3750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0DCB80">
            <w:pPr>
              <w:jc w:val="center"/>
              <w:rPr>
                <w:rFonts w:hint="eastAsia" w:ascii="宋体" w:hAnsi="宋体" w:eastAsia="宋体" w:cs="宋体"/>
                <w:b w:val="0"/>
                <w:bCs w:val="0"/>
                <w:i w:val="0"/>
                <w:iCs w:val="0"/>
                <w:color w:val="000000"/>
                <w:sz w:val="24"/>
                <w:szCs w:val="24"/>
                <w:u w:val="none"/>
              </w:rPr>
            </w:pPr>
          </w:p>
        </w:tc>
      </w:tr>
      <w:tr w14:paraId="68BA1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12FA8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42442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强电-下走线防火桥架</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1A7775">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强电-下走线防火桥架：槽式防火墙桥，含盖板，含五金配件、连接件。</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858DF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米</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4CF8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4D8EC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233</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A984F8">
            <w:pPr>
              <w:jc w:val="center"/>
              <w:rPr>
                <w:rFonts w:hint="eastAsia" w:ascii="宋体" w:hAnsi="宋体" w:eastAsia="宋体" w:cs="宋体"/>
                <w:b w:val="0"/>
                <w:bCs w:val="0"/>
                <w:i w:val="0"/>
                <w:iCs w:val="0"/>
                <w:color w:val="000000"/>
                <w:sz w:val="24"/>
                <w:szCs w:val="24"/>
                <w:u w:val="none"/>
              </w:rPr>
            </w:pPr>
          </w:p>
        </w:tc>
      </w:tr>
      <w:tr w14:paraId="2EF09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D99B5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CD585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弱电-上走线桥架</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F3D57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金属网格桥架，即可以作为布线管理，又有支撑全部线缆质量的功能，开放式裸架，选用优质铝合金，适用于水平、垂直及多层分离布线要求；尺寸跟进现场要求确定。</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61002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米</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DD18E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58306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525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227D31">
            <w:pPr>
              <w:jc w:val="center"/>
              <w:rPr>
                <w:rFonts w:hint="eastAsia" w:ascii="宋体" w:hAnsi="宋体" w:eastAsia="宋体" w:cs="宋体"/>
                <w:b w:val="0"/>
                <w:bCs w:val="0"/>
                <w:i w:val="0"/>
                <w:iCs w:val="0"/>
                <w:color w:val="000000"/>
                <w:sz w:val="24"/>
                <w:szCs w:val="24"/>
                <w:u w:val="none"/>
              </w:rPr>
            </w:pPr>
          </w:p>
        </w:tc>
      </w:tr>
      <w:tr w14:paraId="1C279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7"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9F69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817CF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防雷接地匀压环</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DA826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S型星形结构号和M型网状结构组合安装；</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电气和电子设备的金属外壳、机柜、机架、各类金属管、金属线槽、建筑物金属结构、屏蔽线缆外层、信息设备防静电接地、安全保护接地、浪涌保护器（SPD）接地端等均应以最短的距离与等电位连接网络的接地排连接</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9D272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米</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26431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F3A8A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676BD8">
            <w:pPr>
              <w:jc w:val="center"/>
              <w:rPr>
                <w:rFonts w:hint="eastAsia" w:ascii="宋体" w:hAnsi="宋体" w:eastAsia="宋体" w:cs="宋体"/>
                <w:b w:val="0"/>
                <w:bCs w:val="0"/>
                <w:i w:val="0"/>
                <w:iCs w:val="0"/>
                <w:color w:val="000000"/>
                <w:sz w:val="24"/>
                <w:szCs w:val="24"/>
                <w:u w:val="none"/>
              </w:rPr>
            </w:pPr>
          </w:p>
        </w:tc>
      </w:tr>
      <w:tr w14:paraId="59108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23EE9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7BBAD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绝缘端子</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C02527">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高50mm</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B7C88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F0F29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0EB55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E81FA2">
            <w:pPr>
              <w:jc w:val="center"/>
              <w:rPr>
                <w:rFonts w:hint="eastAsia" w:ascii="宋体" w:hAnsi="宋体" w:eastAsia="宋体" w:cs="宋体"/>
                <w:b w:val="0"/>
                <w:bCs w:val="0"/>
                <w:i w:val="0"/>
                <w:iCs w:val="0"/>
                <w:color w:val="000000"/>
                <w:sz w:val="24"/>
                <w:szCs w:val="24"/>
                <w:u w:val="none"/>
              </w:rPr>
            </w:pPr>
          </w:p>
        </w:tc>
      </w:tr>
      <w:tr w14:paraId="492F7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2C50E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76FD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接地线(双色）</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923C9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国产优质BVR-16mm²、机房内所有的金属，必须接地至铜排地网</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06A7D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米</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B6E81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C6D54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80F073">
            <w:pPr>
              <w:jc w:val="center"/>
              <w:rPr>
                <w:rFonts w:hint="eastAsia" w:ascii="宋体" w:hAnsi="宋体" w:eastAsia="宋体" w:cs="宋体"/>
                <w:b w:val="0"/>
                <w:bCs w:val="0"/>
                <w:i w:val="0"/>
                <w:iCs w:val="0"/>
                <w:color w:val="000000"/>
                <w:sz w:val="24"/>
                <w:szCs w:val="24"/>
                <w:u w:val="none"/>
              </w:rPr>
            </w:pPr>
          </w:p>
        </w:tc>
      </w:tr>
      <w:tr w14:paraId="60F23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B5183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C8826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接地干线(双色）</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403EA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国产优质BVR-50mm²、机房联合接地主干电缆。</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A5B02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米</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8E4DB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E5DBC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93</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0E91A6">
            <w:pPr>
              <w:jc w:val="center"/>
              <w:rPr>
                <w:rFonts w:hint="eastAsia" w:ascii="宋体" w:hAnsi="宋体" w:eastAsia="宋体" w:cs="宋体"/>
                <w:b w:val="0"/>
                <w:bCs w:val="0"/>
                <w:i w:val="0"/>
                <w:iCs w:val="0"/>
                <w:color w:val="000000"/>
                <w:sz w:val="24"/>
                <w:szCs w:val="24"/>
                <w:u w:val="none"/>
              </w:rPr>
            </w:pPr>
          </w:p>
        </w:tc>
      </w:tr>
      <w:tr w14:paraId="69E13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1E5EB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CEE11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等电位焊接</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B43839">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机房等电位焊接，接地点位</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76666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点</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FF2D9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678D6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750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A3B9E0">
            <w:pPr>
              <w:jc w:val="center"/>
              <w:rPr>
                <w:rFonts w:hint="eastAsia" w:ascii="宋体" w:hAnsi="宋体" w:eastAsia="宋体" w:cs="宋体"/>
                <w:b w:val="0"/>
                <w:bCs w:val="0"/>
                <w:i w:val="0"/>
                <w:iCs w:val="0"/>
                <w:color w:val="000000"/>
                <w:sz w:val="24"/>
                <w:szCs w:val="24"/>
                <w:u w:val="none"/>
              </w:rPr>
            </w:pPr>
          </w:p>
        </w:tc>
      </w:tr>
      <w:tr w14:paraId="08229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3D6F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4B3CB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接地系统配件</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8285B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接地系统制作铜鼻子、焊锡条、等电位端子箱、等电位接地均衡器等。</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0DA07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D0517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CE067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3750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CF7177">
            <w:pPr>
              <w:jc w:val="center"/>
              <w:rPr>
                <w:rFonts w:hint="eastAsia" w:ascii="宋体" w:hAnsi="宋体" w:eastAsia="宋体" w:cs="宋体"/>
                <w:b w:val="0"/>
                <w:bCs w:val="0"/>
                <w:i w:val="0"/>
                <w:iCs w:val="0"/>
                <w:color w:val="000000"/>
                <w:sz w:val="24"/>
                <w:szCs w:val="24"/>
                <w:u w:val="none"/>
              </w:rPr>
            </w:pPr>
          </w:p>
        </w:tc>
      </w:tr>
      <w:tr w14:paraId="7C29E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1061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14:paraId="24335EE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九、数据中心新风消防</w:t>
            </w:r>
          </w:p>
        </w:tc>
      </w:tr>
      <w:tr w14:paraId="7E0CB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6"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1F63A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9D38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柜式气体灭火装置</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06D96E">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1.《灭火装置》提供中国计量认证CMA检验报告，中国合格评定国家认可委员会CNAS检验报告</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2.工作温度：0℃-50℃；最大工作压力（50℃）：4.2MPa；贮存压力（20℃）：2.5MPa；灭火剂持续喷放时间：≤10S。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3.启动方式：手动、自动；贮瓶工作压力达到安全等级。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4.容器安全泄放装置  动作压力：5.6±0.28MPa；最大充装密度：1000kg/m3；贮存压力：2.5MPa（20°C）容器类别：钢质焊接气瓶，容器公称压力：4.2MPa。【须提供检测中心认证报告页】</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5.喷嘴  公称通径（孔径×孔数）：DN32（Φ9mm×12）、DN40（Φ12mm×12）、DN50（Φ14.5mm×12）；燇类别：铜质。【须提供检测中心认证报告页】</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6.信号反馈装置  动作压力：0.8±0.08MPa；信号输出元件性能参数：DC24V 5A。【须提供检测中心认证报告页】</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7.电磁型驱动装置  击穿装置：JC90N/3（击穿装置名称：刺破针）、驱动力：90N；工作电压：DC 24V、工作电流：≤1.6A。【须提供检测中心认证报告页】</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85F99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97196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7C53D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9300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95342F">
            <w:pPr>
              <w:jc w:val="center"/>
              <w:rPr>
                <w:rFonts w:hint="eastAsia" w:ascii="宋体" w:hAnsi="宋体" w:eastAsia="宋体" w:cs="宋体"/>
                <w:b w:val="0"/>
                <w:bCs w:val="0"/>
                <w:i w:val="0"/>
                <w:iCs w:val="0"/>
                <w:color w:val="000000"/>
                <w:sz w:val="24"/>
                <w:szCs w:val="24"/>
                <w:u w:val="none"/>
              </w:rPr>
            </w:pPr>
          </w:p>
        </w:tc>
      </w:tr>
      <w:tr w14:paraId="636FA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38D7B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D1F0F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七氟丙烷药剂</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A5057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1、执行标准：GB18614-2012</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2、充装量：95%，纯度≧99.6</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BD5FD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kg</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3DDFE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123</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D22C0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114</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E3FB9">
            <w:pPr>
              <w:jc w:val="center"/>
              <w:rPr>
                <w:rFonts w:hint="eastAsia" w:ascii="宋体" w:hAnsi="宋体" w:eastAsia="宋体" w:cs="宋体"/>
                <w:b w:val="0"/>
                <w:bCs w:val="0"/>
                <w:i w:val="0"/>
                <w:iCs w:val="0"/>
                <w:color w:val="000000"/>
                <w:sz w:val="24"/>
                <w:szCs w:val="24"/>
                <w:u w:val="none"/>
              </w:rPr>
            </w:pPr>
          </w:p>
        </w:tc>
      </w:tr>
      <w:tr w14:paraId="7B6DF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1"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9CE94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AA0B9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机械泄压口</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E9CDF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1、泄压面积：0.12㎡</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2、工作温度范围：-25℃～55℃</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3、开启压力：1000Pa；关闭压力：810Pa</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4、开启时间：1s；关闭时间：1s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5、工作电压：无电源</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6、启动方式：机械式</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FF161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23FA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C65D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1020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677F87">
            <w:pPr>
              <w:jc w:val="center"/>
              <w:rPr>
                <w:rFonts w:hint="eastAsia" w:ascii="宋体" w:hAnsi="宋体" w:eastAsia="宋体" w:cs="宋体"/>
                <w:b w:val="0"/>
                <w:bCs w:val="0"/>
                <w:i w:val="0"/>
                <w:iCs w:val="0"/>
                <w:color w:val="000000"/>
                <w:sz w:val="24"/>
                <w:szCs w:val="24"/>
                <w:u w:val="none"/>
              </w:rPr>
            </w:pPr>
          </w:p>
        </w:tc>
      </w:tr>
      <w:tr w14:paraId="27A44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17"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F9625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8C1D0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气体灭火控制器</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4103F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1.(1)工作环境：温度:-10℃~+55℃,环境湿度≤95%(40℃±2℃无凝露)</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2.工作电压：AC220V±20%/50Hz</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3.控制器容量：200点</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4.输出触点容量：DC24V/5Ah×2</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5.电磁阀最大驱动电流：8A@DC24V</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6.打印机：专用微型打印机(标配)</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7.安装方式：壁挂式</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8.执行标准：GB 4717-2005《火灾报警控制器》  GB 16806-2006《消防联动控制系统》</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9.供电电源：1）主电：AC 220V/50Hz（187V~242V）；最大工作电流 3A  2）备电：两节 DC 12V 免维护铅酸电池</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247A4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2990C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16442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6300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AF4568">
            <w:pPr>
              <w:jc w:val="center"/>
              <w:rPr>
                <w:rFonts w:hint="eastAsia" w:ascii="宋体" w:hAnsi="宋体" w:eastAsia="宋体" w:cs="宋体"/>
                <w:b w:val="0"/>
                <w:bCs w:val="0"/>
                <w:i w:val="0"/>
                <w:iCs w:val="0"/>
                <w:color w:val="000000"/>
                <w:sz w:val="24"/>
                <w:szCs w:val="24"/>
                <w:u w:val="none"/>
              </w:rPr>
            </w:pPr>
          </w:p>
        </w:tc>
      </w:tr>
      <w:tr w14:paraId="0B1D0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1"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B6664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587F4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手/自动转换盒</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B17D4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1.工作环境:温度 -10℃~+55℃；湿度 ≦95%(40℃+2℃，无凝露)。</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2.工作电压:24V(脉冲调制)。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3.工作电流:手动状态&lt;1.5mA；自动状态&lt;2.0mA。</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4.接线方式:无极性两总线(L1、L2)</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5.编码方式:电子编码，地址范围1~324任选</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6.配接主机:气体灭火控制器</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85FA7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B2749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9571B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34A1F5">
            <w:pPr>
              <w:jc w:val="center"/>
              <w:rPr>
                <w:rFonts w:hint="eastAsia" w:ascii="宋体" w:hAnsi="宋体" w:eastAsia="宋体" w:cs="宋体"/>
                <w:b w:val="0"/>
                <w:bCs w:val="0"/>
                <w:i w:val="0"/>
                <w:iCs w:val="0"/>
                <w:color w:val="000000"/>
                <w:sz w:val="24"/>
                <w:szCs w:val="24"/>
                <w:u w:val="none"/>
              </w:rPr>
            </w:pPr>
          </w:p>
        </w:tc>
      </w:tr>
      <w:tr w14:paraId="5B6F3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8"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7527C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D67A9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放气指示灯</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D0806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1.工作电压:总线24V</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2.工作电流:静态时:|总线&lt;1.5mA;启动时:1总线&lt;40mA。</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3.使用环境:温度:0℃~+55℃(+3℃)，相对湿度:≤95%(40℃+2℃ 无凝露)</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4.闪光频率:1Hz~2Hz</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5.点亮与非点亮时间比:2:1</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6.发光字体表面亮度:50cd/㎡~300cd/㎡</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7.声压级:75dB~120dB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8.变调周期:0.2s~5S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9.线制:二线制，无极性信号二总线</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10.执行标准：GB 26851-2011《火灾声和或光警报器》</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8EB6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A84AD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C8FD5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360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71DCC1">
            <w:pPr>
              <w:jc w:val="center"/>
              <w:rPr>
                <w:rFonts w:hint="eastAsia" w:ascii="宋体" w:hAnsi="宋体" w:eastAsia="宋体" w:cs="宋体"/>
                <w:b w:val="0"/>
                <w:bCs w:val="0"/>
                <w:i w:val="0"/>
                <w:iCs w:val="0"/>
                <w:color w:val="000000"/>
                <w:sz w:val="24"/>
                <w:szCs w:val="24"/>
                <w:u w:val="none"/>
              </w:rPr>
            </w:pPr>
          </w:p>
        </w:tc>
      </w:tr>
      <w:tr w14:paraId="338FE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500A2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DEF2D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紧急启/停按钮</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D840A0">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 工作电压：24V(脉冲调制)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2. 工作电流：监视状态＜600uA，动作状态＜2mA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3. 接线方式：无极性两总线（L1、L2）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4. 编码方式：电子编码，地址范围 1~324 任选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 启动方式：人工按下绿色启动按钮（长按 1s）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 指 示 灯：红色启动指示灯，正常状态下不亮，按下后闪亮，收到控制器确认命令后常亮；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红色停止指示灯，正常状态下不亮，按下后闪亮，收到控制器确认命令后常亮；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绿色巡检指示灯，正常巡检时，绿色指示灯闪亮；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黄色故障指示灯，按钮故障发生时，黄色指示灯常亮。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7. 使用环境：温度-10℃～+55℃，相对湿度≤95％（40℃±2℃，无凝露）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 配接主机：气体灭火控制器</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91DF4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4E508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F8E0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588E22">
            <w:pPr>
              <w:jc w:val="center"/>
              <w:rPr>
                <w:rFonts w:hint="eastAsia" w:ascii="宋体" w:hAnsi="宋体" w:eastAsia="宋体" w:cs="宋体"/>
                <w:b w:val="0"/>
                <w:bCs w:val="0"/>
                <w:i w:val="0"/>
                <w:iCs w:val="0"/>
                <w:color w:val="000000"/>
                <w:sz w:val="24"/>
                <w:szCs w:val="24"/>
                <w:u w:val="none"/>
              </w:rPr>
            </w:pPr>
          </w:p>
        </w:tc>
      </w:tr>
      <w:tr w14:paraId="349CD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1"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79DF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FFED6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火灾声光警报器</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F98BC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1.工作方式:无极性二线制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2.工作电流:静态电流&lt;1mA，报警电流&lt;8mA</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3.使用环境:温度:-10℃~+55℃，相对湿度:≤95%(40℃+2℃ 无凝露)</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4.变调周期:3.5s~5.0s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5.闪光频率:1.0Hz~1.5HZ</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6.报警音量:80dB~100dB</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7.编码方式：电子编码</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8.执行标准：GB 26851-2011《火灾声和/或光警报器》</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3D609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FA6F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C307A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143</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E5D28F">
            <w:pPr>
              <w:jc w:val="center"/>
              <w:rPr>
                <w:rFonts w:hint="eastAsia" w:ascii="宋体" w:hAnsi="宋体" w:eastAsia="宋体" w:cs="宋体"/>
                <w:b w:val="0"/>
                <w:bCs w:val="0"/>
                <w:i w:val="0"/>
                <w:iCs w:val="0"/>
                <w:color w:val="000000"/>
                <w:sz w:val="24"/>
                <w:szCs w:val="24"/>
                <w:u w:val="none"/>
              </w:rPr>
            </w:pPr>
          </w:p>
        </w:tc>
      </w:tr>
      <w:tr w14:paraId="28D26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1"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565CA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3A669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烟感探测器</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0CEEE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1.工作方式:无极性二线制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2.工作电流:监视状态&lt;300uA，报警状态&lt;1.5mA</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3.使用环境:室内，温度-10℃~+55℃，相对湿度≤95%(40℃+2℃无凝露)</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4.编码方式:通过编码器可现场编码，地址编码1~324 任选</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5.工作指示:监视状态红色指示灯闪烁，报警状态红色指示灯常亮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6.执行标准：GB 4715-2005《点型感烟火灾探测器》</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321A3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27C16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83A66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114</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AD958A">
            <w:pPr>
              <w:jc w:val="center"/>
              <w:rPr>
                <w:rFonts w:hint="eastAsia" w:ascii="宋体" w:hAnsi="宋体" w:eastAsia="宋体" w:cs="宋体"/>
                <w:b w:val="0"/>
                <w:bCs w:val="0"/>
                <w:i w:val="0"/>
                <w:iCs w:val="0"/>
                <w:color w:val="000000"/>
                <w:sz w:val="24"/>
                <w:szCs w:val="24"/>
                <w:u w:val="none"/>
              </w:rPr>
            </w:pPr>
          </w:p>
        </w:tc>
      </w:tr>
      <w:tr w14:paraId="5B136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17"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1A3E2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DA9C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温感探测器</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CE8906">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1.产品类别:A2(动作温度:54℃~70℃)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2.工作电压:24V(脉冲调制)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3.工作电流:监视状态&lt;300uA，报警状态&lt;1.5mA</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4.接线方式:无极性二总线制(L1、L2)</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5.使用环境:室内，温度-10℃~+50℃，相对湿度≤95%(40℃+2℃无凝露)</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6.工作指示:监视状态红色指示灯闪烁，报警状态红色指示灯</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7.执行标准：GB 4715-2005《点型感烟火灾探测器》</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38648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A55CA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18812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114</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5927AF">
            <w:pPr>
              <w:jc w:val="center"/>
              <w:rPr>
                <w:rFonts w:hint="eastAsia" w:ascii="宋体" w:hAnsi="宋体" w:eastAsia="宋体" w:cs="宋体"/>
                <w:b w:val="0"/>
                <w:bCs w:val="0"/>
                <w:i w:val="0"/>
                <w:iCs w:val="0"/>
                <w:color w:val="000000"/>
                <w:sz w:val="24"/>
                <w:szCs w:val="24"/>
                <w:u w:val="none"/>
              </w:rPr>
            </w:pPr>
          </w:p>
        </w:tc>
      </w:tr>
      <w:tr w14:paraId="7FCEA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4"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BF54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35DCD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柜式新风机</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D5077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1.标配粗效、中效、亚高效三级过滤器，更高洁净度，更长维护间隔时间；</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2.主机应具备3档调速风机功能；</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3.主机应具备大屏幕液晶控制器；</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4.包含1m柔性软管，方便新风机的安装；</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5.标配外墙防雨百叶风口，具有防虫防鼠功能；</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6.内墙封闭法兰盘，墙面得以更美观。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7.整机新风量≤1500m³/h,噪音≤51DB, 功率≥300W；</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8.含防雨百叶，内墙法兰，连接软管等材料。</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1F0D1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E813A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6384F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12900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C4AC79">
            <w:pPr>
              <w:jc w:val="center"/>
              <w:rPr>
                <w:rFonts w:hint="eastAsia" w:ascii="宋体" w:hAnsi="宋体" w:eastAsia="宋体" w:cs="宋体"/>
                <w:b w:val="0"/>
                <w:bCs w:val="0"/>
                <w:i w:val="0"/>
                <w:iCs w:val="0"/>
                <w:color w:val="000000"/>
                <w:sz w:val="24"/>
                <w:szCs w:val="24"/>
                <w:u w:val="none"/>
              </w:rPr>
            </w:pPr>
          </w:p>
        </w:tc>
      </w:tr>
      <w:tr w14:paraId="30C41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4"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4F4CD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09A6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轴流排风机</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B884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1、专为气体灭火形式的消防系统设计，可在火灾后有效排除灭火气体，及火灾产生的烟气；适用的灭火气体有：七氟丙烷、CO2、混合气体等；应用于IDC机房、通讯机房等各类型机房，及其他气密性封闭环境；</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2、含：轴流排风机（吊装）：流量≥2100m3/h，配置防火阀（常闭）1个，软连接1套、排风百叶等。</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18E7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34EE5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30750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3900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D1E982">
            <w:pPr>
              <w:jc w:val="center"/>
              <w:rPr>
                <w:rFonts w:hint="eastAsia" w:ascii="宋体" w:hAnsi="宋体" w:eastAsia="宋体" w:cs="宋体"/>
                <w:b w:val="0"/>
                <w:bCs w:val="0"/>
                <w:i w:val="0"/>
                <w:iCs w:val="0"/>
                <w:color w:val="000000"/>
                <w:sz w:val="24"/>
                <w:szCs w:val="24"/>
                <w:u w:val="none"/>
              </w:rPr>
            </w:pPr>
          </w:p>
        </w:tc>
      </w:tr>
      <w:tr w14:paraId="3D2A3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BDEF6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F1641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实施交付</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079C8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消防、新风机、排风机安装调试服务（含：供电电缆、信号电缆、KGB管材、辅材、防火泥等）</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8B53D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项</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104A8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FD608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9750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F10A03">
            <w:pPr>
              <w:jc w:val="center"/>
              <w:rPr>
                <w:rFonts w:hint="eastAsia" w:ascii="宋体" w:hAnsi="宋体" w:eastAsia="宋体" w:cs="宋体"/>
                <w:b w:val="0"/>
                <w:bCs w:val="0"/>
                <w:i w:val="0"/>
                <w:iCs w:val="0"/>
                <w:color w:val="000000"/>
                <w:sz w:val="24"/>
                <w:szCs w:val="24"/>
                <w:u w:val="none"/>
              </w:rPr>
            </w:pPr>
          </w:p>
        </w:tc>
      </w:tr>
      <w:tr w14:paraId="4BB99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1061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14:paraId="2A3DBEA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十、数据中心门禁监控</w:t>
            </w:r>
          </w:p>
        </w:tc>
      </w:tr>
      <w:tr w14:paraId="3CABB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4"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294B8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2770E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人脸门禁一体机</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E4DF39">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1、设备结构后壳的防破坏能力应满足 IK07 的要求；屏幕防破坏能力应满足IK04的要求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2、屏幕应为 7 英寸触摸屏；屏幕流明度应不小于250cd/㎡；屏幕分辨率应不小于1024*600；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3、应支持防假体攻击功能，对视频、电子照片、打印照片、3D 面具应能防伪；应支持人脸在画面内持续动态跟踪；应支持人脸识别功能，现场抓拍人脸照片与本地人脸库照片进行比对，进行人员身份核验；</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4、应支持在0.001lux低照度无补光环境下正常实现人脸识别，适应强光、逆光、暗光等条件的人脸识别；应支持侧脸，遮挡，模糊，表情，戴眼镜及帽子等实际场景识别；</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5、设备应支持以下认证方式：1.人脸识别，2.卡片识读，3.指纹识别，4.密码；设备应支持人脸、卡片、指纹、密码独立凭证、任意2种或3种凭证的复合识读</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6、人脸比对平均时间应＜120ms ；最大人脸验证距离：＞4m；最小人脸验证距离：＜0.2m；认假率（FAR）= 认假总次数/负样本对×100%；拒真率（FRR）= 拒真总次数/正样本对×100%；准确率=（正样本通过次数+负样本拒绝次数）/比对总次数×100%；FAR＜0.0002% ；FRR＜1%；准确率＞99.95%</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设备应支持本地加密存储比对结果、身份信息及抓拍人脸照片；应支持实时加密上传比对结果、身份信息及抓拍人脸照片等至管理中心；应支持断网续传离线加密记录功能；设备USB导出数据(事件记录及人脸等)应采用加密处理；用户数据及比对记录应采用加密处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8、应支持在没有用户使用时自动切换到屏保或息屏待机状态，物体靠近自动唤醒待机设备，唤醒距离应能调节；应采用软硬件低功耗管理模式，设备待机运行功耗应低于5.5W。</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发生以下情况时，系统应告警:1.当连续若干次在目标信息识读设备或管理/控制部分上实施错误操作时2.当未使用授权的钥匙而强行通过出入口时3.未经正常操作而使出入口开启时；4.出入口开启时间超过设定值时；5.设备被拆除时；6.胁迫卡和胁迫码；7.非授权人员认证时系统应具有应急开启的方法。 根据设定事件的联动关系，当检测到该事件发生时，应能触发对应的动作。</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10、高温（55±2）℃、16h，试验期间及试验后样品应能正常工作；低温（-10±2）℃、16，试验期间及试验后样品应能正常工作；恒定湿热（+40℃±2）℃、RH(93−3+2)%,48h，试验期间及试验后样品应能正常工作。</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11、产品供应商应具有符合ISO/IEC 27701：2019要求的隐私信息管理体系认证。</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463C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57E4D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65845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2100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381965">
            <w:pPr>
              <w:jc w:val="center"/>
              <w:rPr>
                <w:rFonts w:hint="eastAsia" w:ascii="宋体" w:hAnsi="宋体" w:eastAsia="宋体" w:cs="宋体"/>
                <w:b w:val="0"/>
                <w:bCs w:val="0"/>
                <w:i w:val="0"/>
                <w:iCs w:val="0"/>
                <w:color w:val="000000"/>
                <w:sz w:val="24"/>
                <w:szCs w:val="24"/>
                <w:u w:val="none"/>
              </w:rPr>
            </w:pPr>
          </w:p>
        </w:tc>
      </w:tr>
      <w:tr w14:paraId="74479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7"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F8A7A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3B61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单门磁力锁</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B527F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最大静态直线拉力：280kg±10%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断电开锁，满足消防要求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具有电锁状态指示灯（红灯为开锁状态， 绿灯为上锁状态）</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支持锁状态侦测信号(门磁)输出：NO/NC/COM接点</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56D3A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根</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10991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A2CFB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345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0D3BEE">
            <w:pPr>
              <w:jc w:val="center"/>
              <w:rPr>
                <w:rFonts w:hint="eastAsia" w:ascii="宋体" w:hAnsi="宋体" w:eastAsia="宋体" w:cs="宋体"/>
                <w:b w:val="0"/>
                <w:bCs w:val="0"/>
                <w:i w:val="0"/>
                <w:iCs w:val="0"/>
                <w:color w:val="000000"/>
                <w:sz w:val="24"/>
                <w:szCs w:val="24"/>
                <w:u w:val="none"/>
              </w:rPr>
            </w:pPr>
          </w:p>
        </w:tc>
      </w:tr>
      <w:tr w14:paraId="2654B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2F8B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39B38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闭门器</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E33BD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使用寿命：100万次    适用环境温度范围：-30℃---50℃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双段速度可调    锁门速度：0°--15°范围内可调   闭门速度：15°--180°范围内可调</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C08AD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6C6A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2CD1B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07486A">
            <w:pPr>
              <w:jc w:val="center"/>
              <w:rPr>
                <w:rFonts w:hint="eastAsia" w:ascii="宋体" w:hAnsi="宋体" w:eastAsia="宋体" w:cs="宋体"/>
                <w:b w:val="0"/>
                <w:bCs w:val="0"/>
                <w:i w:val="0"/>
                <w:iCs w:val="0"/>
                <w:color w:val="000000"/>
                <w:sz w:val="24"/>
                <w:szCs w:val="24"/>
                <w:u w:val="none"/>
              </w:rPr>
            </w:pPr>
          </w:p>
        </w:tc>
      </w:tr>
      <w:tr w14:paraId="477BC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0"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C64FC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5EBD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出门按钮</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FB1A4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性能：最大耐电流1.25A，电压250V；</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输出：常开；</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类型：适合埋入式电器盒使用；</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0A05B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D7C97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D9BC6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017126">
            <w:pPr>
              <w:jc w:val="center"/>
              <w:rPr>
                <w:rFonts w:hint="eastAsia" w:ascii="宋体" w:hAnsi="宋体" w:eastAsia="宋体" w:cs="宋体"/>
                <w:b w:val="0"/>
                <w:bCs w:val="0"/>
                <w:i w:val="0"/>
                <w:iCs w:val="0"/>
                <w:color w:val="000000"/>
                <w:sz w:val="24"/>
                <w:szCs w:val="24"/>
                <w:u w:val="none"/>
              </w:rPr>
            </w:pPr>
          </w:p>
        </w:tc>
      </w:tr>
      <w:tr w14:paraId="204BF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CBF00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6638A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摄像头</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28FC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1、在2560x1440@25fps下，码率设定为2Mbps，清晰度不小于1400TVL。（提供检验报告证明）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2、内置1颗CPU、GPU、NPU于一体的芯片。（提供检验报告证明）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3、补光灯开启后，灯光应为椭圆形形状，且补光灯均匀无波纹状、圆环状、麻点状、条纹状和不规则亮斑。</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4、每颗补光灯由白光灯珠和红外灯珠组成，补光灯类型支持混合补光灯（双灯同时补光）、单红外补光或单白光补光。</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5、支持柔光灯补光，照射距离最远可达30m。（提供检验报告证明）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6、具有日夜场景自适应功能，在白天和夜晚环境下，均可输出彩色图像，在夜晚自动开启补光灯条件下，夜晚图像清晰度应不低于白天图像清晰度的95%。</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7、具有AI-ISP图像质量提升功能，在低照度环境下，可自动调节预览场景视频画面中人脸、人体等目标及预览场景视频画面的区域曝光、亮度、色彩饱和度、对比度、锐度等。（提供检验报告证明）</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19742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D2E2D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FFD7C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645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3085F">
            <w:pPr>
              <w:jc w:val="center"/>
              <w:rPr>
                <w:rFonts w:hint="eastAsia" w:ascii="宋体" w:hAnsi="宋体" w:eastAsia="宋体" w:cs="宋体"/>
                <w:b w:val="0"/>
                <w:bCs w:val="0"/>
                <w:i w:val="0"/>
                <w:iCs w:val="0"/>
                <w:color w:val="000000"/>
                <w:sz w:val="24"/>
                <w:szCs w:val="24"/>
                <w:u w:val="none"/>
              </w:rPr>
            </w:pPr>
          </w:p>
        </w:tc>
      </w:tr>
      <w:tr w14:paraId="18C2F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84135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63B6E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硬盘</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6B49C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3.5寸 2TB监控盘</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27D57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块</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FE4C2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46A41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840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69DF4F">
            <w:pPr>
              <w:jc w:val="center"/>
              <w:rPr>
                <w:rFonts w:hint="eastAsia" w:ascii="宋体" w:hAnsi="宋体" w:eastAsia="宋体" w:cs="宋体"/>
                <w:b w:val="0"/>
                <w:bCs w:val="0"/>
                <w:i w:val="0"/>
                <w:iCs w:val="0"/>
                <w:color w:val="000000"/>
                <w:sz w:val="24"/>
                <w:szCs w:val="24"/>
                <w:u w:val="none"/>
              </w:rPr>
            </w:pPr>
          </w:p>
        </w:tc>
      </w:tr>
      <w:tr w14:paraId="49F09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2"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5E08E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4FE2A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录像机</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12E25E">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1、可接驳符合ONVIF、RTSP标准的众多主流厂商网络摄像机；</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2、支持接入H.265、Smart265、H.264、Smart264视频编码码流；</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3、解码性能强劲，最大支持8路1080P解码（开启SVC增强模式后，可提升至10路1080P解码）；</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4、支持600万像素高清网络视频的预览、存储与回放；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5、支持HDMI与VGA同源输出，HDMI最大支持超高清4K输出，VGA支持高清1080P输出；</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6、支持1个SATA接口，最大支持8T硬盘；</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7、集成NVR后端智能分析能力。</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FE0DF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D3BA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6DF3D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555</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566ADE">
            <w:pPr>
              <w:jc w:val="center"/>
              <w:rPr>
                <w:rFonts w:hint="eastAsia" w:ascii="宋体" w:hAnsi="宋体" w:eastAsia="宋体" w:cs="宋体"/>
                <w:b w:val="0"/>
                <w:bCs w:val="0"/>
                <w:i w:val="0"/>
                <w:iCs w:val="0"/>
                <w:color w:val="000000"/>
                <w:sz w:val="24"/>
                <w:szCs w:val="24"/>
                <w:u w:val="none"/>
              </w:rPr>
            </w:pPr>
          </w:p>
        </w:tc>
      </w:tr>
      <w:tr w14:paraId="2E189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17"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108A4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920A4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交换机</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8F924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1、配置：可用千兆POE电口数≥4，千兆电口≥1</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2、交换容量≥10 Gbps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3、转发性能≥ 7.44 Mpps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4、提供CQC认证证书</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5、支持自适应802.3af/at供电标准，整机最大输出功率≥45W</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6、支持6KV防浪涌（网口）</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7、支持IEEE 802.3、IEEE 802.3u、IEEE 802.3x</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D844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台</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30ABD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0BC9C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570</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A2D9E">
            <w:pPr>
              <w:jc w:val="center"/>
              <w:rPr>
                <w:rFonts w:hint="eastAsia" w:ascii="宋体" w:hAnsi="宋体" w:eastAsia="宋体" w:cs="宋体"/>
                <w:b w:val="0"/>
                <w:bCs w:val="0"/>
                <w:i w:val="0"/>
                <w:iCs w:val="0"/>
                <w:color w:val="000000"/>
                <w:sz w:val="24"/>
                <w:szCs w:val="24"/>
                <w:u w:val="none"/>
              </w:rPr>
            </w:pPr>
          </w:p>
        </w:tc>
      </w:tr>
      <w:tr w14:paraId="79FC6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3" w:hRule="atLeast"/>
        </w:trPr>
        <w:tc>
          <w:tcPr>
            <w:tcW w:w="4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5B532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42E54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安装及辅材</w:t>
            </w:r>
          </w:p>
        </w:tc>
        <w:tc>
          <w:tcPr>
            <w:tcW w:w="57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64807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设备安装及辅材KBG管、信号线缆。</w:t>
            </w:r>
          </w:p>
        </w:tc>
        <w:tc>
          <w:tcPr>
            <w:tcW w:w="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DEC73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项</w:t>
            </w:r>
          </w:p>
        </w:tc>
        <w:tc>
          <w:tcPr>
            <w:tcW w:w="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786D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70029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538 </w:t>
            </w:r>
          </w:p>
        </w:tc>
        <w:tc>
          <w:tcPr>
            <w:tcW w:w="8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D9F097">
            <w:pPr>
              <w:jc w:val="center"/>
              <w:rPr>
                <w:rFonts w:hint="eastAsia" w:ascii="宋体" w:hAnsi="宋体" w:eastAsia="宋体" w:cs="宋体"/>
                <w:b w:val="0"/>
                <w:bCs w:val="0"/>
                <w:i w:val="0"/>
                <w:iCs w:val="0"/>
                <w:color w:val="000000"/>
                <w:sz w:val="24"/>
                <w:szCs w:val="24"/>
                <w:u w:val="none"/>
              </w:rPr>
            </w:pPr>
          </w:p>
        </w:tc>
      </w:tr>
    </w:tbl>
    <w:p w14:paraId="1F3778BB"/>
    <w:sectPr>
      <w:headerReference r:id="rId19" w:type="default"/>
      <w:footerReference r:id="rId20" w:type="default"/>
      <w:pgSz w:w="11906" w:h="16838"/>
      <w:pgMar w:top="1440" w:right="1080" w:bottom="1440" w:left="1080" w:header="720" w:footer="720"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F902C">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52F5D">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C0EF2">
    <w:pPr>
      <w:pStyle w:val="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B1E9E0">
                          <w:pPr>
                            <w:pStyle w:val="22"/>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CB1E9E0">
                    <w:pPr>
                      <w:pStyle w:val="22"/>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A7E76">
    <w:pPr>
      <w:pStyle w:val="2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B4485E">
                          <w:pPr>
                            <w:pStyle w:val="22"/>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9B4485E">
                    <w:pPr>
                      <w:pStyle w:val="22"/>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07809">
    <w:pPr>
      <w:pStyle w:val="22"/>
      <w:ind w:right="384" w:rightChars="1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C76D1B">
                          <w:pPr>
                            <w:pStyle w:val="22"/>
                          </w:pPr>
                          <w:r>
                            <w:rPr>
                              <w:rFonts w:hint="eastAsia"/>
                            </w:rPr>
                            <w:fldChar w:fldCharType="begin"/>
                          </w:r>
                          <w:r>
                            <w:rPr>
                              <w:rFonts w:hint="eastAsia"/>
                            </w:rPr>
                            <w:instrText xml:space="preserve"> PAGE  \* MERGEFORMAT </w:instrText>
                          </w:r>
                          <w:r>
                            <w:rPr>
                              <w:rFonts w:hint="eastAsia"/>
                            </w:rPr>
                            <w:fldChar w:fldCharType="separate"/>
                          </w:r>
                          <w:r>
                            <w:rPr>
                              <w:rFonts w:hint="eastAsia"/>
                            </w:rP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4C76D1B">
                    <w:pPr>
                      <w:pStyle w:val="22"/>
                    </w:pPr>
                    <w:r>
                      <w:rPr>
                        <w:rFonts w:hint="eastAsia"/>
                      </w:rPr>
                      <w:fldChar w:fldCharType="begin"/>
                    </w:r>
                    <w:r>
                      <w:rPr>
                        <w:rFonts w:hint="eastAsia"/>
                      </w:rPr>
                      <w:instrText xml:space="preserve"> PAGE  \* MERGEFORMAT </w:instrText>
                    </w:r>
                    <w:r>
                      <w:rPr>
                        <w:rFonts w:hint="eastAsia"/>
                      </w:rPr>
                      <w:fldChar w:fldCharType="separate"/>
                    </w:r>
                    <w:r>
                      <w:rPr>
                        <w:rFonts w:hint="eastAsia"/>
                      </w:rPr>
                      <w:t>7</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EF333">
    <w:pPr>
      <w:pStyle w:val="22"/>
      <w:ind w:right="384" w:rightChars="1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CFE7BF">
                          <w:pPr>
                            <w:pStyle w:val="22"/>
                          </w:pPr>
                          <w:r>
                            <w:rPr>
                              <w:rFonts w:hint="eastAsia"/>
                            </w:rPr>
                            <w:fldChar w:fldCharType="begin"/>
                          </w:r>
                          <w:r>
                            <w:rPr>
                              <w:rFonts w:hint="eastAsia"/>
                            </w:rPr>
                            <w:instrText xml:space="preserve"> PAGE  \* MERGEFORMAT </w:instrText>
                          </w:r>
                          <w:r>
                            <w:rPr>
                              <w:rFonts w:hint="eastAsia"/>
                            </w:rPr>
                            <w:fldChar w:fldCharType="separate"/>
                          </w:r>
                          <w:r>
                            <w:rPr>
                              <w:rFonts w:hint="eastAsia"/>
                            </w:rP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6CFE7BF">
                    <w:pPr>
                      <w:pStyle w:val="22"/>
                    </w:pPr>
                    <w:r>
                      <w:rPr>
                        <w:rFonts w:hint="eastAsia"/>
                      </w:rPr>
                      <w:fldChar w:fldCharType="begin"/>
                    </w:r>
                    <w:r>
                      <w:rPr>
                        <w:rFonts w:hint="eastAsia"/>
                      </w:rPr>
                      <w:instrText xml:space="preserve"> PAGE  \* MERGEFORMAT </w:instrText>
                    </w:r>
                    <w:r>
                      <w:rPr>
                        <w:rFonts w:hint="eastAsia"/>
                      </w:rPr>
                      <w:fldChar w:fldCharType="separate"/>
                    </w:r>
                    <w:r>
                      <w:rPr>
                        <w:rFonts w:hint="eastAsia"/>
                      </w:rPr>
                      <w:t>7</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10864">
    <w:pPr>
      <w:pStyle w:val="2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705D61">
                          <w:pPr>
                            <w:pStyle w:val="22"/>
                          </w:pPr>
                          <w:r>
                            <w:rPr>
                              <w:rFonts w:hint="eastAsia"/>
                            </w:rPr>
                            <w:fldChar w:fldCharType="begin"/>
                          </w:r>
                          <w:r>
                            <w:rPr>
                              <w:rFonts w:hint="eastAsia"/>
                            </w:rPr>
                            <w:instrText xml:space="preserve"> PAGE  \* MERGEFORMAT </w:instrText>
                          </w:r>
                          <w:r>
                            <w:rPr>
                              <w:rFonts w:hint="eastAsia"/>
                            </w:rPr>
                            <w:fldChar w:fldCharType="separate"/>
                          </w:r>
                          <w:r>
                            <w:rPr>
                              <w:rFonts w:hint="eastAsia"/>
                            </w:rPr>
                            <w:t>44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38705D61">
                    <w:pPr>
                      <w:pStyle w:val="22"/>
                    </w:pPr>
                    <w:r>
                      <w:rPr>
                        <w:rFonts w:hint="eastAsia"/>
                      </w:rPr>
                      <w:fldChar w:fldCharType="begin"/>
                    </w:r>
                    <w:r>
                      <w:rPr>
                        <w:rFonts w:hint="eastAsia"/>
                      </w:rPr>
                      <w:instrText xml:space="preserve"> PAGE  \* MERGEFORMAT </w:instrText>
                    </w:r>
                    <w:r>
                      <w:rPr>
                        <w:rFonts w:hint="eastAsia"/>
                      </w:rPr>
                      <w:fldChar w:fldCharType="separate"/>
                    </w:r>
                    <w:r>
                      <w:rPr>
                        <w:rFonts w:hint="eastAsia"/>
                      </w:rPr>
                      <w:t>44</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D8EC3">
    <w:pPr>
      <w:pStyle w:val="2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AE7789">
                          <w:pPr>
                            <w:pStyle w:val="22"/>
                          </w:pPr>
                          <w:r>
                            <w:rPr>
                              <w:rFonts w:hint="eastAsia"/>
                            </w:rPr>
                            <w:fldChar w:fldCharType="begin"/>
                          </w:r>
                          <w:r>
                            <w:rPr>
                              <w:rFonts w:hint="eastAsia"/>
                            </w:rPr>
                            <w:instrText xml:space="preserve"> PAGE  \* MERGEFORMAT </w:instrText>
                          </w:r>
                          <w:r>
                            <w:rPr>
                              <w:rFonts w:hint="eastAsia"/>
                            </w:rPr>
                            <w:fldChar w:fldCharType="separate"/>
                          </w:r>
                          <w:r>
                            <w:rPr>
                              <w:rFonts w:hint="eastAsia"/>
                            </w:rPr>
                            <w:t>44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3AE7789">
                    <w:pPr>
                      <w:pStyle w:val="22"/>
                    </w:pPr>
                    <w:r>
                      <w:rPr>
                        <w:rFonts w:hint="eastAsia"/>
                      </w:rPr>
                      <w:fldChar w:fldCharType="begin"/>
                    </w:r>
                    <w:r>
                      <w:rPr>
                        <w:rFonts w:hint="eastAsia"/>
                      </w:rPr>
                      <w:instrText xml:space="preserve"> PAGE  \* MERGEFORMAT </w:instrText>
                    </w:r>
                    <w:r>
                      <w:rPr>
                        <w:rFonts w:hint="eastAsia"/>
                      </w:rPr>
                      <w:fldChar w:fldCharType="separate"/>
                    </w:r>
                    <w:r>
                      <w:rPr>
                        <w:rFonts w:hint="eastAsia"/>
                      </w:rPr>
                      <w:t>44</w:t>
                    </w:r>
                    <w:r>
                      <w:rPr>
                        <w:rFonts w:hint="eastAsia"/>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D6CAE">
    <w:pPr>
      <w:pStyle w:val="22"/>
      <w:ind w:right="907" w:rightChars="378"/>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812FD9">
                          <w:pPr>
                            <w:pStyle w:val="22"/>
                          </w:pPr>
                          <w:r>
                            <w:rPr>
                              <w:rFonts w:hint="eastAsia"/>
                            </w:rPr>
                            <w:fldChar w:fldCharType="begin"/>
                          </w:r>
                          <w:r>
                            <w:rPr>
                              <w:rFonts w:hint="eastAsia"/>
                            </w:rPr>
                            <w:instrText xml:space="preserve"> PAGE  \* MERGEFORMAT </w:instrText>
                          </w:r>
                          <w:r>
                            <w:rPr>
                              <w:rFonts w:hint="eastAsia"/>
                            </w:rPr>
                            <w:fldChar w:fldCharType="separate"/>
                          </w:r>
                          <w:r>
                            <w:rPr>
                              <w:rFonts w:hint="eastAsia"/>
                            </w:rPr>
                            <w:t>59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7812FD9">
                    <w:pPr>
                      <w:pStyle w:val="22"/>
                    </w:pPr>
                    <w:r>
                      <w:rPr>
                        <w:rFonts w:hint="eastAsia"/>
                      </w:rPr>
                      <w:fldChar w:fldCharType="begin"/>
                    </w:r>
                    <w:r>
                      <w:rPr>
                        <w:rFonts w:hint="eastAsia"/>
                      </w:rPr>
                      <w:instrText xml:space="preserve"> PAGE  \* MERGEFORMAT </w:instrText>
                    </w:r>
                    <w:r>
                      <w:rPr>
                        <w:rFonts w:hint="eastAsia"/>
                      </w:rPr>
                      <w:fldChar w:fldCharType="separate"/>
                    </w:r>
                    <w:r>
                      <w:rPr>
                        <w:rFonts w:hint="eastAsia"/>
                      </w:rPr>
                      <w:t>59</w:t>
                    </w:r>
                    <w:r>
                      <w:rPr>
                        <w:rFonts w:hint="eastAsia"/>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33E13">
    <w:pPr>
      <w:pStyle w:val="22"/>
      <w:ind w:right="907" w:rightChars="37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34E217">
                          <w:pPr>
                            <w:pStyle w:val="22"/>
                          </w:pPr>
                          <w:r>
                            <w:rPr>
                              <w:rFonts w:hint="eastAsia"/>
                            </w:rPr>
                            <w:fldChar w:fldCharType="begin"/>
                          </w:r>
                          <w:r>
                            <w:rPr>
                              <w:rFonts w:hint="eastAsia"/>
                            </w:rPr>
                            <w:instrText xml:space="preserve"> PAGE  \* MERGEFORMAT </w:instrText>
                          </w:r>
                          <w:r>
                            <w:rPr>
                              <w:rFonts w:hint="eastAsia"/>
                            </w:rPr>
                            <w:fldChar w:fldCharType="separate"/>
                          </w:r>
                          <w:r>
                            <w:rPr>
                              <w:rFonts w:hint="eastAsia"/>
                            </w:rPr>
                            <w:t>67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934E217">
                    <w:pPr>
                      <w:pStyle w:val="22"/>
                    </w:pPr>
                    <w:r>
                      <w:rPr>
                        <w:rFonts w:hint="eastAsia"/>
                      </w:rPr>
                      <w:fldChar w:fldCharType="begin"/>
                    </w:r>
                    <w:r>
                      <w:rPr>
                        <w:rFonts w:hint="eastAsia"/>
                      </w:rPr>
                      <w:instrText xml:space="preserve"> PAGE  \* MERGEFORMAT </w:instrText>
                    </w:r>
                    <w:r>
                      <w:rPr>
                        <w:rFonts w:hint="eastAsia"/>
                      </w:rPr>
                      <w:fldChar w:fldCharType="separate"/>
                    </w:r>
                    <w:r>
                      <w:rPr>
                        <w:rFonts w:hint="eastAsia"/>
                      </w:rPr>
                      <w:t>67</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39092">
    <w:pPr>
      <w:pStyle w:val="23"/>
      <w:tabs>
        <w:tab w:val="clear" w:pos="8306"/>
      </w:tabs>
      <w:jc w:val="both"/>
      <w:rPr>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CAB1E">
    <w:pPr>
      <w:pStyle w:val="2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F6A18">
    <w:pPr>
      <w:pStyle w:val="23"/>
      <w:pBdr>
        <w:bottom w:val="none" w:color="auto" w:sz="0" w:space="1"/>
      </w:pBdr>
      <w:jc w:val="left"/>
      <w:rPr>
        <w:b w:val="0"/>
        <w:bCs/>
        <w:sz w:val="20"/>
        <w:szCs w:val="20"/>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3F96C">
    <w:pPr>
      <w:pStyle w:val="23"/>
      <w:pBdr>
        <w:bottom w:val="none" w:color="auto" w:sz="0" w:space="1"/>
      </w:pBdr>
      <w:rPr>
        <w:b w:val="0"/>
        <w:bCs/>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B46EC">
    <w:pPr>
      <w:pStyle w:val="23"/>
      <w:pBdr>
        <w:bottom w:val="none" w:color="auto" w:sz="0" w:space="1"/>
      </w:pBdr>
      <w:tabs>
        <w:tab w:val="clear" w:pos="8306"/>
      </w:tabs>
      <w:ind w:right="-960" w:rightChars="-400"/>
      <w:jc w:val="left"/>
      <w:rPr>
        <w:b w:val="0"/>
        <w:bCs/>
        <w:szCs w:val="18"/>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C2639">
    <w:pPr>
      <w:pStyle w:val="23"/>
      <w:pBdr>
        <w:bottom w:val="none" w:color="auto" w:sz="0" w:space="1"/>
      </w:pBdr>
      <w:tabs>
        <w:tab w:val="clear" w:pos="8306"/>
      </w:tabs>
      <w:ind w:right="-960" w:rightChars="-400"/>
      <w:jc w:val="left"/>
      <w:rPr>
        <w:b w:val="0"/>
        <w:bCs/>
        <w:szCs w:val="18"/>
        <w:u w:val="single"/>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765FD">
    <w:pPr>
      <w:pStyle w:val="23"/>
      <w:pBdr>
        <w:bottom w:val="none" w:color="auto" w:sz="0" w:space="1"/>
      </w:pBdr>
      <w:tabs>
        <w:tab w:val="clear" w:pos="8306"/>
      </w:tabs>
      <w:ind w:right="-720" w:rightChars="-300"/>
      <w:jc w:val="left"/>
      <w:rPr>
        <w:szCs w:val="1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DD8F2">
    <w:pPr>
      <w:pStyle w:val="23"/>
      <w:pBdr>
        <w:bottom w:val="none" w:color="auto" w:sz="0" w:space="1"/>
      </w:pBdr>
      <w:tabs>
        <w:tab w:val="clear" w:pos="8306"/>
      </w:tabs>
      <w:ind w:right="-720" w:rightChars="-300"/>
      <w:jc w:val="left"/>
      <w:rPr>
        <w:b w:val="0"/>
        <w:bCs/>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E657"/>
    <w:multiLevelType w:val="singleLevel"/>
    <w:tmpl w:val="CF09E657"/>
    <w:lvl w:ilvl="0" w:tentative="0">
      <w:start w:val="2"/>
      <w:numFmt w:val="decimal"/>
      <w:suff w:val="space"/>
      <w:lvlText w:val="（%1）"/>
      <w:lvlJc w:val="left"/>
    </w:lvl>
  </w:abstractNum>
  <w:abstractNum w:abstractNumId="1">
    <w:nsid w:val="D2B1DAC2"/>
    <w:multiLevelType w:val="singleLevel"/>
    <w:tmpl w:val="D2B1DAC2"/>
    <w:lvl w:ilvl="0" w:tentative="0">
      <w:start w:val="6"/>
      <w:numFmt w:val="chineseCounting"/>
      <w:suff w:val="space"/>
      <w:lvlText w:val="第%1章"/>
      <w:lvlJc w:val="left"/>
      <w:pPr>
        <w:ind w:left="2819" w:firstLine="0"/>
      </w:pPr>
      <w:rPr>
        <w:rFonts w:hint="eastAsia"/>
      </w:rPr>
    </w:lvl>
  </w:abstractNum>
  <w:abstractNum w:abstractNumId="2">
    <w:nsid w:val="00000001"/>
    <w:multiLevelType w:val="singleLevel"/>
    <w:tmpl w:val="00000001"/>
    <w:lvl w:ilvl="0" w:tentative="0">
      <w:start w:val="20"/>
      <w:numFmt w:val="decimal"/>
      <w:suff w:val="space"/>
      <w:lvlText w:val="%1."/>
      <w:lvlJc w:val="left"/>
    </w:lvl>
  </w:abstractNum>
  <w:abstractNum w:abstractNumId="3">
    <w:nsid w:val="00000002"/>
    <w:multiLevelType w:val="multilevel"/>
    <w:tmpl w:val="00000002"/>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attachedTemplate r:id="rId1"/>
  <w:documentProtection w:enforcement="0"/>
  <w:defaultTabStop w:val="424"/>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compat>
    <w:spaceForUL/>
    <w:balanceSingleByteDoubleByteWidth/>
    <w:doNotLeaveBackslashAlon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NjNWYxYWJmNWVkMGE0ZmM5NzU5MzExMjMwY2RmNDMifQ=="/>
  </w:docVars>
  <w:rsids>
    <w:rsidRoot w:val="00172A27"/>
    <w:rsid w:val="000001DD"/>
    <w:rsid w:val="000007C7"/>
    <w:rsid w:val="00001193"/>
    <w:rsid w:val="000012D0"/>
    <w:rsid w:val="00002418"/>
    <w:rsid w:val="000026CF"/>
    <w:rsid w:val="00002713"/>
    <w:rsid w:val="00002AF6"/>
    <w:rsid w:val="00002CC3"/>
    <w:rsid w:val="00002DAF"/>
    <w:rsid w:val="00002F66"/>
    <w:rsid w:val="000030C1"/>
    <w:rsid w:val="00003394"/>
    <w:rsid w:val="00005A2B"/>
    <w:rsid w:val="000062FE"/>
    <w:rsid w:val="00006587"/>
    <w:rsid w:val="000067DF"/>
    <w:rsid w:val="00007E1B"/>
    <w:rsid w:val="00010641"/>
    <w:rsid w:val="000129F1"/>
    <w:rsid w:val="00013089"/>
    <w:rsid w:val="00013235"/>
    <w:rsid w:val="000141BE"/>
    <w:rsid w:val="000156B4"/>
    <w:rsid w:val="000159BF"/>
    <w:rsid w:val="000163E7"/>
    <w:rsid w:val="00016724"/>
    <w:rsid w:val="0001690F"/>
    <w:rsid w:val="00016B3A"/>
    <w:rsid w:val="000170F3"/>
    <w:rsid w:val="000173C8"/>
    <w:rsid w:val="00017E2C"/>
    <w:rsid w:val="000202DF"/>
    <w:rsid w:val="00023146"/>
    <w:rsid w:val="00024837"/>
    <w:rsid w:val="00025194"/>
    <w:rsid w:val="000258E1"/>
    <w:rsid w:val="000277E1"/>
    <w:rsid w:val="00030E86"/>
    <w:rsid w:val="00031014"/>
    <w:rsid w:val="00031453"/>
    <w:rsid w:val="00033D1B"/>
    <w:rsid w:val="0003473A"/>
    <w:rsid w:val="00034746"/>
    <w:rsid w:val="0003521E"/>
    <w:rsid w:val="000361EA"/>
    <w:rsid w:val="00036355"/>
    <w:rsid w:val="00036537"/>
    <w:rsid w:val="00037D44"/>
    <w:rsid w:val="000407D9"/>
    <w:rsid w:val="00041C3B"/>
    <w:rsid w:val="00041F03"/>
    <w:rsid w:val="000421E6"/>
    <w:rsid w:val="00042A69"/>
    <w:rsid w:val="00042B57"/>
    <w:rsid w:val="00042C76"/>
    <w:rsid w:val="00043998"/>
    <w:rsid w:val="00043FF3"/>
    <w:rsid w:val="00046CDE"/>
    <w:rsid w:val="00046F86"/>
    <w:rsid w:val="00050AD7"/>
    <w:rsid w:val="00050EA2"/>
    <w:rsid w:val="00051742"/>
    <w:rsid w:val="00051E2B"/>
    <w:rsid w:val="00052436"/>
    <w:rsid w:val="00053223"/>
    <w:rsid w:val="00054319"/>
    <w:rsid w:val="000548E1"/>
    <w:rsid w:val="00055893"/>
    <w:rsid w:val="00055CA8"/>
    <w:rsid w:val="00055D2D"/>
    <w:rsid w:val="000562B9"/>
    <w:rsid w:val="0005687F"/>
    <w:rsid w:val="00057EE7"/>
    <w:rsid w:val="000609A9"/>
    <w:rsid w:val="00061775"/>
    <w:rsid w:val="00061981"/>
    <w:rsid w:val="00061BE0"/>
    <w:rsid w:val="00061E2C"/>
    <w:rsid w:val="0006234B"/>
    <w:rsid w:val="0006298A"/>
    <w:rsid w:val="00062A4C"/>
    <w:rsid w:val="0006303A"/>
    <w:rsid w:val="00065399"/>
    <w:rsid w:val="00065B5E"/>
    <w:rsid w:val="00066088"/>
    <w:rsid w:val="000664A0"/>
    <w:rsid w:val="0007041C"/>
    <w:rsid w:val="000704E8"/>
    <w:rsid w:val="00070960"/>
    <w:rsid w:val="0007105D"/>
    <w:rsid w:val="000738C3"/>
    <w:rsid w:val="00073A3C"/>
    <w:rsid w:val="00073A91"/>
    <w:rsid w:val="00073BD5"/>
    <w:rsid w:val="000746CA"/>
    <w:rsid w:val="00075C18"/>
    <w:rsid w:val="00075E0D"/>
    <w:rsid w:val="000765CB"/>
    <w:rsid w:val="00076B83"/>
    <w:rsid w:val="000770A3"/>
    <w:rsid w:val="00077676"/>
    <w:rsid w:val="000778CD"/>
    <w:rsid w:val="00077F2B"/>
    <w:rsid w:val="000803D4"/>
    <w:rsid w:val="00081818"/>
    <w:rsid w:val="00082A86"/>
    <w:rsid w:val="00082F73"/>
    <w:rsid w:val="000844D7"/>
    <w:rsid w:val="000859AC"/>
    <w:rsid w:val="00085B35"/>
    <w:rsid w:val="00087335"/>
    <w:rsid w:val="000874C1"/>
    <w:rsid w:val="000875A1"/>
    <w:rsid w:val="00087819"/>
    <w:rsid w:val="00087B28"/>
    <w:rsid w:val="000915B9"/>
    <w:rsid w:val="00091AB0"/>
    <w:rsid w:val="00091C49"/>
    <w:rsid w:val="00092D6A"/>
    <w:rsid w:val="00092D8D"/>
    <w:rsid w:val="0009306E"/>
    <w:rsid w:val="00094070"/>
    <w:rsid w:val="00096065"/>
    <w:rsid w:val="000965B8"/>
    <w:rsid w:val="000967EB"/>
    <w:rsid w:val="000974FB"/>
    <w:rsid w:val="000A03C8"/>
    <w:rsid w:val="000A1714"/>
    <w:rsid w:val="000A1B7E"/>
    <w:rsid w:val="000A2880"/>
    <w:rsid w:val="000A2C52"/>
    <w:rsid w:val="000A33FA"/>
    <w:rsid w:val="000A37C8"/>
    <w:rsid w:val="000A3C50"/>
    <w:rsid w:val="000A47DF"/>
    <w:rsid w:val="000A481C"/>
    <w:rsid w:val="000A4859"/>
    <w:rsid w:val="000A51A7"/>
    <w:rsid w:val="000A5386"/>
    <w:rsid w:val="000A558D"/>
    <w:rsid w:val="000A5FB9"/>
    <w:rsid w:val="000A60BA"/>
    <w:rsid w:val="000A614E"/>
    <w:rsid w:val="000A67B9"/>
    <w:rsid w:val="000A6804"/>
    <w:rsid w:val="000A6A24"/>
    <w:rsid w:val="000A6B83"/>
    <w:rsid w:val="000A6FFB"/>
    <w:rsid w:val="000A7450"/>
    <w:rsid w:val="000A78BA"/>
    <w:rsid w:val="000A7BF4"/>
    <w:rsid w:val="000A7DB3"/>
    <w:rsid w:val="000B032D"/>
    <w:rsid w:val="000B0F93"/>
    <w:rsid w:val="000B29FD"/>
    <w:rsid w:val="000B3EDD"/>
    <w:rsid w:val="000B4976"/>
    <w:rsid w:val="000B6CE1"/>
    <w:rsid w:val="000C0D68"/>
    <w:rsid w:val="000C2916"/>
    <w:rsid w:val="000C314C"/>
    <w:rsid w:val="000C33D3"/>
    <w:rsid w:val="000C3F3B"/>
    <w:rsid w:val="000C554D"/>
    <w:rsid w:val="000C5EF0"/>
    <w:rsid w:val="000C6E53"/>
    <w:rsid w:val="000C7124"/>
    <w:rsid w:val="000C715D"/>
    <w:rsid w:val="000D0525"/>
    <w:rsid w:val="000D0EC7"/>
    <w:rsid w:val="000D125D"/>
    <w:rsid w:val="000D172F"/>
    <w:rsid w:val="000D27FB"/>
    <w:rsid w:val="000D306F"/>
    <w:rsid w:val="000D5478"/>
    <w:rsid w:val="000D563F"/>
    <w:rsid w:val="000D57BE"/>
    <w:rsid w:val="000D60DD"/>
    <w:rsid w:val="000D612B"/>
    <w:rsid w:val="000D6E92"/>
    <w:rsid w:val="000D784C"/>
    <w:rsid w:val="000D7D53"/>
    <w:rsid w:val="000E0E5C"/>
    <w:rsid w:val="000E131B"/>
    <w:rsid w:val="000E1687"/>
    <w:rsid w:val="000E199E"/>
    <w:rsid w:val="000E2F6E"/>
    <w:rsid w:val="000E4677"/>
    <w:rsid w:val="000E5349"/>
    <w:rsid w:val="000E5BF2"/>
    <w:rsid w:val="000E7548"/>
    <w:rsid w:val="000F0112"/>
    <w:rsid w:val="000F09A2"/>
    <w:rsid w:val="000F0BEC"/>
    <w:rsid w:val="000F13B3"/>
    <w:rsid w:val="000F16C0"/>
    <w:rsid w:val="000F40CD"/>
    <w:rsid w:val="000F452B"/>
    <w:rsid w:val="000F4C18"/>
    <w:rsid w:val="000F744F"/>
    <w:rsid w:val="000F74FB"/>
    <w:rsid w:val="000F7C20"/>
    <w:rsid w:val="0010042B"/>
    <w:rsid w:val="001016E9"/>
    <w:rsid w:val="00101E4F"/>
    <w:rsid w:val="0010336A"/>
    <w:rsid w:val="001034CA"/>
    <w:rsid w:val="0010364F"/>
    <w:rsid w:val="00103CC5"/>
    <w:rsid w:val="00105D31"/>
    <w:rsid w:val="00105D7C"/>
    <w:rsid w:val="00107796"/>
    <w:rsid w:val="00110334"/>
    <w:rsid w:val="001104EF"/>
    <w:rsid w:val="0011216F"/>
    <w:rsid w:val="001128DD"/>
    <w:rsid w:val="00114520"/>
    <w:rsid w:val="0011485F"/>
    <w:rsid w:val="00114C77"/>
    <w:rsid w:val="00114E06"/>
    <w:rsid w:val="00116821"/>
    <w:rsid w:val="00116C62"/>
    <w:rsid w:val="00116F8A"/>
    <w:rsid w:val="0012009A"/>
    <w:rsid w:val="001203DD"/>
    <w:rsid w:val="001210CD"/>
    <w:rsid w:val="00122AB2"/>
    <w:rsid w:val="00122C80"/>
    <w:rsid w:val="00123B62"/>
    <w:rsid w:val="0012504B"/>
    <w:rsid w:val="0012509F"/>
    <w:rsid w:val="001251F4"/>
    <w:rsid w:val="00125971"/>
    <w:rsid w:val="00125B78"/>
    <w:rsid w:val="00125B7B"/>
    <w:rsid w:val="00126AB0"/>
    <w:rsid w:val="00126F18"/>
    <w:rsid w:val="001279CA"/>
    <w:rsid w:val="00131DA9"/>
    <w:rsid w:val="00131F9F"/>
    <w:rsid w:val="001341F7"/>
    <w:rsid w:val="0013609E"/>
    <w:rsid w:val="0013696C"/>
    <w:rsid w:val="00136D32"/>
    <w:rsid w:val="00137774"/>
    <w:rsid w:val="00137994"/>
    <w:rsid w:val="00141382"/>
    <w:rsid w:val="0014146E"/>
    <w:rsid w:val="001420D7"/>
    <w:rsid w:val="0014227C"/>
    <w:rsid w:val="00143950"/>
    <w:rsid w:val="00144125"/>
    <w:rsid w:val="00144215"/>
    <w:rsid w:val="001443EA"/>
    <w:rsid w:val="00144AE2"/>
    <w:rsid w:val="00144E1C"/>
    <w:rsid w:val="00145112"/>
    <w:rsid w:val="001465AB"/>
    <w:rsid w:val="0014661E"/>
    <w:rsid w:val="0014677E"/>
    <w:rsid w:val="001512E5"/>
    <w:rsid w:val="00151EC8"/>
    <w:rsid w:val="001522C2"/>
    <w:rsid w:val="001523DF"/>
    <w:rsid w:val="001529F8"/>
    <w:rsid w:val="001533A5"/>
    <w:rsid w:val="00153884"/>
    <w:rsid w:val="0015460E"/>
    <w:rsid w:val="00154666"/>
    <w:rsid w:val="0015534F"/>
    <w:rsid w:val="001555F9"/>
    <w:rsid w:val="00155DF7"/>
    <w:rsid w:val="00155E75"/>
    <w:rsid w:val="00156B9B"/>
    <w:rsid w:val="0016095C"/>
    <w:rsid w:val="00160E34"/>
    <w:rsid w:val="00161182"/>
    <w:rsid w:val="001619E9"/>
    <w:rsid w:val="00161C98"/>
    <w:rsid w:val="00162A49"/>
    <w:rsid w:val="00163A9C"/>
    <w:rsid w:val="00163DB3"/>
    <w:rsid w:val="001642A1"/>
    <w:rsid w:val="00164F51"/>
    <w:rsid w:val="0016659D"/>
    <w:rsid w:val="00167E63"/>
    <w:rsid w:val="0017004F"/>
    <w:rsid w:val="0017051C"/>
    <w:rsid w:val="00170789"/>
    <w:rsid w:val="001714C8"/>
    <w:rsid w:val="00171FE3"/>
    <w:rsid w:val="0017250D"/>
    <w:rsid w:val="0017292B"/>
    <w:rsid w:val="00172A27"/>
    <w:rsid w:val="00173DAB"/>
    <w:rsid w:val="00173E4D"/>
    <w:rsid w:val="00174B18"/>
    <w:rsid w:val="001751FF"/>
    <w:rsid w:val="00175AE8"/>
    <w:rsid w:val="001764DB"/>
    <w:rsid w:val="00176D99"/>
    <w:rsid w:val="00177AAD"/>
    <w:rsid w:val="001804D9"/>
    <w:rsid w:val="00181409"/>
    <w:rsid w:val="00181DE5"/>
    <w:rsid w:val="001834A1"/>
    <w:rsid w:val="00183717"/>
    <w:rsid w:val="00183D92"/>
    <w:rsid w:val="00185157"/>
    <w:rsid w:val="0018639E"/>
    <w:rsid w:val="001867AE"/>
    <w:rsid w:val="00187119"/>
    <w:rsid w:val="0018712A"/>
    <w:rsid w:val="00187389"/>
    <w:rsid w:val="00187636"/>
    <w:rsid w:val="0018773F"/>
    <w:rsid w:val="00187A06"/>
    <w:rsid w:val="00187A0A"/>
    <w:rsid w:val="00190B72"/>
    <w:rsid w:val="00190F22"/>
    <w:rsid w:val="00191076"/>
    <w:rsid w:val="0019248B"/>
    <w:rsid w:val="00192973"/>
    <w:rsid w:val="0019369F"/>
    <w:rsid w:val="00194EAD"/>
    <w:rsid w:val="00195A70"/>
    <w:rsid w:val="00196DB9"/>
    <w:rsid w:val="0019719C"/>
    <w:rsid w:val="00197E5E"/>
    <w:rsid w:val="00197F48"/>
    <w:rsid w:val="001A0151"/>
    <w:rsid w:val="001A071B"/>
    <w:rsid w:val="001A09FF"/>
    <w:rsid w:val="001A0BD3"/>
    <w:rsid w:val="001A0C8D"/>
    <w:rsid w:val="001A0D1F"/>
    <w:rsid w:val="001A1300"/>
    <w:rsid w:val="001A19B9"/>
    <w:rsid w:val="001A3D85"/>
    <w:rsid w:val="001A4BAA"/>
    <w:rsid w:val="001A4D00"/>
    <w:rsid w:val="001A58A2"/>
    <w:rsid w:val="001A5970"/>
    <w:rsid w:val="001A668C"/>
    <w:rsid w:val="001A71F7"/>
    <w:rsid w:val="001A7519"/>
    <w:rsid w:val="001A7CF8"/>
    <w:rsid w:val="001B2041"/>
    <w:rsid w:val="001B21E5"/>
    <w:rsid w:val="001B2738"/>
    <w:rsid w:val="001B38FB"/>
    <w:rsid w:val="001B4184"/>
    <w:rsid w:val="001B4767"/>
    <w:rsid w:val="001B48A0"/>
    <w:rsid w:val="001B5081"/>
    <w:rsid w:val="001B5373"/>
    <w:rsid w:val="001B5433"/>
    <w:rsid w:val="001B5C8D"/>
    <w:rsid w:val="001B5CB8"/>
    <w:rsid w:val="001B65BE"/>
    <w:rsid w:val="001C082C"/>
    <w:rsid w:val="001C111F"/>
    <w:rsid w:val="001C1380"/>
    <w:rsid w:val="001C1616"/>
    <w:rsid w:val="001C169D"/>
    <w:rsid w:val="001C1B0E"/>
    <w:rsid w:val="001C2038"/>
    <w:rsid w:val="001C2E09"/>
    <w:rsid w:val="001C2F2C"/>
    <w:rsid w:val="001C300A"/>
    <w:rsid w:val="001C350F"/>
    <w:rsid w:val="001C57A1"/>
    <w:rsid w:val="001C5CA4"/>
    <w:rsid w:val="001C5FAE"/>
    <w:rsid w:val="001C6385"/>
    <w:rsid w:val="001C6470"/>
    <w:rsid w:val="001C7E87"/>
    <w:rsid w:val="001D0733"/>
    <w:rsid w:val="001D0776"/>
    <w:rsid w:val="001D175D"/>
    <w:rsid w:val="001D4434"/>
    <w:rsid w:val="001D46B7"/>
    <w:rsid w:val="001D4C09"/>
    <w:rsid w:val="001D4D81"/>
    <w:rsid w:val="001D5101"/>
    <w:rsid w:val="001D6F07"/>
    <w:rsid w:val="001E0002"/>
    <w:rsid w:val="001E0A44"/>
    <w:rsid w:val="001E162C"/>
    <w:rsid w:val="001E2844"/>
    <w:rsid w:val="001E2B45"/>
    <w:rsid w:val="001E3AA0"/>
    <w:rsid w:val="001E5099"/>
    <w:rsid w:val="001E538E"/>
    <w:rsid w:val="001E5594"/>
    <w:rsid w:val="001E567E"/>
    <w:rsid w:val="001E72B5"/>
    <w:rsid w:val="001E7488"/>
    <w:rsid w:val="001E7F78"/>
    <w:rsid w:val="001F07E3"/>
    <w:rsid w:val="001F1152"/>
    <w:rsid w:val="001F16A1"/>
    <w:rsid w:val="001F1BD6"/>
    <w:rsid w:val="001F282A"/>
    <w:rsid w:val="001F36AD"/>
    <w:rsid w:val="001F3846"/>
    <w:rsid w:val="001F4149"/>
    <w:rsid w:val="001F45E0"/>
    <w:rsid w:val="001F47AE"/>
    <w:rsid w:val="001F4B16"/>
    <w:rsid w:val="002006C1"/>
    <w:rsid w:val="00200C5F"/>
    <w:rsid w:val="002014AE"/>
    <w:rsid w:val="002014FA"/>
    <w:rsid w:val="00201B9C"/>
    <w:rsid w:val="00201ED3"/>
    <w:rsid w:val="00203833"/>
    <w:rsid w:val="00203881"/>
    <w:rsid w:val="002038E8"/>
    <w:rsid w:val="00203BD6"/>
    <w:rsid w:val="00204CC8"/>
    <w:rsid w:val="00207500"/>
    <w:rsid w:val="002078B4"/>
    <w:rsid w:val="00210407"/>
    <w:rsid w:val="0021097F"/>
    <w:rsid w:val="002126EE"/>
    <w:rsid w:val="00212F5B"/>
    <w:rsid w:val="00213EB5"/>
    <w:rsid w:val="0021464C"/>
    <w:rsid w:val="00214C4D"/>
    <w:rsid w:val="0021511B"/>
    <w:rsid w:val="00215325"/>
    <w:rsid w:val="00215EDA"/>
    <w:rsid w:val="002162BF"/>
    <w:rsid w:val="002167B3"/>
    <w:rsid w:val="00216DBD"/>
    <w:rsid w:val="002210FF"/>
    <w:rsid w:val="002227CE"/>
    <w:rsid w:val="00222BA5"/>
    <w:rsid w:val="002231A3"/>
    <w:rsid w:val="0022329E"/>
    <w:rsid w:val="002233E6"/>
    <w:rsid w:val="002237B5"/>
    <w:rsid w:val="00225838"/>
    <w:rsid w:val="00225D4A"/>
    <w:rsid w:val="00225E53"/>
    <w:rsid w:val="00225EED"/>
    <w:rsid w:val="002265DF"/>
    <w:rsid w:val="00227D11"/>
    <w:rsid w:val="002314F1"/>
    <w:rsid w:val="00231AAB"/>
    <w:rsid w:val="00232420"/>
    <w:rsid w:val="0023247D"/>
    <w:rsid w:val="00232D01"/>
    <w:rsid w:val="00232E59"/>
    <w:rsid w:val="00232F36"/>
    <w:rsid w:val="00233432"/>
    <w:rsid w:val="00233972"/>
    <w:rsid w:val="00233E37"/>
    <w:rsid w:val="0023405B"/>
    <w:rsid w:val="002368E0"/>
    <w:rsid w:val="002411E8"/>
    <w:rsid w:val="002424E0"/>
    <w:rsid w:val="002430D1"/>
    <w:rsid w:val="002431EF"/>
    <w:rsid w:val="00243B50"/>
    <w:rsid w:val="00243D67"/>
    <w:rsid w:val="00244035"/>
    <w:rsid w:val="002446EE"/>
    <w:rsid w:val="00244CA8"/>
    <w:rsid w:val="00244CED"/>
    <w:rsid w:val="00244F02"/>
    <w:rsid w:val="0024618E"/>
    <w:rsid w:val="00246522"/>
    <w:rsid w:val="00246C42"/>
    <w:rsid w:val="00247CFD"/>
    <w:rsid w:val="00247F4B"/>
    <w:rsid w:val="002503EC"/>
    <w:rsid w:val="0025180F"/>
    <w:rsid w:val="00251B11"/>
    <w:rsid w:val="00252CDB"/>
    <w:rsid w:val="00253D68"/>
    <w:rsid w:val="0025474D"/>
    <w:rsid w:val="00254B23"/>
    <w:rsid w:val="00254DDC"/>
    <w:rsid w:val="00255684"/>
    <w:rsid w:val="002557FF"/>
    <w:rsid w:val="00256557"/>
    <w:rsid w:val="0025783C"/>
    <w:rsid w:val="002618D5"/>
    <w:rsid w:val="00261AF4"/>
    <w:rsid w:val="002627EB"/>
    <w:rsid w:val="0026563C"/>
    <w:rsid w:val="00265A27"/>
    <w:rsid w:val="002662A0"/>
    <w:rsid w:val="00266394"/>
    <w:rsid w:val="00266672"/>
    <w:rsid w:val="00267B7D"/>
    <w:rsid w:val="0027075D"/>
    <w:rsid w:val="0027156B"/>
    <w:rsid w:val="00272CA0"/>
    <w:rsid w:val="0027343B"/>
    <w:rsid w:val="002746FD"/>
    <w:rsid w:val="002749CE"/>
    <w:rsid w:val="00275410"/>
    <w:rsid w:val="0027668F"/>
    <w:rsid w:val="002778D4"/>
    <w:rsid w:val="002800D7"/>
    <w:rsid w:val="002809AE"/>
    <w:rsid w:val="00281958"/>
    <w:rsid w:val="00281DAC"/>
    <w:rsid w:val="00281FE1"/>
    <w:rsid w:val="00281FEF"/>
    <w:rsid w:val="00283C00"/>
    <w:rsid w:val="00284ED8"/>
    <w:rsid w:val="00285035"/>
    <w:rsid w:val="00285E55"/>
    <w:rsid w:val="002863CB"/>
    <w:rsid w:val="002874EE"/>
    <w:rsid w:val="00287C48"/>
    <w:rsid w:val="00287CA6"/>
    <w:rsid w:val="00287CF6"/>
    <w:rsid w:val="00291501"/>
    <w:rsid w:val="0029173A"/>
    <w:rsid w:val="00292638"/>
    <w:rsid w:val="00292C33"/>
    <w:rsid w:val="002932EC"/>
    <w:rsid w:val="00293A44"/>
    <w:rsid w:val="0029403F"/>
    <w:rsid w:val="002952DA"/>
    <w:rsid w:val="0029568C"/>
    <w:rsid w:val="00295EBB"/>
    <w:rsid w:val="0029630D"/>
    <w:rsid w:val="0029764C"/>
    <w:rsid w:val="002A063E"/>
    <w:rsid w:val="002A0E89"/>
    <w:rsid w:val="002A1A3D"/>
    <w:rsid w:val="002A1BA1"/>
    <w:rsid w:val="002A1CB9"/>
    <w:rsid w:val="002A1E96"/>
    <w:rsid w:val="002A297C"/>
    <w:rsid w:val="002A36C3"/>
    <w:rsid w:val="002A490E"/>
    <w:rsid w:val="002A4FE2"/>
    <w:rsid w:val="002A5CCA"/>
    <w:rsid w:val="002A5DE7"/>
    <w:rsid w:val="002A5F37"/>
    <w:rsid w:val="002A6EE1"/>
    <w:rsid w:val="002A6EEB"/>
    <w:rsid w:val="002A7CEF"/>
    <w:rsid w:val="002B1108"/>
    <w:rsid w:val="002B2708"/>
    <w:rsid w:val="002B30B0"/>
    <w:rsid w:val="002B4378"/>
    <w:rsid w:val="002B47DC"/>
    <w:rsid w:val="002B5826"/>
    <w:rsid w:val="002B5947"/>
    <w:rsid w:val="002B6728"/>
    <w:rsid w:val="002B67C0"/>
    <w:rsid w:val="002B769A"/>
    <w:rsid w:val="002C19D5"/>
    <w:rsid w:val="002C4849"/>
    <w:rsid w:val="002C4A51"/>
    <w:rsid w:val="002C5D9F"/>
    <w:rsid w:val="002C6162"/>
    <w:rsid w:val="002C6903"/>
    <w:rsid w:val="002C69E5"/>
    <w:rsid w:val="002C73BF"/>
    <w:rsid w:val="002C7AA4"/>
    <w:rsid w:val="002D0C43"/>
    <w:rsid w:val="002D1095"/>
    <w:rsid w:val="002D1759"/>
    <w:rsid w:val="002D20C1"/>
    <w:rsid w:val="002D2DA5"/>
    <w:rsid w:val="002D3034"/>
    <w:rsid w:val="002D31E7"/>
    <w:rsid w:val="002D37BA"/>
    <w:rsid w:val="002D41B8"/>
    <w:rsid w:val="002D432F"/>
    <w:rsid w:val="002D4521"/>
    <w:rsid w:val="002D4893"/>
    <w:rsid w:val="002D4D59"/>
    <w:rsid w:val="002D545E"/>
    <w:rsid w:val="002D69F0"/>
    <w:rsid w:val="002D6C48"/>
    <w:rsid w:val="002D7282"/>
    <w:rsid w:val="002E0F80"/>
    <w:rsid w:val="002E17AC"/>
    <w:rsid w:val="002E1BEE"/>
    <w:rsid w:val="002E1CCA"/>
    <w:rsid w:val="002E23BF"/>
    <w:rsid w:val="002E42CA"/>
    <w:rsid w:val="002E5B57"/>
    <w:rsid w:val="002E608F"/>
    <w:rsid w:val="002E7817"/>
    <w:rsid w:val="002E7BBC"/>
    <w:rsid w:val="002F2095"/>
    <w:rsid w:val="002F2D66"/>
    <w:rsid w:val="002F2E07"/>
    <w:rsid w:val="002F2E39"/>
    <w:rsid w:val="002F2EBE"/>
    <w:rsid w:val="002F32A2"/>
    <w:rsid w:val="002F4FDA"/>
    <w:rsid w:val="002F5151"/>
    <w:rsid w:val="002F51C1"/>
    <w:rsid w:val="002F5929"/>
    <w:rsid w:val="002F5B42"/>
    <w:rsid w:val="002F5DCC"/>
    <w:rsid w:val="002F6E04"/>
    <w:rsid w:val="002F750E"/>
    <w:rsid w:val="002F7703"/>
    <w:rsid w:val="00300DC6"/>
    <w:rsid w:val="00300DD0"/>
    <w:rsid w:val="00301FE7"/>
    <w:rsid w:val="00302135"/>
    <w:rsid w:val="00302BE1"/>
    <w:rsid w:val="00302C0B"/>
    <w:rsid w:val="003035F0"/>
    <w:rsid w:val="00303B1C"/>
    <w:rsid w:val="003041C8"/>
    <w:rsid w:val="00304207"/>
    <w:rsid w:val="00305476"/>
    <w:rsid w:val="003061FD"/>
    <w:rsid w:val="00306B36"/>
    <w:rsid w:val="003105ED"/>
    <w:rsid w:val="00310795"/>
    <w:rsid w:val="00310A7F"/>
    <w:rsid w:val="00310D9A"/>
    <w:rsid w:val="00311403"/>
    <w:rsid w:val="003118EC"/>
    <w:rsid w:val="00312A89"/>
    <w:rsid w:val="00312EAE"/>
    <w:rsid w:val="00313A68"/>
    <w:rsid w:val="00313A7E"/>
    <w:rsid w:val="00313C3D"/>
    <w:rsid w:val="00314ECF"/>
    <w:rsid w:val="00315DE8"/>
    <w:rsid w:val="00315E0A"/>
    <w:rsid w:val="00316208"/>
    <w:rsid w:val="003175E7"/>
    <w:rsid w:val="003175F1"/>
    <w:rsid w:val="00317F7F"/>
    <w:rsid w:val="00320FA6"/>
    <w:rsid w:val="00320FF1"/>
    <w:rsid w:val="00321520"/>
    <w:rsid w:val="003215AF"/>
    <w:rsid w:val="00321A56"/>
    <w:rsid w:val="00321B48"/>
    <w:rsid w:val="00322ADD"/>
    <w:rsid w:val="0032300A"/>
    <w:rsid w:val="00323076"/>
    <w:rsid w:val="0032325D"/>
    <w:rsid w:val="0032378C"/>
    <w:rsid w:val="003241C5"/>
    <w:rsid w:val="00324515"/>
    <w:rsid w:val="00324B53"/>
    <w:rsid w:val="0032505F"/>
    <w:rsid w:val="00326B13"/>
    <w:rsid w:val="00326FD0"/>
    <w:rsid w:val="003272A0"/>
    <w:rsid w:val="00327475"/>
    <w:rsid w:val="00327549"/>
    <w:rsid w:val="00327E40"/>
    <w:rsid w:val="00330D28"/>
    <w:rsid w:val="00330D88"/>
    <w:rsid w:val="00330E0B"/>
    <w:rsid w:val="003321DD"/>
    <w:rsid w:val="003324C1"/>
    <w:rsid w:val="00332501"/>
    <w:rsid w:val="00332943"/>
    <w:rsid w:val="00332C02"/>
    <w:rsid w:val="00334E84"/>
    <w:rsid w:val="00336F95"/>
    <w:rsid w:val="00340215"/>
    <w:rsid w:val="003414BD"/>
    <w:rsid w:val="00343000"/>
    <w:rsid w:val="00343A4A"/>
    <w:rsid w:val="00344AE3"/>
    <w:rsid w:val="00345F13"/>
    <w:rsid w:val="003463B1"/>
    <w:rsid w:val="00346491"/>
    <w:rsid w:val="003467A8"/>
    <w:rsid w:val="00346868"/>
    <w:rsid w:val="00347273"/>
    <w:rsid w:val="003478FE"/>
    <w:rsid w:val="003504B9"/>
    <w:rsid w:val="00352190"/>
    <w:rsid w:val="003534BB"/>
    <w:rsid w:val="00353B83"/>
    <w:rsid w:val="003553A8"/>
    <w:rsid w:val="00355A8C"/>
    <w:rsid w:val="00355EFB"/>
    <w:rsid w:val="003561E4"/>
    <w:rsid w:val="00356AA2"/>
    <w:rsid w:val="00356F21"/>
    <w:rsid w:val="00357276"/>
    <w:rsid w:val="00357A28"/>
    <w:rsid w:val="003600DB"/>
    <w:rsid w:val="003614FA"/>
    <w:rsid w:val="00362026"/>
    <w:rsid w:val="00362870"/>
    <w:rsid w:val="00362B2E"/>
    <w:rsid w:val="00363119"/>
    <w:rsid w:val="003631AA"/>
    <w:rsid w:val="003646CB"/>
    <w:rsid w:val="003661C1"/>
    <w:rsid w:val="00366965"/>
    <w:rsid w:val="00366A46"/>
    <w:rsid w:val="00366B2E"/>
    <w:rsid w:val="00366C4B"/>
    <w:rsid w:val="003671BC"/>
    <w:rsid w:val="00367244"/>
    <w:rsid w:val="003705A3"/>
    <w:rsid w:val="00370EA5"/>
    <w:rsid w:val="00370EDB"/>
    <w:rsid w:val="00371971"/>
    <w:rsid w:val="00371E54"/>
    <w:rsid w:val="0037274D"/>
    <w:rsid w:val="00372D75"/>
    <w:rsid w:val="00375235"/>
    <w:rsid w:val="0037576D"/>
    <w:rsid w:val="00375C0E"/>
    <w:rsid w:val="003774AB"/>
    <w:rsid w:val="00377D97"/>
    <w:rsid w:val="00380A39"/>
    <w:rsid w:val="00380C96"/>
    <w:rsid w:val="00381AB2"/>
    <w:rsid w:val="0038202E"/>
    <w:rsid w:val="003821A7"/>
    <w:rsid w:val="003824BD"/>
    <w:rsid w:val="0038302E"/>
    <w:rsid w:val="00384B74"/>
    <w:rsid w:val="0038523F"/>
    <w:rsid w:val="003852D1"/>
    <w:rsid w:val="00386540"/>
    <w:rsid w:val="00386787"/>
    <w:rsid w:val="00386A4E"/>
    <w:rsid w:val="00387118"/>
    <w:rsid w:val="003879B6"/>
    <w:rsid w:val="00391AB3"/>
    <w:rsid w:val="00391C3D"/>
    <w:rsid w:val="00391E5D"/>
    <w:rsid w:val="00392353"/>
    <w:rsid w:val="00392565"/>
    <w:rsid w:val="00392B62"/>
    <w:rsid w:val="00392E3B"/>
    <w:rsid w:val="00394AFD"/>
    <w:rsid w:val="00395DAE"/>
    <w:rsid w:val="00395FD4"/>
    <w:rsid w:val="00396A31"/>
    <w:rsid w:val="00396E4E"/>
    <w:rsid w:val="00397C90"/>
    <w:rsid w:val="00397FB8"/>
    <w:rsid w:val="003A2057"/>
    <w:rsid w:val="003A2547"/>
    <w:rsid w:val="003A2AC4"/>
    <w:rsid w:val="003A3335"/>
    <w:rsid w:val="003A344E"/>
    <w:rsid w:val="003A40BC"/>
    <w:rsid w:val="003A4122"/>
    <w:rsid w:val="003A449E"/>
    <w:rsid w:val="003A44F5"/>
    <w:rsid w:val="003A4583"/>
    <w:rsid w:val="003A4A96"/>
    <w:rsid w:val="003A5A5F"/>
    <w:rsid w:val="003A619C"/>
    <w:rsid w:val="003A73C1"/>
    <w:rsid w:val="003A7F15"/>
    <w:rsid w:val="003B019D"/>
    <w:rsid w:val="003B01BE"/>
    <w:rsid w:val="003B038B"/>
    <w:rsid w:val="003B0F28"/>
    <w:rsid w:val="003B27A5"/>
    <w:rsid w:val="003B2A99"/>
    <w:rsid w:val="003B3A6B"/>
    <w:rsid w:val="003B4486"/>
    <w:rsid w:val="003B510B"/>
    <w:rsid w:val="003B5435"/>
    <w:rsid w:val="003B5C33"/>
    <w:rsid w:val="003B6E18"/>
    <w:rsid w:val="003B759C"/>
    <w:rsid w:val="003B75B5"/>
    <w:rsid w:val="003B766F"/>
    <w:rsid w:val="003B79DB"/>
    <w:rsid w:val="003C0518"/>
    <w:rsid w:val="003C07A0"/>
    <w:rsid w:val="003C0891"/>
    <w:rsid w:val="003C10D6"/>
    <w:rsid w:val="003C2C5C"/>
    <w:rsid w:val="003C2C8D"/>
    <w:rsid w:val="003C2E6A"/>
    <w:rsid w:val="003C307E"/>
    <w:rsid w:val="003C3B91"/>
    <w:rsid w:val="003C4232"/>
    <w:rsid w:val="003C4E82"/>
    <w:rsid w:val="003C50D6"/>
    <w:rsid w:val="003C5F1A"/>
    <w:rsid w:val="003C6798"/>
    <w:rsid w:val="003C6933"/>
    <w:rsid w:val="003C6F3A"/>
    <w:rsid w:val="003C7B9A"/>
    <w:rsid w:val="003C7D26"/>
    <w:rsid w:val="003D0302"/>
    <w:rsid w:val="003D0C04"/>
    <w:rsid w:val="003D1759"/>
    <w:rsid w:val="003D2042"/>
    <w:rsid w:val="003D21F2"/>
    <w:rsid w:val="003D41C8"/>
    <w:rsid w:val="003D439B"/>
    <w:rsid w:val="003D43D1"/>
    <w:rsid w:val="003D54F0"/>
    <w:rsid w:val="003D67A2"/>
    <w:rsid w:val="003D6CCB"/>
    <w:rsid w:val="003D7DFC"/>
    <w:rsid w:val="003E02B4"/>
    <w:rsid w:val="003E06A0"/>
    <w:rsid w:val="003E076C"/>
    <w:rsid w:val="003E0B97"/>
    <w:rsid w:val="003E1006"/>
    <w:rsid w:val="003E1319"/>
    <w:rsid w:val="003E26AF"/>
    <w:rsid w:val="003E2EDE"/>
    <w:rsid w:val="003E2FDB"/>
    <w:rsid w:val="003E3706"/>
    <w:rsid w:val="003E4DDB"/>
    <w:rsid w:val="003E539D"/>
    <w:rsid w:val="003E5B6D"/>
    <w:rsid w:val="003E5C5E"/>
    <w:rsid w:val="003E5D13"/>
    <w:rsid w:val="003E6FA6"/>
    <w:rsid w:val="003E793C"/>
    <w:rsid w:val="003F0C96"/>
    <w:rsid w:val="003F12D7"/>
    <w:rsid w:val="003F1811"/>
    <w:rsid w:val="003F19CF"/>
    <w:rsid w:val="003F1D97"/>
    <w:rsid w:val="003F2697"/>
    <w:rsid w:val="003F2B18"/>
    <w:rsid w:val="003F2DE9"/>
    <w:rsid w:val="003F309D"/>
    <w:rsid w:val="003F3530"/>
    <w:rsid w:val="003F3A23"/>
    <w:rsid w:val="003F415C"/>
    <w:rsid w:val="003F45BD"/>
    <w:rsid w:val="003F4771"/>
    <w:rsid w:val="003F4A5E"/>
    <w:rsid w:val="003F5222"/>
    <w:rsid w:val="003F6808"/>
    <w:rsid w:val="003F6B92"/>
    <w:rsid w:val="003F74BE"/>
    <w:rsid w:val="003F7DE1"/>
    <w:rsid w:val="00400E29"/>
    <w:rsid w:val="00401C1C"/>
    <w:rsid w:val="00402674"/>
    <w:rsid w:val="00404DC9"/>
    <w:rsid w:val="004072C6"/>
    <w:rsid w:val="0040732F"/>
    <w:rsid w:val="00410CA0"/>
    <w:rsid w:val="004126F3"/>
    <w:rsid w:val="00412A97"/>
    <w:rsid w:val="00412AA7"/>
    <w:rsid w:val="0041455A"/>
    <w:rsid w:val="00414D4D"/>
    <w:rsid w:val="004168C9"/>
    <w:rsid w:val="00420045"/>
    <w:rsid w:val="0042151F"/>
    <w:rsid w:val="004218D1"/>
    <w:rsid w:val="00421E66"/>
    <w:rsid w:val="00423640"/>
    <w:rsid w:val="00423857"/>
    <w:rsid w:val="00423C66"/>
    <w:rsid w:val="00423D2C"/>
    <w:rsid w:val="00423DE5"/>
    <w:rsid w:val="0042436B"/>
    <w:rsid w:val="00424D01"/>
    <w:rsid w:val="00424D86"/>
    <w:rsid w:val="00425F81"/>
    <w:rsid w:val="00426304"/>
    <w:rsid w:val="00426328"/>
    <w:rsid w:val="00427177"/>
    <w:rsid w:val="00427473"/>
    <w:rsid w:val="00427909"/>
    <w:rsid w:val="00427F1C"/>
    <w:rsid w:val="004300DE"/>
    <w:rsid w:val="004304BD"/>
    <w:rsid w:val="00430BD6"/>
    <w:rsid w:val="00430C92"/>
    <w:rsid w:val="00430F0F"/>
    <w:rsid w:val="00431F7D"/>
    <w:rsid w:val="00433C6C"/>
    <w:rsid w:val="0043584D"/>
    <w:rsid w:val="00435F2D"/>
    <w:rsid w:val="00436571"/>
    <w:rsid w:val="004365B8"/>
    <w:rsid w:val="00436F53"/>
    <w:rsid w:val="00441545"/>
    <w:rsid w:val="00441FA8"/>
    <w:rsid w:val="00442AFC"/>
    <w:rsid w:val="00442D5A"/>
    <w:rsid w:val="00443184"/>
    <w:rsid w:val="00443640"/>
    <w:rsid w:val="00443A2F"/>
    <w:rsid w:val="00443F44"/>
    <w:rsid w:val="00444340"/>
    <w:rsid w:val="004446B9"/>
    <w:rsid w:val="004462E3"/>
    <w:rsid w:val="00446D49"/>
    <w:rsid w:val="00451499"/>
    <w:rsid w:val="0045165B"/>
    <w:rsid w:val="00453F59"/>
    <w:rsid w:val="004545E4"/>
    <w:rsid w:val="0045477D"/>
    <w:rsid w:val="00454A77"/>
    <w:rsid w:val="00455558"/>
    <w:rsid w:val="00456BBA"/>
    <w:rsid w:val="00456ED2"/>
    <w:rsid w:val="00457D3E"/>
    <w:rsid w:val="004619D0"/>
    <w:rsid w:val="00462730"/>
    <w:rsid w:val="00462A79"/>
    <w:rsid w:val="00462AB9"/>
    <w:rsid w:val="00465A56"/>
    <w:rsid w:val="004666AD"/>
    <w:rsid w:val="00467398"/>
    <w:rsid w:val="004675F4"/>
    <w:rsid w:val="0047009E"/>
    <w:rsid w:val="00470E98"/>
    <w:rsid w:val="00472015"/>
    <w:rsid w:val="004723E8"/>
    <w:rsid w:val="004743F7"/>
    <w:rsid w:val="004752D8"/>
    <w:rsid w:val="004756B7"/>
    <w:rsid w:val="00475BFD"/>
    <w:rsid w:val="00477A95"/>
    <w:rsid w:val="00480BC6"/>
    <w:rsid w:val="00481197"/>
    <w:rsid w:val="004819D2"/>
    <w:rsid w:val="00481F1C"/>
    <w:rsid w:val="00483409"/>
    <w:rsid w:val="004849BC"/>
    <w:rsid w:val="0048547E"/>
    <w:rsid w:val="004854C9"/>
    <w:rsid w:val="00485A03"/>
    <w:rsid w:val="004879A0"/>
    <w:rsid w:val="00487FB5"/>
    <w:rsid w:val="004900AF"/>
    <w:rsid w:val="0049041E"/>
    <w:rsid w:val="00490C7A"/>
    <w:rsid w:val="00490D96"/>
    <w:rsid w:val="00490E11"/>
    <w:rsid w:val="00491965"/>
    <w:rsid w:val="00492E6B"/>
    <w:rsid w:val="004932AD"/>
    <w:rsid w:val="004937C6"/>
    <w:rsid w:val="00495232"/>
    <w:rsid w:val="00495618"/>
    <w:rsid w:val="00495889"/>
    <w:rsid w:val="00495B56"/>
    <w:rsid w:val="00496049"/>
    <w:rsid w:val="004A003C"/>
    <w:rsid w:val="004A0BF6"/>
    <w:rsid w:val="004A11EB"/>
    <w:rsid w:val="004A12BA"/>
    <w:rsid w:val="004A1EFF"/>
    <w:rsid w:val="004A217F"/>
    <w:rsid w:val="004A2297"/>
    <w:rsid w:val="004A2402"/>
    <w:rsid w:val="004A2C28"/>
    <w:rsid w:val="004A32CD"/>
    <w:rsid w:val="004A3A61"/>
    <w:rsid w:val="004A3CA4"/>
    <w:rsid w:val="004A40F8"/>
    <w:rsid w:val="004A5086"/>
    <w:rsid w:val="004A6276"/>
    <w:rsid w:val="004A634D"/>
    <w:rsid w:val="004A7851"/>
    <w:rsid w:val="004A7F5D"/>
    <w:rsid w:val="004B086E"/>
    <w:rsid w:val="004B0C4E"/>
    <w:rsid w:val="004B0C6B"/>
    <w:rsid w:val="004B16D0"/>
    <w:rsid w:val="004B206F"/>
    <w:rsid w:val="004B2DEB"/>
    <w:rsid w:val="004B3574"/>
    <w:rsid w:val="004B4699"/>
    <w:rsid w:val="004B49A5"/>
    <w:rsid w:val="004B4A2E"/>
    <w:rsid w:val="004B4CEA"/>
    <w:rsid w:val="004B5787"/>
    <w:rsid w:val="004B63F9"/>
    <w:rsid w:val="004B66E0"/>
    <w:rsid w:val="004B792D"/>
    <w:rsid w:val="004C040C"/>
    <w:rsid w:val="004C054A"/>
    <w:rsid w:val="004C125C"/>
    <w:rsid w:val="004C33A1"/>
    <w:rsid w:val="004C3872"/>
    <w:rsid w:val="004C4AEE"/>
    <w:rsid w:val="004C4BA9"/>
    <w:rsid w:val="004C4EEF"/>
    <w:rsid w:val="004C520A"/>
    <w:rsid w:val="004C5DB3"/>
    <w:rsid w:val="004C66E0"/>
    <w:rsid w:val="004C6B7C"/>
    <w:rsid w:val="004C7A06"/>
    <w:rsid w:val="004D0D3B"/>
    <w:rsid w:val="004D1EC8"/>
    <w:rsid w:val="004D235A"/>
    <w:rsid w:val="004D32B9"/>
    <w:rsid w:val="004D4013"/>
    <w:rsid w:val="004D428E"/>
    <w:rsid w:val="004D44E7"/>
    <w:rsid w:val="004D5A25"/>
    <w:rsid w:val="004D5EAA"/>
    <w:rsid w:val="004D71FC"/>
    <w:rsid w:val="004E1BA9"/>
    <w:rsid w:val="004E2B55"/>
    <w:rsid w:val="004E3978"/>
    <w:rsid w:val="004E52C7"/>
    <w:rsid w:val="004E7E8A"/>
    <w:rsid w:val="004F2349"/>
    <w:rsid w:val="004F32ED"/>
    <w:rsid w:val="004F37C2"/>
    <w:rsid w:val="004F3B6E"/>
    <w:rsid w:val="004F427C"/>
    <w:rsid w:val="004F4C9D"/>
    <w:rsid w:val="004F5FBF"/>
    <w:rsid w:val="004F6190"/>
    <w:rsid w:val="004F63EA"/>
    <w:rsid w:val="004F6BF5"/>
    <w:rsid w:val="004F71FE"/>
    <w:rsid w:val="004F7324"/>
    <w:rsid w:val="00500283"/>
    <w:rsid w:val="00500E61"/>
    <w:rsid w:val="005033C2"/>
    <w:rsid w:val="005047DB"/>
    <w:rsid w:val="00506822"/>
    <w:rsid w:val="005069B1"/>
    <w:rsid w:val="00506C44"/>
    <w:rsid w:val="005073F1"/>
    <w:rsid w:val="0051011F"/>
    <w:rsid w:val="00511830"/>
    <w:rsid w:val="00511F7B"/>
    <w:rsid w:val="00512290"/>
    <w:rsid w:val="00514300"/>
    <w:rsid w:val="00514EDF"/>
    <w:rsid w:val="00515374"/>
    <w:rsid w:val="00515CA8"/>
    <w:rsid w:val="005164F3"/>
    <w:rsid w:val="00516AF9"/>
    <w:rsid w:val="00520C8A"/>
    <w:rsid w:val="00521875"/>
    <w:rsid w:val="00523320"/>
    <w:rsid w:val="00523387"/>
    <w:rsid w:val="005255B4"/>
    <w:rsid w:val="005264A0"/>
    <w:rsid w:val="00526A22"/>
    <w:rsid w:val="00526B00"/>
    <w:rsid w:val="00526B8B"/>
    <w:rsid w:val="005277E8"/>
    <w:rsid w:val="0052795F"/>
    <w:rsid w:val="00527A3A"/>
    <w:rsid w:val="00530000"/>
    <w:rsid w:val="00530846"/>
    <w:rsid w:val="00531207"/>
    <w:rsid w:val="00531870"/>
    <w:rsid w:val="00532426"/>
    <w:rsid w:val="00533143"/>
    <w:rsid w:val="005335B4"/>
    <w:rsid w:val="0053371A"/>
    <w:rsid w:val="005337B1"/>
    <w:rsid w:val="005340FF"/>
    <w:rsid w:val="00534273"/>
    <w:rsid w:val="00534398"/>
    <w:rsid w:val="005344F5"/>
    <w:rsid w:val="0053576A"/>
    <w:rsid w:val="005369F6"/>
    <w:rsid w:val="00536DD4"/>
    <w:rsid w:val="005379B7"/>
    <w:rsid w:val="0054073F"/>
    <w:rsid w:val="00542550"/>
    <w:rsid w:val="00543157"/>
    <w:rsid w:val="005435DA"/>
    <w:rsid w:val="0054399A"/>
    <w:rsid w:val="00543B2D"/>
    <w:rsid w:val="0054463C"/>
    <w:rsid w:val="00545458"/>
    <w:rsid w:val="00546465"/>
    <w:rsid w:val="00546486"/>
    <w:rsid w:val="00546914"/>
    <w:rsid w:val="00547313"/>
    <w:rsid w:val="00547935"/>
    <w:rsid w:val="00547A15"/>
    <w:rsid w:val="005506C6"/>
    <w:rsid w:val="00550AB4"/>
    <w:rsid w:val="0055100C"/>
    <w:rsid w:val="005516F8"/>
    <w:rsid w:val="00552038"/>
    <w:rsid w:val="00553419"/>
    <w:rsid w:val="00553EE3"/>
    <w:rsid w:val="00553F22"/>
    <w:rsid w:val="00554108"/>
    <w:rsid w:val="00554312"/>
    <w:rsid w:val="00554552"/>
    <w:rsid w:val="00554A70"/>
    <w:rsid w:val="00555A3C"/>
    <w:rsid w:val="00555E51"/>
    <w:rsid w:val="00556C96"/>
    <w:rsid w:val="0055798E"/>
    <w:rsid w:val="005579DD"/>
    <w:rsid w:val="00560DAC"/>
    <w:rsid w:val="0056153F"/>
    <w:rsid w:val="0056209D"/>
    <w:rsid w:val="005629AE"/>
    <w:rsid w:val="00562B17"/>
    <w:rsid w:val="00562C7E"/>
    <w:rsid w:val="00564656"/>
    <w:rsid w:val="00564EB6"/>
    <w:rsid w:val="00565B67"/>
    <w:rsid w:val="00567046"/>
    <w:rsid w:val="00567190"/>
    <w:rsid w:val="0056772A"/>
    <w:rsid w:val="005711FF"/>
    <w:rsid w:val="005716E2"/>
    <w:rsid w:val="00572829"/>
    <w:rsid w:val="00572B86"/>
    <w:rsid w:val="00573730"/>
    <w:rsid w:val="0057469E"/>
    <w:rsid w:val="00574E5F"/>
    <w:rsid w:val="005754BA"/>
    <w:rsid w:val="00576DF5"/>
    <w:rsid w:val="00577524"/>
    <w:rsid w:val="00577A03"/>
    <w:rsid w:val="00577B09"/>
    <w:rsid w:val="005801DA"/>
    <w:rsid w:val="0058045F"/>
    <w:rsid w:val="005805A5"/>
    <w:rsid w:val="00580ABD"/>
    <w:rsid w:val="00580BAC"/>
    <w:rsid w:val="00581D87"/>
    <w:rsid w:val="00581D93"/>
    <w:rsid w:val="00582417"/>
    <w:rsid w:val="005836A7"/>
    <w:rsid w:val="00583B2B"/>
    <w:rsid w:val="00583BB0"/>
    <w:rsid w:val="0058564C"/>
    <w:rsid w:val="0058713B"/>
    <w:rsid w:val="00587544"/>
    <w:rsid w:val="00587800"/>
    <w:rsid w:val="00587E9E"/>
    <w:rsid w:val="00590065"/>
    <w:rsid w:val="0059127B"/>
    <w:rsid w:val="00591E17"/>
    <w:rsid w:val="00591E86"/>
    <w:rsid w:val="00594C2C"/>
    <w:rsid w:val="00594E05"/>
    <w:rsid w:val="0059521C"/>
    <w:rsid w:val="00596523"/>
    <w:rsid w:val="005969C9"/>
    <w:rsid w:val="00597373"/>
    <w:rsid w:val="005A00F2"/>
    <w:rsid w:val="005A143E"/>
    <w:rsid w:val="005A361E"/>
    <w:rsid w:val="005A3752"/>
    <w:rsid w:val="005A404A"/>
    <w:rsid w:val="005A439C"/>
    <w:rsid w:val="005A5320"/>
    <w:rsid w:val="005A5336"/>
    <w:rsid w:val="005A6ADD"/>
    <w:rsid w:val="005A6B32"/>
    <w:rsid w:val="005A6D7D"/>
    <w:rsid w:val="005A7130"/>
    <w:rsid w:val="005A718E"/>
    <w:rsid w:val="005A79E1"/>
    <w:rsid w:val="005B0152"/>
    <w:rsid w:val="005B047B"/>
    <w:rsid w:val="005B077F"/>
    <w:rsid w:val="005B0CC8"/>
    <w:rsid w:val="005B0E8C"/>
    <w:rsid w:val="005B19DF"/>
    <w:rsid w:val="005B1A9C"/>
    <w:rsid w:val="005B1B66"/>
    <w:rsid w:val="005B1EFA"/>
    <w:rsid w:val="005B29D4"/>
    <w:rsid w:val="005B3044"/>
    <w:rsid w:val="005B30E0"/>
    <w:rsid w:val="005B593B"/>
    <w:rsid w:val="005B5E2B"/>
    <w:rsid w:val="005B6909"/>
    <w:rsid w:val="005B7367"/>
    <w:rsid w:val="005C00A3"/>
    <w:rsid w:val="005C1FC8"/>
    <w:rsid w:val="005C2FBF"/>
    <w:rsid w:val="005C3605"/>
    <w:rsid w:val="005C3E08"/>
    <w:rsid w:val="005C4D24"/>
    <w:rsid w:val="005C66FB"/>
    <w:rsid w:val="005C6E43"/>
    <w:rsid w:val="005C7652"/>
    <w:rsid w:val="005C77D9"/>
    <w:rsid w:val="005C78B7"/>
    <w:rsid w:val="005D0E44"/>
    <w:rsid w:val="005D1556"/>
    <w:rsid w:val="005D20AF"/>
    <w:rsid w:val="005D2497"/>
    <w:rsid w:val="005D4504"/>
    <w:rsid w:val="005D4725"/>
    <w:rsid w:val="005D4B0C"/>
    <w:rsid w:val="005D5C98"/>
    <w:rsid w:val="005D6677"/>
    <w:rsid w:val="005D69FE"/>
    <w:rsid w:val="005D75FE"/>
    <w:rsid w:val="005E054D"/>
    <w:rsid w:val="005E0E7C"/>
    <w:rsid w:val="005E10A6"/>
    <w:rsid w:val="005E1B34"/>
    <w:rsid w:val="005E413D"/>
    <w:rsid w:val="005E514A"/>
    <w:rsid w:val="005E550F"/>
    <w:rsid w:val="005E599C"/>
    <w:rsid w:val="005E600D"/>
    <w:rsid w:val="005E6057"/>
    <w:rsid w:val="005E6A2B"/>
    <w:rsid w:val="005F05A7"/>
    <w:rsid w:val="005F27CC"/>
    <w:rsid w:val="005F35B7"/>
    <w:rsid w:val="005F3A69"/>
    <w:rsid w:val="005F3A6A"/>
    <w:rsid w:val="005F3F4D"/>
    <w:rsid w:val="005F4037"/>
    <w:rsid w:val="005F5B86"/>
    <w:rsid w:val="005F65B3"/>
    <w:rsid w:val="005F661F"/>
    <w:rsid w:val="005F67D4"/>
    <w:rsid w:val="005F72A6"/>
    <w:rsid w:val="005F7960"/>
    <w:rsid w:val="005F7B09"/>
    <w:rsid w:val="00600F6A"/>
    <w:rsid w:val="0060146D"/>
    <w:rsid w:val="00602A42"/>
    <w:rsid w:val="00602C23"/>
    <w:rsid w:val="00602D41"/>
    <w:rsid w:val="00602E0B"/>
    <w:rsid w:val="00602FD9"/>
    <w:rsid w:val="00603583"/>
    <w:rsid w:val="006039D1"/>
    <w:rsid w:val="006041F5"/>
    <w:rsid w:val="00606EF6"/>
    <w:rsid w:val="00607052"/>
    <w:rsid w:val="0060748C"/>
    <w:rsid w:val="0060752C"/>
    <w:rsid w:val="00607E52"/>
    <w:rsid w:val="0061075A"/>
    <w:rsid w:val="00610F5A"/>
    <w:rsid w:val="00611FB5"/>
    <w:rsid w:val="00613179"/>
    <w:rsid w:val="006131DC"/>
    <w:rsid w:val="0061377D"/>
    <w:rsid w:val="006138E4"/>
    <w:rsid w:val="006141E6"/>
    <w:rsid w:val="00614A9B"/>
    <w:rsid w:val="00615194"/>
    <w:rsid w:val="00615412"/>
    <w:rsid w:val="00615979"/>
    <w:rsid w:val="00615D52"/>
    <w:rsid w:val="006168AE"/>
    <w:rsid w:val="0061699E"/>
    <w:rsid w:val="00616D03"/>
    <w:rsid w:val="00616EA0"/>
    <w:rsid w:val="00616FAA"/>
    <w:rsid w:val="0061775F"/>
    <w:rsid w:val="00617AC6"/>
    <w:rsid w:val="00617D1D"/>
    <w:rsid w:val="00617D49"/>
    <w:rsid w:val="00617DE3"/>
    <w:rsid w:val="00621AA8"/>
    <w:rsid w:val="006220A5"/>
    <w:rsid w:val="0062318F"/>
    <w:rsid w:val="00623855"/>
    <w:rsid w:val="006239BC"/>
    <w:rsid w:val="00623CB7"/>
    <w:rsid w:val="00625447"/>
    <w:rsid w:val="00625611"/>
    <w:rsid w:val="0062663B"/>
    <w:rsid w:val="00626D7E"/>
    <w:rsid w:val="006279AD"/>
    <w:rsid w:val="00630FD8"/>
    <w:rsid w:val="00631227"/>
    <w:rsid w:val="0063160E"/>
    <w:rsid w:val="00631A7D"/>
    <w:rsid w:val="00631F15"/>
    <w:rsid w:val="006326DA"/>
    <w:rsid w:val="00633161"/>
    <w:rsid w:val="006335FE"/>
    <w:rsid w:val="00634888"/>
    <w:rsid w:val="00634E50"/>
    <w:rsid w:val="006351B0"/>
    <w:rsid w:val="00635B45"/>
    <w:rsid w:val="00635BA4"/>
    <w:rsid w:val="00635E05"/>
    <w:rsid w:val="00635FA7"/>
    <w:rsid w:val="0063611E"/>
    <w:rsid w:val="006362D9"/>
    <w:rsid w:val="00637316"/>
    <w:rsid w:val="0063734B"/>
    <w:rsid w:val="00640B5B"/>
    <w:rsid w:val="006421F8"/>
    <w:rsid w:val="006428E2"/>
    <w:rsid w:val="00642B60"/>
    <w:rsid w:val="00643096"/>
    <w:rsid w:val="006437B9"/>
    <w:rsid w:val="00644683"/>
    <w:rsid w:val="00644E0D"/>
    <w:rsid w:val="00646855"/>
    <w:rsid w:val="00646E7B"/>
    <w:rsid w:val="00647574"/>
    <w:rsid w:val="006501CE"/>
    <w:rsid w:val="0065039D"/>
    <w:rsid w:val="00651C0B"/>
    <w:rsid w:val="006523FA"/>
    <w:rsid w:val="0065261F"/>
    <w:rsid w:val="00652CD7"/>
    <w:rsid w:val="00653924"/>
    <w:rsid w:val="00653BC3"/>
    <w:rsid w:val="00653E45"/>
    <w:rsid w:val="0065405D"/>
    <w:rsid w:val="00654911"/>
    <w:rsid w:val="00655871"/>
    <w:rsid w:val="00655CB2"/>
    <w:rsid w:val="006560E3"/>
    <w:rsid w:val="00656EA5"/>
    <w:rsid w:val="00656F43"/>
    <w:rsid w:val="00661F0E"/>
    <w:rsid w:val="00661F71"/>
    <w:rsid w:val="00663311"/>
    <w:rsid w:val="00663514"/>
    <w:rsid w:val="00664BD7"/>
    <w:rsid w:val="00664F4E"/>
    <w:rsid w:val="00665908"/>
    <w:rsid w:val="00666250"/>
    <w:rsid w:val="00666A8C"/>
    <w:rsid w:val="006670B7"/>
    <w:rsid w:val="00667332"/>
    <w:rsid w:val="00670190"/>
    <w:rsid w:val="0067035F"/>
    <w:rsid w:val="006714F6"/>
    <w:rsid w:val="00671638"/>
    <w:rsid w:val="00671725"/>
    <w:rsid w:val="00671CFF"/>
    <w:rsid w:val="00673B51"/>
    <w:rsid w:val="006745EA"/>
    <w:rsid w:val="00675224"/>
    <w:rsid w:val="006764D4"/>
    <w:rsid w:val="00676827"/>
    <w:rsid w:val="00676ACD"/>
    <w:rsid w:val="00676E07"/>
    <w:rsid w:val="00677C39"/>
    <w:rsid w:val="00677EAE"/>
    <w:rsid w:val="0068135F"/>
    <w:rsid w:val="00682775"/>
    <w:rsid w:val="00682815"/>
    <w:rsid w:val="00683283"/>
    <w:rsid w:val="0068354E"/>
    <w:rsid w:val="00683B43"/>
    <w:rsid w:val="00683F9C"/>
    <w:rsid w:val="00684951"/>
    <w:rsid w:val="00684C20"/>
    <w:rsid w:val="00684F0B"/>
    <w:rsid w:val="0068566C"/>
    <w:rsid w:val="00685CCB"/>
    <w:rsid w:val="006874D1"/>
    <w:rsid w:val="00690420"/>
    <w:rsid w:val="0069083D"/>
    <w:rsid w:val="00690DDF"/>
    <w:rsid w:val="00690F1C"/>
    <w:rsid w:val="006913B1"/>
    <w:rsid w:val="006920BD"/>
    <w:rsid w:val="006920FA"/>
    <w:rsid w:val="00692772"/>
    <w:rsid w:val="00692C71"/>
    <w:rsid w:val="00693C08"/>
    <w:rsid w:val="00694271"/>
    <w:rsid w:val="00694B7F"/>
    <w:rsid w:val="006955D3"/>
    <w:rsid w:val="0069593A"/>
    <w:rsid w:val="006959D4"/>
    <w:rsid w:val="00696F02"/>
    <w:rsid w:val="00697E1F"/>
    <w:rsid w:val="006A0912"/>
    <w:rsid w:val="006A0972"/>
    <w:rsid w:val="006A0CAA"/>
    <w:rsid w:val="006A231D"/>
    <w:rsid w:val="006A2592"/>
    <w:rsid w:val="006A263B"/>
    <w:rsid w:val="006A2855"/>
    <w:rsid w:val="006A424C"/>
    <w:rsid w:val="006A4B31"/>
    <w:rsid w:val="006A4F07"/>
    <w:rsid w:val="006A595E"/>
    <w:rsid w:val="006A5A4F"/>
    <w:rsid w:val="006A6B6A"/>
    <w:rsid w:val="006A72CB"/>
    <w:rsid w:val="006A765C"/>
    <w:rsid w:val="006A77A2"/>
    <w:rsid w:val="006B05EC"/>
    <w:rsid w:val="006B0668"/>
    <w:rsid w:val="006B10E6"/>
    <w:rsid w:val="006B124C"/>
    <w:rsid w:val="006B2C1F"/>
    <w:rsid w:val="006B3F92"/>
    <w:rsid w:val="006B623E"/>
    <w:rsid w:val="006B6633"/>
    <w:rsid w:val="006B6748"/>
    <w:rsid w:val="006B6F66"/>
    <w:rsid w:val="006B7211"/>
    <w:rsid w:val="006B724A"/>
    <w:rsid w:val="006C061B"/>
    <w:rsid w:val="006C1C09"/>
    <w:rsid w:val="006C20F8"/>
    <w:rsid w:val="006C2563"/>
    <w:rsid w:val="006C3CD5"/>
    <w:rsid w:val="006C3F83"/>
    <w:rsid w:val="006C7598"/>
    <w:rsid w:val="006C778A"/>
    <w:rsid w:val="006D038B"/>
    <w:rsid w:val="006D18C1"/>
    <w:rsid w:val="006D18D4"/>
    <w:rsid w:val="006D278A"/>
    <w:rsid w:val="006D7270"/>
    <w:rsid w:val="006D73EC"/>
    <w:rsid w:val="006D79AA"/>
    <w:rsid w:val="006D7DBA"/>
    <w:rsid w:val="006E01EB"/>
    <w:rsid w:val="006E0354"/>
    <w:rsid w:val="006E04D1"/>
    <w:rsid w:val="006E05B8"/>
    <w:rsid w:val="006E187A"/>
    <w:rsid w:val="006E2028"/>
    <w:rsid w:val="006E2FED"/>
    <w:rsid w:val="006E340E"/>
    <w:rsid w:val="006E4668"/>
    <w:rsid w:val="006E5015"/>
    <w:rsid w:val="006E5F5B"/>
    <w:rsid w:val="006E6A82"/>
    <w:rsid w:val="006F09BF"/>
    <w:rsid w:val="006F0B9F"/>
    <w:rsid w:val="006F0BEC"/>
    <w:rsid w:val="006F0E6F"/>
    <w:rsid w:val="006F15CA"/>
    <w:rsid w:val="006F25E7"/>
    <w:rsid w:val="006F3593"/>
    <w:rsid w:val="006F3B38"/>
    <w:rsid w:val="006F3E06"/>
    <w:rsid w:val="006F3F0E"/>
    <w:rsid w:val="006F45F8"/>
    <w:rsid w:val="006F4B15"/>
    <w:rsid w:val="006F5B09"/>
    <w:rsid w:val="006F6174"/>
    <w:rsid w:val="006F6C79"/>
    <w:rsid w:val="006F75D4"/>
    <w:rsid w:val="006F7BB6"/>
    <w:rsid w:val="00700DE5"/>
    <w:rsid w:val="007014B0"/>
    <w:rsid w:val="00702694"/>
    <w:rsid w:val="00702C8B"/>
    <w:rsid w:val="00705476"/>
    <w:rsid w:val="007063FA"/>
    <w:rsid w:val="0070732F"/>
    <w:rsid w:val="00707666"/>
    <w:rsid w:val="007077D4"/>
    <w:rsid w:val="00707F31"/>
    <w:rsid w:val="0071044B"/>
    <w:rsid w:val="007104D5"/>
    <w:rsid w:val="00710A06"/>
    <w:rsid w:val="00712561"/>
    <w:rsid w:val="00713C16"/>
    <w:rsid w:val="00713F4D"/>
    <w:rsid w:val="00714352"/>
    <w:rsid w:val="00714D3D"/>
    <w:rsid w:val="00715312"/>
    <w:rsid w:val="007169DD"/>
    <w:rsid w:val="00720882"/>
    <w:rsid w:val="0072392C"/>
    <w:rsid w:val="00723F9A"/>
    <w:rsid w:val="00724047"/>
    <w:rsid w:val="007244C1"/>
    <w:rsid w:val="00727993"/>
    <w:rsid w:val="00727D50"/>
    <w:rsid w:val="00727E37"/>
    <w:rsid w:val="00727F04"/>
    <w:rsid w:val="007302B0"/>
    <w:rsid w:val="00730794"/>
    <w:rsid w:val="007309F5"/>
    <w:rsid w:val="00730E52"/>
    <w:rsid w:val="00731352"/>
    <w:rsid w:val="00731E03"/>
    <w:rsid w:val="00731E72"/>
    <w:rsid w:val="00731EBE"/>
    <w:rsid w:val="007329A2"/>
    <w:rsid w:val="00732D8B"/>
    <w:rsid w:val="00732E52"/>
    <w:rsid w:val="00734089"/>
    <w:rsid w:val="00734869"/>
    <w:rsid w:val="00734CDE"/>
    <w:rsid w:val="00734D80"/>
    <w:rsid w:val="00735982"/>
    <w:rsid w:val="00735A96"/>
    <w:rsid w:val="00735F25"/>
    <w:rsid w:val="00736308"/>
    <w:rsid w:val="00736465"/>
    <w:rsid w:val="00740A1B"/>
    <w:rsid w:val="007412F0"/>
    <w:rsid w:val="00741B51"/>
    <w:rsid w:val="00741D46"/>
    <w:rsid w:val="00742DBE"/>
    <w:rsid w:val="00744034"/>
    <w:rsid w:val="007463FB"/>
    <w:rsid w:val="00746F04"/>
    <w:rsid w:val="00747D69"/>
    <w:rsid w:val="0075007E"/>
    <w:rsid w:val="00750222"/>
    <w:rsid w:val="00750336"/>
    <w:rsid w:val="007513C6"/>
    <w:rsid w:val="00751749"/>
    <w:rsid w:val="0075244E"/>
    <w:rsid w:val="007529F4"/>
    <w:rsid w:val="00752E84"/>
    <w:rsid w:val="00753D26"/>
    <w:rsid w:val="0075403A"/>
    <w:rsid w:val="007540AB"/>
    <w:rsid w:val="0075416D"/>
    <w:rsid w:val="00755688"/>
    <w:rsid w:val="00755A6C"/>
    <w:rsid w:val="007563A4"/>
    <w:rsid w:val="00761D47"/>
    <w:rsid w:val="0076305C"/>
    <w:rsid w:val="00763133"/>
    <w:rsid w:val="0076345C"/>
    <w:rsid w:val="0076359A"/>
    <w:rsid w:val="007648E1"/>
    <w:rsid w:val="00765082"/>
    <w:rsid w:val="00765376"/>
    <w:rsid w:val="007654B5"/>
    <w:rsid w:val="00765830"/>
    <w:rsid w:val="00766705"/>
    <w:rsid w:val="00766B64"/>
    <w:rsid w:val="007703FF"/>
    <w:rsid w:val="00770737"/>
    <w:rsid w:val="00772F26"/>
    <w:rsid w:val="00773E29"/>
    <w:rsid w:val="00773FAF"/>
    <w:rsid w:val="00774CFB"/>
    <w:rsid w:val="00775C3F"/>
    <w:rsid w:val="0077621C"/>
    <w:rsid w:val="00776A68"/>
    <w:rsid w:val="0077798C"/>
    <w:rsid w:val="00780EB6"/>
    <w:rsid w:val="00780FD1"/>
    <w:rsid w:val="00781D7B"/>
    <w:rsid w:val="0078394C"/>
    <w:rsid w:val="007846AC"/>
    <w:rsid w:val="00785166"/>
    <w:rsid w:val="0078549F"/>
    <w:rsid w:val="0078570C"/>
    <w:rsid w:val="0078661B"/>
    <w:rsid w:val="00786A9B"/>
    <w:rsid w:val="007900BA"/>
    <w:rsid w:val="00790188"/>
    <w:rsid w:val="00790885"/>
    <w:rsid w:val="00790B2B"/>
    <w:rsid w:val="007916AD"/>
    <w:rsid w:val="0079228C"/>
    <w:rsid w:val="00792B20"/>
    <w:rsid w:val="00793619"/>
    <w:rsid w:val="00793C60"/>
    <w:rsid w:val="00793D9A"/>
    <w:rsid w:val="00793FFE"/>
    <w:rsid w:val="007949AF"/>
    <w:rsid w:val="00794BEE"/>
    <w:rsid w:val="00794E09"/>
    <w:rsid w:val="00795077"/>
    <w:rsid w:val="007950E3"/>
    <w:rsid w:val="007962A7"/>
    <w:rsid w:val="0079653C"/>
    <w:rsid w:val="007A0612"/>
    <w:rsid w:val="007A17A3"/>
    <w:rsid w:val="007A1927"/>
    <w:rsid w:val="007A3DD7"/>
    <w:rsid w:val="007A520B"/>
    <w:rsid w:val="007A6788"/>
    <w:rsid w:val="007A6B71"/>
    <w:rsid w:val="007A758C"/>
    <w:rsid w:val="007B0083"/>
    <w:rsid w:val="007B0101"/>
    <w:rsid w:val="007B01E6"/>
    <w:rsid w:val="007B1C57"/>
    <w:rsid w:val="007B1D0C"/>
    <w:rsid w:val="007B338C"/>
    <w:rsid w:val="007B36BA"/>
    <w:rsid w:val="007B3CA7"/>
    <w:rsid w:val="007B4940"/>
    <w:rsid w:val="007B50DB"/>
    <w:rsid w:val="007B5C04"/>
    <w:rsid w:val="007B6592"/>
    <w:rsid w:val="007B7076"/>
    <w:rsid w:val="007B7AD1"/>
    <w:rsid w:val="007C01FB"/>
    <w:rsid w:val="007C0854"/>
    <w:rsid w:val="007C0868"/>
    <w:rsid w:val="007C1954"/>
    <w:rsid w:val="007C1ADC"/>
    <w:rsid w:val="007C32AE"/>
    <w:rsid w:val="007C4273"/>
    <w:rsid w:val="007C4C16"/>
    <w:rsid w:val="007C4FA9"/>
    <w:rsid w:val="007C5736"/>
    <w:rsid w:val="007C664F"/>
    <w:rsid w:val="007C67E2"/>
    <w:rsid w:val="007D079E"/>
    <w:rsid w:val="007D2487"/>
    <w:rsid w:val="007D2D5E"/>
    <w:rsid w:val="007D2E18"/>
    <w:rsid w:val="007D35AE"/>
    <w:rsid w:val="007D3864"/>
    <w:rsid w:val="007D3F4D"/>
    <w:rsid w:val="007D4658"/>
    <w:rsid w:val="007D6688"/>
    <w:rsid w:val="007D6BB3"/>
    <w:rsid w:val="007D788D"/>
    <w:rsid w:val="007E0AC6"/>
    <w:rsid w:val="007E1C16"/>
    <w:rsid w:val="007E240A"/>
    <w:rsid w:val="007E2618"/>
    <w:rsid w:val="007E2C29"/>
    <w:rsid w:val="007E2EA3"/>
    <w:rsid w:val="007E3269"/>
    <w:rsid w:val="007E4670"/>
    <w:rsid w:val="007E51BF"/>
    <w:rsid w:val="007E61B7"/>
    <w:rsid w:val="007E698E"/>
    <w:rsid w:val="007E731A"/>
    <w:rsid w:val="007E77FF"/>
    <w:rsid w:val="007F01D7"/>
    <w:rsid w:val="007F0DAD"/>
    <w:rsid w:val="007F0FEF"/>
    <w:rsid w:val="007F300E"/>
    <w:rsid w:val="007F35E9"/>
    <w:rsid w:val="007F3C6E"/>
    <w:rsid w:val="007F492A"/>
    <w:rsid w:val="007F4CB5"/>
    <w:rsid w:val="007F515D"/>
    <w:rsid w:val="007F64E4"/>
    <w:rsid w:val="00800376"/>
    <w:rsid w:val="008006D2"/>
    <w:rsid w:val="008013DE"/>
    <w:rsid w:val="00802F09"/>
    <w:rsid w:val="00804A01"/>
    <w:rsid w:val="008058AF"/>
    <w:rsid w:val="00805FD7"/>
    <w:rsid w:val="00806A7E"/>
    <w:rsid w:val="00807A22"/>
    <w:rsid w:val="00807EC1"/>
    <w:rsid w:val="00810B10"/>
    <w:rsid w:val="00811A5E"/>
    <w:rsid w:val="00811CC9"/>
    <w:rsid w:val="00812402"/>
    <w:rsid w:val="008131D7"/>
    <w:rsid w:val="00813AC4"/>
    <w:rsid w:val="00813D56"/>
    <w:rsid w:val="0081439C"/>
    <w:rsid w:val="008146AA"/>
    <w:rsid w:val="00814854"/>
    <w:rsid w:val="00814DFF"/>
    <w:rsid w:val="00814F7F"/>
    <w:rsid w:val="00817068"/>
    <w:rsid w:val="0081726C"/>
    <w:rsid w:val="0081744A"/>
    <w:rsid w:val="0081745C"/>
    <w:rsid w:val="008211F8"/>
    <w:rsid w:val="0082191D"/>
    <w:rsid w:val="00822370"/>
    <w:rsid w:val="0082290B"/>
    <w:rsid w:val="0082343F"/>
    <w:rsid w:val="008237E8"/>
    <w:rsid w:val="00824024"/>
    <w:rsid w:val="008241B7"/>
    <w:rsid w:val="00824A82"/>
    <w:rsid w:val="00824F1A"/>
    <w:rsid w:val="00824F7C"/>
    <w:rsid w:val="00825A21"/>
    <w:rsid w:val="00826B9C"/>
    <w:rsid w:val="00826C51"/>
    <w:rsid w:val="00826FD7"/>
    <w:rsid w:val="00827CE2"/>
    <w:rsid w:val="00830B78"/>
    <w:rsid w:val="00830D62"/>
    <w:rsid w:val="008311D6"/>
    <w:rsid w:val="00831782"/>
    <w:rsid w:val="0083261E"/>
    <w:rsid w:val="0083292B"/>
    <w:rsid w:val="00832C9D"/>
    <w:rsid w:val="008334D4"/>
    <w:rsid w:val="00833B4E"/>
    <w:rsid w:val="00834BBC"/>
    <w:rsid w:val="008368FD"/>
    <w:rsid w:val="00837EA5"/>
    <w:rsid w:val="00837F95"/>
    <w:rsid w:val="00840880"/>
    <w:rsid w:val="00841471"/>
    <w:rsid w:val="00841A12"/>
    <w:rsid w:val="00842934"/>
    <w:rsid w:val="00842B77"/>
    <w:rsid w:val="00842D24"/>
    <w:rsid w:val="00843CEA"/>
    <w:rsid w:val="008450E2"/>
    <w:rsid w:val="00845868"/>
    <w:rsid w:val="00845F94"/>
    <w:rsid w:val="00846411"/>
    <w:rsid w:val="00846F28"/>
    <w:rsid w:val="008477F1"/>
    <w:rsid w:val="00847897"/>
    <w:rsid w:val="00850A1A"/>
    <w:rsid w:val="00850C6B"/>
    <w:rsid w:val="00850FA1"/>
    <w:rsid w:val="00851649"/>
    <w:rsid w:val="00852939"/>
    <w:rsid w:val="00852AB6"/>
    <w:rsid w:val="00852B5D"/>
    <w:rsid w:val="00852DAE"/>
    <w:rsid w:val="00853069"/>
    <w:rsid w:val="008530A1"/>
    <w:rsid w:val="00853BAF"/>
    <w:rsid w:val="008568A2"/>
    <w:rsid w:val="00857209"/>
    <w:rsid w:val="00857FAD"/>
    <w:rsid w:val="00861540"/>
    <w:rsid w:val="008615CE"/>
    <w:rsid w:val="00861E3F"/>
    <w:rsid w:val="0086282F"/>
    <w:rsid w:val="008628B5"/>
    <w:rsid w:val="00862CCE"/>
    <w:rsid w:val="00862DE3"/>
    <w:rsid w:val="0086301C"/>
    <w:rsid w:val="008631D4"/>
    <w:rsid w:val="0086350F"/>
    <w:rsid w:val="0086393C"/>
    <w:rsid w:val="00864097"/>
    <w:rsid w:val="00865F91"/>
    <w:rsid w:val="00866014"/>
    <w:rsid w:val="008661D3"/>
    <w:rsid w:val="00866BD5"/>
    <w:rsid w:val="00866C6C"/>
    <w:rsid w:val="008677EA"/>
    <w:rsid w:val="00870637"/>
    <w:rsid w:val="00871074"/>
    <w:rsid w:val="00872A24"/>
    <w:rsid w:val="00872C18"/>
    <w:rsid w:val="0087376D"/>
    <w:rsid w:val="00874430"/>
    <w:rsid w:val="0087445B"/>
    <w:rsid w:val="008748E4"/>
    <w:rsid w:val="00874B3C"/>
    <w:rsid w:val="00874ED9"/>
    <w:rsid w:val="00875138"/>
    <w:rsid w:val="00875ABD"/>
    <w:rsid w:val="00875F82"/>
    <w:rsid w:val="00876115"/>
    <w:rsid w:val="008765E4"/>
    <w:rsid w:val="0087661C"/>
    <w:rsid w:val="008771EE"/>
    <w:rsid w:val="00881184"/>
    <w:rsid w:val="008814AD"/>
    <w:rsid w:val="008818ED"/>
    <w:rsid w:val="00881B66"/>
    <w:rsid w:val="00882CF8"/>
    <w:rsid w:val="00882F77"/>
    <w:rsid w:val="008835D6"/>
    <w:rsid w:val="0088374D"/>
    <w:rsid w:val="008842F8"/>
    <w:rsid w:val="008848DA"/>
    <w:rsid w:val="00884AAF"/>
    <w:rsid w:val="00886AE8"/>
    <w:rsid w:val="00886FAE"/>
    <w:rsid w:val="008874CF"/>
    <w:rsid w:val="00887E13"/>
    <w:rsid w:val="00890D8F"/>
    <w:rsid w:val="0089114A"/>
    <w:rsid w:val="008914F7"/>
    <w:rsid w:val="0089160A"/>
    <w:rsid w:val="00891928"/>
    <w:rsid w:val="00892113"/>
    <w:rsid w:val="00892DB6"/>
    <w:rsid w:val="0089523C"/>
    <w:rsid w:val="00895E34"/>
    <w:rsid w:val="00896171"/>
    <w:rsid w:val="008964F1"/>
    <w:rsid w:val="00897C79"/>
    <w:rsid w:val="008A1C7D"/>
    <w:rsid w:val="008A2A9B"/>
    <w:rsid w:val="008A2FB9"/>
    <w:rsid w:val="008A317E"/>
    <w:rsid w:val="008A318F"/>
    <w:rsid w:val="008A37DA"/>
    <w:rsid w:val="008A390E"/>
    <w:rsid w:val="008A3C3E"/>
    <w:rsid w:val="008A523F"/>
    <w:rsid w:val="008A5549"/>
    <w:rsid w:val="008A5BA0"/>
    <w:rsid w:val="008A6547"/>
    <w:rsid w:val="008A762C"/>
    <w:rsid w:val="008B090C"/>
    <w:rsid w:val="008B168E"/>
    <w:rsid w:val="008B1C79"/>
    <w:rsid w:val="008B1DDF"/>
    <w:rsid w:val="008B1E35"/>
    <w:rsid w:val="008B4367"/>
    <w:rsid w:val="008B5FC8"/>
    <w:rsid w:val="008B693D"/>
    <w:rsid w:val="008B6EAD"/>
    <w:rsid w:val="008B77C0"/>
    <w:rsid w:val="008B7F13"/>
    <w:rsid w:val="008B7F49"/>
    <w:rsid w:val="008C07D6"/>
    <w:rsid w:val="008C1381"/>
    <w:rsid w:val="008C16C5"/>
    <w:rsid w:val="008C20DA"/>
    <w:rsid w:val="008C2747"/>
    <w:rsid w:val="008C2978"/>
    <w:rsid w:val="008C2FE4"/>
    <w:rsid w:val="008C3B31"/>
    <w:rsid w:val="008C3BB3"/>
    <w:rsid w:val="008C4A94"/>
    <w:rsid w:val="008C4CB7"/>
    <w:rsid w:val="008C5B25"/>
    <w:rsid w:val="008C5DF2"/>
    <w:rsid w:val="008C6844"/>
    <w:rsid w:val="008C686B"/>
    <w:rsid w:val="008C6E4B"/>
    <w:rsid w:val="008C75B5"/>
    <w:rsid w:val="008C75C4"/>
    <w:rsid w:val="008D0524"/>
    <w:rsid w:val="008D0B26"/>
    <w:rsid w:val="008D1E2E"/>
    <w:rsid w:val="008D1EBC"/>
    <w:rsid w:val="008D2A15"/>
    <w:rsid w:val="008D2F09"/>
    <w:rsid w:val="008D34A1"/>
    <w:rsid w:val="008D397F"/>
    <w:rsid w:val="008D3A46"/>
    <w:rsid w:val="008D5148"/>
    <w:rsid w:val="008D67E2"/>
    <w:rsid w:val="008D6F25"/>
    <w:rsid w:val="008E0010"/>
    <w:rsid w:val="008E01FC"/>
    <w:rsid w:val="008E0467"/>
    <w:rsid w:val="008E0C69"/>
    <w:rsid w:val="008E1552"/>
    <w:rsid w:val="008E2A6D"/>
    <w:rsid w:val="008E3F18"/>
    <w:rsid w:val="008E4E58"/>
    <w:rsid w:val="008E5CC5"/>
    <w:rsid w:val="008E6174"/>
    <w:rsid w:val="008E6211"/>
    <w:rsid w:val="008E642E"/>
    <w:rsid w:val="008E6947"/>
    <w:rsid w:val="008E780E"/>
    <w:rsid w:val="008E7984"/>
    <w:rsid w:val="008F0332"/>
    <w:rsid w:val="008F08FB"/>
    <w:rsid w:val="008F1CCC"/>
    <w:rsid w:val="008F2081"/>
    <w:rsid w:val="008F2962"/>
    <w:rsid w:val="008F3235"/>
    <w:rsid w:val="008F3BFF"/>
    <w:rsid w:val="008F3F8F"/>
    <w:rsid w:val="008F4015"/>
    <w:rsid w:val="008F42A9"/>
    <w:rsid w:val="008F4507"/>
    <w:rsid w:val="008F4E6D"/>
    <w:rsid w:val="008F603F"/>
    <w:rsid w:val="008F6133"/>
    <w:rsid w:val="00900E91"/>
    <w:rsid w:val="00901089"/>
    <w:rsid w:val="00901A3D"/>
    <w:rsid w:val="00901DB9"/>
    <w:rsid w:val="0090222E"/>
    <w:rsid w:val="009045B9"/>
    <w:rsid w:val="0090516F"/>
    <w:rsid w:val="00905CEF"/>
    <w:rsid w:val="00905F34"/>
    <w:rsid w:val="00905F82"/>
    <w:rsid w:val="009064F8"/>
    <w:rsid w:val="009079C2"/>
    <w:rsid w:val="009101B1"/>
    <w:rsid w:val="009125BD"/>
    <w:rsid w:val="00913E79"/>
    <w:rsid w:val="009154CF"/>
    <w:rsid w:val="009166B6"/>
    <w:rsid w:val="00916F0A"/>
    <w:rsid w:val="00917756"/>
    <w:rsid w:val="00917DF6"/>
    <w:rsid w:val="0092079C"/>
    <w:rsid w:val="00920817"/>
    <w:rsid w:val="00921333"/>
    <w:rsid w:val="00921B46"/>
    <w:rsid w:val="00921E3B"/>
    <w:rsid w:val="00922D99"/>
    <w:rsid w:val="00923106"/>
    <w:rsid w:val="00923C89"/>
    <w:rsid w:val="00924B83"/>
    <w:rsid w:val="00925046"/>
    <w:rsid w:val="00925082"/>
    <w:rsid w:val="0092641B"/>
    <w:rsid w:val="00927B64"/>
    <w:rsid w:val="0093022E"/>
    <w:rsid w:val="009306EF"/>
    <w:rsid w:val="009327DE"/>
    <w:rsid w:val="00932DA9"/>
    <w:rsid w:val="00933428"/>
    <w:rsid w:val="0093363A"/>
    <w:rsid w:val="00934192"/>
    <w:rsid w:val="00934AFB"/>
    <w:rsid w:val="009351C1"/>
    <w:rsid w:val="00935FD3"/>
    <w:rsid w:val="00936222"/>
    <w:rsid w:val="00937A54"/>
    <w:rsid w:val="009406F9"/>
    <w:rsid w:val="00940DC8"/>
    <w:rsid w:val="00941DE9"/>
    <w:rsid w:val="00942DA1"/>
    <w:rsid w:val="0094388D"/>
    <w:rsid w:val="00944357"/>
    <w:rsid w:val="009450B3"/>
    <w:rsid w:val="0094546D"/>
    <w:rsid w:val="00945868"/>
    <w:rsid w:val="009460E9"/>
    <w:rsid w:val="0094700A"/>
    <w:rsid w:val="0094722B"/>
    <w:rsid w:val="00951A17"/>
    <w:rsid w:val="00951E6F"/>
    <w:rsid w:val="00954424"/>
    <w:rsid w:val="009544B3"/>
    <w:rsid w:val="00955CD6"/>
    <w:rsid w:val="00955EEA"/>
    <w:rsid w:val="009601C1"/>
    <w:rsid w:val="00960E42"/>
    <w:rsid w:val="00961B63"/>
    <w:rsid w:val="009622A8"/>
    <w:rsid w:val="00962B6D"/>
    <w:rsid w:val="00963310"/>
    <w:rsid w:val="009633A6"/>
    <w:rsid w:val="009667F5"/>
    <w:rsid w:val="009676C4"/>
    <w:rsid w:val="00967CCE"/>
    <w:rsid w:val="00972896"/>
    <w:rsid w:val="00972EB4"/>
    <w:rsid w:val="009732C2"/>
    <w:rsid w:val="00973AD0"/>
    <w:rsid w:val="00973B0E"/>
    <w:rsid w:val="0097421C"/>
    <w:rsid w:val="0097497A"/>
    <w:rsid w:val="009755B0"/>
    <w:rsid w:val="00975B05"/>
    <w:rsid w:val="00975F8B"/>
    <w:rsid w:val="00976BEF"/>
    <w:rsid w:val="00976C58"/>
    <w:rsid w:val="00976CC0"/>
    <w:rsid w:val="00976F76"/>
    <w:rsid w:val="009773C6"/>
    <w:rsid w:val="00977E14"/>
    <w:rsid w:val="0098056A"/>
    <w:rsid w:val="00980885"/>
    <w:rsid w:val="00981417"/>
    <w:rsid w:val="00981452"/>
    <w:rsid w:val="00981826"/>
    <w:rsid w:val="00981904"/>
    <w:rsid w:val="00981A86"/>
    <w:rsid w:val="00981C0A"/>
    <w:rsid w:val="0098426C"/>
    <w:rsid w:val="00984862"/>
    <w:rsid w:val="00984AD9"/>
    <w:rsid w:val="00985366"/>
    <w:rsid w:val="009861A6"/>
    <w:rsid w:val="00986475"/>
    <w:rsid w:val="009866A5"/>
    <w:rsid w:val="00986A13"/>
    <w:rsid w:val="00986A55"/>
    <w:rsid w:val="009916E1"/>
    <w:rsid w:val="009919F8"/>
    <w:rsid w:val="00991F64"/>
    <w:rsid w:val="0099261A"/>
    <w:rsid w:val="009928FD"/>
    <w:rsid w:val="00992E48"/>
    <w:rsid w:val="009931F5"/>
    <w:rsid w:val="0099349F"/>
    <w:rsid w:val="0099365C"/>
    <w:rsid w:val="009952E4"/>
    <w:rsid w:val="009960E8"/>
    <w:rsid w:val="0099654D"/>
    <w:rsid w:val="00997295"/>
    <w:rsid w:val="00997C52"/>
    <w:rsid w:val="009A0721"/>
    <w:rsid w:val="009A0984"/>
    <w:rsid w:val="009A0C6E"/>
    <w:rsid w:val="009A1B2F"/>
    <w:rsid w:val="009A1B65"/>
    <w:rsid w:val="009A1BA4"/>
    <w:rsid w:val="009A1FC0"/>
    <w:rsid w:val="009A2D02"/>
    <w:rsid w:val="009A2F2B"/>
    <w:rsid w:val="009A34C5"/>
    <w:rsid w:val="009A3EFE"/>
    <w:rsid w:val="009A3F21"/>
    <w:rsid w:val="009A4898"/>
    <w:rsid w:val="009A4FC3"/>
    <w:rsid w:val="009A563D"/>
    <w:rsid w:val="009A600A"/>
    <w:rsid w:val="009B07B1"/>
    <w:rsid w:val="009B07C1"/>
    <w:rsid w:val="009B188F"/>
    <w:rsid w:val="009B1EFE"/>
    <w:rsid w:val="009B1F85"/>
    <w:rsid w:val="009B22A8"/>
    <w:rsid w:val="009B37CE"/>
    <w:rsid w:val="009B3892"/>
    <w:rsid w:val="009B39BA"/>
    <w:rsid w:val="009B3EFF"/>
    <w:rsid w:val="009B532D"/>
    <w:rsid w:val="009B6BB8"/>
    <w:rsid w:val="009C0284"/>
    <w:rsid w:val="009C07E9"/>
    <w:rsid w:val="009C1323"/>
    <w:rsid w:val="009C1616"/>
    <w:rsid w:val="009C21FF"/>
    <w:rsid w:val="009C2A18"/>
    <w:rsid w:val="009C2FF7"/>
    <w:rsid w:val="009C313F"/>
    <w:rsid w:val="009C384C"/>
    <w:rsid w:val="009C5BB8"/>
    <w:rsid w:val="009C5F16"/>
    <w:rsid w:val="009C66F3"/>
    <w:rsid w:val="009C6B2D"/>
    <w:rsid w:val="009C6C91"/>
    <w:rsid w:val="009C70CA"/>
    <w:rsid w:val="009C71B6"/>
    <w:rsid w:val="009C7AD6"/>
    <w:rsid w:val="009D06B0"/>
    <w:rsid w:val="009D088C"/>
    <w:rsid w:val="009D0B95"/>
    <w:rsid w:val="009D0CBF"/>
    <w:rsid w:val="009D0DC9"/>
    <w:rsid w:val="009D1991"/>
    <w:rsid w:val="009D258E"/>
    <w:rsid w:val="009D2E88"/>
    <w:rsid w:val="009D3563"/>
    <w:rsid w:val="009D3E88"/>
    <w:rsid w:val="009D3F35"/>
    <w:rsid w:val="009D4422"/>
    <w:rsid w:val="009D485A"/>
    <w:rsid w:val="009D5072"/>
    <w:rsid w:val="009D6706"/>
    <w:rsid w:val="009D6B79"/>
    <w:rsid w:val="009D7F68"/>
    <w:rsid w:val="009E07B4"/>
    <w:rsid w:val="009E08F9"/>
    <w:rsid w:val="009E12C1"/>
    <w:rsid w:val="009E1BDF"/>
    <w:rsid w:val="009E1FC2"/>
    <w:rsid w:val="009E22C0"/>
    <w:rsid w:val="009E2DB0"/>
    <w:rsid w:val="009E2DB4"/>
    <w:rsid w:val="009E2E21"/>
    <w:rsid w:val="009E2E24"/>
    <w:rsid w:val="009E36A2"/>
    <w:rsid w:val="009E581E"/>
    <w:rsid w:val="009E5C46"/>
    <w:rsid w:val="009E5CE5"/>
    <w:rsid w:val="009E6BE7"/>
    <w:rsid w:val="009E6EA8"/>
    <w:rsid w:val="009E7A9D"/>
    <w:rsid w:val="009E7D2A"/>
    <w:rsid w:val="009F0F56"/>
    <w:rsid w:val="009F154F"/>
    <w:rsid w:val="009F171A"/>
    <w:rsid w:val="009F1FDF"/>
    <w:rsid w:val="009F2E69"/>
    <w:rsid w:val="009F3018"/>
    <w:rsid w:val="009F36CB"/>
    <w:rsid w:val="009F414D"/>
    <w:rsid w:val="009F46CC"/>
    <w:rsid w:val="009F48C1"/>
    <w:rsid w:val="009F4A81"/>
    <w:rsid w:val="009F4D5A"/>
    <w:rsid w:val="009F6ECC"/>
    <w:rsid w:val="00A01195"/>
    <w:rsid w:val="00A021E9"/>
    <w:rsid w:val="00A02816"/>
    <w:rsid w:val="00A0291E"/>
    <w:rsid w:val="00A02B69"/>
    <w:rsid w:val="00A030F4"/>
    <w:rsid w:val="00A0399A"/>
    <w:rsid w:val="00A03B52"/>
    <w:rsid w:val="00A03FFD"/>
    <w:rsid w:val="00A04952"/>
    <w:rsid w:val="00A05728"/>
    <w:rsid w:val="00A05BE8"/>
    <w:rsid w:val="00A05F5F"/>
    <w:rsid w:val="00A107A6"/>
    <w:rsid w:val="00A121F1"/>
    <w:rsid w:val="00A126C8"/>
    <w:rsid w:val="00A12837"/>
    <w:rsid w:val="00A13551"/>
    <w:rsid w:val="00A13765"/>
    <w:rsid w:val="00A137D6"/>
    <w:rsid w:val="00A13CAB"/>
    <w:rsid w:val="00A16366"/>
    <w:rsid w:val="00A16CFB"/>
    <w:rsid w:val="00A20004"/>
    <w:rsid w:val="00A21445"/>
    <w:rsid w:val="00A21543"/>
    <w:rsid w:val="00A22C47"/>
    <w:rsid w:val="00A22D0B"/>
    <w:rsid w:val="00A22E48"/>
    <w:rsid w:val="00A23963"/>
    <w:rsid w:val="00A24183"/>
    <w:rsid w:val="00A25569"/>
    <w:rsid w:val="00A2637A"/>
    <w:rsid w:val="00A270BE"/>
    <w:rsid w:val="00A27317"/>
    <w:rsid w:val="00A27462"/>
    <w:rsid w:val="00A27A88"/>
    <w:rsid w:val="00A31A88"/>
    <w:rsid w:val="00A326E0"/>
    <w:rsid w:val="00A32A97"/>
    <w:rsid w:val="00A32C89"/>
    <w:rsid w:val="00A33996"/>
    <w:rsid w:val="00A34FBB"/>
    <w:rsid w:val="00A3707C"/>
    <w:rsid w:val="00A37223"/>
    <w:rsid w:val="00A406E3"/>
    <w:rsid w:val="00A41528"/>
    <w:rsid w:val="00A41610"/>
    <w:rsid w:val="00A421FA"/>
    <w:rsid w:val="00A4342B"/>
    <w:rsid w:val="00A43795"/>
    <w:rsid w:val="00A438A1"/>
    <w:rsid w:val="00A43E91"/>
    <w:rsid w:val="00A449FC"/>
    <w:rsid w:val="00A454E6"/>
    <w:rsid w:val="00A456E1"/>
    <w:rsid w:val="00A464CC"/>
    <w:rsid w:val="00A46682"/>
    <w:rsid w:val="00A47B30"/>
    <w:rsid w:val="00A507D5"/>
    <w:rsid w:val="00A509B8"/>
    <w:rsid w:val="00A50B2C"/>
    <w:rsid w:val="00A515A5"/>
    <w:rsid w:val="00A51F21"/>
    <w:rsid w:val="00A52A9A"/>
    <w:rsid w:val="00A530C1"/>
    <w:rsid w:val="00A5364B"/>
    <w:rsid w:val="00A54229"/>
    <w:rsid w:val="00A54E35"/>
    <w:rsid w:val="00A5573F"/>
    <w:rsid w:val="00A55845"/>
    <w:rsid w:val="00A55CE0"/>
    <w:rsid w:val="00A56601"/>
    <w:rsid w:val="00A56E86"/>
    <w:rsid w:val="00A56F3A"/>
    <w:rsid w:val="00A578DA"/>
    <w:rsid w:val="00A57B43"/>
    <w:rsid w:val="00A60269"/>
    <w:rsid w:val="00A60494"/>
    <w:rsid w:val="00A6051D"/>
    <w:rsid w:val="00A61305"/>
    <w:rsid w:val="00A622C3"/>
    <w:rsid w:val="00A63565"/>
    <w:rsid w:val="00A649F8"/>
    <w:rsid w:val="00A65112"/>
    <w:rsid w:val="00A65636"/>
    <w:rsid w:val="00A663E8"/>
    <w:rsid w:val="00A6649B"/>
    <w:rsid w:val="00A678C4"/>
    <w:rsid w:val="00A706C1"/>
    <w:rsid w:val="00A70BAA"/>
    <w:rsid w:val="00A70F12"/>
    <w:rsid w:val="00A710C1"/>
    <w:rsid w:val="00A71DD1"/>
    <w:rsid w:val="00A7265B"/>
    <w:rsid w:val="00A72FDF"/>
    <w:rsid w:val="00A74F98"/>
    <w:rsid w:val="00A75200"/>
    <w:rsid w:val="00A75415"/>
    <w:rsid w:val="00A75656"/>
    <w:rsid w:val="00A75727"/>
    <w:rsid w:val="00A75824"/>
    <w:rsid w:val="00A75901"/>
    <w:rsid w:val="00A75EC1"/>
    <w:rsid w:val="00A7748D"/>
    <w:rsid w:val="00A778DD"/>
    <w:rsid w:val="00A77C2F"/>
    <w:rsid w:val="00A80401"/>
    <w:rsid w:val="00A8138A"/>
    <w:rsid w:val="00A813E1"/>
    <w:rsid w:val="00A81BD7"/>
    <w:rsid w:val="00A829DE"/>
    <w:rsid w:val="00A83C87"/>
    <w:rsid w:val="00A848E1"/>
    <w:rsid w:val="00A8631D"/>
    <w:rsid w:val="00A8742F"/>
    <w:rsid w:val="00A87E5B"/>
    <w:rsid w:val="00A903BA"/>
    <w:rsid w:val="00A91A90"/>
    <w:rsid w:val="00A91DD2"/>
    <w:rsid w:val="00A92D26"/>
    <w:rsid w:val="00A92D8A"/>
    <w:rsid w:val="00A96CF5"/>
    <w:rsid w:val="00A97166"/>
    <w:rsid w:val="00A97D07"/>
    <w:rsid w:val="00A97E39"/>
    <w:rsid w:val="00A97E96"/>
    <w:rsid w:val="00AA05C4"/>
    <w:rsid w:val="00AA0BFA"/>
    <w:rsid w:val="00AA0EF3"/>
    <w:rsid w:val="00AA246E"/>
    <w:rsid w:val="00AA3FB7"/>
    <w:rsid w:val="00AA5128"/>
    <w:rsid w:val="00AA5A65"/>
    <w:rsid w:val="00AA5BDB"/>
    <w:rsid w:val="00AA60DE"/>
    <w:rsid w:val="00AA63A0"/>
    <w:rsid w:val="00AA63F2"/>
    <w:rsid w:val="00AA6609"/>
    <w:rsid w:val="00AA6674"/>
    <w:rsid w:val="00AA7A4B"/>
    <w:rsid w:val="00AA7DE1"/>
    <w:rsid w:val="00AA7DE7"/>
    <w:rsid w:val="00AA7FCA"/>
    <w:rsid w:val="00AB0509"/>
    <w:rsid w:val="00AB06C6"/>
    <w:rsid w:val="00AB097A"/>
    <w:rsid w:val="00AB0AD3"/>
    <w:rsid w:val="00AB1210"/>
    <w:rsid w:val="00AB1540"/>
    <w:rsid w:val="00AB2F12"/>
    <w:rsid w:val="00AB2F9A"/>
    <w:rsid w:val="00AB3132"/>
    <w:rsid w:val="00AB491D"/>
    <w:rsid w:val="00AB4A1D"/>
    <w:rsid w:val="00AB4D8F"/>
    <w:rsid w:val="00AB50EF"/>
    <w:rsid w:val="00AB53A7"/>
    <w:rsid w:val="00AB57B0"/>
    <w:rsid w:val="00AB58B8"/>
    <w:rsid w:val="00AB5DA1"/>
    <w:rsid w:val="00AB6080"/>
    <w:rsid w:val="00AB63E6"/>
    <w:rsid w:val="00AB6CF8"/>
    <w:rsid w:val="00AB6FA0"/>
    <w:rsid w:val="00AB7BC5"/>
    <w:rsid w:val="00AC136A"/>
    <w:rsid w:val="00AC168A"/>
    <w:rsid w:val="00AC1BA6"/>
    <w:rsid w:val="00AC1ED7"/>
    <w:rsid w:val="00AC1FB9"/>
    <w:rsid w:val="00AC2332"/>
    <w:rsid w:val="00AC47ED"/>
    <w:rsid w:val="00AC4B83"/>
    <w:rsid w:val="00AC58F8"/>
    <w:rsid w:val="00AC73BF"/>
    <w:rsid w:val="00AC788E"/>
    <w:rsid w:val="00AD10BF"/>
    <w:rsid w:val="00AD1A97"/>
    <w:rsid w:val="00AD1FBA"/>
    <w:rsid w:val="00AD2BAC"/>
    <w:rsid w:val="00AD3A38"/>
    <w:rsid w:val="00AD3BB8"/>
    <w:rsid w:val="00AD3F09"/>
    <w:rsid w:val="00AD494C"/>
    <w:rsid w:val="00AD4ED2"/>
    <w:rsid w:val="00AD61F7"/>
    <w:rsid w:val="00AD62C6"/>
    <w:rsid w:val="00AD681E"/>
    <w:rsid w:val="00AE0097"/>
    <w:rsid w:val="00AE01F3"/>
    <w:rsid w:val="00AE046A"/>
    <w:rsid w:val="00AE17A8"/>
    <w:rsid w:val="00AE1EBB"/>
    <w:rsid w:val="00AE1F03"/>
    <w:rsid w:val="00AE267B"/>
    <w:rsid w:val="00AE2CF1"/>
    <w:rsid w:val="00AE2EFB"/>
    <w:rsid w:val="00AE330C"/>
    <w:rsid w:val="00AE4366"/>
    <w:rsid w:val="00AE45F5"/>
    <w:rsid w:val="00AE4AA9"/>
    <w:rsid w:val="00AE58E3"/>
    <w:rsid w:val="00AE5FCC"/>
    <w:rsid w:val="00AE6784"/>
    <w:rsid w:val="00AE6AD5"/>
    <w:rsid w:val="00AE6D66"/>
    <w:rsid w:val="00AF07AA"/>
    <w:rsid w:val="00AF0C21"/>
    <w:rsid w:val="00AF16CE"/>
    <w:rsid w:val="00AF308F"/>
    <w:rsid w:val="00AF367E"/>
    <w:rsid w:val="00AF3A52"/>
    <w:rsid w:val="00AF45E0"/>
    <w:rsid w:val="00AF47F6"/>
    <w:rsid w:val="00AF51EF"/>
    <w:rsid w:val="00AF51FC"/>
    <w:rsid w:val="00AF5EA5"/>
    <w:rsid w:val="00AF6601"/>
    <w:rsid w:val="00AF780D"/>
    <w:rsid w:val="00AF7FD7"/>
    <w:rsid w:val="00B0043D"/>
    <w:rsid w:val="00B01672"/>
    <w:rsid w:val="00B02012"/>
    <w:rsid w:val="00B024AA"/>
    <w:rsid w:val="00B0257D"/>
    <w:rsid w:val="00B02804"/>
    <w:rsid w:val="00B02902"/>
    <w:rsid w:val="00B02C2C"/>
    <w:rsid w:val="00B03ABB"/>
    <w:rsid w:val="00B0426C"/>
    <w:rsid w:val="00B04AF8"/>
    <w:rsid w:val="00B04BE2"/>
    <w:rsid w:val="00B057FD"/>
    <w:rsid w:val="00B05B4F"/>
    <w:rsid w:val="00B05FEB"/>
    <w:rsid w:val="00B06312"/>
    <w:rsid w:val="00B06B83"/>
    <w:rsid w:val="00B0790C"/>
    <w:rsid w:val="00B10363"/>
    <w:rsid w:val="00B10FC1"/>
    <w:rsid w:val="00B11D00"/>
    <w:rsid w:val="00B11EBE"/>
    <w:rsid w:val="00B12499"/>
    <w:rsid w:val="00B13519"/>
    <w:rsid w:val="00B13587"/>
    <w:rsid w:val="00B144D4"/>
    <w:rsid w:val="00B14691"/>
    <w:rsid w:val="00B15A8F"/>
    <w:rsid w:val="00B15CEC"/>
    <w:rsid w:val="00B17162"/>
    <w:rsid w:val="00B17EBD"/>
    <w:rsid w:val="00B20444"/>
    <w:rsid w:val="00B20975"/>
    <w:rsid w:val="00B21B7C"/>
    <w:rsid w:val="00B22CE4"/>
    <w:rsid w:val="00B23C24"/>
    <w:rsid w:val="00B23F62"/>
    <w:rsid w:val="00B24506"/>
    <w:rsid w:val="00B24CBE"/>
    <w:rsid w:val="00B254FC"/>
    <w:rsid w:val="00B26504"/>
    <w:rsid w:val="00B26835"/>
    <w:rsid w:val="00B26A9F"/>
    <w:rsid w:val="00B27293"/>
    <w:rsid w:val="00B27F49"/>
    <w:rsid w:val="00B302D7"/>
    <w:rsid w:val="00B30DB1"/>
    <w:rsid w:val="00B315B1"/>
    <w:rsid w:val="00B31DC1"/>
    <w:rsid w:val="00B321DA"/>
    <w:rsid w:val="00B3367F"/>
    <w:rsid w:val="00B34F59"/>
    <w:rsid w:val="00B35296"/>
    <w:rsid w:val="00B356D0"/>
    <w:rsid w:val="00B367EE"/>
    <w:rsid w:val="00B36A13"/>
    <w:rsid w:val="00B36CFD"/>
    <w:rsid w:val="00B3701E"/>
    <w:rsid w:val="00B379D9"/>
    <w:rsid w:val="00B37EBD"/>
    <w:rsid w:val="00B40196"/>
    <w:rsid w:val="00B41970"/>
    <w:rsid w:val="00B428BD"/>
    <w:rsid w:val="00B4477A"/>
    <w:rsid w:val="00B451C6"/>
    <w:rsid w:val="00B45810"/>
    <w:rsid w:val="00B45C90"/>
    <w:rsid w:val="00B464E5"/>
    <w:rsid w:val="00B46547"/>
    <w:rsid w:val="00B4678B"/>
    <w:rsid w:val="00B50707"/>
    <w:rsid w:val="00B5230F"/>
    <w:rsid w:val="00B52499"/>
    <w:rsid w:val="00B5273C"/>
    <w:rsid w:val="00B528FE"/>
    <w:rsid w:val="00B52B81"/>
    <w:rsid w:val="00B52E7F"/>
    <w:rsid w:val="00B533F5"/>
    <w:rsid w:val="00B53C06"/>
    <w:rsid w:val="00B55451"/>
    <w:rsid w:val="00B56BF6"/>
    <w:rsid w:val="00B56C87"/>
    <w:rsid w:val="00B60D68"/>
    <w:rsid w:val="00B60DED"/>
    <w:rsid w:val="00B6151F"/>
    <w:rsid w:val="00B6174E"/>
    <w:rsid w:val="00B617E0"/>
    <w:rsid w:val="00B61D72"/>
    <w:rsid w:val="00B6287F"/>
    <w:rsid w:val="00B63138"/>
    <w:rsid w:val="00B63E63"/>
    <w:rsid w:val="00B63F94"/>
    <w:rsid w:val="00B642EF"/>
    <w:rsid w:val="00B64867"/>
    <w:rsid w:val="00B64F6C"/>
    <w:rsid w:val="00B665FB"/>
    <w:rsid w:val="00B675AC"/>
    <w:rsid w:val="00B678D0"/>
    <w:rsid w:val="00B67BF6"/>
    <w:rsid w:val="00B7016C"/>
    <w:rsid w:val="00B70D3D"/>
    <w:rsid w:val="00B711D8"/>
    <w:rsid w:val="00B717F1"/>
    <w:rsid w:val="00B7217E"/>
    <w:rsid w:val="00B7233A"/>
    <w:rsid w:val="00B73982"/>
    <w:rsid w:val="00B7444A"/>
    <w:rsid w:val="00B74C90"/>
    <w:rsid w:val="00B764C7"/>
    <w:rsid w:val="00B806CD"/>
    <w:rsid w:val="00B8070D"/>
    <w:rsid w:val="00B8134A"/>
    <w:rsid w:val="00B822B5"/>
    <w:rsid w:val="00B83189"/>
    <w:rsid w:val="00B83349"/>
    <w:rsid w:val="00B8355A"/>
    <w:rsid w:val="00B8365F"/>
    <w:rsid w:val="00B843F3"/>
    <w:rsid w:val="00B859F2"/>
    <w:rsid w:val="00B862DC"/>
    <w:rsid w:val="00B867CF"/>
    <w:rsid w:val="00B86F12"/>
    <w:rsid w:val="00B87CD6"/>
    <w:rsid w:val="00B87F21"/>
    <w:rsid w:val="00B90972"/>
    <w:rsid w:val="00B90F51"/>
    <w:rsid w:val="00B90FD4"/>
    <w:rsid w:val="00B912C2"/>
    <w:rsid w:val="00B9378F"/>
    <w:rsid w:val="00B9380C"/>
    <w:rsid w:val="00B94638"/>
    <w:rsid w:val="00B947CA"/>
    <w:rsid w:val="00B94B4D"/>
    <w:rsid w:val="00B95190"/>
    <w:rsid w:val="00B95863"/>
    <w:rsid w:val="00B95E90"/>
    <w:rsid w:val="00BA1A31"/>
    <w:rsid w:val="00BA292A"/>
    <w:rsid w:val="00BA2ED0"/>
    <w:rsid w:val="00BA3685"/>
    <w:rsid w:val="00BA3C2F"/>
    <w:rsid w:val="00BA43E0"/>
    <w:rsid w:val="00BA49BA"/>
    <w:rsid w:val="00BA4DD1"/>
    <w:rsid w:val="00BA50D4"/>
    <w:rsid w:val="00BA519D"/>
    <w:rsid w:val="00BA540E"/>
    <w:rsid w:val="00BA704C"/>
    <w:rsid w:val="00BA7073"/>
    <w:rsid w:val="00BB0933"/>
    <w:rsid w:val="00BB1263"/>
    <w:rsid w:val="00BB14D8"/>
    <w:rsid w:val="00BB3176"/>
    <w:rsid w:val="00BB31BF"/>
    <w:rsid w:val="00BB370E"/>
    <w:rsid w:val="00BB4030"/>
    <w:rsid w:val="00BB6FDF"/>
    <w:rsid w:val="00BB79F0"/>
    <w:rsid w:val="00BB7C2F"/>
    <w:rsid w:val="00BB7F22"/>
    <w:rsid w:val="00BC2CE0"/>
    <w:rsid w:val="00BC3343"/>
    <w:rsid w:val="00BC3F50"/>
    <w:rsid w:val="00BC4488"/>
    <w:rsid w:val="00BC4A21"/>
    <w:rsid w:val="00BC4F09"/>
    <w:rsid w:val="00BC5107"/>
    <w:rsid w:val="00BC5878"/>
    <w:rsid w:val="00BC58EF"/>
    <w:rsid w:val="00BC5B33"/>
    <w:rsid w:val="00BC7188"/>
    <w:rsid w:val="00BC7289"/>
    <w:rsid w:val="00BD04FA"/>
    <w:rsid w:val="00BD18D2"/>
    <w:rsid w:val="00BD29FA"/>
    <w:rsid w:val="00BD3226"/>
    <w:rsid w:val="00BD49E2"/>
    <w:rsid w:val="00BD4CE2"/>
    <w:rsid w:val="00BD5889"/>
    <w:rsid w:val="00BD58E7"/>
    <w:rsid w:val="00BD5BF4"/>
    <w:rsid w:val="00BD6549"/>
    <w:rsid w:val="00BD6A2B"/>
    <w:rsid w:val="00BD7DAC"/>
    <w:rsid w:val="00BE0851"/>
    <w:rsid w:val="00BE08C4"/>
    <w:rsid w:val="00BE144E"/>
    <w:rsid w:val="00BE1566"/>
    <w:rsid w:val="00BE2A2E"/>
    <w:rsid w:val="00BE309F"/>
    <w:rsid w:val="00BE3732"/>
    <w:rsid w:val="00BE4771"/>
    <w:rsid w:val="00BE4835"/>
    <w:rsid w:val="00BE4857"/>
    <w:rsid w:val="00BE4BB1"/>
    <w:rsid w:val="00BE50F3"/>
    <w:rsid w:val="00BE5EEA"/>
    <w:rsid w:val="00BE612B"/>
    <w:rsid w:val="00BE653C"/>
    <w:rsid w:val="00BE67F0"/>
    <w:rsid w:val="00BE7757"/>
    <w:rsid w:val="00BE7E09"/>
    <w:rsid w:val="00BF07A9"/>
    <w:rsid w:val="00BF1C3B"/>
    <w:rsid w:val="00BF203A"/>
    <w:rsid w:val="00BF2995"/>
    <w:rsid w:val="00BF355D"/>
    <w:rsid w:val="00BF46A7"/>
    <w:rsid w:val="00BF4B73"/>
    <w:rsid w:val="00BF565B"/>
    <w:rsid w:val="00BF5E60"/>
    <w:rsid w:val="00BF6A23"/>
    <w:rsid w:val="00BF6F97"/>
    <w:rsid w:val="00BF7109"/>
    <w:rsid w:val="00BF7538"/>
    <w:rsid w:val="00BF7BAB"/>
    <w:rsid w:val="00C006EE"/>
    <w:rsid w:val="00C00721"/>
    <w:rsid w:val="00C00B9C"/>
    <w:rsid w:val="00C00DF7"/>
    <w:rsid w:val="00C019B5"/>
    <w:rsid w:val="00C01BCF"/>
    <w:rsid w:val="00C02094"/>
    <w:rsid w:val="00C0405A"/>
    <w:rsid w:val="00C04218"/>
    <w:rsid w:val="00C047A2"/>
    <w:rsid w:val="00C04DEB"/>
    <w:rsid w:val="00C04E65"/>
    <w:rsid w:val="00C05659"/>
    <w:rsid w:val="00C05B73"/>
    <w:rsid w:val="00C06001"/>
    <w:rsid w:val="00C0711D"/>
    <w:rsid w:val="00C101C1"/>
    <w:rsid w:val="00C10F74"/>
    <w:rsid w:val="00C110AE"/>
    <w:rsid w:val="00C11256"/>
    <w:rsid w:val="00C1134F"/>
    <w:rsid w:val="00C1140F"/>
    <w:rsid w:val="00C11EA8"/>
    <w:rsid w:val="00C12836"/>
    <w:rsid w:val="00C12E6D"/>
    <w:rsid w:val="00C12F34"/>
    <w:rsid w:val="00C130D4"/>
    <w:rsid w:val="00C13494"/>
    <w:rsid w:val="00C134DE"/>
    <w:rsid w:val="00C14602"/>
    <w:rsid w:val="00C146CE"/>
    <w:rsid w:val="00C148CE"/>
    <w:rsid w:val="00C1533C"/>
    <w:rsid w:val="00C15956"/>
    <w:rsid w:val="00C15A18"/>
    <w:rsid w:val="00C15EAD"/>
    <w:rsid w:val="00C162F1"/>
    <w:rsid w:val="00C1677D"/>
    <w:rsid w:val="00C17816"/>
    <w:rsid w:val="00C17847"/>
    <w:rsid w:val="00C17CD4"/>
    <w:rsid w:val="00C20E6C"/>
    <w:rsid w:val="00C2136E"/>
    <w:rsid w:val="00C2137A"/>
    <w:rsid w:val="00C2282C"/>
    <w:rsid w:val="00C229FC"/>
    <w:rsid w:val="00C22C50"/>
    <w:rsid w:val="00C23085"/>
    <w:rsid w:val="00C23C4E"/>
    <w:rsid w:val="00C246A7"/>
    <w:rsid w:val="00C25136"/>
    <w:rsid w:val="00C256BA"/>
    <w:rsid w:val="00C25A21"/>
    <w:rsid w:val="00C262A8"/>
    <w:rsid w:val="00C26501"/>
    <w:rsid w:val="00C27513"/>
    <w:rsid w:val="00C30C8F"/>
    <w:rsid w:val="00C3153D"/>
    <w:rsid w:val="00C317C8"/>
    <w:rsid w:val="00C33414"/>
    <w:rsid w:val="00C33B79"/>
    <w:rsid w:val="00C33DD5"/>
    <w:rsid w:val="00C353BD"/>
    <w:rsid w:val="00C3543C"/>
    <w:rsid w:val="00C358DB"/>
    <w:rsid w:val="00C35A76"/>
    <w:rsid w:val="00C3686F"/>
    <w:rsid w:val="00C3797C"/>
    <w:rsid w:val="00C37A7D"/>
    <w:rsid w:val="00C37F8F"/>
    <w:rsid w:val="00C403C8"/>
    <w:rsid w:val="00C4062D"/>
    <w:rsid w:val="00C40E40"/>
    <w:rsid w:val="00C41924"/>
    <w:rsid w:val="00C41B96"/>
    <w:rsid w:val="00C41D74"/>
    <w:rsid w:val="00C4219C"/>
    <w:rsid w:val="00C424E5"/>
    <w:rsid w:val="00C42970"/>
    <w:rsid w:val="00C42CF1"/>
    <w:rsid w:val="00C43960"/>
    <w:rsid w:val="00C44139"/>
    <w:rsid w:val="00C45485"/>
    <w:rsid w:val="00C4570F"/>
    <w:rsid w:val="00C45CDA"/>
    <w:rsid w:val="00C47334"/>
    <w:rsid w:val="00C50E46"/>
    <w:rsid w:val="00C51230"/>
    <w:rsid w:val="00C52453"/>
    <w:rsid w:val="00C524AD"/>
    <w:rsid w:val="00C525D0"/>
    <w:rsid w:val="00C533B5"/>
    <w:rsid w:val="00C54536"/>
    <w:rsid w:val="00C54A08"/>
    <w:rsid w:val="00C600E7"/>
    <w:rsid w:val="00C60C40"/>
    <w:rsid w:val="00C610EA"/>
    <w:rsid w:val="00C61468"/>
    <w:rsid w:val="00C6202C"/>
    <w:rsid w:val="00C629C8"/>
    <w:rsid w:val="00C62DE3"/>
    <w:rsid w:val="00C63757"/>
    <w:rsid w:val="00C638B8"/>
    <w:rsid w:val="00C63A66"/>
    <w:rsid w:val="00C63A75"/>
    <w:rsid w:val="00C65498"/>
    <w:rsid w:val="00C65A6F"/>
    <w:rsid w:val="00C668B9"/>
    <w:rsid w:val="00C66BA1"/>
    <w:rsid w:val="00C66EB9"/>
    <w:rsid w:val="00C67149"/>
    <w:rsid w:val="00C67252"/>
    <w:rsid w:val="00C676E4"/>
    <w:rsid w:val="00C67761"/>
    <w:rsid w:val="00C70864"/>
    <w:rsid w:val="00C70D6B"/>
    <w:rsid w:val="00C70E49"/>
    <w:rsid w:val="00C74BD5"/>
    <w:rsid w:val="00C75F5F"/>
    <w:rsid w:val="00C76136"/>
    <w:rsid w:val="00C771C5"/>
    <w:rsid w:val="00C77D72"/>
    <w:rsid w:val="00C8029C"/>
    <w:rsid w:val="00C802C9"/>
    <w:rsid w:val="00C80C3A"/>
    <w:rsid w:val="00C81AC4"/>
    <w:rsid w:val="00C823C2"/>
    <w:rsid w:val="00C8289A"/>
    <w:rsid w:val="00C82B12"/>
    <w:rsid w:val="00C8329E"/>
    <w:rsid w:val="00C839F9"/>
    <w:rsid w:val="00C83B78"/>
    <w:rsid w:val="00C83BB1"/>
    <w:rsid w:val="00C843E2"/>
    <w:rsid w:val="00C85202"/>
    <w:rsid w:val="00C8746A"/>
    <w:rsid w:val="00C87A43"/>
    <w:rsid w:val="00C87BB0"/>
    <w:rsid w:val="00C87DF4"/>
    <w:rsid w:val="00C913E3"/>
    <w:rsid w:val="00C920B0"/>
    <w:rsid w:val="00C9289D"/>
    <w:rsid w:val="00C93743"/>
    <w:rsid w:val="00C93A2A"/>
    <w:rsid w:val="00C942C2"/>
    <w:rsid w:val="00C94C40"/>
    <w:rsid w:val="00C9558D"/>
    <w:rsid w:val="00C955F1"/>
    <w:rsid w:val="00C95D8E"/>
    <w:rsid w:val="00C97138"/>
    <w:rsid w:val="00CA021D"/>
    <w:rsid w:val="00CA0D61"/>
    <w:rsid w:val="00CA1798"/>
    <w:rsid w:val="00CA2250"/>
    <w:rsid w:val="00CA276F"/>
    <w:rsid w:val="00CA2B61"/>
    <w:rsid w:val="00CA2DD6"/>
    <w:rsid w:val="00CA2FE4"/>
    <w:rsid w:val="00CA3D9B"/>
    <w:rsid w:val="00CA4293"/>
    <w:rsid w:val="00CA6175"/>
    <w:rsid w:val="00CA61B5"/>
    <w:rsid w:val="00CA6F1B"/>
    <w:rsid w:val="00CA7815"/>
    <w:rsid w:val="00CA7B3D"/>
    <w:rsid w:val="00CB0031"/>
    <w:rsid w:val="00CB04BA"/>
    <w:rsid w:val="00CB47DA"/>
    <w:rsid w:val="00CB5142"/>
    <w:rsid w:val="00CB540C"/>
    <w:rsid w:val="00CB5802"/>
    <w:rsid w:val="00CB6ECA"/>
    <w:rsid w:val="00CC07C9"/>
    <w:rsid w:val="00CC1A1F"/>
    <w:rsid w:val="00CC1F31"/>
    <w:rsid w:val="00CC1FE1"/>
    <w:rsid w:val="00CC24CC"/>
    <w:rsid w:val="00CC29E0"/>
    <w:rsid w:val="00CC3481"/>
    <w:rsid w:val="00CC435F"/>
    <w:rsid w:val="00CC46E2"/>
    <w:rsid w:val="00CC48F0"/>
    <w:rsid w:val="00CC4FD0"/>
    <w:rsid w:val="00CC5A83"/>
    <w:rsid w:val="00CC7069"/>
    <w:rsid w:val="00CD1F84"/>
    <w:rsid w:val="00CD3B8C"/>
    <w:rsid w:val="00CD4409"/>
    <w:rsid w:val="00CD59E9"/>
    <w:rsid w:val="00CD5D6A"/>
    <w:rsid w:val="00CD5F6F"/>
    <w:rsid w:val="00CD61FA"/>
    <w:rsid w:val="00CD6BD6"/>
    <w:rsid w:val="00CD6D09"/>
    <w:rsid w:val="00CD77BF"/>
    <w:rsid w:val="00CD7BB1"/>
    <w:rsid w:val="00CE0ABA"/>
    <w:rsid w:val="00CE1028"/>
    <w:rsid w:val="00CE11EB"/>
    <w:rsid w:val="00CE1465"/>
    <w:rsid w:val="00CE17CC"/>
    <w:rsid w:val="00CE1BE2"/>
    <w:rsid w:val="00CE2F5F"/>
    <w:rsid w:val="00CE300B"/>
    <w:rsid w:val="00CE37F7"/>
    <w:rsid w:val="00CE3C56"/>
    <w:rsid w:val="00CE3DBD"/>
    <w:rsid w:val="00CE3F95"/>
    <w:rsid w:val="00CE4608"/>
    <w:rsid w:val="00CE5103"/>
    <w:rsid w:val="00CE5419"/>
    <w:rsid w:val="00CE61DF"/>
    <w:rsid w:val="00CE6F0A"/>
    <w:rsid w:val="00CE6FF2"/>
    <w:rsid w:val="00CE77C0"/>
    <w:rsid w:val="00CE7B64"/>
    <w:rsid w:val="00CF0037"/>
    <w:rsid w:val="00CF027C"/>
    <w:rsid w:val="00CF037C"/>
    <w:rsid w:val="00CF0D5B"/>
    <w:rsid w:val="00CF1560"/>
    <w:rsid w:val="00CF1D47"/>
    <w:rsid w:val="00CF1DD0"/>
    <w:rsid w:val="00CF2182"/>
    <w:rsid w:val="00CF328D"/>
    <w:rsid w:val="00CF3CA2"/>
    <w:rsid w:val="00CF42FF"/>
    <w:rsid w:val="00CF4F5E"/>
    <w:rsid w:val="00CF60EF"/>
    <w:rsid w:val="00CF67E3"/>
    <w:rsid w:val="00CF72D3"/>
    <w:rsid w:val="00D00597"/>
    <w:rsid w:val="00D01530"/>
    <w:rsid w:val="00D01BEC"/>
    <w:rsid w:val="00D03552"/>
    <w:rsid w:val="00D0487A"/>
    <w:rsid w:val="00D06AC3"/>
    <w:rsid w:val="00D07818"/>
    <w:rsid w:val="00D07957"/>
    <w:rsid w:val="00D1098E"/>
    <w:rsid w:val="00D10A53"/>
    <w:rsid w:val="00D11042"/>
    <w:rsid w:val="00D13014"/>
    <w:rsid w:val="00D1383C"/>
    <w:rsid w:val="00D13BF7"/>
    <w:rsid w:val="00D13E8A"/>
    <w:rsid w:val="00D1410B"/>
    <w:rsid w:val="00D14281"/>
    <w:rsid w:val="00D14599"/>
    <w:rsid w:val="00D151F0"/>
    <w:rsid w:val="00D1658B"/>
    <w:rsid w:val="00D17A5D"/>
    <w:rsid w:val="00D20B4B"/>
    <w:rsid w:val="00D221FA"/>
    <w:rsid w:val="00D223F5"/>
    <w:rsid w:val="00D2307E"/>
    <w:rsid w:val="00D25355"/>
    <w:rsid w:val="00D256E2"/>
    <w:rsid w:val="00D25BAE"/>
    <w:rsid w:val="00D25DB3"/>
    <w:rsid w:val="00D264F5"/>
    <w:rsid w:val="00D26B24"/>
    <w:rsid w:val="00D26D67"/>
    <w:rsid w:val="00D26DAA"/>
    <w:rsid w:val="00D27334"/>
    <w:rsid w:val="00D300CF"/>
    <w:rsid w:val="00D302B7"/>
    <w:rsid w:val="00D308A0"/>
    <w:rsid w:val="00D30A1B"/>
    <w:rsid w:val="00D30CED"/>
    <w:rsid w:val="00D31E22"/>
    <w:rsid w:val="00D31F41"/>
    <w:rsid w:val="00D3206E"/>
    <w:rsid w:val="00D32A73"/>
    <w:rsid w:val="00D33046"/>
    <w:rsid w:val="00D33663"/>
    <w:rsid w:val="00D34342"/>
    <w:rsid w:val="00D34948"/>
    <w:rsid w:val="00D35401"/>
    <w:rsid w:val="00D36B8F"/>
    <w:rsid w:val="00D36D6F"/>
    <w:rsid w:val="00D37268"/>
    <w:rsid w:val="00D375D7"/>
    <w:rsid w:val="00D3795D"/>
    <w:rsid w:val="00D41576"/>
    <w:rsid w:val="00D439BD"/>
    <w:rsid w:val="00D4449B"/>
    <w:rsid w:val="00D4533F"/>
    <w:rsid w:val="00D454DD"/>
    <w:rsid w:val="00D45A5E"/>
    <w:rsid w:val="00D46A3D"/>
    <w:rsid w:val="00D46AE4"/>
    <w:rsid w:val="00D46D31"/>
    <w:rsid w:val="00D47832"/>
    <w:rsid w:val="00D50521"/>
    <w:rsid w:val="00D50E7F"/>
    <w:rsid w:val="00D51066"/>
    <w:rsid w:val="00D51119"/>
    <w:rsid w:val="00D52507"/>
    <w:rsid w:val="00D52A45"/>
    <w:rsid w:val="00D52B1B"/>
    <w:rsid w:val="00D53225"/>
    <w:rsid w:val="00D537CF"/>
    <w:rsid w:val="00D53E71"/>
    <w:rsid w:val="00D543E8"/>
    <w:rsid w:val="00D544EB"/>
    <w:rsid w:val="00D54E99"/>
    <w:rsid w:val="00D54F88"/>
    <w:rsid w:val="00D55AC3"/>
    <w:rsid w:val="00D56F46"/>
    <w:rsid w:val="00D60603"/>
    <w:rsid w:val="00D6123E"/>
    <w:rsid w:val="00D62CB7"/>
    <w:rsid w:val="00D661CE"/>
    <w:rsid w:val="00D66D39"/>
    <w:rsid w:val="00D67103"/>
    <w:rsid w:val="00D67658"/>
    <w:rsid w:val="00D70CE3"/>
    <w:rsid w:val="00D70F9F"/>
    <w:rsid w:val="00D70FEF"/>
    <w:rsid w:val="00D710C5"/>
    <w:rsid w:val="00D713C1"/>
    <w:rsid w:val="00D714AB"/>
    <w:rsid w:val="00D72842"/>
    <w:rsid w:val="00D73D33"/>
    <w:rsid w:val="00D74751"/>
    <w:rsid w:val="00D7659A"/>
    <w:rsid w:val="00D7659D"/>
    <w:rsid w:val="00D76F64"/>
    <w:rsid w:val="00D77605"/>
    <w:rsid w:val="00D77E73"/>
    <w:rsid w:val="00D80D70"/>
    <w:rsid w:val="00D816AA"/>
    <w:rsid w:val="00D84362"/>
    <w:rsid w:val="00D85035"/>
    <w:rsid w:val="00D850AD"/>
    <w:rsid w:val="00D85883"/>
    <w:rsid w:val="00D85F33"/>
    <w:rsid w:val="00D864E5"/>
    <w:rsid w:val="00D87D85"/>
    <w:rsid w:val="00D90221"/>
    <w:rsid w:val="00D90296"/>
    <w:rsid w:val="00D90527"/>
    <w:rsid w:val="00D909AC"/>
    <w:rsid w:val="00D90CAF"/>
    <w:rsid w:val="00D916DF"/>
    <w:rsid w:val="00D9199C"/>
    <w:rsid w:val="00D92426"/>
    <w:rsid w:val="00D940D6"/>
    <w:rsid w:val="00D951B3"/>
    <w:rsid w:val="00D9592E"/>
    <w:rsid w:val="00D96322"/>
    <w:rsid w:val="00D96862"/>
    <w:rsid w:val="00DA0103"/>
    <w:rsid w:val="00DA0384"/>
    <w:rsid w:val="00DA0805"/>
    <w:rsid w:val="00DA088A"/>
    <w:rsid w:val="00DA203B"/>
    <w:rsid w:val="00DA3114"/>
    <w:rsid w:val="00DA35E6"/>
    <w:rsid w:val="00DA360E"/>
    <w:rsid w:val="00DA41A9"/>
    <w:rsid w:val="00DA42E6"/>
    <w:rsid w:val="00DA589B"/>
    <w:rsid w:val="00DA617C"/>
    <w:rsid w:val="00DA63AD"/>
    <w:rsid w:val="00DA6D7B"/>
    <w:rsid w:val="00DA7358"/>
    <w:rsid w:val="00DA7B63"/>
    <w:rsid w:val="00DA7E1D"/>
    <w:rsid w:val="00DB0706"/>
    <w:rsid w:val="00DB1158"/>
    <w:rsid w:val="00DB151E"/>
    <w:rsid w:val="00DB1947"/>
    <w:rsid w:val="00DB1A3D"/>
    <w:rsid w:val="00DB1AAB"/>
    <w:rsid w:val="00DB20A8"/>
    <w:rsid w:val="00DB22A5"/>
    <w:rsid w:val="00DB26B0"/>
    <w:rsid w:val="00DB30CA"/>
    <w:rsid w:val="00DB42CB"/>
    <w:rsid w:val="00DB53D3"/>
    <w:rsid w:val="00DB61D7"/>
    <w:rsid w:val="00DB623D"/>
    <w:rsid w:val="00DB6A30"/>
    <w:rsid w:val="00DC0A8B"/>
    <w:rsid w:val="00DC1C74"/>
    <w:rsid w:val="00DC33FC"/>
    <w:rsid w:val="00DC38E8"/>
    <w:rsid w:val="00DC3D23"/>
    <w:rsid w:val="00DC416F"/>
    <w:rsid w:val="00DC4799"/>
    <w:rsid w:val="00DC4D55"/>
    <w:rsid w:val="00DC5A5F"/>
    <w:rsid w:val="00DC5AB0"/>
    <w:rsid w:val="00DC5D24"/>
    <w:rsid w:val="00DC66A1"/>
    <w:rsid w:val="00DC672B"/>
    <w:rsid w:val="00DC6D60"/>
    <w:rsid w:val="00DC6E31"/>
    <w:rsid w:val="00DC7AED"/>
    <w:rsid w:val="00DD0000"/>
    <w:rsid w:val="00DD0CEE"/>
    <w:rsid w:val="00DD16CA"/>
    <w:rsid w:val="00DD1841"/>
    <w:rsid w:val="00DD1881"/>
    <w:rsid w:val="00DD1AA5"/>
    <w:rsid w:val="00DD1E6B"/>
    <w:rsid w:val="00DD2EA0"/>
    <w:rsid w:val="00DD2EA8"/>
    <w:rsid w:val="00DD30F6"/>
    <w:rsid w:val="00DD36BC"/>
    <w:rsid w:val="00DD3F91"/>
    <w:rsid w:val="00DD4618"/>
    <w:rsid w:val="00DD604D"/>
    <w:rsid w:val="00DD6221"/>
    <w:rsid w:val="00DE1652"/>
    <w:rsid w:val="00DE2274"/>
    <w:rsid w:val="00DE22EA"/>
    <w:rsid w:val="00DE2517"/>
    <w:rsid w:val="00DE3661"/>
    <w:rsid w:val="00DE3D1E"/>
    <w:rsid w:val="00DE4B79"/>
    <w:rsid w:val="00DE505A"/>
    <w:rsid w:val="00DE51A7"/>
    <w:rsid w:val="00DE58F5"/>
    <w:rsid w:val="00DE610F"/>
    <w:rsid w:val="00DE6963"/>
    <w:rsid w:val="00DE7065"/>
    <w:rsid w:val="00DE7864"/>
    <w:rsid w:val="00DF1EE8"/>
    <w:rsid w:val="00DF26D6"/>
    <w:rsid w:val="00DF2F2D"/>
    <w:rsid w:val="00DF3103"/>
    <w:rsid w:val="00DF4334"/>
    <w:rsid w:val="00DF434E"/>
    <w:rsid w:val="00DF4F37"/>
    <w:rsid w:val="00DF5148"/>
    <w:rsid w:val="00DF5E40"/>
    <w:rsid w:val="00DF614D"/>
    <w:rsid w:val="00DF6A54"/>
    <w:rsid w:val="00DF6FE3"/>
    <w:rsid w:val="00DF70C8"/>
    <w:rsid w:val="00DF7A55"/>
    <w:rsid w:val="00E000F0"/>
    <w:rsid w:val="00E01119"/>
    <w:rsid w:val="00E01520"/>
    <w:rsid w:val="00E017A1"/>
    <w:rsid w:val="00E01CDD"/>
    <w:rsid w:val="00E02B7F"/>
    <w:rsid w:val="00E044F4"/>
    <w:rsid w:val="00E045A3"/>
    <w:rsid w:val="00E06C5B"/>
    <w:rsid w:val="00E06F87"/>
    <w:rsid w:val="00E06FBD"/>
    <w:rsid w:val="00E06FF4"/>
    <w:rsid w:val="00E07B9C"/>
    <w:rsid w:val="00E07D1A"/>
    <w:rsid w:val="00E109AC"/>
    <w:rsid w:val="00E113F4"/>
    <w:rsid w:val="00E12482"/>
    <w:rsid w:val="00E1290D"/>
    <w:rsid w:val="00E13AF2"/>
    <w:rsid w:val="00E142CA"/>
    <w:rsid w:val="00E15F84"/>
    <w:rsid w:val="00E164D2"/>
    <w:rsid w:val="00E16A49"/>
    <w:rsid w:val="00E17607"/>
    <w:rsid w:val="00E177AF"/>
    <w:rsid w:val="00E17B11"/>
    <w:rsid w:val="00E20A2A"/>
    <w:rsid w:val="00E211D7"/>
    <w:rsid w:val="00E2248B"/>
    <w:rsid w:val="00E23D54"/>
    <w:rsid w:val="00E240F6"/>
    <w:rsid w:val="00E2455E"/>
    <w:rsid w:val="00E25320"/>
    <w:rsid w:val="00E2593D"/>
    <w:rsid w:val="00E25FC4"/>
    <w:rsid w:val="00E2663F"/>
    <w:rsid w:val="00E2704D"/>
    <w:rsid w:val="00E279CF"/>
    <w:rsid w:val="00E27A18"/>
    <w:rsid w:val="00E27EB9"/>
    <w:rsid w:val="00E27F85"/>
    <w:rsid w:val="00E30860"/>
    <w:rsid w:val="00E30BC2"/>
    <w:rsid w:val="00E31182"/>
    <w:rsid w:val="00E31CA4"/>
    <w:rsid w:val="00E32C57"/>
    <w:rsid w:val="00E32D82"/>
    <w:rsid w:val="00E32E57"/>
    <w:rsid w:val="00E32E6C"/>
    <w:rsid w:val="00E3360B"/>
    <w:rsid w:val="00E33F1D"/>
    <w:rsid w:val="00E34C6E"/>
    <w:rsid w:val="00E34D45"/>
    <w:rsid w:val="00E35F06"/>
    <w:rsid w:val="00E36535"/>
    <w:rsid w:val="00E36F98"/>
    <w:rsid w:val="00E3733E"/>
    <w:rsid w:val="00E376AC"/>
    <w:rsid w:val="00E378E0"/>
    <w:rsid w:val="00E37BF8"/>
    <w:rsid w:val="00E4058D"/>
    <w:rsid w:val="00E407A1"/>
    <w:rsid w:val="00E410ED"/>
    <w:rsid w:val="00E41822"/>
    <w:rsid w:val="00E41A96"/>
    <w:rsid w:val="00E43848"/>
    <w:rsid w:val="00E43DF4"/>
    <w:rsid w:val="00E44AF7"/>
    <w:rsid w:val="00E46907"/>
    <w:rsid w:val="00E46E91"/>
    <w:rsid w:val="00E4760B"/>
    <w:rsid w:val="00E476C2"/>
    <w:rsid w:val="00E47D51"/>
    <w:rsid w:val="00E50DD3"/>
    <w:rsid w:val="00E510DF"/>
    <w:rsid w:val="00E5119C"/>
    <w:rsid w:val="00E513E4"/>
    <w:rsid w:val="00E51828"/>
    <w:rsid w:val="00E52117"/>
    <w:rsid w:val="00E53687"/>
    <w:rsid w:val="00E5389A"/>
    <w:rsid w:val="00E53A5A"/>
    <w:rsid w:val="00E5450C"/>
    <w:rsid w:val="00E54E57"/>
    <w:rsid w:val="00E54EC8"/>
    <w:rsid w:val="00E55152"/>
    <w:rsid w:val="00E559E3"/>
    <w:rsid w:val="00E55BCC"/>
    <w:rsid w:val="00E56EC7"/>
    <w:rsid w:val="00E56F43"/>
    <w:rsid w:val="00E60A0C"/>
    <w:rsid w:val="00E60B7C"/>
    <w:rsid w:val="00E6368A"/>
    <w:rsid w:val="00E64F7E"/>
    <w:rsid w:val="00E6693B"/>
    <w:rsid w:val="00E66AA2"/>
    <w:rsid w:val="00E66C22"/>
    <w:rsid w:val="00E66EFC"/>
    <w:rsid w:val="00E66F57"/>
    <w:rsid w:val="00E67AFD"/>
    <w:rsid w:val="00E70B7B"/>
    <w:rsid w:val="00E70E3C"/>
    <w:rsid w:val="00E715B8"/>
    <w:rsid w:val="00E7187B"/>
    <w:rsid w:val="00E71EAD"/>
    <w:rsid w:val="00E72FEB"/>
    <w:rsid w:val="00E75624"/>
    <w:rsid w:val="00E7597D"/>
    <w:rsid w:val="00E80F84"/>
    <w:rsid w:val="00E81088"/>
    <w:rsid w:val="00E818E0"/>
    <w:rsid w:val="00E81B1F"/>
    <w:rsid w:val="00E82B2B"/>
    <w:rsid w:val="00E83002"/>
    <w:rsid w:val="00E8388E"/>
    <w:rsid w:val="00E83B02"/>
    <w:rsid w:val="00E8403D"/>
    <w:rsid w:val="00E84F72"/>
    <w:rsid w:val="00E84FD4"/>
    <w:rsid w:val="00E85203"/>
    <w:rsid w:val="00E852AD"/>
    <w:rsid w:val="00E85FD1"/>
    <w:rsid w:val="00E86708"/>
    <w:rsid w:val="00E86A7A"/>
    <w:rsid w:val="00E872B0"/>
    <w:rsid w:val="00E87551"/>
    <w:rsid w:val="00E902C8"/>
    <w:rsid w:val="00E91668"/>
    <w:rsid w:val="00E921CE"/>
    <w:rsid w:val="00E92933"/>
    <w:rsid w:val="00E9411A"/>
    <w:rsid w:val="00E94FB4"/>
    <w:rsid w:val="00E95233"/>
    <w:rsid w:val="00E95E15"/>
    <w:rsid w:val="00E95F16"/>
    <w:rsid w:val="00E96CC7"/>
    <w:rsid w:val="00E96E81"/>
    <w:rsid w:val="00E9708D"/>
    <w:rsid w:val="00E971F7"/>
    <w:rsid w:val="00EA06A3"/>
    <w:rsid w:val="00EA0A56"/>
    <w:rsid w:val="00EA1658"/>
    <w:rsid w:val="00EA1FAE"/>
    <w:rsid w:val="00EA2034"/>
    <w:rsid w:val="00EA2238"/>
    <w:rsid w:val="00EA47C9"/>
    <w:rsid w:val="00EA4DBF"/>
    <w:rsid w:val="00EA59AD"/>
    <w:rsid w:val="00EA5B0B"/>
    <w:rsid w:val="00EA6BEC"/>
    <w:rsid w:val="00EA6E35"/>
    <w:rsid w:val="00EA7BF7"/>
    <w:rsid w:val="00EB0194"/>
    <w:rsid w:val="00EB05EA"/>
    <w:rsid w:val="00EB0A5B"/>
    <w:rsid w:val="00EB19AA"/>
    <w:rsid w:val="00EB1B26"/>
    <w:rsid w:val="00EB1E70"/>
    <w:rsid w:val="00EB2A6E"/>
    <w:rsid w:val="00EB3129"/>
    <w:rsid w:val="00EB3130"/>
    <w:rsid w:val="00EB3187"/>
    <w:rsid w:val="00EB3592"/>
    <w:rsid w:val="00EB3DB5"/>
    <w:rsid w:val="00EB40A6"/>
    <w:rsid w:val="00EB464B"/>
    <w:rsid w:val="00EB526A"/>
    <w:rsid w:val="00EB6E9A"/>
    <w:rsid w:val="00EB7237"/>
    <w:rsid w:val="00EB7323"/>
    <w:rsid w:val="00EB7B92"/>
    <w:rsid w:val="00EC010F"/>
    <w:rsid w:val="00EC0C61"/>
    <w:rsid w:val="00EC12A3"/>
    <w:rsid w:val="00EC1E53"/>
    <w:rsid w:val="00EC2D6E"/>
    <w:rsid w:val="00EC3186"/>
    <w:rsid w:val="00EC3460"/>
    <w:rsid w:val="00EC35A8"/>
    <w:rsid w:val="00EC35DD"/>
    <w:rsid w:val="00EC3B86"/>
    <w:rsid w:val="00EC3D9C"/>
    <w:rsid w:val="00EC43EC"/>
    <w:rsid w:val="00EC526A"/>
    <w:rsid w:val="00EC5B42"/>
    <w:rsid w:val="00EC6534"/>
    <w:rsid w:val="00EC7061"/>
    <w:rsid w:val="00EC785E"/>
    <w:rsid w:val="00EC7D17"/>
    <w:rsid w:val="00ED08BB"/>
    <w:rsid w:val="00ED0B09"/>
    <w:rsid w:val="00ED14F8"/>
    <w:rsid w:val="00ED3949"/>
    <w:rsid w:val="00ED3BA0"/>
    <w:rsid w:val="00ED453E"/>
    <w:rsid w:val="00ED489F"/>
    <w:rsid w:val="00ED5173"/>
    <w:rsid w:val="00ED6F3F"/>
    <w:rsid w:val="00EE02FA"/>
    <w:rsid w:val="00EE0557"/>
    <w:rsid w:val="00EE0630"/>
    <w:rsid w:val="00EE0733"/>
    <w:rsid w:val="00EE1A09"/>
    <w:rsid w:val="00EE1DF6"/>
    <w:rsid w:val="00EE2305"/>
    <w:rsid w:val="00EE352A"/>
    <w:rsid w:val="00EE3808"/>
    <w:rsid w:val="00EE3EF6"/>
    <w:rsid w:val="00EE41FB"/>
    <w:rsid w:val="00EE5431"/>
    <w:rsid w:val="00EE65F3"/>
    <w:rsid w:val="00EE67A6"/>
    <w:rsid w:val="00EE6981"/>
    <w:rsid w:val="00EE7442"/>
    <w:rsid w:val="00EE7F4B"/>
    <w:rsid w:val="00EF00CE"/>
    <w:rsid w:val="00EF0ADA"/>
    <w:rsid w:val="00EF0AEF"/>
    <w:rsid w:val="00EF0D5E"/>
    <w:rsid w:val="00EF2D1A"/>
    <w:rsid w:val="00EF373A"/>
    <w:rsid w:val="00EF3C47"/>
    <w:rsid w:val="00EF5D9E"/>
    <w:rsid w:val="00EF6464"/>
    <w:rsid w:val="00EF79F8"/>
    <w:rsid w:val="00EF7ABE"/>
    <w:rsid w:val="00EF7E57"/>
    <w:rsid w:val="00F00D7B"/>
    <w:rsid w:val="00F00E11"/>
    <w:rsid w:val="00F01A07"/>
    <w:rsid w:val="00F0286D"/>
    <w:rsid w:val="00F0291A"/>
    <w:rsid w:val="00F02973"/>
    <w:rsid w:val="00F02C6D"/>
    <w:rsid w:val="00F02E26"/>
    <w:rsid w:val="00F044F4"/>
    <w:rsid w:val="00F04CA1"/>
    <w:rsid w:val="00F05086"/>
    <w:rsid w:val="00F05796"/>
    <w:rsid w:val="00F05FF9"/>
    <w:rsid w:val="00F061D9"/>
    <w:rsid w:val="00F062F1"/>
    <w:rsid w:val="00F06D16"/>
    <w:rsid w:val="00F07C78"/>
    <w:rsid w:val="00F07F53"/>
    <w:rsid w:val="00F11731"/>
    <w:rsid w:val="00F12E6A"/>
    <w:rsid w:val="00F13057"/>
    <w:rsid w:val="00F13098"/>
    <w:rsid w:val="00F13A3A"/>
    <w:rsid w:val="00F14AB5"/>
    <w:rsid w:val="00F14AFA"/>
    <w:rsid w:val="00F14D0F"/>
    <w:rsid w:val="00F15870"/>
    <w:rsid w:val="00F16062"/>
    <w:rsid w:val="00F170A3"/>
    <w:rsid w:val="00F174C8"/>
    <w:rsid w:val="00F1791D"/>
    <w:rsid w:val="00F17F47"/>
    <w:rsid w:val="00F2065C"/>
    <w:rsid w:val="00F20E27"/>
    <w:rsid w:val="00F20EA1"/>
    <w:rsid w:val="00F21299"/>
    <w:rsid w:val="00F218AF"/>
    <w:rsid w:val="00F22687"/>
    <w:rsid w:val="00F228F2"/>
    <w:rsid w:val="00F2335F"/>
    <w:rsid w:val="00F237B9"/>
    <w:rsid w:val="00F23C19"/>
    <w:rsid w:val="00F245C3"/>
    <w:rsid w:val="00F24DE1"/>
    <w:rsid w:val="00F25C35"/>
    <w:rsid w:val="00F25D3E"/>
    <w:rsid w:val="00F2640C"/>
    <w:rsid w:val="00F27284"/>
    <w:rsid w:val="00F2737A"/>
    <w:rsid w:val="00F27843"/>
    <w:rsid w:val="00F27B07"/>
    <w:rsid w:val="00F30CDD"/>
    <w:rsid w:val="00F318BA"/>
    <w:rsid w:val="00F35C0C"/>
    <w:rsid w:val="00F366A4"/>
    <w:rsid w:val="00F36E38"/>
    <w:rsid w:val="00F37709"/>
    <w:rsid w:val="00F37D3A"/>
    <w:rsid w:val="00F419B3"/>
    <w:rsid w:val="00F42421"/>
    <w:rsid w:val="00F424FE"/>
    <w:rsid w:val="00F428FF"/>
    <w:rsid w:val="00F43002"/>
    <w:rsid w:val="00F43244"/>
    <w:rsid w:val="00F43C0F"/>
    <w:rsid w:val="00F449D2"/>
    <w:rsid w:val="00F44EFD"/>
    <w:rsid w:val="00F45066"/>
    <w:rsid w:val="00F4728A"/>
    <w:rsid w:val="00F4770A"/>
    <w:rsid w:val="00F509BC"/>
    <w:rsid w:val="00F50B5D"/>
    <w:rsid w:val="00F50C48"/>
    <w:rsid w:val="00F519B7"/>
    <w:rsid w:val="00F52088"/>
    <w:rsid w:val="00F5252C"/>
    <w:rsid w:val="00F52836"/>
    <w:rsid w:val="00F52EA3"/>
    <w:rsid w:val="00F534E0"/>
    <w:rsid w:val="00F542F1"/>
    <w:rsid w:val="00F54C04"/>
    <w:rsid w:val="00F55175"/>
    <w:rsid w:val="00F55524"/>
    <w:rsid w:val="00F55890"/>
    <w:rsid w:val="00F559C2"/>
    <w:rsid w:val="00F56B4E"/>
    <w:rsid w:val="00F575A3"/>
    <w:rsid w:val="00F577E6"/>
    <w:rsid w:val="00F5790D"/>
    <w:rsid w:val="00F57BA4"/>
    <w:rsid w:val="00F57F49"/>
    <w:rsid w:val="00F602D6"/>
    <w:rsid w:val="00F60BBB"/>
    <w:rsid w:val="00F60D56"/>
    <w:rsid w:val="00F61B65"/>
    <w:rsid w:val="00F6267D"/>
    <w:rsid w:val="00F62906"/>
    <w:rsid w:val="00F62BC9"/>
    <w:rsid w:val="00F62D26"/>
    <w:rsid w:val="00F62DA1"/>
    <w:rsid w:val="00F6309C"/>
    <w:rsid w:val="00F634BA"/>
    <w:rsid w:val="00F650EE"/>
    <w:rsid w:val="00F65136"/>
    <w:rsid w:val="00F655CB"/>
    <w:rsid w:val="00F65999"/>
    <w:rsid w:val="00F70638"/>
    <w:rsid w:val="00F722B9"/>
    <w:rsid w:val="00F72552"/>
    <w:rsid w:val="00F72ADB"/>
    <w:rsid w:val="00F74438"/>
    <w:rsid w:val="00F74EA4"/>
    <w:rsid w:val="00F7508E"/>
    <w:rsid w:val="00F754B7"/>
    <w:rsid w:val="00F756C5"/>
    <w:rsid w:val="00F7599B"/>
    <w:rsid w:val="00F75EA1"/>
    <w:rsid w:val="00F760F8"/>
    <w:rsid w:val="00F7684E"/>
    <w:rsid w:val="00F776E2"/>
    <w:rsid w:val="00F77BF6"/>
    <w:rsid w:val="00F77E47"/>
    <w:rsid w:val="00F80B82"/>
    <w:rsid w:val="00F81163"/>
    <w:rsid w:val="00F82E6E"/>
    <w:rsid w:val="00F832EE"/>
    <w:rsid w:val="00F836C6"/>
    <w:rsid w:val="00F841AD"/>
    <w:rsid w:val="00F85398"/>
    <w:rsid w:val="00F85C7E"/>
    <w:rsid w:val="00F86543"/>
    <w:rsid w:val="00F86553"/>
    <w:rsid w:val="00F90837"/>
    <w:rsid w:val="00F90993"/>
    <w:rsid w:val="00F921BD"/>
    <w:rsid w:val="00F92A2E"/>
    <w:rsid w:val="00F93903"/>
    <w:rsid w:val="00F93957"/>
    <w:rsid w:val="00F9397A"/>
    <w:rsid w:val="00F94401"/>
    <w:rsid w:val="00F94F97"/>
    <w:rsid w:val="00F958FE"/>
    <w:rsid w:val="00F96BFB"/>
    <w:rsid w:val="00FA0FB9"/>
    <w:rsid w:val="00FA113D"/>
    <w:rsid w:val="00FA121E"/>
    <w:rsid w:val="00FA1903"/>
    <w:rsid w:val="00FA1E58"/>
    <w:rsid w:val="00FA2F22"/>
    <w:rsid w:val="00FA3561"/>
    <w:rsid w:val="00FA64C8"/>
    <w:rsid w:val="00FA66D3"/>
    <w:rsid w:val="00FA727E"/>
    <w:rsid w:val="00FA787D"/>
    <w:rsid w:val="00FB00BB"/>
    <w:rsid w:val="00FB0CFF"/>
    <w:rsid w:val="00FB0E2B"/>
    <w:rsid w:val="00FB135B"/>
    <w:rsid w:val="00FB22E0"/>
    <w:rsid w:val="00FB2357"/>
    <w:rsid w:val="00FB33F9"/>
    <w:rsid w:val="00FB342A"/>
    <w:rsid w:val="00FB3747"/>
    <w:rsid w:val="00FB5066"/>
    <w:rsid w:val="00FB59BF"/>
    <w:rsid w:val="00FB69A0"/>
    <w:rsid w:val="00FB6D51"/>
    <w:rsid w:val="00FB71F0"/>
    <w:rsid w:val="00FC0661"/>
    <w:rsid w:val="00FC0856"/>
    <w:rsid w:val="00FC14AA"/>
    <w:rsid w:val="00FC2132"/>
    <w:rsid w:val="00FC257D"/>
    <w:rsid w:val="00FC26A2"/>
    <w:rsid w:val="00FC2B44"/>
    <w:rsid w:val="00FC3725"/>
    <w:rsid w:val="00FC4C11"/>
    <w:rsid w:val="00FC4CC8"/>
    <w:rsid w:val="00FC507D"/>
    <w:rsid w:val="00FC535F"/>
    <w:rsid w:val="00FC645A"/>
    <w:rsid w:val="00FC67CC"/>
    <w:rsid w:val="00FD01BD"/>
    <w:rsid w:val="00FD0B0C"/>
    <w:rsid w:val="00FD139E"/>
    <w:rsid w:val="00FD1F09"/>
    <w:rsid w:val="00FD3036"/>
    <w:rsid w:val="00FD44D8"/>
    <w:rsid w:val="00FD4EBE"/>
    <w:rsid w:val="00FD73F3"/>
    <w:rsid w:val="00FD7AA4"/>
    <w:rsid w:val="00FE03BE"/>
    <w:rsid w:val="00FE1FF8"/>
    <w:rsid w:val="00FE35D5"/>
    <w:rsid w:val="00FE3A6E"/>
    <w:rsid w:val="00FE4CC0"/>
    <w:rsid w:val="00FE5CAC"/>
    <w:rsid w:val="00FE62C3"/>
    <w:rsid w:val="00FE6E2B"/>
    <w:rsid w:val="00FE72FB"/>
    <w:rsid w:val="00FF008D"/>
    <w:rsid w:val="00FF0330"/>
    <w:rsid w:val="00FF11F0"/>
    <w:rsid w:val="00FF185C"/>
    <w:rsid w:val="00FF1DC1"/>
    <w:rsid w:val="00FF22AF"/>
    <w:rsid w:val="00FF278C"/>
    <w:rsid w:val="00FF27B5"/>
    <w:rsid w:val="00FF452A"/>
    <w:rsid w:val="00FF49CA"/>
    <w:rsid w:val="00FF5520"/>
    <w:rsid w:val="00FF5552"/>
    <w:rsid w:val="00FF5BF1"/>
    <w:rsid w:val="00FF7F05"/>
    <w:rsid w:val="010258A7"/>
    <w:rsid w:val="01115C09"/>
    <w:rsid w:val="01213882"/>
    <w:rsid w:val="0154622B"/>
    <w:rsid w:val="01556140"/>
    <w:rsid w:val="016025FC"/>
    <w:rsid w:val="0198245E"/>
    <w:rsid w:val="01A5473C"/>
    <w:rsid w:val="01A76FA4"/>
    <w:rsid w:val="01B56966"/>
    <w:rsid w:val="01D31622"/>
    <w:rsid w:val="01FD42EF"/>
    <w:rsid w:val="020B061F"/>
    <w:rsid w:val="020D48F8"/>
    <w:rsid w:val="02173256"/>
    <w:rsid w:val="021A4193"/>
    <w:rsid w:val="021A7F77"/>
    <w:rsid w:val="021F7BB6"/>
    <w:rsid w:val="02383FF2"/>
    <w:rsid w:val="025E5570"/>
    <w:rsid w:val="0262456B"/>
    <w:rsid w:val="026B3007"/>
    <w:rsid w:val="026C1AB2"/>
    <w:rsid w:val="027C11BE"/>
    <w:rsid w:val="028D7189"/>
    <w:rsid w:val="0296725B"/>
    <w:rsid w:val="029F1F5B"/>
    <w:rsid w:val="02A841C4"/>
    <w:rsid w:val="02D02269"/>
    <w:rsid w:val="02D919D4"/>
    <w:rsid w:val="02F8486D"/>
    <w:rsid w:val="03095E15"/>
    <w:rsid w:val="031711B5"/>
    <w:rsid w:val="03BD58D6"/>
    <w:rsid w:val="03E06FD0"/>
    <w:rsid w:val="03F15329"/>
    <w:rsid w:val="0403735E"/>
    <w:rsid w:val="040D583E"/>
    <w:rsid w:val="0416567B"/>
    <w:rsid w:val="046B2354"/>
    <w:rsid w:val="046B23B3"/>
    <w:rsid w:val="047D3214"/>
    <w:rsid w:val="04A32F8A"/>
    <w:rsid w:val="04A60C8F"/>
    <w:rsid w:val="04C9334C"/>
    <w:rsid w:val="04D27CEA"/>
    <w:rsid w:val="04DA3982"/>
    <w:rsid w:val="04DD72E3"/>
    <w:rsid w:val="04F03879"/>
    <w:rsid w:val="04F27A0F"/>
    <w:rsid w:val="04F33787"/>
    <w:rsid w:val="05017B46"/>
    <w:rsid w:val="050339C8"/>
    <w:rsid w:val="05072514"/>
    <w:rsid w:val="052B2732"/>
    <w:rsid w:val="05386477"/>
    <w:rsid w:val="05400010"/>
    <w:rsid w:val="0553092A"/>
    <w:rsid w:val="056463C7"/>
    <w:rsid w:val="05777F14"/>
    <w:rsid w:val="05A30F57"/>
    <w:rsid w:val="060D7E89"/>
    <w:rsid w:val="061D795C"/>
    <w:rsid w:val="061F1504"/>
    <w:rsid w:val="06224324"/>
    <w:rsid w:val="063D165B"/>
    <w:rsid w:val="06526575"/>
    <w:rsid w:val="0670142E"/>
    <w:rsid w:val="06800158"/>
    <w:rsid w:val="068C6ED3"/>
    <w:rsid w:val="06913258"/>
    <w:rsid w:val="06A47E9A"/>
    <w:rsid w:val="06A62B47"/>
    <w:rsid w:val="06BF627D"/>
    <w:rsid w:val="06BF6A5D"/>
    <w:rsid w:val="06D61587"/>
    <w:rsid w:val="06E7570C"/>
    <w:rsid w:val="06F07F7E"/>
    <w:rsid w:val="06F50A69"/>
    <w:rsid w:val="07501A2E"/>
    <w:rsid w:val="07657C85"/>
    <w:rsid w:val="076B5857"/>
    <w:rsid w:val="07753F60"/>
    <w:rsid w:val="07872CE7"/>
    <w:rsid w:val="07A4385F"/>
    <w:rsid w:val="07BD5DBF"/>
    <w:rsid w:val="07C5115E"/>
    <w:rsid w:val="07EF468E"/>
    <w:rsid w:val="07FB6BDB"/>
    <w:rsid w:val="07FF4D31"/>
    <w:rsid w:val="080449E3"/>
    <w:rsid w:val="080E608B"/>
    <w:rsid w:val="08564759"/>
    <w:rsid w:val="08D03C9E"/>
    <w:rsid w:val="08D90DC8"/>
    <w:rsid w:val="08E65ADD"/>
    <w:rsid w:val="091033B0"/>
    <w:rsid w:val="09106EFC"/>
    <w:rsid w:val="09126A8E"/>
    <w:rsid w:val="095E7BDD"/>
    <w:rsid w:val="096F45D4"/>
    <w:rsid w:val="09AB0049"/>
    <w:rsid w:val="09F85E2D"/>
    <w:rsid w:val="0A3039BC"/>
    <w:rsid w:val="0A3A3CDA"/>
    <w:rsid w:val="0A554696"/>
    <w:rsid w:val="0A661D64"/>
    <w:rsid w:val="0A6A79B1"/>
    <w:rsid w:val="0A7F2CD6"/>
    <w:rsid w:val="0A8468CE"/>
    <w:rsid w:val="0A972924"/>
    <w:rsid w:val="0AB7256F"/>
    <w:rsid w:val="0AC914F6"/>
    <w:rsid w:val="0AE018CB"/>
    <w:rsid w:val="0AF77769"/>
    <w:rsid w:val="0B1622F3"/>
    <w:rsid w:val="0B187C9C"/>
    <w:rsid w:val="0B196461"/>
    <w:rsid w:val="0B2F54E8"/>
    <w:rsid w:val="0B431EA3"/>
    <w:rsid w:val="0B4A7B6D"/>
    <w:rsid w:val="0B4D33F1"/>
    <w:rsid w:val="0B504E6B"/>
    <w:rsid w:val="0B6224AC"/>
    <w:rsid w:val="0B68513F"/>
    <w:rsid w:val="0B790E11"/>
    <w:rsid w:val="0B934390"/>
    <w:rsid w:val="0BEE2E88"/>
    <w:rsid w:val="0C006D79"/>
    <w:rsid w:val="0C007A5B"/>
    <w:rsid w:val="0C014FF8"/>
    <w:rsid w:val="0C0C32AC"/>
    <w:rsid w:val="0C1A4894"/>
    <w:rsid w:val="0C2801BA"/>
    <w:rsid w:val="0C700F92"/>
    <w:rsid w:val="0C796C68"/>
    <w:rsid w:val="0C8123A5"/>
    <w:rsid w:val="0C8F34BF"/>
    <w:rsid w:val="0CB87175"/>
    <w:rsid w:val="0CCA04AF"/>
    <w:rsid w:val="0CD429D0"/>
    <w:rsid w:val="0CD45C4C"/>
    <w:rsid w:val="0CD86C08"/>
    <w:rsid w:val="0CE25D75"/>
    <w:rsid w:val="0CFA155A"/>
    <w:rsid w:val="0D0526BA"/>
    <w:rsid w:val="0D567687"/>
    <w:rsid w:val="0D722B79"/>
    <w:rsid w:val="0D751F67"/>
    <w:rsid w:val="0DB179F1"/>
    <w:rsid w:val="0DB732EF"/>
    <w:rsid w:val="0DBC47C6"/>
    <w:rsid w:val="0DFE11D3"/>
    <w:rsid w:val="0E00661D"/>
    <w:rsid w:val="0E036E1D"/>
    <w:rsid w:val="0E2523D3"/>
    <w:rsid w:val="0E2948E1"/>
    <w:rsid w:val="0E4756E1"/>
    <w:rsid w:val="0E521483"/>
    <w:rsid w:val="0E5600F2"/>
    <w:rsid w:val="0E573797"/>
    <w:rsid w:val="0E5879DF"/>
    <w:rsid w:val="0E6A22A4"/>
    <w:rsid w:val="0E996911"/>
    <w:rsid w:val="0E9D4557"/>
    <w:rsid w:val="0EA01FE8"/>
    <w:rsid w:val="0EA62B5C"/>
    <w:rsid w:val="0ECA62D4"/>
    <w:rsid w:val="0EDF73C3"/>
    <w:rsid w:val="0EE42B24"/>
    <w:rsid w:val="0EF172EB"/>
    <w:rsid w:val="0EF836BB"/>
    <w:rsid w:val="0F015829"/>
    <w:rsid w:val="0F185C60"/>
    <w:rsid w:val="0F24089E"/>
    <w:rsid w:val="0F2619FB"/>
    <w:rsid w:val="0F2E60DD"/>
    <w:rsid w:val="0F5F0B41"/>
    <w:rsid w:val="0F616F92"/>
    <w:rsid w:val="0F772EAA"/>
    <w:rsid w:val="0F9F4AB8"/>
    <w:rsid w:val="0FA6361E"/>
    <w:rsid w:val="0FB476DB"/>
    <w:rsid w:val="0FE41524"/>
    <w:rsid w:val="0FF137B6"/>
    <w:rsid w:val="100A79D5"/>
    <w:rsid w:val="101A223A"/>
    <w:rsid w:val="10631B5B"/>
    <w:rsid w:val="106C1138"/>
    <w:rsid w:val="107F42FF"/>
    <w:rsid w:val="10877067"/>
    <w:rsid w:val="10BC1B14"/>
    <w:rsid w:val="10BF27EB"/>
    <w:rsid w:val="10EC519C"/>
    <w:rsid w:val="10EF4030"/>
    <w:rsid w:val="10F1536D"/>
    <w:rsid w:val="10F27F80"/>
    <w:rsid w:val="10FF652D"/>
    <w:rsid w:val="110C00AB"/>
    <w:rsid w:val="11142D86"/>
    <w:rsid w:val="11213EA8"/>
    <w:rsid w:val="113D1CA3"/>
    <w:rsid w:val="116C1205"/>
    <w:rsid w:val="11727F65"/>
    <w:rsid w:val="11826C6A"/>
    <w:rsid w:val="11AE6A79"/>
    <w:rsid w:val="11D61CAA"/>
    <w:rsid w:val="11EE1F77"/>
    <w:rsid w:val="12072EA1"/>
    <w:rsid w:val="12382EB4"/>
    <w:rsid w:val="123840C4"/>
    <w:rsid w:val="123B47A2"/>
    <w:rsid w:val="125415E1"/>
    <w:rsid w:val="127245FC"/>
    <w:rsid w:val="12863E8D"/>
    <w:rsid w:val="129F4623"/>
    <w:rsid w:val="12D35128"/>
    <w:rsid w:val="12EA0F9A"/>
    <w:rsid w:val="12F44D1A"/>
    <w:rsid w:val="12FF3991"/>
    <w:rsid w:val="13066723"/>
    <w:rsid w:val="130E4375"/>
    <w:rsid w:val="13200070"/>
    <w:rsid w:val="13207D08"/>
    <w:rsid w:val="1322397E"/>
    <w:rsid w:val="13285C02"/>
    <w:rsid w:val="1338365F"/>
    <w:rsid w:val="133A1F99"/>
    <w:rsid w:val="135F2F97"/>
    <w:rsid w:val="13600CB3"/>
    <w:rsid w:val="137342F4"/>
    <w:rsid w:val="13765CAF"/>
    <w:rsid w:val="138C263E"/>
    <w:rsid w:val="138F10CE"/>
    <w:rsid w:val="13AA05B5"/>
    <w:rsid w:val="13BB2C32"/>
    <w:rsid w:val="13C36F49"/>
    <w:rsid w:val="13CB385B"/>
    <w:rsid w:val="13CC58CF"/>
    <w:rsid w:val="13D853DB"/>
    <w:rsid w:val="13DF7B91"/>
    <w:rsid w:val="13E6582D"/>
    <w:rsid w:val="13F22621"/>
    <w:rsid w:val="1401565F"/>
    <w:rsid w:val="141254B3"/>
    <w:rsid w:val="14155C5D"/>
    <w:rsid w:val="14303889"/>
    <w:rsid w:val="14463D5E"/>
    <w:rsid w:val="147E4DD8"/>
    <w:rsid w:val="14A5590C"/>
    <w:rsid w:val="14B13710"/>
    <w:rsid w:val="14C52A4A"/>
    <w:rsid w:val="14D04A8C"/>
    <w:rsid w:val="14EA1505"/>
    <w:rsid w:val="14FB4178"/>
    <w:rsid w:val="15021A2E"/>
    <w:rsid w:val="1528665F"/>
    <w:rsid w:val="154C6ADD"/>
    <w:rsid w:val="154F67B8"/>
    <w:rsid w:val="15673ADC"/>
    <w:rsid w:val="15744EA6"/>
    <w:rsid w:val="15755E45"/>
    <w:rsid w:val="158C14E9"/>
    <w:rsid w:val="158E72E0"/>
    <w:rsid w:val="15B36D47"/>
    <w:rsid w:val="15C02C3D"/>
    <w:rsid w:val="15C90318"/>
    <w:rsid w:val="15D475FF"/>
    <w:rsid w:val="15F1746A"/>
    <w:rsid w:val="15FC044E"/>
    <w:rsid w:val="16201F02"/>
    <w:rsid w:val="162C6439"/>
    <w:rsid w:val="168D5CC1"/>
    <w:rsid w:val="16BE19DB"/>
    <w:rsid w:val="16C70555"/>
    <w:rsid w:val="16F615E1"/>
    <w:rsid w:val="17094A5D"/>
    <w:rsid w:val="170F7779"/>
    <w:rsid w:val="1720357C"/>
    <w:rsid w:val="17252504"/>
    <w:rsid w:val="17292E3E"/>
    <w:rsid w:val="174430AF"/>
    <w:rsid w:val="174A444F"/>
    <w:rsid w:val="174D4EC5"/>
    <w:rsid w:val="17664374"/>
    <w:rsid w:val="176A46BD"/>
    <w:rsid w:val="176C6C24"/>
    <w:rsid w:val="17771445"/>
    <w:rsid w:val="1779009D"/>
    <w:rsid w:val="178D1819"/>
    <w:rsid w:val="17920BFD"/>
    <w:rsid w:val="17B35A66"/>
    <w:rsid w:val="17B55537"/>
    <w:rsid w:val="17E32729"/>
    <w:rsid w:val="17E751F8"/>
    <w:rsid w:val="1804162A"/>
    <w:rsid w:val="1833394E"/>
    <w:rsid w:val="185A5BA0"/>
    <w:rsid w:val="185D7391"/>
    <w:rsid w:val="186324A0"/>
    <w:rsid w:val="189A181B"/>
    <w:rsid w:val="189E7942"/>
    <w:rsid w:val="18D006CC"/>
    <w:rsid w:val="18DB577D"/>
    <w:rsid w:val="18DC3664"/>
    <w:rsid w:val="18E731C8"/>
    <w:rsid w:val="18F75D82"/>
    <w:rsid w:val="190F7237"/>
    <w:rsid w:val="191127E2"/>
    <w:rsid w:val="1914572F"/>
    <w:rsid w:val="191535D0"/>
    <w:rsid w:val="191B6E9B"/>
    <w:rsid w:val="1934488B"/>
    <w:rsid w:val="19496DA2"/>
    <w:rsid w:val="19524ABC"/>
    <w:rsid w:val="19813589"/>
    <w:rsid w:val="199B2631"/>
    <w:rsid w:val="19B23C2F"/>
    <w:rsid w:val="19B83F22"/>
    <w:rsid w:val="19C534ED"/>
    <w:rsid w:val="19C56AE9"/>
    <w:rsid w:val="19C867C9"/>
    <w:rsid w:val="1A1A45A2"/>
    <w:rsid w:val="1A200C53"/>
    <w:rsid w:val="1A5D21A0"/>
    <w:rsid w:val="1A5F3886"/>
    <w:rsid w:val="1A65722A"/>
    <w:rsid w:val="1A6B16B8"/>
    <w:rsid w:val="1A7667DD"/>
    <w:rsid w:val="1A831654"/>
    <w:rsid w:val="1A8C739D"/>
    <w:rsid w:val="1A934634"/>
    <w:rsid w:val="1AB25834"/>
    <w:rsid w:val="1ABD238E"/>
    <w:rsid w:val="1AC57BFC"/>
    <w:rsid w:val="1AE35193"/>
    <w:rsid w:val="1AF95858"/>
    <w:rsid w:val="1B0032DD"/>
    <w:rsid w:val="1B156796"/>
    <w:rsid w:val="1B2D7862"/>
    <w:rsid w:val="1B2E2157"/>
    <w:rsid w:val="1B452A3E"/>
    <w:rsid w:val="1B484A68"/>
    <w:rsid w:val="1B5B42CA"/>
    <w:rsid w:val="1B650C3A"/>
    <w:rsid w:val="1B735669"/>
    <w:rsid w:val="1B9A02E6"/>
    <w:rsid w:val="1BC91626"/>
    <w:rsid w:val="1BEF1AFD"/>
    <w:rsid w:val="1BF52F26"/>
    <w:rsid w:val="1BF53369"/>
    <w:rsid w:val="1C2B20FA"/>
    <w:rsid w:val="1C3A41E2"/>
    <w:rsid w:val="1C450A26"/>
    <w:rsid w:val="1C4A096A"/>
    <w:rsid w:val="1C980A44"/>
    <w:rsid w:val="1CE27C43"/>
    <w:rsid w:val="1CE47F22"/>
    <w:rsid w:val="1D1A42B2"/>
    <w:rsid w:val="1D1A715B"/>
    <w:rsid w:val="1D1C78C7"/>
    <w:rsid w:val="1D231173"/>
    <w:rsid w:val="1D237070"/>
    <w:rsid w:val="1D31745E"/>
    <w:rsid w:val="1D387F66"/>
    <w:rsid w:val="1D3A5FA0"/>
    <w:rsid w:val="1D5D1899"/>
    <w:rsid w:val="1D9219AE"/>
    <w:rsid w:val="1DA53112"/>
    <w:rsid w:val="1DBC7A0B"/>
    <w:rsid w:val="1DC053D3"/>
    <w:rsid w:val="1DD03214"/>
    <w:rsid w:val="1DD16643"/>
    <w:rsid w:val="1DD84F0B"/>
    <w:rsid w:val="1DE3780C"/>
    <w:rsid w:val="1DE95F0B"/>
    <w:rsid w:val="1DEA4E88"/>
    <w:rsid w:val="1DF9733C"/>
    <w:rsid w:val="1E014285"/>
    <w:rsid w:val="1E022E1F"/>
    <w:rsid w:val="1E20277C"/>
    <w:rsid w:val="1E234174"/>
    <w:rsid w:val="1E5033D7"/>
    <w:rsid w:val="1EB31B66"/>
    <w:rsid w:val="1EB66BE5"/>
    <w:rsid w:val="1EC27D87"/>
    <w:rsid w:val="1ECF07A0"/>
    <w:rsid w:val="1F172392"/>
    <w:rsid w:val="1F374741"/>
    <w:rsid w:val="1F443440"/>
    <w:rsid w:val="1F4F53ED"/>
    <w:rsid w:val="1F56321B"/>
    <w:rsid w:val="1FA5040C"/>
    <w:rsid w:val="1FA92B0D"/>
    <w:rsid w:val="1FAF723F"/>
    <w:rsid w:val="1FB65DB1"/>
    <w:rsid w:val="1FC508AF"/>
    <w:rsid w:val="1FCE34FB"/>
    <w:rsid w:val="1FF42217"/>
    <w:rsid w:val="1FF43752"/>
    <w:rsid w:val="1FF55B03"/>
    <w:rsid w:val="20224B6A"/>
    <w:rsid w:val="204125F3"/>
    <w:rsid w:val="20465E1E"/>
    <w:rsid w:val="204E212C"/>
    <w:rsid w:val="2050481D"/>
    <w:rsid w:val="205A4195"/>
    <w:rsid w:val="209148B6"/>
    <w:rsid w:val="20A0436C"/>
    <w:rsid w:val="20C07CFC"/>
    <w:rsid w:val="20D3142F"/>
    <w:rsid w:val="20DB0467"/>
    <w:rsid w:val="20E01CDD"/>
    <w:rsid w:val="20FF2E45"/>
    <w:rsid w:val="210767AB"/>
    <w:rsid w:val="2128213E"/>
    <w:rsid w:val="21427C63"/>
    <w:rsid w:val="21496748"/>
    <w:rsid w:val="21577F8C"/>
    <w:rsid w:val="216A3FCA"/>
    <w:rsid w:val="21784213"/>
    <w:rsid w:val="219927A2"/>
    <w:rsid w:val="219A172E"/>
    <w:rsid w:val="21B2164D"/>
    <w:rsid w:val="21C43E14"/>
    <w:rsid w:val="21C5052E"/>
    <w:rsid w:val="21D617EA"/>
    <w:rsid w:val="21D72E93"/>
    <w:rsid w:val="21F0755C"/>
    <w:rsid w:val="220962C1"/>
    <w:rsid w:val="221973C3"/>
    <w:rsid w:val="2220168E"/>
    <w:rsid w:val="22286F53"/>
    <w:rsid w:val="222D1A61"/>
    <w:rsid w:val="2241662B"/>
    <w:rsid w:val="22703FCD"/>
    <w:rsid w:val="2274397B"/>
    <w:rsid w:val="227527F2"/>
    <w:rsid w:val="227D5948"/>
    <w:rsid w:val="227E4BBE"/>
    <w:rsid w:val="228E7A3D"/>
    <w:rsid w:val="22A02050"/>
    <w:rsid w:val="22A400DB"/>
    <w:rsid w:val="22A62A2B"/>
    <w:rsid w:val="22CF23D8"/>
    <w:rsid w:val="22D879BD"/>
    <w:rsid w:val="22E33E95"/>
    <w:rsid w:val="231E4DBD"/>
    <w:rsid w:val="23293597"/>
    <w:rsid w:val="23404877"/>
    <w:rsid w:val="239F2B21"/>
    <w:rsid w:val="23AE768F"/>
    <w:rsid w:val="23B2552B"/>
    <w:rsid w:val="23B871F4"/>
    <w:rsid w:val="23CE7D4E"/>
    <w:rsid w:val="23DC390D"/>
    <w:rsid w:val="23F94C40"/>
    <w:rsid w:val="241207AA"/>
    <w:rsid w:val="243E3AC0"/>
    <w:rsid w:val="24502F21"/>
    <w:rsid w:val="246E68C2"/>
    <w:rsid w:val="24733D7B"/>
    <w:rsid w:val="24B8578A"/>
    <w:rsid w:val="24D03885"/>
    <w:rsid w:val="24ED238C"/>
    <w:rsid w:val="24F82DC0"/>
    <w:rsid w:val="25173334"/>
    <w:rsid w:val="25180974"/>
    <w:rsid w:val="252512E3"/>
    <w:rsid w:val="254E25E8"/>
    <w:rsid w:val="25621593"/>
    <w:rsid w:val="256967EE"/>
    <w:rsid w:val="257E11FC"/>
    <w:rsid w:val="258153D6"/>
    <w:rsid w:val="25876256"/>
    <w:rsid w:val="258B7976"/>
    <w:rsid w:val="25CA498C"/>
    <w:rsid w:val="25D5758C"/>
    <w:rsid w:val="25D641BA"/>
    <w:rsid w:val="25DB59A1"/>
    <w:rsid w:val="25E83DBA"/>
    <w:rsid w:val="260E2A2E"/>
    <w:rsid w:val="261C01B1"/>
    <w:rsid w:val="262D6C65"/>
    <w:rsid w:val="263C37D4"/>
    <w:rsid w:val="26495860"/>
    <w:rsid w:val="264C012F"/>
    <w:rsid w:val="26550D4A"/>
    <w:rsid w:val="267607C5"/>
    <w:rsid w:val="267765D8"/>
    <w:rsid w:val="268306BD"/>
    <w:rsid w:val="26883DEE"/>
    <w:rsid w:val="2695048E"/>
    <w:rsid w:val="269C5547"/>
    <w:rsid w:val="269E5056"/>
    <w:rsid w:val="269E759F"/>
    <w:rsid w:val="26B23DE4"/>
    <w:rsid w:val="26CF7614"/>
    <w:rsid w:val="26DB5CDF"/>
    <w:rsid w:val="26DD1E76"/>
    <w:rsid w:val="26E764DF"/>
    <w:rsid w:val="27033EC7"/>
    <w:rsid w:val="27176EF2"/>
    <w:rsid w:val="271800DA"/>
    <w:rsid w:val="27190D17"/>
    <w:rsid w:val="276533BD"/>
    <w:rsid w:val="27725103"/>
    <w:rsid w:val="279764E6"/>
    <w:rsid w:val="279F5F01"/>
    <w:rsid w:val="27B76B3D"/>
    <w:rsid w:val="27C55588"/>
    <w:rsid w:val="27C85DDF"/>
    <w:rsid w:val="27FE0C14"/>
    <w:rsid w:val="28072FE7"/>
    <w:rsid w:val="28073674"/>
    <w:rsid w:val="281068BA"/>
    <w:rsid w:val="281D483C"/>
    <w:rsid w:val="28290077"/>
    <w:rsid w:val="28443E91"/>
    <w:rsid w:val="28484318"/>
    <w:rsid w:val="284C2F7F"/>
    <w:rsid w:val="28615372"/>
    <w:rsid w:val="286322C7"/>
    <w:rsid w:val="28896A8E"/>
    <w:rsid w:val="28A013AD"/>
    <w:rsid w:val="28A7096E"/>
    <w:rsid w:val="28BC58E0"/>
    <w:rsid w:val="28D0768F"/>
    <w:rsid w:val="28F85087"/>
    <w:rsid w:val="28F96F63"/>
    <w:rsid w:val="28FB4835"/>
    <w:rsid w:val="291B6E92"/>
    <w:rsid w:val="2921131C"/>
    <w:rsid w:val="29296CCB"/>
    <w:rsid w:val="2937372F"/>
    <w:rsid w:val="293B6D51"/>
    <w:rsid w:val="295F689F"/>
    <w:rsid w:val="297C7AEE"/>
    <w:rsid w:val="299B69F4"/>
    <w:rsid w:val="29AF5C11"/>
    <w:rsid w:val="29DD54B5"/>
    <w:rsid w:val="29F73B17"/>
    <w:rsid w:val="2A020879"/>
    <w:rsid w:val="2A0C2F07"/>
    <w:rsid w:val="2A160998"/>
    <w:rsid w:val="2A281B58"/>
    <w:rsid w:val="2A3E5D4F"/>
    <w:rsid w:val="2A48125C"/>
    <w:rsid w:val="2A672859"/>
    <w:rsid w:val="2A707723"/>
    <w:rsid w:val="2A726BCC"/>
    <w:rsid w:val="2A762C7C"/>
    <w:rsid w:val="2A871EA7"/>
    <w:rsid w:val="2AC1385C"/>
    <w:rsid w:val="2ACF6288"/>
    <w:rsid w:val="2AE01862"/>
    <w:rsid w:val="2AFA61EF"/>
    <w:rsid w:val="2B167C2C"/>
    <w:rsid w:val="2B2E7123"/>
    <w:rsid w:val="2B425A6E"/>
    <w:rsid w:val="2B58796E"/>
    <w:rsid w:val="2B6151A2"/>
    <w:rsid w:val="2B7F7BDA"/>
    <w:rsid w:val="2B865E24"/>
    <w:rsid w:val="2B8C1B11"/>
    <w:rsid w:val="2BA867C7"/>
    <w:rsid w:val="2BAE7916"/>
    <w:rsid w:val="2BBD0B4F"/>
    <w:rsid w:val="2BCB74D6"/>
    <w:rsid w:val="2BF33EE9"/>
    <w:rsid w:val="2BF73BBB"/>
    <w:rsid w:val="2C2B2E92"/>
    <w:rsid w:val="2C487536"/>
    <w:rsid w:val="2C533353"/>
    <w:rsid w:val="2C564247"/>
    <w:rsid w:val="2C5F0ABE"/>
    <w:rsid w:val="2C6369EB"/>
    <w:rsid w:val="2C8661BB"/>
    <w:rsid w:val="2C957320"/>
    <w:rsid w:val="2CB01A0A"/>
    <w:rsid w:val="2CB35738"/>
    <w:rsid w:val="2CB5323B"/>
    <w:rsid w:val="2CC50F38"/>
    <w:rsid w:val="2CD61F47"/>
    <w:rsid w:val="2CE55A9A"/>
    <w:rsid w:val="2D0452A2"/>
    <w:rsid w:val="2D0A14EA"/>
    <w:rsid w:val="2D0C576E"/>
    <w:rsid w:val="2D1B5BD1"/>
    <w:rsid w:val="2D1E3DE7"/>
    <w:rsid w:val="2D24719C"/>
    <w:rsid w:val="2D2F58DF"/>
    <w:rsid w:val="2D3D6372"/>
    <w:rsid w:val="2D466FEF"/>
    <w:rsid w:val="2D6706EB"/>
    <w:rsid w:val="2D792D2A"/>
    <w:rsid w:val="2D94660E"/>
    <w:rsid w:val="2DB63F1A"/>
    <w:rsid w:val="2DC42CA9"/>
    <w:rsid w:val="2DCD5DBB"/>
    <w:rsid w:val="2DD965EF"/>
    <w:rsid w:val="2DDE602B"/>
    <w:rsid w:val="2E0D6728"/>
    <w:rsid w:val="2E240862"/>
    <w:rsid w:val="2E3479AD"/>
    <w:rsid w:val="2E5401F6"/>
    <w:rsid w:val="2E5573E6"/>
    <w:rsid w:val="2E6E4C72"/>
    <w:rsid w:val="2E77591F"/>
    <w:rsid w:val="2E8C113C"/>
    <w:rsid w:val="2E964CBB"/>
    <w:rsid w:val="2EB24D71"/>
    <w:rsid w:val="2ECC5912"/>
    <w:rsid w:val="2ECD4896"/>
    <w:rsid w:val="2ED92590"/>
    <w:rsid w:val="2F022B10"/>
    <w:rsid w:val="2F0B779C"/>
    <w:rsid w:val="2F0F1BCB"/>
    <w:rsid w:val="2F3D2F71"/>
    <w:rsid w:val="2F4857F8"/>
    <w:rsid w:val="2F8877BB"/>
    <w:rsid w:val="2F9110F1"/>
    <w:rsid w:val="2FAA4ED0"/>
    <w:rsid w:val="2FB91D02"/>
    <w:rsid w:val="2FE25C5B"/>
    <w:rsid w:val="2FE67E0B"/>
    <w:rsid w:val="2FF41FDB"/>
    <w:rsid w:val="300C6536"/>
    <w:rsid w:val="300F6E18"/>
    <w:rsid w:val="301051E0"/>
    <w:rsid w:val="301E39AF"/>
    <w:rsid w:val="3058663A"/>
    <w:rsid w:val="30633A22"/>
    <w:rsid w:val="307367A9"/>
    <w:rsid w:val="309A6F98"/>
    <w:rsid w:val="30C93B1B"/>
    <w:rsid w:val="30DC2D95"/>
    <w:rsid w:val="30EF0D5E"/>
    <w:rsid w:val="30F11232"/>
    <w:rsid w:val="312070FD"/>
    <w:rsid w:val="31366EB5"/>
    <w:rsid w:val="31395BB2"/>
    <w:rsid w:val="3150739E"/>
    <w:rsid w:val="31625D70"/>
    <w:rsid w:val="316817BE"/>
    <w:rsid w:val="316D5522"/>
    <w:rsid w:val="32021F2A"/>
    <w:rsid w:val="320504D2"/>
    <w:rsid w:val="3236199F"/>
    <w:rsid w:val="32417D30"/>
    <w:rsid w:val="32461F00"/>
    <w:rsid w:val="326A6BC5"/>
    <w:rsid w:val="32705150"/>
    <w:rsid w:val="3276317E"/>
    <w:rsid w:val="328904C5"/>
    <w:rsid w:val="32922503"/>
    <w:rsid w:val="329769CF"/>
    <w:rsid w:val="329F66C9"/>
    <w:rsid w:val="32B97894"/>
    <w:rsid w:val="32C97D96"/>
    <w:rsid w:val="32CC1C27"/>
    <w:rsid w:val="32CF5105"/>
    <w:rsid w:val="32D82E27"/>
    <w:rsid w:val="3323411E"/>
    <w:rsid w:val="33274B51"/>
    <w:rsid w:val="33BA5202"/>
    <w:rsid w:val="33C87900"/>
    <w:rsid w:val="33DB6E4B"/>
    <w:rsid w:val="33F04CFA"/>
    <w:rsid w:val="34045566"/>
    <w:rsid w:val="343E2A5E"/>
    <w:rsid w:val="346B298C"/>
    <w:rsid w:val="346E327D"/>
    <w:rsid w:val="348957C0"/>
    <w:rsid w:val="34943D90"/>
    <w:rsid w:val="3496165E"/>
    <w:rsid w:val="34980D45"/>
    <w:rsid w:val="34AD7CFB"/>
    <w:rsid w:val="34B30686"/>
    <w:rsid w:val="34B51B07"/>
    <w:rsid w:val="34D50630"/>
    <w:rsid w:val="34DB3F45"/>
    <w:rsid w:val="34E7705E"/>
    <w:rsid w:val="34E94A98"/>
    <w:rsid w:val="34FF3E50"/>
    <w:rsid w:val="350157C5"/>
    <w:rsid w:val="3507608E"/>
    <w:rsid w:val="351967D4"/>
    <w:rsid w:val="35525B4F"/>
    <w:rsid w:val="355703A1"/>
    <w:rsid w:val="355F1FA0"/>
    <w:rsid w:val="35613834"/>
    <w:rsid w:val="35631969"/>
    <w:rsid w:val="35833C4B"/>
    <w:rsid w:val="358B0861"/>
    <w:rsid w:val="35913D09"/>
    <w:rsid w:val="35A31F68"/>
    <w:rsid w:val="35AE29C0"/>
    <w:rsid w:val="35B54699"/>
    <w:rsid w:val="35B6028E"/>
    <w:rsid w:val="35B87F3A"/>
    <w:rsid w:val="35EB691D"/>
    <w:rsid w:val="36062C97"/>
    <w:rsid w:val="36214EFD"/>
    <w:rsid w:val="362D4E28"/>
    <w:rsid w:val="36317647"/>
    <w:rsid w:val="369928D3"/>
    <w:rsid w:val="36A02CAD"/>
    <w:rsid w:val="36A94DDA"/>
    <w:rsid w:val="36C526B2"/>
    <w:rsid w:val="36D5431D"/>
    <w:rsid w:val="36DA57BB"/>
    <w:rsid w:val="36E623E4"/>
    <w:rsid w:val="3706331F"/>
    <w:rsid w:val="370A5DF7"/>
    <w:rsid w:val="37215233"/>
    <w:rsid w:val="3722283C"/>
    <w:rsid w:val="37262C4C"/>
    <w:rsid w:val="37873738"/>
    <w:rsid w:val="37911D1E"/>
    <w:rsid w:val="379E56D6"/>
    <w:rsid w:val="37A126A3"/>
    <w:rsid w:val="37AD2CDE"/>
    <w:rsid w:val="37C77473"/>
    <w:rsid w:val="37C856A5"/>
    <w:rsid w:val="37C879AB"/>
    <w:rsid w:val="38097006"/>
    <w:rsid w:val="38164E4D"/>
    <w:rsid w:val="382A36E4"/>
    <w:rsid w:val="382E2FA6"/>
    <w:rsid w:val="3839552F"/>
    <w:rsid w:val="383B4C4E"/>
    <w:rsid w:val="38AF210E"/>
    <w:rsid w:val="38B21C96"/>
    <w:rsid w:val="38C03495"/>
    <w:rsid w:val="392C3802"/>
    <w:rsid w:val="39751B78"/>
    <w:rsid w:val="39A0641B"/>
    <w:rsid w:val="39A82BF6"/>
    <w:rsid w:val="39A8639B"/>
    <w:rsid w:val="39A93E7E"/>
    <w:rsid w:val="39CE3C22"/>
    <w:rsid w:val="39F3612E"/>
    <w:rsid w:val="3A126BA4"/>
    <w:rsid w:val="3A2154DA"/>
    <w:rsid w:val="3A2C23E6"/>
    <w:rsid w:val="3A2C3AE5"/>
    <w:rsid w:val="3A4F55EC"/>
    <w:rsid w:val="3A595132"/>
    <w:rsid w:val="3A5B326E"/>
    <w:rsid w:val="3A9F169B"/>
    <w:rsid w:val="3AA72021"/>
    <w:rsid w:val="3AA94B12"/>
    <w:rsid w:val="3AB80B0A"/>
    <w:rsid w:val="3AD02D8D"/>
    <w:rsid w:val="3AE52340"/>
    <w:rsid w:val="3B137724"/>
    <w:rsid w:val="3B1B48C3"/>
    <w:rsid w:val="3B2B1626"/>
    <w:rsid w:val="3B336194"/>
    <w:rsid w:val="3B3F3464"/>
    <w:rsid w:val="3B5D38D0"/>
    <w:rsid w:val="3B69616A"/>
    <w:rsid w:val="3B6F477C"/>
    <w:rsid w:val="3B747DBC"/>
    <w:rsid w:val="3B791437"/>
    <w:rsid w:val="3B7A740A"/>
    <w:rsid w:val="3B983CAE"/>
    <w:rsid w:val="3BAB6843"/>
    <w:rsid w:val="3BAF3BA3"/>
    <w:rsid w:val="3BC82C9D"/>
    <w:rsid w:val="3BD77473"/>
    <w:rsid w:val="3BDB5583"/>
    <w:rsid w:val="3BF8746E"/>
    <w:rsid w:val="3C0054D2"/>
    <w:rsid w:val="3C0E6550"/>
    <w:rsid w:val="3C0F2D93"/>
    <w:rsid w:val="3C12543D"/>
    <w:rsid w:val="3C197AA2"/>
    <w:rsid w:val="3C277A20"/>
    <w:rsid w:val="3C3B2C17"/>
    <w:rsid w:val="3C447E49"/>
    <w:rsid w:val="3C9A1408"/>
    <w:rsid w:val="3CA54DD0"/>
    <w:rsid w:val="3CB246D8"/>
    <w:rsid w:val="3CBE19FF"/>
    <w:rsid w:val="3CCF49A4"/>
    <w:rsid w:val="3CD8311A"/>
    <w:rsid w:val="3CFC6ECD"/>
    <w:rsid w:val="3D126773"/>
    <w:rsid w:val="3D1F6385"/>
    <w:rsid w:val="3D38712C"/>
    <w:rsid w:val="3D4418F4"/>
    <w:rsid w:val="3D743A8D"/>
    <w:rsid w:val="3D7F382F"/>
    <w:rsid w:val="3D821FF8"/>
    <w:rsid w:val="3D845D4A"/>
    <w:rsid w:val="3DAF085C"/>
    <w:rsid w:val="3DBD73FD"/>
    <w:rsid w:val="3DE522A2"/>
    <w:rsid w:val="3DEC3227"/>
    <w:rsid w:val="3E10797C"/>
    <w:rsid w:val="3E260F74"/>
    <w:rsid w:val="3E2A6463"/>
    <w:rsid w:val="3E2B12C1"/>
    <w:rsid w:val="3E2D51B7"/>
    <w:rsid w:val="3E3101D2"/>
    <w:rsid w:val="3E3519F4"/>
    <w:rsid w:val="3E6622F9"/>
    <w:rsid w:val="3E6A0D48"/>
    <w:rsid w:val="3E9450B8"/>
    <w:rsid w:val="3E946919"/>
    <w:rsid w:val="3EA35E91"/>
    <w:rsid w:val="3EA6317A"/>
    <w:rsid w:val="3EC16630"/>
    <w:rsid w:val="3EED7561"/>
    <w:rsid w:val="3EF1129F"/>
    <w:rsid w:val="3EF17D6F"/>
    <w:rsid w:val="3F0A4783"/>
    <w:rsid w:val="3F2213A1"/>
    <w:rsid w:val="3F2F6B8F"/>
    <w:rsid w:val="3F3E3276"/>
    <w:rsid w:val="3F4E7A57"/>
    <w:rsid w:val="3F68720D"/>
    <w:rsid w:val="3F703B59"/>
    <w:rsid w:val="3F765C85"/>
    <w:rsid w:val="3F7D3A9E"/>
    <w:rsid w:val="3F811406"/>
    <w:rsid w:val="3F963A26"/>
    <w:rsid w:val="3FA90920"/>
    <w:rsid w:val="3FDB22EF"/>
    <w:rsid w:val="3FF449D7"/>
    <w:rsid w:val="3FFF491C"/>
    <w:rsid w:val="401761AF"/>
    <w:rsid w:val="40273D0A"/>
    <w:rsid w:val="403609F5"/>
    <w:rsid w:val="4038727A"/>
    <w:rsid w:val="40394144"/>
    <w:rsid w:val="403A0347"/>
    <w:rsid w:val="403C32D4"/>
    <w:rsid w:val="404A3EC7"/>
    <w:rsid w:val="40525C02"/>
    <w:rsid w:val="40696A3B"/>
    <w:rsid w:val="407B3A38"/>
    <w:rsid w:val="40896772"/>
    <w:rsid w:val="408A57AC"/>
    <w:rsid w:val="4091231A"/>
    <w:rsid w:val="409D5FB3"/>
    <w:rsid w:val="40AB2E39"/>
    <w:rsid w:val="40B25881"/>
    <w:rsid w:val="40BF780F"/>
    <w:rsid w:val="40D6364F"/>
    <w:rsid w:val="40D94917"/>
    <w:rsid w:val="40EC510F"/>
    <w:rsid w:val="40F2566D"/>
    <w:rsid w:val="40F33CD2"/>
    <w:rsid w:val="40FD67A8"/>
    <w:rsid w:val="41251231"/>
    <w:rsid w:val="41267024"/>
    <w:rsid w:val="41293340"/>
    <w:rsid w:val="413E755D"/>
    <w:rsid w:val="41426296"/>
    <w:rsid w:val="41772630"/>
    <w:rsid w:val="418F600A"/>
    <w:rsid w:val="419E0678"/>
    <w:rsid w:val="41AC2357"/>
    <w:rsid w:val="41B82E6B"/>
    <w:rsid w:val="41D2427E"/>
    <w:rsid w:val="41E4181B"/>
    <w:rsid w:val="41F44DDD"/>
    <w:rsid w:val="41F632AB"/>
    <w:rsid w:val="41F67E38"/>
    <w:rsid w:val="420926A8"/>
    <w:rsid w:val="42144998"/>
    <w:rsid w:val="421B0469"/>
    <w:rsid w:val="42254ACB"/>
    <w:rsid w:val="423C712A"/>
    <w:rsid w:val="42437F00"/>
    <w:rsid w:val="4258020C"/>
    <w:rsid w:val="425D13CA"/>
    <w:rsid w:val="427163CE"/>
    <w:rsid w:val="429B7139"/>
    <w:rsid w:val="42AB4D29"/>
    <w:rsid w:val="42BE574C"/>
    <w:rsid w:val="42CA1144"/>
    <w:rsid w:val="43080A5F"/>
    <w:rsid w:val="432A1B96"/>
    <w:rsid w:val="433C2FF7"/>
    <w:rsid w:val="43420B70"/>
    <w:rsid w:val="43513D56"/>
    <w:rsid w:val="436237C4"/>
    <w:rsid w:val="436F7684"/>
    <w:rsid w:val="4373391A"/>
    <w:rsid w:val="43764E2E"/>
    <w:rsid w:val="43CC2FC9"/>
    <w:rsid w:val="43E12BAA"/>
    <w:rsid w:val="43E23ABE"/>
    <w:rsid w:val="43E427A2"/>
    <w:rsid w:val="43FD01EE"/>
    <w:rsid w:val="440F4776"/>
    <w:rsid w:val="44143703"/>
    <w:rsid w:val="44380E90"/>
    <w:rsid w:val="444159F1"/>
    <w:rsid w:val="44452734"/>
    <w:rsid w:val="44741F34"/>
    <w:rsid w:val="447909F6"/>
    <w:rsid w:val="447F2DD7"/>
    <w:rsid w:val="4484172B"/>
    <w:rsid w:val="448D5606"/>
    <w:rsid w:val="44971C1B"/>
    <w:rsid w:val="44975545"/>
    <w:rsid w:val="44B4165A"/>
    <w:rsid w:val="44B53314"/>
    <w:rsid w:val="44C22253"/>
    <w:rsid w:val="44C4079D"/>
    <w:rsid w:val="44C8564B"/>
    <w:rsid w:val="44CD62F1"/>
    <w:rsid w:val="44CE266E"/>
    <w:rsid w:val="44D96849"/>
    <w:rsid w:val="44DE12E3"/>
    <w:rsid w:val="44EA63E7"/>
    <w:rsid w:val="450C4042"/>
    <w:rsid w:val="45147150"/>
    <w:rsid w:val="451941B8"/>
    <w:rsid w:val="45232DE6"/>
    <w:rsid w:val="45393E57"/>
    <w:rsid w:val="456E267D"/>
    <w:rsid w:val="459923DD"/>
    <w:rsid w:val="45CD7538"/>
    <w:rsid w:val="45DF5DF0"/>
    <w:rsid w:val="45E552CD"/>
    <w:rsid w:val="45F20DAC"/>
    <w:rsid w:val="46393734"/>
    <w:rsid w:val="46581398"/>
    <w:rsid w:val="46A37A21"/>
    <w:rsid w:val="46B1257F"/>
    <w:rsid w:val="46BD1AF9"/>
    <w:rsid w:val="46E47359"/>
    <w:rsid w:val="46FA4032"/>
    <w:rsid w:val="47037BA7"/>
    <w:rsid w:val="47144F91"/>
    <w:rsid w:val="4716148D"/>
    <w:rsid w:val="47211B42"/>
    <w:rsid w:val="472B10A2"/>
    <w:rsid w:val="4757612E"/>
    <w:rsid w:val="475D5416"/>
    <w:rsid w:val="477760D5"/>
    <w:rsid w:val="47815DBD"/>
    <w:rsid w:val="47A536AD"/>
    <w:rsid w:val="47EF13C6"/>
    <w:rsid w:val="4809511B"/>
    <w:rsid w:val="48164FEB"/>
    <w:rsid w:val="48223734"/>
    <w:rsid w:val="484B1E04"/>
    <w:rsid w:val="4878052E"/>
    <w:rsid w:val="48792BEE"/>
    <w:rsid w:val="488B6B74"/>
    <w:rsid w:val="48B1188E"/>
    <w:rsid w:val="48B13DF3"/>
    <w:rsid w:val="48B63E7D"/>
    <w:rsid w:val="48E97DCD"/>
    <w:rsid w:val="48F077A0"/>
    <w:rsid w:val="48FB0D27"/>
    <w:rsid w:val="4912171D"/>
    <w:rsid w:val="491D0ECE"/>
    <w:rsid w:val="49750BC6"/>
    <w:rsid w:val="49846A87"/>
    <w:rsid w:val="49902978"/>
    <w:rsid w:val="49917ABF"/>
    <w:rsid w:val="49D1575D"/>
    <w:rsid w:val="49D438AE"/>
    <w:rsid w:val="49D86CD6"/>
    <w:rsid w:val="49F1006A"/>
    <w:rsid w:val="4A064C98"/>
    <w:rsid w:val="4A174579"/>
    <w:rsid w:val="4A211667"/>
    <w:rsid w:val="4A230DAF"/>
    <w:rsid w:val="4A387522"/>
    <w:rsid w:val="4A4A41BF"/>
    <w:rsid w:val="4A521FA1"/>
    <w:rsid w:val="4A5E02F2"/>
    <w:rsid w:val="4A692C3C"/>
    <w:rsid w:val="4A6E1243"/>
    <w:rsid w:val="4A744000"/>
    <w:rsid w:val="4A744447"/>
    <w:rsid w:val="4A754B47"/>
    <w:rsid w:val="4A835E59"/>
    <w:rsid w:val="4A926921"/>
    <w:rsid w:val="4A996100"/>
    <w:rsid w:val="4A9F09A8"/>
    <w:rsid w:val="4A9F144E"/>
    <w:rsid w:val="4A9F5966"/>
    <w:rsid w:val="4AA219EE"/>
    <w:rsid w:val="4AAF7DED"/>
    <w:rsid w:val="4AB10F6D"/>
    <w:rsid w:val="4ABB221B"/>
    <w:rsid w:val="4ABD0913"/>
    <w:rsid w:val="4ABE6A5E"/>
    <w:rsid w:val="4AC71D14"/>
    <w:rsid w:val="4AD61762"/>
    <w:rsid w:val="4AEB0E78"/>
    <w:rsid w:val="4B0F4024"/>
    <w:rsid w:val="4B2E39CD"/>
    <w:rsid w:val="4B3A6F0B"/>
    <w:rsid w:val="4B620FF3"/>
    <w:rsid w:val="4B6B5C32"/>
    <w:rsid w:val="4B83478B"/>
    <w:rsid w:val="4B881DE5"/>
    <w:rsid w:val="4B8C50D1"/>
    <w:rsid w:val="4B9E469D"/>
    <w:rsid w:val="4BD233D5"/>
    <w:rsid w:val="4BD858B1"/>
    <w:rsid w:val="4BDF1B0C"/>
    <w:rsid w:val="4BF12662"/>
    <w:rsid w:val="4BF27303"/>
    <w:rsid w:val="4BF91C0F"/>
    <w:rsid w:val="4C04758C"/>
    <w:rsid w:val="4C086ED3"/>
    <w:rsid w:val="4C136E98"/>
    <w:rsid w:val="4C215104"/>
    <w:rsid w:val="4C3A0E8C"/>
    <w:rsid w:val="4C3B306D"/>
    <w:rsid w:val="4C3F68CB"/>
    <w:rsid w:val="4C63596A"/>
    <w:rsid w:val="4C67468C"/>
    <w:rsid w:val="4C69714A"/>
    <w:rsid w:val="4CB86805"/>
    <w:rsid w:val="4CC23353"/>
    <w:rsid w:val="4CF056B5"/>
    <w:rsid w:val="4CF84570"/>
    <w:rsid w:val="4D04603A"/>
    <w:rsid w:val="4D184888"/>
    <w:rsid w:val="4D314CE5"/>
    <w:rsid w:val="4D34038E"/>
    <w:rsid w:val="4D711E4D"/>
    <w:rsid w:val="4DC3607C"/>
    <w:rsid w:val="4DC934A3"/>
    <w:rsid w:val="4DF95EC4"/>
    <w:rsid w:val="4E001070"/>
    <w:rsid w:val="4E075245"/>
    <w:rsid w:val="4E1A5811"/>
    <w:rsid w:val="4E290DEA"/>
    <w:rsid w:val="4E3026A4"/>
    <w:rsid w:val="4E4D40F1"/>
    <w:rsid w:val="4E5B12D0"/>
    <w:rsid w:val="4E9048F5"/>
    <w:rsid w:val="4E9121A3"/>
    <w:rsid w:val="4E94223C"/>
    <w:rsid w:val="4EA315B1"/>
    <w:rsid w:val="4EB37F30"/>
    <w:rsid w:val="4EB877D5"/>
    <w:rsid w:val="4EC006ED"/>
    <w:rsid w:val="4EE66E2F"/>
    <w:rsid w:val="4F0E2841"/>
    <w:rsid w:val="4F2A7CD1"/>
    <w:rsid w:val="4F351166"/>
    <w:rsid w:val="4F662E42"/>
    <w:rsid w:val="4FAD5783"/>
    <w:rsid w:val="4FB65B4C"/>
    <w:rsid w:val="4FB87C0B"/>
    <w:rsid w:val="4FC745B9"/>
    <w:rsid w:val="4FD07142"/>
    <w:rsid w:val="4FD33502"/>
    <w:rsid w:val="4FEA7498"/>
    <w:rsid w:val="4FF53BFE"/>
    <w:rsid w:val="50081462"/>
    <w:rsid w:val="50083D3C"/>
    <w:rsid w:val="50196569"/>
    <w:rsid w:val="501E6ED7"/>
    <w:rsid w:val="503806DC"/>
    <w:rsid w:val="504B5ACC"/>
    <w:rsid w:val="505F606E"/>
    <w:rsid w:val="50607C1B"/>
    <w:rsid w:val="50896655"/>
    <w:rsid w:val="508D2A70"/>
    <w:rsid w:val="509E566B"/>
    <w:rsid w:val="50BF136F"/>
    <w:rsid w:val="50C5466D"/>
    <w:rsid w:val="50CF59BD"/>
    <w:rsid w:val="50EE1A52"/>
    <w:rsid w:val="510252DB"/>
    <w:rsid w:val="51121E6C"/>
    <w:rsid w:val="512F144A"/>
    <w:rsid w:val="51354D5A"/>
    <w:rsid w:val="513639C0"/>
    <w:rsid w:val="513653E6"/>
    <w:rsid w:val="514041E4"/>
    <w:rsid w:val="51534D06"/>
    <w:rsid w:val="515626A1"/>
    <w:rsid w:val="51956D25"/>
    <w:rsid w:val="51B53CA2"/>
    <w:rsid w:val="51C328E8"/>
    <w:rsid w:val="51C615D7"/>
    <w:rsid w:val="51D964E4"/>
    <w:rsid w:val="5202206C"/>
    <w:rsid w:val="521D5470"/>
    <w:rsid w:val="521E3FF3"/>
    <w:rsid w:val="521F5AE9"/>
    <w:rsid w:val="522F766C"/>
    <w:rsid w:val="52397E1F"/>
    <w:rsid w:val="524408CC"/>
    <w:rsid w:val="524E3378"/>
    <w:rsid w:val="52651008"/>
    <w:rsid w:val="526B2FB1"/>
    <w:rsid w:val="526B33E5"/>
    <w:rsid w:val="527D4E6F"/>
    <w:rsid w:val="52A03397"/>
    <w:rsid w:val="52B27F46"/>
    <w:rsid w:val="52C129A5"/>
    <w:rsid w:val="52D96EA6"/>
    <w:rsid w:val="52FE451B"/>
    <w:rsid w:val="5308530D"/>
    <w:rsid w:val="533A5C60"/>
    <w:rsid w:val="533B3573"/>
    <w:rsid w:val="534121A2"/>
    <w:rsid w:val="535A0D01"/>
    <w:rsid w:val="539B25ED"/>
    <w:rsid w:val="53D02EFE"/>
    <w:rsid w:val="53EA398F"/>
    <w:rsid w:val="542B0ABC"/>
    <w:rsid w:val="544F309F"/>
    <w:rsid w:val="546008AD"/>
    <w:rsid w:val="54F3141A"/>
    <w:rsid w:val="54F44E33"/>
    <w:rsid w:val="54F478A4"/>
    <w:rsid w:val="55002113"/>
    <w:rsid w:val="55255FF6"/>
    <w:rsid w:val="55342BCA"/>
    <w:rsid w:val="553C2FC1"/>
    <w:rsid w:val="55580075"/>
    <w:rsid w:val="555C0D21"/>
    <w:rsid w:val="55621614"/>
    <w:rsid w:val="55652EB2"/>
    <w:rsid w:val="556A1073"/>
    <w:rsid w:val="558333C1"/>
    <w:rsid w:val="55BA7147"/>
    <w:rsid w:val="55BB289D"/>
    <w:rsid w:val="55C9645F"/>
    <w:rsid w:val="55DA564E"/>
    <w:rsid w:val="55DB0F91"/>
    <w:rsid w:val="55DD0A7D"/>
    <w:rsid w:val="55E97640"/>
    <w:rsid w:val="560C01BB"/>
    <w:rsid w:val="56426050"/>
    <w:rsid w:val="565A5DC7"/>
    <w:rsid w:val="56677159"/>
    <w:rsid w:val="56771937"/>
    <w:rsid w:val="567F6737"/>
    <w:rsid w:val="568863F6"/>
    <w:rsid w:val="568F2767"/>
    <w:rsid w:val="56920D90"/>
    <w:rsid w:val="56A106AC"/>
    <w:rsid w:val="56CB3A71"/>
    <w:rsid w:val="56CE02D1"/>
    <w:rsid w:val="56F15F69"/>
    <w:rsid w:val="571921A6"/>
    <w:rsid w:val="57931AE1"/>
    <w:rsid w:val="57A218CA"/>
    <w:rsid w:val="57A76735"/>
    <w:rsid w:val="57B74973"/>
    <w:rsid w:val="57C2283E"/>
    <w:rsid w:val="57C4660B"/>
    <w:rsid w:val="57E33DE9"/>
    <w:rsid w:val="57EA7277"/>
    <w:rsid w:val="57ED23D5"/>
    <w:rsid w:val="58077CD4"/>
    <w:rsid w:val="58114BCD"/>
    <w:rsid w:val="58127EAB"/>
    <w:rsid w:val="583B32DC"/>
    <w:rsid w:val="584E0929"/>
    <w:rsid w:val="5862610E"/>
    <w:rsid w:val="587C0599"/>
    <w:rsid w:val="587C6644"/>
    <w:rsid w:val="5888724A"/>
    <w:rsid w:val="58AD6080"/>
    <w:rsid w:val="58D43EA7"/>
    <w:rsid w:val="58E70D3E"/>
    <w:rsid w:val="58EF5383"/>
    <w:rsid w:val="58F855A4"/>
    <w:rsid w:val="58F91526"/>
    <w:rsid w:val="590A0E9A"/>
    <w:rsid w:val="591567A8"/>
    <w:rsid w:val="59172982"/>
    <w:rsid w:val="59224F0F"/>
    <w:rsid w:val="59313F3B"/>
    <w:rsid w:val="59653ED2"/>
    <w:rsid w:val="596B6014"/>
    <w:rsid w:val="59751359"/>
    <w:rsid w:val="597F0670"/>
    <w:rsid w:val="59A6639B"/>
    <w:rsid w:val="59F258F7"/>
    <w:rsid w:val="5A0034B2"/>
    <w:rsid w:val="5A0C69CF"/>
    <w:rsid w:val="5A113C37"/>
    <w:rsid w:val="5A1D79BF"/>
    <w:rsid w:val="5A1E158E"/>
    <w:rsid w:val="5A367DF2"/>
    <w:rsid w:val="5A426661"/>
    <w:rsid w:val="5A4A017C"/>
    <w:rsid w:val="5A5918CA"/>
    <w:rsid w:val="5A5A3450"/>
    <w:rsid w:val="5A5E27F6"/>
    <w:rsid w:val="5A633722"/>
    <w:rsid w:val="5A715BC0"/>
    <w:rsid w:val="5A867F2F"/>
    <w:rsid w:val="5AA14B76"/>
    <w:rsid w:val="5AB363F3"/>
    <w:rsid w:val="5ABD4B43"/>
    <w:rsid w:val="5AD832B4"/>
    <w:rsid w:val="5B0608E3"/>
    <w:rsid w:val="5B455EF2"/>
    <w:rsid w:val="5B5E2087"/>
    <w:rsid w:val="5B5F4829"/>
    <w:rsid w:val="5B895528"/>
    <w:rsid w:val="5B950720"/>
    <w:rsid w:val="5BA0695B"/>
    <w:rsid w:val="5BB1523B"/>
    <w:rsid w:val="5BBD71F2"/>
    <w:rsid w:val="5BF23219"/>
    <w:rsid w:val="5BF31AD6"/>
    <w:rsid w:val="5BF9002E"/>
    <w:rsid w:val="5C09191E"/>
    <w:rsid w:val="5C131687"/>
    <w:rsid w:val="5C495B5D"/>
    <w:rsid w:val="5C6725A4"/>
    <w:rsid w:val="5C693288"/>
    <w:rsid w:val="5C9E2596"/>
    <w:rsid w:val="5CA661BE"/>
    <w:rsid w:val="5CAF052B"/>
    <w:rsid w:val="5CEF731D"/>
    <w:rsid w:val="5D084A06"/>
    <w:rsid w:val="5D0D5BEB"/>
    <w:rsid w:val="5D102E39"/>
    <w:rsid w:val="5D302EDA"/>
    <w:rsid w:val="5D577585"/>
    <w:rsid w:val="5D647CBB"/>
    <w:rsid w:val="5D663C6C"/>
    <w:rsid w:val="5D703ED3"/>
    <w:rsid w:val="5D7B6F06"/>
    <w:rsid w:val="5D8462D2"/>
    <w:rsid w:val="5D876422"/>
    <w:rsid w:val="5DB744C7"/>
    <w:rsid w:val="5DE46196"/>
    <w:rsid w:val="5DF237B4"/>
    <w:rsid w:val="5DFD7307"/>
    <w:rsid w:val="5E280622"/>
    <w:rsid w:val="5E391380"/>
    <w:rsid w:val="5E3C1E65"/>
    <w:rsid w:val="5E4863F0"/>
    <w:rsid w:val="5E4E2603"/>
    <w:rsid w:val="5E512BA9"/>
    <w:rsid w:val="5E6E102A"/>
    <w:rsid w:val="5E781EA8"/>
    <w:rsid w:val="5E9A3FC1"/>
    <w:rsid w:val="5EC33192"/>
    <w:rsid w:val="5ECD69DE"/>
    <w:rsid w:val="5EFB29B1"/>
    <w:rsid w:val="5F155367"/>
    <w:rsid w:val="5F355DB6"/>
    <w:rsid w:val="5F5209F8"/>
    <w:rsid w:val="5F530B3B"/>
    <w:rsid w:val="5F574981"/>
    <w:rsid w:val="5F6D12E1"/>
    <w:rsid w:val="5F8355BC"/>
    <w:rsid w:val="5F976163"/>
    <w:rsid w:val="5FB06A25"/>
    <w:rsid w:val="5FCF1954"/>
    <w:rsid w:val="5FD547E6"/>
    <w:rsid w:val="5FEC2A13"/>
    <w:rsid w:val="600823ED"/>
    <w:rsid w:val="601E2116"/>
    <w:rsid w:val="60332ECC"/>
    <w:rsid w:val="605B4000"/>
    <w:rsid w:val="60717970"/>
    <w:rsid w:val="60787F3E"/>
    <w:rsid w:val="60A07495"/>
    <w:rsid w:val="60BB5DD9"/>
    <w:rsid w:val="60EB5790"/>
    <w:rsid w:val="610D776E"/>
    <w:rsid w:val="612F05E4"/>
    <w:rsid w:val="61424B96"/>
    <w:rsid w:val="61500132"/>
    <w:rsid w:val="61560C2B"/>
    <w:rsid w:val="61751B7B"/>
    <w:rsid w:val="618260B8"/>
    <w:rsid w:val="61853CC3"/>
    <w:rsid w:val="61AA758F"/>
    <w:rsid w:val="61AE48A6"/>
    <w:rsid w:val="61CF08D4"/>
    <w:rsid w:val="61E124C4"/>
    <w:rsid w:val="61E460D4"/>
    <w:rsid w:val="61F80926"/>
    <w:rsid w:val="62250D4D"/>
    <w:rsid w:val="62345478"/>
    <w:rsid w:val="62616ABC"/>
    <w:rsid w:val="626C4386"/>
    <w:rsid w:val="627E1A24"/>
    <w:rsid w:val="62907D75"/>
    <w:rsid w:val="6298132D"/>
    <w:rsid w:val="62A54F1F"/>
    <w:rsid w:val="62AF2D2F"/>
    <w:rsid w:val="6317508C"/>
    <w:rsid w:val="631C6940"/>
    <w:rsid w:val="631F076E"/>
    <w:rsid w:val="63247D74"/>
    <w:rsid w:val="63310230"/>
    <w:rsid w:val="635377D2"/>
    <w:rsid w:val="636E0845"/>
    <w:rsid w:val="637A10CA"/>
    <w:rsid w:val="639F7995"/>
    <w:rsid w:val="63A31630"/>
    <w:rsid w:val="64107237"/>
    <w:rsid w:val="64491B0B"/>
    <w:rsid w:val="645C76B6"/>
    <w:rsid w:val="64697BDE"/>
    <w:rsid w:val="647B7C5D"/>
    <w:rsid w:val="647D7581"/>
    <w:rsid w:val="648720D1"/>
    <w:rsid w:val="648965DE"/>
    <w:rsid w:val="64E72601"/>
    <w:rsid w:val="64EE228F"/>
    <w:rsid w:val="64F976E0"/>
    <w:rsid w:val="656A13E3"/>
    <w:rsid w:val="656A56C0"/>
    <w:rsid w:val="65711E24"/>
    <w:rsid w:val="6577407A"/>
    <w:rsid w:val="6578683C"/>
    <w:rsid w:val="657F4BCB"/>
    <w:rsid w:val="658F02D3"/>
    <w:rsid w:val="659F4ACC"/>
    <w:rsid w:val="65A078D0"/>
    <w:rsid w:val="65B24CEA"/>
    <w:rsid w:val="65CF19F9"/>
    <w:rsid w:val="65D462B7"/>
    <w:rsid w:val="65E00A19"/>
    <w:rsid w:val="65E54F88"/>
    <w:rsid w:val="6608646E"/>
    <w:rsid w:val="662621EA"/>
    <w:rsid w:val="66525E47"/>
    <w:rsid w:val="665546DF"/>
    <w:rsid w:val="666E3CE8"/>
    <w:rsid w:val="668F05DE"/>
    <w:rsid w:val="669445A1"/>
    <w:rsid w:val="66BE571F"/>
    <w:rsid w:val="66C96F26"/>
    <w:rsid w:val="66E76C69"/>
    <w:rsid w:val="66FC78D2"/>
    <w:rsid w:val="6702149F"/>
    <w:rsid w:val="67031C0C"/>
    <w:rsid w:val="6735767C"/>
    <w:rsid w:val="674C1D29"/>
    <w:rsid w:val="67562FCE"/>
    <w:rsid w:val="675B7897"/>
    <w:rsid w:val="676404B9"/>
    <w:rsid w:val="676752FD"/>
    <w:rsid w:val="67800DDD"/>
    <w:rsid w:val="67927BBC"/>
    <w:rsid w:val="67B97F62"/>
    <w:rsid w:val="67C86443"/>
    <w:rsid w:val="67CB129B"/>
    <w:rsid w:val="67DB0FA6"/>
    <w:rsid w:val="67F665BC"/>
    <w:rsid w:val="68113F78"/>
    <w:rsid w:val="68200E09"/>
    <w:rsid w:val="682F1237"/>
    <w:rsid w:val="683351FB"/>
    <w:rsid w:val="68444BA9"/>
    <w:rsid w:val="684913D3"/>
    <w:rsid w:val="68600B71"/>
    <w:rsid w:val="68695E40"/>
    <w:rsid w:val="6871776D"/>
    <w:rsid w:val="68A46AF3"/>
    <w:rsid w:val="68C24FD3"/>
    <w:rsid w:val="68CD4ADC"/>
    <w:rsid w:val="68E82523"/>
    <w:rsid w:val="690F3409"/>
    <w:rsid w:val="691E0FAE"/>
    <w:rsid w:val="691F3FDC"/>
    <w:rsid w:val="692F69D9"/>
    <w:rsid w:val="69364132"/>
    <w:rsid w:val="693C1F40"/>
    <w:rsid w:val="69422C5E"/>
    <w:rsid w:val="69497CC3"/>
    <w:rsid w:val="6985191D"/>
    <w:rsid w:val="698B62BD"/>
    <w:rsid w:val="69CC7DA0"/>
    <w:rsid w:val="69EA1DDB"/>
    <w:rsid w:val="6A232FA8"/>
    <w:rsid w:val="6A3513FB"/>
    <w:rsid w:val="6A575A1A"/>
    <w:rsid w:val="6A7141C2"/>
    <w:rsid w:val="6A8A0DE2"/>
    <w:rsid w:val="6A8A23D9"/>
    <w:rsid w:val="6A922CE9"/>
    <w:rsid w:val="6ABE614E"/>
    <w:rsid w:val="6AC4416A"/>
    <w:rsid w:val="6AE77D65"/>
    <w:rsid w:val="6AF705F9"/>
    <w:rsid w:val="6B0869A4"/>
    <w:rsid w:val="6B2E0290"/>
    <w:rsid w:val="6B5D12ED"/>
    <w:rsid w:val="6B8D723B"/>
    <w:rsid w:val="6B9857EA"/>
    <w:rsid w:val="6BA8784A"/>
    <w:rsid w:val="6BB00AB2"/>
    <w:rsid w:val="6BB17BFE"/>
    <w:rsid w:val="6BEF4424"/>
    <w:rsid w:val="6C1B7B81"/>
    <w:rsid w:val="6C2955C5"/>
    <w:rsid w:val="6C4021D0"/>
    <w:rsid w:val="6C5A4BD3"/>
    <w:rsid w:val="6C6D0318"/>
    <w:rsid w:val="6C7F5731"/>
    <w:rsid w:val="6C9A56E0"/>
    <w:rsid w:val="6CA11647"/>
    <w:rsid w:val="6CA728F8"/>
    <w:rsid w:val="6CB80F0F"/>
    <w:rsid w:val="6CBD3876"/>
    <w:rsid w:val="6CC83FFB"/>
    <w:rsid w:val="6CCC3278"/>
    <w:rsid w:val="6CD24037"/>
    <w:rsid w:val="6CE611BE"/>
    <w:rsid w:val="6CED511C"/>
    <w:rsid w:val="6CF0330A"/>
    <w:rsid w:val="6D024CF4"/>
    <w:rsid w:val="6D042B59"/>
    <w:rsid w:val="6D064B23"/>
    <w:rsid w:val="6D5A4776"/>
    <w:rsid w:val="6D655032"/>
    <w:rsid w:val="6D7E48A9"/>
    <w:rsid w:val="6DDD0932"/>
    <w:rsid w:val="6DDE4A58"/>
    <w:rsid w:val="6DDE6E1C"/>
    <w:rsid w:val="6DE7710E"/>
    <w:rsid w:val="6DE92424"/>
    <w:rsid w:val="6E1A5085"/>
    <w:rsid w:val="6E4823EC"/>
    <w:rsid w:val="6E5D6DD7"/>
    <w:rsid w:val="6E814B56"/>
    <w:rsid w:val="6E8C0CAF"/>
    <w:rsid w:val="6E9A0985"/>
    <w:rsid w:val="6E9D76B8"/>
    <w:rsid w:val="6EA85DFD"/>
    <w:rsid w:val="6EBD1C7B"/>
    <w:rsid w:val="6EEA709C"/>
    <w:rsid w:val="6F007722"/>
    <w:rsid w:val="6F013206"/>
    <w:rsid w:val="6F0B37EC"/>
    <w:rsid w:val="6F18129A"/>
    <w:rsid w:val="6F1B3343"/>
    <w:rsid w:val="6F265009"/>
    <w:rsid w:val="6F2655F9"/>
    <w:rsid w:val="6F2A558C"/>
    <w:rsid w:val="6F331363"/>
    <w:rsid w:val="6F33735D"/>
    <w:rsid w:val="6F430C41"/>
    <w:rsid w:val="6F543096"/>
    <w:rsid w:val="6F906926"/>
    <w:rsid w:val="6FC224C5"/>
    <w:rsid w:val="6FCA008A"/>
    <w:rsid w:val="6FD607DD"/>
    <w:rsid w:val="6FEA5D16"/>
    <w:rsid w:val="6FF92768"/>
    <w:rsid w:val="6FFF2BBE"/>
    <w:rsid w:val="70097D40"/>
    <w:rsid w:val="700E67A1"/>
    <w:rsid w:val="70192DFC"/>
    <w:rsid w:val="701A40CF"/>
    <w:rsid w:val="70282703"/>
    <w:rsid w:val="70294ED3"/>
    <w:rsid w:val="703C5FF4"/>
    <w:rsid w:val="703E65AA"/>
    <w:rsid w:val="704020FA"/>
    <w:rsid w:val="70481821"/>
    <w:rsid w:val="704F17D1"/>
    <w:rsid w:val="70903A9D"/>
    <w:rsid w:val="70CB7764"/>
    <w:rsid w:val="70DC09EB"/>
    <w:rsid w:val="70F56853"/>
    <w:rsid w:val="710D040A"/>
    <w:rsid w:val="7113780F"/>
    <w:rsid w:val="71256EB3"/>
    <w:rsid w:val="71451A1F"/>
    <w:rsid w:val="71497D0D"/>
    <w:rsid w:val="714F129E"/>
    <w:rsid w:val="714F76E9"/>
    <w:rsid w:val="715C289F"/>
    <w:rsid w:val="71614A1E"/>
    <w:rsid w:val="71C91C3A"/>
    <w:rsid w:val="71FC7037"/>
    <w:rsid w:val="72413E29"/>
    <w:rsid w:val="72456250"/>
    <w:rsid w:val="725122B1"/>
    <w:rsid w:val="725666F5"/>
    <w:rsid w:val="725B5B2D"/>
    <w:rsid w:val="7265040D"/>
    <w:rsid w:val="72686399"/>
    <w:rsid w:val="727E6F0A"/>
    <w:rsid w:val="72956780"/>
    <w:rsid w:val="72A1796C"/>
    <w:rsid w:val="72B954FB"/>
    <w:rsid w:val="72BA6194"/>
    <w:rsid w:val="72CD7B8C"/>
    <w:rsid w:val="72CF0CC8"/>
    <w:rsid w:val="72D17CEA"/>
    <w:rsid w:val="72DC3AFD"/>
    <w:rsid w:val="730C28F7"/>
    <w:rsid w:val="731B1A9F"/>
    <w:rsid w:val="736155D0"/>
    <w:rsid w:val="738B66E1"/>
    <w:rsid w:val="73B7567A"/>
    <w:rsid w:val="73CC69B7"/>
    <w:rsid w:val="73D25872"/>
    <w:rsid w:val="73DA4614"/>
    <w:rsid w:val="73ED7223"/>
    <w:rsid w:val="73F11447"/>
    <w:rsid w:val="73FB1A49"/>
    <w:rsid w:val="74050794"/>
    <w:rsid w:val="741F2CE8"/>
    <w:rsid w:val="743715FC"/>
    <w:rsid w:val="743D52CE"/>
    <w:rsid w:val="745719CC"/>
    <w:rsid w:val="74AA0CC8"/>
    <w:rsid w:val="74D01D18"/>
    <w:rsid w:val="74D2653F"/>
    <w:rsid w:val="74EC2851"/>
    <w:rsid w:val="75001D43"/>
    <w:rsid w:val="750E27C7"/>
    <w:rsid w:val="75132E43"/>
    <w:rsid w:val="751F6AAD"/>
    <w:rsid w:val="75292A92"/>
    <w:rsid w:val="75471311"/>
    <w:rsid w:val="75494133"/>
    <w:rsid w:val="754E425E"/>
    <w:rsid w:val="7572476B"/>
    <w:rsid w:val="759D1102"/>
    <w:rsid w:val="75B97744"/>
    <w:rsid w:val="75DA0F67"/>
    <w:rsid w:val="75F87375"/>
    <w:rsid w:val="760254F7"/>
    <w:rsid w:val="763633D9"/>
    <w:rsid w:val="76474143"/>
    <w:rsid w:val="764A1DBA"/>
    <w:rsid w:val="767473C0"/>
    <w:rsid w:val="76956CC6"/>
    <w:rsid w:val="76AD0927"/>
    <w:rsid w:val="76FC709B"/>
    <w:rsid w:val="76FD1EDB"/>
    <w:rsid w:val="77281C5D"/>
    <w:rsid w:val="77347C51"/>
    <w:rsid w:val="77364257"/>
    <w:rsid w:val="777431F1"/>
    <w:rsid w:val="77764390"/>
    <w:rsid w:val="778A219E"/>
    <w:rsid w:val="778D5A70"/>
    <w:rsid w:val="77D505FF"/>
    <w:rsid w:val="77EA0464"/>
    <w:rsid w:val="77F04FE9"/>
    <w:rsid w:val="78054355"/>
    <w:rsid w:val="784C53E2"/>
    <w:rsid w:val="784F78EB"/>
    <w:rsid w:val="78701E26"/>
    <w:rsid w:val="787D2B6E"/>
    <w:rsid w:val="789001BE"/>
    <w:rsid w:val="78992063"/>
    <w:rsid w:val="78995985"/>
    <w:rsid w:val="789D0F44"/>
    <w:rsid w:val="78A505D6"/>
    <w:rsid w:val="78AC2A23"/>
    <w:rsid w:val="78BA127D"/>
    <w:rsid w:val="78C62EF6"/>
    <w:rsid w:val="78EC4CB7"/>
    <w:rsid w:val="78F2477E"/>
    <w:rsid w:val="78F3682E"/>
    <w:rsid w:val="790169A5"/>
    <w:rsid w:val="7906189C"/>
    <w:rsid w:val="790D7B86"/>
    <w:rsid w:val="791B0B68"/>
    <w:rsid w:val="792A6932"/>
    <w:rsid w:val="79436B42"/>
    <w:rsid w:val="7946323B"/>
    <w:rsid w:val="7955034B"/>
    <w:rsid w:val="795727C4"/>
    <w:rsid w:val="795F264E"/>
    <w:rsid w:val="796432FD"/>
    <w:rsid w:val="797D3FF1"/>
    <w:rsid w:val="79813ADE"/>
    <w:rsid w:val="79905B80"/>
    <w:rsid w:val="79A4224E"/>
    <w:rsid w:val="79B22B0F"/>
    <w:rsid w:val="79D74684"/>
    <w:rsid w:val="79DD0BC7"/>
    <w:rsid w:val="7A016D9E"/>
    <w:rsid w:val="7A1B7CE2"/>
    <w:rsid w:val="7A1C5B13"/>
    <w:rsid w:val="7A1C6E21"/>
    <w:rsid w:val="7A6F776C"/>
    <w:rsid w:val="7A71106F"/>
    <w:rsid w:val="7A7749AD"/>
    <w:rsid w:val="7A787623"/>
    <w:rsid w:val="7A7C2F6F"/>
    <w:rsid w:val="7A84054E"/>
    <w:rsid w:val="7A856607"/>
    <w:rsid w:val="7A9B4B01"/>
    <w:rsid w:val="7AA90F01"/>
    <w:rsid w:val="7AAD5345"/>
    <w:rsid w:val="7ABB5634"/>
    <w:rsid w:val="7AE35C8D"/>
    <w:rsid w:val="7AEA222C"/>
    <w:rsid w:val="7AF741CD"/>
    <w:rsid w:val="7B072762"/>
    <w:rsid w:val="7B0E39EF"/>
    <w:rsid w:val="7B0F05CB"/>
    <w:rsid w:val="7B0F3A5E"/>
    <w:rsid w:val="7B1117F2"/>
    <w:rsid w:val="7B1965C0"/>
    <w:rsid w:val="7B346CFF"/>
    <w:rsid w:val="7B425A3F"/>
    <w:rsid w:val="7B5E29DA"/>
    <w:rsid w:val="7B6D3E0C"/>
    <w:rsid w:val="7B6D7CFD"/>
    <w:rsid w:val="7B705F89"/>
    <w:rsid w:val="7B9062A3"/>
    <w:rsid w:val="7B912401"/>
    <w:rsid w:val="7BA80898"/>
    <w:rsid w:val="7BBE463E"/>
    <w:rsid w:val="7BC36771"/>
    <w:rsid w:val="7BE22277"/>
    <w:rsid w:val="7BF328DF"/>
    <w:rsid w:val="7C136883"/>
    <w:rsid w:val="7C17751A"/>
    <w:rsid w:val="7C247A0F"/>
    <w:rsid w:val="7C350F81"/>
    <w:rsid w:val="7C560B5C"/>
    <w:rsid w:val="7C60334E"/>
    <w:rsid w:val="7C6453C2"/>
    <w:rsid w:val="7C7052F0"/>
    <w:rsid w:val="7C8752C4"/>
    <w:rsid w:val="7C8A3007"/>
    <w:rsid w:val="7CA02F04"/>
    <w:rsid w:val="7CA34EE7"/>
    <w:rsid w:val="7CBF511F"/>
    <w:rsid w:val="7CC5429F"/>
    <w:rsid w:val="7CD37F67"/>
    <w:rsid w:val="7CFE75C5"/>
    <w:rsid w:val="7D0B22A7"/>
    <w:rsid w:val="7D367981"/>
    <w:rsid w:val="7D5E677D"/>
    <w:rsid w:val="7D696FC9"/>
    <w:rsid w:val="7D6B62C2"/>
    <w:rsid w:val="7D6C56E8"/>
    <w:rsid w:val="7D7077A4"/>
    <w:rsid w:val="7D7D48C1"/>
    <w:rsid w:val="7D877CBF"/>
    <w:rsid w:val="7D89672B"/>
    <w:rsid w:val="7D92434B"/>
    <w:rsid w:val="7DC055C5"/>
    <w:rsid w:val="7DC54CD4"/>
    <w:rsid w:val="7DCC321F"/>
    <w:rsid w:val="7DD30A52"/>
    <w:rsid w:val="7DD70EAB"/>
    <w:rsid w:val="7DDE72E2"/>
    <w:rsid w:val="7DEC03E3"/>
    <w:rsid w:val="7DEC1CAA"/>
    <w:rsid w:val="7DF051F2"/>
    <w:rsid w:val="7DF154BA"/>
    <w:rsid w:val="7E107C1F"/>
    <w:rsid w:val="7E512745"/>
    <w:rsid w:val="7E516999"/>
    <w:rsid w:val="7E57246C"/>
    <w:rsid w:val="7E59418D"/>
    <w:rsid w:val="7E7671B3"/>
    <w:rsid w:val="7E7B342B"/>
    <w:rsid w:val="7E8C3598"/>
    <w:rsid w:val="7EDE37B3"/>
    <w:rsid w:val="7EF61591"/>
    <w:rsid w:val="7F075EAF"/>
    <w:rsid w:val="7F2D79D6"/>
    <w:rsid w:val="7F2E0D30"/>
    <w:rsid w:val="7F3169C1"/>
    <w:rsid w:val="7F3E17EF"/>
    <w:rsid w:val="7F457BEA"/>
    <w:rsid w:val="7F4735CF"/>
    <w:rsid w:val="7F490DD9"/>
    <w:rsid w:val="7F52348C"/>
    <w:rsid w:val="7F59568B"/>
    <w:rsid w:val="7F604567"/>
    <w:rsid w:val="7F604BC8"/>
    <w:rsid w:val="7F60712F"/>
    <w:rsid w:val="7F8A3392"/>
    <w:rsid w:val="7F9E4157"/>
    <w:rsid w:val="7FB126CD"/>
    <w:rsid w:val="7FB12A09"/>
    <w:rsid w:val="7FB24FC7"/>
    <w:rsid w:val="7FC15718"/>
    <w:rsid w:val="7FC23EAF"/>
    <w:rsid w:val="7FDA56BB"/>
    <w:rsid w:val="7FE8286C"/>
    <w:rsid w:val="7FF17233"/>
    <w:rsid w:val="7FF904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宋体"/>
      <w:b/>
      <w:kern w:val="2"/>
      <w:sz w:val="24"/>
      <w:szCs w:val="24"/>
      <w:lang w:val="en-US" w:eastAsia="zh-CN" w:bidi="ar-SA"/>
    </w:rPr>
  </w:style>
  <w:style w:type="paragraph" w:styleId="2">
    <w:name w:val="heading 1"/>
    <w:basedOn w:val="1"/>
    <w:next w:val="1"/>
    <w:link w:val="96"/>
    <w:qFormat/>
    <w:uiPriority w:val="0"/>
    <w:pPr>
      <w:keepNext/>
      <w:keepLines/>
      <w:spacing w:before="120" w:after="120"/>
      <w:jc w:val="center"/>
      <w:outlineLvl w:val="0"/>
    </w:pPr>
    <w:rPr>
      <w:rFonts w:cs="Times New Roman"/>
      <w:spacing w:val="20"/>
      <w:kern w:val="44"/>
      <w:sz w:val="32"/>
    </w:rPr>
  </w:style>
  <w:style w:type="paragraph" w:styleId="3">
    <w:name w:val="heading 2"/>
    <w:basedOn w:val="1"/>
    <w:next w:val="1"/>
    <w:link w:val="67"/>
    <w:qFormat/>
    <w:uiPriority w:val="0"/>
    <w:pPr>
      <w:keepNext/>
      <w:keepLines/>
      <w:spacing w:before="240" w:line="400" w:lineRule="exact"/>
      <w:outlineLvl w:val="1"/>
    </w:pPr>
    <w:rPr>
      <w:rFonts w:ascii="Arial" w:hAnsi="Arial" w:cs="Times New Roman"/>
      <w:color w:val="000000"/>
      <w:spacing w:val="40"/>
      <w:sz w:val="32"/>
    </w:rPr>
  </w:style>
  <w:style w:type="paragraph" w:styleId="4">
    <w:name w:val="heading 3"/>
    <w:basedOn w:val="1"/>
    <w:next w:val="1"/>
    <w:link w:val="71"/>
    <w:qFormat/>
    <w:uiPriority w:val="0"/>
    <w:pPr>
      <w:keepNext/>
      <w:keepLines/>
      <w:spacing w:before="60" w:after="60" w:line="400" w:lineRule="exact"/>
      <w:ind w:firstLine="510"/>
      <w:outlineLvl w:val="2"/>
    </w:pPr>
    <w:rPr>
      <w:rFonts w:ascii="宋体" w:cs="Times New Roman"/>
    </w:rPr>
  </w:style>
  <w:style w:type="paragraph" w:styleId="5">
    <w:name w:val="heading 4"/>
    <w:basedOn w:val="1"/>
    <w:next w:val="1"/>
    <w:link w:val="73"/>
    <w:qFormat/>
    <w:uiPriority w:val="0"/>
    <w:pPr>
      <w:tabs>
        <w:tab w:val="left" w:pos="2155"/>
      </w:tabs>
      <w:adjustRightInd w:val="0"/>
      <w:spacing w:before="120" w:line="360" w:lineRule="auto"/>
      <w:ind w:left="2155" w:hanging="1078"/>
      <w:textAlignment w:val="baseline"/>
      <w:outlineLvl w:val="3"/>
    </w:pPr>
    <w:rPr>
      <w:rFonts w:ascii="Arial" w:hAnsi="Arial" w:eastAsia="黑体" w:cs="Times New Roman"/>
      <w:kern w:val="0"/>
      <w:sz w:val="28"/>
    </w:rPr>
  </w:style>
  <w:style w:type="paragraph" w:styleId="6">
    <w:name w:val="heading 5"/>
    <w:basedOn w:val="1"/>
    <w:next w:val="1"/>
    <w:link w:val="88"/>
    <w:qFormat/>
    <w:uiPriority w:val="0"/>
    <w:pPr>
      <w:keepNext/>
      <w:keepLines/>
      <w:adjustRightInd w:val="0"/>
      <w:spacing w:before="280" w:after="290" w:line="376" w:lineRule="atLeast"/>
      <w:textAlignment w:val="baseline"/>
      <w:outlineLvl w:val="4"/>
    </w:pPr>
    <w:rPr>
      <w:rFonts w:cs="Times New Roman"/>
      <w:kern w:val="0"/>
      <w:sz w:val="28"/>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7">
    <w:name w:val="List 3"/>
    <w:basedOn w:val="1"/>
    <w:qFormat/>
    <w:uiPriority w:val="0"/>
    <w:pPr>
      <w:ind w:left="100" w:leftChars="400" w:hanging="200" w:hangingChars="200"/>
    </w:pPr>
    <w:rPr>
      <w:rFonts w:cs="Times New Roman"/>
      <w:b w:val="0"/>
      <w:sz w:val="21"/>
    </w:rPr>
  </w:style>
  <w:style w:type="paragraph" w:styleId="8">
    <w:name w:val="toc 7"/>
    <w:basedOn w:val="1"/>
    <w:next w:val="1"/>
    <w:qFormat/>
    <w:uiPriority w:val="0"/>
    <w:pPr>
      <w:ind w:left="1260"/>
      <w:jc w:val="left"/>
    </w:pPr>
    <w:rPr>
      <w:rFonts w:cs="Times New Roman"/>
      <w:sz w:val="18"/>
      <w:szCs w:val="18"/>
    </w:rPr>
  </w:style>
  <w:style w:type="paragraph" w:styleId="9">
    <w:name w:val="Normal Indent"/>
    <w:basedOn w:val="1"/>
    <w:next w:val="1"/>
    <w:qFormat/>
    <w:uiPriority w:val="0"/>
    <w:pPr>
      <w:ind w:firstLine="420"/>
    </w:pPr>
    <w:rPr>
      <w:rFonts w:cs="Times New Roman"/>
    </w:rPr>
  </w:style>
  <w:style w:type="paragraph" w:styleId="10">
    <w:name w:val="Document Map"/>
    <w:basedOn w:val="1"/>
    <w:qFormat/>
    <w:uiPriority w:val="0"/>
    <w:pPr>
      <w:shd w:val="clear" w:color="auto" w:fill="000080"/>
    </w:pPr>
    <w:rPr>
      <w:rFonts w:cs="Times New Roman"/>
    </w:rPr>
  </w:style>
  <w:style w:type="paragraph" w:styleId="11">
    <w:name w:val="annotation text"/>
    <w:basedOn w:val="1"/>
    <w:link w:val="70"/>
    <w:qFormat/>
    <w:uiPriority w:val="0"/>
    <w:pPr>
      <w:jc w:val="left"/>
    </w:pPr>
    <w:rPr>
      <w:rFonts w:cs="Times New Roman"/>
    </w:rPr>
  </w:style>
  <w:style w:type="paragraph" w:styleId="12">
    <w:name w:val="Body Text 3"/>
    <w:basedOn w:val="1"/>
    <w:qFormat/>
    <w:uiPriority w:val="0"/>
    <w:pPr>
      <w:spacing w:after="120"/>
    </w:pPr>
    <w:rPr>
      <w:rFonts w:cs="Times New Roman"/>
      <w:sz w:val="16"/>
      <w:szCs w:val="16"/>
    </w:rPr>
  </w:style>
  <w:style w:type="paragraph" w:styleId="13">
    <w:name w:val="Body Text"/>
    <w:basedOn w:val="1"/>
    <w:next w:val="1"/>
    <w:link w:val="59"/>
    <w:qFormat/>
    <w:uiPriority w:val="0"/>
    <w:rPr>
      <w:rFonts w:ascii="宋体" w:cs="Times New Roman"/>
    </w:rPr>
  </w:style>
  <w:style w:type="paragraph" w:styleId="14">
    <w:name w:val="Body Text Indent"/>
    <w:basedOn w:val="1"/>
    <w:next w:val="1"/>
    <w:link w:val="72"/>
    <w:qFormat/>
    <w:uiPriority w:val="0"/>
    <w:pPr>
      <w:spacing w:line="460" w:lineRule="exact"/>
      <w:ind w:firstLine="510"/>
    </w:pPr>
    <w:rPr>
      <w:rFonts w:cs="Times New Roman"/>
    </w:rPr>
  </w:style>
  <w:style w:type="paragraph" w:styleId="15">
    <w:name w:val="toc 5"/>
    <w:basedOn w:val="1"/>
    <w:next w:val="1"/>
    <w:qFormat/>
    <w:uiPriority w:val="0"/>
    <w:pPr>
      <w:ind w:left="840"/>
      <w:jc w:val="left"/>
    </w:pPr>
    <w:rPr>
      <w:rFonts w:cs="Times New Roman"/>
      <w:sz w:val="18"/>
      <w:szCs w:val="18"/>
    </w:rPr>
  </w:style>
  <w:style w:type="paragraph" w:styleId="16">
    <w:name w:val="toc 3"/>
    <w:basedOn w:val="1"/>
    <w:next w:val="1"/>
    <w:qFormat/>
    <w:uiPriority w:val="0"/>
    <w:pPr>
      <w:ind w:left="420"/>
      <w:jc w:val="left"/>
    </w:pPr>
    <w:rPr>
      <w:rFonts w:cs="Times New Roman"/>
      <w:i/>
      <w:iCs/>
      <w:sz w:val="20"/>
    </w:rPr>
  </w:style>
  <w:style w:type="paragraph" w:styleId="17">
    <w:name w:val="Plain Text"/>
    <w:basedOn w:val="1"/>
    <w:next w:val="1"/>
    <w:link w:val="86"/>
    <w:qFormat/>
    <w:uiPriority w:val="0"/>
    <w:rPr>
      <w:rFonts w:ascii="宋体" w:cs="Times New Roman"/>
    </w:rPr>
  </w:style>
  <w:style w:type="paragraph" w:styleId="18">
    <w:name w:val="toc 8"/>
    <w:basedOn w:val="1"/>
    <w:next w:val="1"/>
    <w:qFormat/>
    <w:uiPriority w:val="0"/>
    <w:pPr>
      <w:ind w:left="1470"/>
      <w:jc w:val="left"/>
    </w:pPr>
    <w:rPr>
      <w:rFonts w:cs="Times New Roman"/>
      <w:sz w:val="18"/>
      <w:szCs w:val="18"/>
    </w:rPr>
  </w:style>
  <w:style w:type="paragraph" w:styleId="19">
    <w:name w:val="Date"/>
    <w:basedOn w:val="1"/>
    <w:next w:val="1"/>
    <w:link w:val="58"/>
    <w:qFormat/>
    <w:uiPriority w:val="0"/>
    <w:rPr>
      <w:rFonts w:cs="Times New Roman"/>
      <w:kern w:val="0"/>
      <w:sz w:val="28"/>
    </w:rPr>
  </w:style>
  <w:style w:type="paragraph" w:styleId="20">
    <w:name w:val="Body Text Indent 2"/>
    <w:basedOn w:val="1"/>
    <w:link w:val="75"/>
    <w:qFormat/>
    <w:uiPriority w:val="0"/>
    <w:pPr>
      <w:spacing w:line="500" w:lineRule="exact"/>
      <w:ind w:firstLine="510"/>
    </w:pPr>
    <w:rPr>
      <w:rFonts w:ascii="宋体" w:cs="Times New Roman"/>
    </w:rPr>
  </w:style>
  <w:style w:type="paragraph" w:styleId="21">
    <w:name w:val="Balloon Text"/>
    <w:basedOn w:val="1"/>
    <w:link w:val="82"/>
    <w:qFormat/>
    <w:uiPriority w:val="0"/>
    <w:rPr>
      <w:rFonts w:cs="Times New Roman"/>
      <w:sz w:val="18"/>
      <w:szCs w:val="18"/>
    </w:rPr>
  </w:style>
  <w:style w:type="paragraph" w:styleId="22">
    <w:name w:val="footer"/>
    <w:basedOn w:val="1"/>
    <w:link w:val="63"/>
    <w:qFormat/>
    <w:uiPriority w:val="0"/>
    <w:pPr>
      <w:tabs>
        <w:tab w:val="center" w:pos="4153"/>
        <w:tab w:val="right" w:pos="8306"/>
      </w:tabs>
      <w:snapToGrid w:val="0"/>
      <w:jc w:val="left"/>
    </w:pPr>
    <w:rPr>
      <w:rFonts w:cs="Times New Roman"/>
      <w:sz w:val="18"/>
    </w:rPr>
  </w:style>
  <w:style w:type="paragraph" w:styleId="23">
    <w:name w:val="header"/>
    <w:basedOn w:val="1"/>
    <w:link w:val="80"/>
    <w:qFormat/>
    <w:uiPriority w:val="0"/>
    <w:pPr>
      <w:pBdr>
        <w:bottom w:val="single" w:color="auto" w:sz="6" w:space="1"/>
      </w:pBdr>
      <w:tabs>
        <w:tab w:val="center" w:pos="4153"/>
        <w:tab w:val="right" w:pos="8306"/>
      </w:tabs>
      <w:snapToGrid w:val="0"/>
      <w:jc w:val="center"/>
    </w:pPr>
    <w:rPr>
      <w:rFonts w:cs="Times New Roman"/>
      <w:sz w:val="18"/>
    </w:rPr>
  </w:style>
  <w:style w:type="paragraph" w:styleId="24">
    <w:name w:val="toc 1"/>
    <w:basedOn w:val="1"/>
    <w:next w:val="1"/>
    <w:qFormat/>
    <w:uiPriority w:val="0"/>
    <w:pPr>
      <w:tabs>
        <w:tab w:val="right" w:leader="dot" w:pos="9663"/>
      </w:tabs>
      <w:spacing w:before="120" w:after="120"/>
      <w:jc w:val="left"/>
    </w:pPr>
    <w:rPr>
      <w:rFonts w:cs="Times New Roman"/>
      <w:bCs/>
      <w:caps/>
      <w:sz w:val="28"/>
      <w:szCs w:val="28"/>
    </w:rPr>
  </w:style>
  <w:style w:type="paragraph" w:styleId="25">
    <w:name w:val="toc 4"/>
    <w:basedOn w:val="1"/>
    <w:next w:val="1"/>
    <w:qFormat/>
    <w:uiPriority w:val="0"/>
    <w:pPr>
      <w:ind w:left="630"/>
      <w:jc w:val="left"/>
    </w:pPr>
    <w:rPr>
      <w:rFonts w:cs="Times New Roman"/>
      <w:sz w:val="18"/>
      <w:szCs w:val="18"/>
    </w:rPr>
  </w:style>
  <w:style w:type="paragraph" w:styleId="26">
    <w:name w:val="toc 6"/>
    <w:basedOn w:val="1"/>
    <w:next w:val="1"/>
    <w:qFormat/>
    <w:uiPriority w:val="0"/>
    <w:pPr>
      <w:ind w:left="1050"/>
      <w:jc w:val="left"/>
    </w:pPr>
    <w:rPr>
      <w:rFonts w:cs="Times New Roman"/>
      <w:sz w:val="18"/>
      <w:szCs w:val="18"/>
    </w:rPr>
  </w:style>
  <w:style w:type="paragraph" w:styleId="27">
    <w:name w:val="Body Text Indent 3"/>
    <w:basedOn w:val="1"/>
    <w:qFormat/>
    <w:uiPriority w:val="0"/>
    <w:pPr>
      <w:spacing w:line="500" w:lineRule="exact"/>
      <w:ind w:firstLine="510"/>
    </w:pPr>
    <w:rPr>
      <w:rFonts w:ascii="宋体" w:cs="Times New Roman"/>
      <w:color w:val="000000"/>
      <w:sz w:val="26"/>
    </w:rPr>
  </w:style>
  <w:style w:type="paragraph" w:styleId="28">
    <w:name w:val="table of figures"/>
    <w:basedOn w:val="1"/>
    <w:next w:val="1"/>
    <w:qFormat/>
    <w:uiPriority w:val="0"/>
    <w:pPr>
      <w:ind w:left="840" w:hanging="420"/>
    </w:pPr>
    <w:rPr>
      <w:rFonts w:cs="Times New Roman"/>
    </w:rPr>
  </w:style>
  <w:style w:type="paragraph" w:styleId="29">
    <w:name w:val="toc 2"/>
    <w:basedOn w:val="1"/>
    <w:next w:val="1"/>
    <w:qFormat/>
    <w:uiPriority w:val="0"/>
    <w:pPr>
      <w:ind w:left="210"/>
      <w:jc w:val="left"/>
    </w:pPr>
    <w:rPr>
      <w:rFonts w:cs="Times New Roman"/>
      <w:smallCaps/>
      <w:sz w:val="20"/>
    </w:rPr>
  </w:style>
  <w:style w:type="paragraph" w:styleId="30">
    <w:name w:val="toc 9"/>
    <w:basedOn w:val="1"/>
    <w:next w:val="1"/>
    <w:qFormat/>
    <w:uiPriority w:val="0"/>
    <w:pPr>
      <w:ind w:left="1680"/>
      <w:jc w:val="left"/>
    </w:pPr>
    <w:rPr>
      <w:rFonts w:cs="Times New Roman"/>
      <w:sz w:val="18"/>
      <w:szCs w:val="18"/>
    </w:rPr>
  </w:style>
  <w:style w:type="paragraph" w:styleId="31">
    <w:name w:val="Normal (Web)"/>
    <w:basedOn w:val="1"/>
    <w:link w:val="76"/>
    <w:qFormat/>
    <w:uiPriority w:val="0"/>
    <w:pPr>
      <w:widowControl/>
      <w:spacing w:before="100" w:beforeAutospacing="1" w:after="100" w:afterAutospacing="1"/>
      <w:jc w:val="left"/>
    </w:pPr>
    <w:rPr>
      <w:rFonts w:ascii="宋体" w:hAnsi="宋体" w:cs="Times New Roman"/>
      <w:kern w:val="0"/>
    </w:rPr>
  </w:style>
  <w:style w:type="paragraph" w:styleId="32">
    <w:name w:val="annotation subject"/>
    <w:basedOn w:val="11"/>
    <w:next w:val="11"/>
    <w:qFormat/>
    <w:uiPriority w:val="0"/>
    <w:rPr>
      <w:bCs/>
    </w:rPr>
  </w:style>
  <w:style w:type="paragraph" w:styleId="33">
    <w:name w:val="Body Text First Indent"/>
    <w:basedOn w:val="13"/>
    <w:next w:val="1"/>
    <w:qFormat/>
    <w:uiPriority w:val="0"/>
    <w:pPr>
      <w:spacing w:after="120"/>
      <w:ind w:firstLine="420" w:firstLineChars="100"/>
    </w:pPr>
  </w:style>
  <w:style w:type="paragraph" w:styleId="34">
    <w:name w:val="Body Text First Indent 2"/>
    <w:basedOn w:val="14"/>
    <w:next w:val="1"/>
    <w:qFormat/>
    <w:uiPriority w:val="0"/>
    <w:pPr>
      <w:tabs>
        <w:tab w:val="left" w:pos="993"/>
      </w:tabs>
      <w:spacing w:after="120" w:line="240" w:lineRule="auto"/>
      <w:ind w:left="420" w:leftChars="200" w:firstLine="420" w:firstLineChars="200"/>
    </w:pPr>
    <w:rPr>
      <w:b w:val="0"/>
      <w:sz w:val="21"/>
    </w:rPr>
  </w:style>
  <w:style w:type="table" w:styleId="36">
    <w:name w:val="Table Grid"/>
    <w:basedOn w:val="3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qFormat/>
    <w:uiPriority w:val="0"/>
    <w:rPr>
      <w:rFonts w:ascii="Times New Roman" w:hAnsi="Times New Roman" w:eastAsia="宋体" w:cs="Times New Roman"/>
      <w:b/>
      <w:bCs/>
    </w:rPr>
  </w:style>
  <w:style w:type="character" w:styleId="39">
    <w:name w:val="page number"/>
    <w:qFormat/>
    <w:uiPriority w:val="0"/>
    <w:rPr>
      <w:rFonts w:ascii="Times New Roman" w:hAnsi="Times New Roman" w:eastAsia="宋体" w:cs="Times New Roman"/>
    </w:rPr>
  </w:style>
  <w:style w:type="character" w:styleId="40">
    <w:name w:val="FollowedHyperlink"/>
    <w:qFormat/>
    <w:uiPriority w:val="0"/>
    <w:rPr>
      <w:rFonts w:hint="eastAsia" w:ascii="宋体" w:hAnsi="宋体" w:eastAsia="宋体" w:cs="宋体"/>
      <w:color w:val="0033CC"/>
      <w:sz w:val="18"/>
      <w:szCs w:val="18"/>
      <w:u w:val="none"/>
    </w:rPr>
  </w:style>
  <w:style w:type="character" w:styleId="41">
    <w:name w:val="HTML Definition"/>
    <w:qFormat/>
    <w:uiPriority w:val="0"/>
    <w:rPr>
      <w:rFonts w:ascii="Times New Roman" w:hAnsi="Times New Roman" w:eastAsia="宋体" w:cs="Times New Roman"/>
      <w:i/>
    </w:rPr>
  </w:style>
  <w:style w:type="character" w:styleId="42">
    <w:name w:val="Hyperlink"/>
    <w:basedOn w:val="37"/>
    <w:qFormat/>
    <w:uiPriority w:val="0"/>
    <w:rPr>
      <w:rFonts w:hint="eastAsia" w:ascii="宋体" w:hAnsi="宋体" w:eastAsia="宋体" w:cs="宋体"/>
      <w:color w:val="0033CC"/>
      <w:sz w:val="18"/>
      <w:szCs w:val="18"/>
      <w:u w:val="none"/>
    </w:rPr>
  </w:style>
  <w:style w:type="character" w:styleId="43">
    <w:name w:val="HTML Code"/>
    <w:qFormat/>
    <w:uiPriority w:val="0"/>
    <w:rPr>
      <w:rFonts w:hint="default" w:ascii="Consolas" w:hAnsi="Consolas" w:eastAsia="Consolas" w:cs="Consolas"/>
      <w:color w:val="C7254E"/>
      <w:sz w:val="21"/>
      <w:szCs w:val="21"/>
      <w:shd w:val="clear" w:color="auto" w:fill="F9F2F4"/>
    </w:rPr>
  </w:style>
  <w:style w:type="character" w:styleId="44">
    <w:name w:val="annotation reference"/>
    <w:qFormat/>
    <w:uiPriority w:val="0"/>
    <w:rPr>
      <w:rFonts w:ascii="Times New Roman" w:hAnsi="Times New Roman" w:eastAsia="宋体" w:cs="Times New Roman"/>
      <w:sz w:val="21"/>
      <w:szCs w:val="21"/>
    </w:rPr>
  </w:style>
  <w:style w:type="character" w:styleId="45">
    <w:name w:val="HTML Keyboard"/>
    <w:qFormat/>
    <w:uiPriority w:val="0"/>
    <w:rPr>
      <w:rFonts w:hint="default" w:ascii="Consolas" w:hAnsi="Consolas" w:eastAsia="Consolas" w:cs="Consolas"/>
      <w:vanish/>
      <w:color w:val="FFFFFF"/>
      <w:sz w:val="21"/>
      <w:szCs w:val="21"/>
      <w:shd w:val="clear" w:color="auto" w:fill="333333"/>
    </w:rPr>
  </w:style>
  <w:style w:type="character" w:styleId="46">
    <w:name w:val="HTML Sample"/>
    <w:qFormat/>
    <w:uiPriority w:val="0"/>
    <w:rPr>
      <w:rFonts w:ascii="Consolas" w:hAnsi="Consolas" w:eastAsia="Consolas" w:cs="Consolas"/>
      <w:sz w:val="21"/>
      <w:szCs w:val="21"/>
    </w:rPr>
  </w:style>
  <w:style w:type="paragraph" w:customStyle="1" w:styleId="4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8">
    <w:name w:val="font31"/>
    <w:basedOn w:val="37"/>
    <w:qFormat/>
    <w:uiPriority w:val="0"/>
    <w:rPr>
      <w:rFonts w:hint="eastAsia" w:ascii="宋体" w:hAnsi="宋体" w:eastAsia="宋体" w:cs="宋体"/>
      <w:color w:val="000000"/>
      <w:sz w:val="14"/>
      <w:szCs w:val="14"/>
      <w:u w:val="none"/>
    </w:rPr>
  </w:style>
  <w:style w:type="character" w:customStyle="1" w:styleId="49">
    <w:name w:val="hour_pm"/>
    <w:qFormat/>
    <w:uiPriority w:val="0"/>
    <w:rPr>
      <w:rFonts w:ascii="Times New Roman" w:hAnsi="Times New Roman" w:eastAsia="宋体" w:cs="Times New Roman"/>
    </w:rPr>
  </w:style>
  <w:style w:type="character" w:customStyle="1" w:styleId="50">
    <w:name w:val="glyphicon6"/>
    <w:qFormat/>
    <w:uiPriority w:val="0"/>
    <w:rPr>
      <w:rFonts w:ascii="Times New Roman" w:hAnsi="Times New Roman" w:eastAsia="宋体" w:cs="Times New Roman"/>
    </w:rPr>
  </w:style>
  <w:style w:type="character" w:customStyle="1" w:styleId="51">
    <w:name w:val="font91"/>
    <w:qFormat/>
    <w:uiPriority w:val="0"/>
    <w:rPr>
      <w:rFonts w:hint="eastAsia" w:ascii="宋体" w:hAnsi="宋体" w:eastAsia="宋体" w:cs="宋体"/>
      <w:color w:val="000000"/>
      <w:sz w:val="20"/>
      <w:szCs w:val="20"/>
      <w:u w:val="none"/>
    </w:rPr>
  </w:style>
  <w:style w:type="character" w:customStyle="1" w:styleId="52">
    <w:name w:val="孙普文字 Char"/>
    <w:qFormat/>
    <w:uiPriority w:val="0"/>
    <w:rPr>
      <w:rFonts w:ascii="宋体" w:hAnsi="Times New Roman" w:eastAsia="宋体" w:cs="Times New Roman"/>
      <w:szCs w:val="20"/>
    </w:rPr>
  </w:style>
  <w:style w:type="character" w:customStyle="1" w:styleId="53">
    <w:name w:val="列表段落 字符"/>
    <w:link w:val="54"/>
    <w:qFormat/>
    <w:uiPriority w:val="0"/>
    <w:rPr>
      <w:rFonts w:ascii="Times New Roman" w:hAnsi="Times New Roman" w:eastAsia="宋体" w:cs="Times New Roman"/>
      <w:kern w:val="2"/>
      <w:sz w:val="21"/>
    </w:rPr>
  </w:style>
  <w:style w:type="paragraph" w:styleId="54">
    <w:name w:val="List Paragraph"/>
    <w:basedOn w:val="1"/>
    <w:link w:val="53"/>
    <w:qFormat/>
    <w:uiPriority w:val="0"/>
    <w:pPr>
      <w:ind w:firstLine="420" w:firstLineChars="200"/>
    </w:pPr>
    <w:rPr>
      <w:rFonts w:cs="Times New Roman"/>
    </w:rPr>
  </w:style>
  <w:style w:type="character" w:customStyle="1" w:styleId="55">
    <w:name w:val="font01"/>
    <w:basedOn w:val="37"/>
    <w:qFormat/>
    <w:uiPriority w:val="0"/>
    <w:rPr>
      <w:rFonts w:hint="eastAsia" w:ascii="宋体" w:hAnsi="宋体" w:eastAsia="宋体" w:cs="宋体"/>
      <w:color w:val="000000"/>
      <w:sz w:val="20"/>
      <w:szCs w:val="20"/>
      <w:u w:val="none"/>
    </w:rPr>
  </w:style>
  <w:style w:type="character" w:customStyle="1" w:styleId="56">
    <w:name w:val="标题 3 Char"/>
    <w:qFormat/>
    <w:uiPriority w:val="0"/>
    <w:rPr>
      <w:rFonts w:ascii="Times New Roman" w:hAnsi="Times New Roman" w:eastAsia="宋体" w:cs="Times New Roman"/>
      <w:b/>
      <w:bCs/>
      <w:kern w:val="2"/>
      <w:sz w:val="32"/>
      <w:szCs w:val="32"/>
      <w:lang w:val="en-US" w:eastAsia="zh-CN" w:bidi="ar-SA"/>
    </w:rPr>
  </w:style>
  <w:style w:type="character" w:customStyle="1" w:styleId="57">
    <w:name w:val="纯文本 Char2"/>
    <w:qFormat/>
    <w:uiPriority w:val="0"/>
    <w:rPr>
      <w:rFonts w:ascii="宋体" w:hAnsi="Times New Roman" w:eastAsia="宋体" w:cs="Times New Roman"/>
      <w:kern w:val="2"/>
      <w:sz w:val="21"/>
      <w:lang w:val="en-US" w:eastAsia="zh-CN" w:bidi="ar-SA"/>
    </w:rPr>
  </w:style>
  <w:style w:type="character" w:customStyle="1" w:styleId="58">
    <w:name w:val="日期 字符"/>
    <w:link w:val="19"/>
    <w:qFormat/>
    <w:uiPriority w:val="0"/>
    <w:rPr>
      <w:rFonts w:ascii="Times New Roman" w:hAnsi="Times New Roman" w:eastAsia="宋体" w:cs="Times New Roman"/>
      <w:sz w:val="28"/>
    </w:rPr>
  </w:style>
  <w:style w:type="character" w:customStyle="1" w:styleId="59">
    <w:name w:val="正文文本 字符"/>
    <w:link w:val="13"/>
    <w:qFormat/>
    <w:uiPriority w:val="0"/>
    <w:rPr>
      <w:rFonts w:ascii="宋体" w:hAnsi="Times New Roman" w:eastAsia="宋体" w:cs="Times New Roman"/>
      <w:kern w:val="2"/>
      <w:sz w:val="24"/>
    </w:rPr>
  </w:style>
  <w:style w:type="character" w:customStyle="1" w:styleId="60">
    <w:name w:val="font71"/>
    <w:qFormat/>
    <w:uiPriority w:val="0"/>
    <w:rPr>
      <w:rFonts w:hint="eastAsia" w:ascii="宋体" w:hAnsi="宋体" w:eastAsia="宋体" w:cs="宋体"/>
      <w:color w:val="000000"/>
      <w:sz w:val="24"/>
      <w:szCs w:val="24"/>
      <w:u w:val="none"/>
    </w:rPr>
  </w:style>
  <w:style w:type="character" w:customStyle="1" w:styleId="61">
    <w:name w:val="GW-正文 Char"/>
    <w:link w:val="62"/>
    <w:qFormat/>
    <w:uiPriority w:val="0"/>
    <w:rPr>
      <w:rFonts w:ascii="Times New Roman" w:hAnsi="Times New Roman" w:eastAsia="仿宋_GB2312" w:cs="Times New Roman"/>
      <w:kern w:val="2"/>
      <w:sz w:val="24"/>
      <w:szCs w:val="24"/>
    </w:rPr>
  </w:style>
  <w:style w:type="paragraph" w:customStyle="1" w:styleId="62">
    <w:name w:val="GW-正文"/>
    <w:basedOn w:val="1"/>
    <w:link w:val="61"/>
    <w:qFormat/>
    <w:uiPriority w:val="0"/>
    <w:pPr>
      <w:spacing w:line="360" w:lineRule="auto"/>
      <w:ind w:firstLine="200" w:firstLineChars="200"/>
    </w:pPr>
    <w:rPr>
      <w:rFonts w:eastAsia="仿宋_GB2312" w:cs="Times New Roman"/>
    </w:rPr>
  </w:style>
  <w:style w:type="character" w:customStyle="1" w:styleId="63">
    <w:name w:val="页脚 字符"/>
    <w:link w:val="22"/>
    <w:qFormat/>
    <w:uiPriority w:val="0"/>
    <w:rPr>
      <w:rFonts w:ascii="Times New Roman" w:hAnsi="Times New Roman" w:eastAsia="宋体" w:cs="Times New Roman"/>
      <w:kern w:val="2"/>
      <w:sz w:val="18"/>
    </w:rPr>
  </w:style>
  <w:style w:type="character" w:customStyle="1" w:styleId="64">
    <w:name w:val="glyphicon"/>
    <w:qFormat/>
    <w:uiPriority w:val="0"/>
    <w:rPr>
      <w:rFonts w:ascii="Times New Roman" w:hAnsi="Times New Roman" w:eastAsia="宋体" w:cs="Times New Roman"/>
    </w:rPr>
  </w:style>
  <w:style w:type="character" w:customStyle="1" w:styleId="65">
    <w:name w:val="不明显强调1"/>
    <w:qFormat/>
    <w:uiPriority w:val="0"/>
    <w:rPr>
      <w:rFonts w:ascii="Times New Roman" w:hAnsi="Times New Roman" w:eastAsia="仿宋_GB2312" w:cs="Times New Roman"/>
      <w:iCs/>
      <w:color w:val="auto"/>
      <w:sz w:val="24"/>
    </w:rPr>
  </w:style>
  <w:style w:type="character" w:customStyle="1" w:styleId="66">
    <w:name w:val="hour_am"/>
    <w:qFormat/>
    <w:uiPriority w:val="0"/>
    <w:rPr>
      <w:rFonts w:ascii="Times New Roman" w:hAnsi="Times New Roman" w:eastAsia="宋体" w:cs="Times New Roman"/>
    </w:rPr>
  </w:style>
  <w:style w:type="character" w:customStyle="1" w:styleId="67">
    <w:name w:val="标题 2 字符"/>
    <w:link w:val="3"/>
    <w:qFormat/>
    <w:uiPriority w:val="0"/>
    <w:rPr>
      <w:rFonts w:ascii="Arial" w:hAnsi="Arial" w:eastAsia="宋体" w:cs="Times New Roman"/>
      <w:b/>
      <w:color w:val="000000"/>
      <w:spacing w:val="40"/>
      <w:kern w:val="2"/>
      <w:sz w:val="32"/>
    </w:rPr>
  </w:style>
  <w:style w:type="character" w:customStyle="1" w:styleId="68">
    <w:name w:val="hover"/>
    <w:qFormat/>
    <w:uiPriority w:val="0"/>
    <w:rPr>
      <w:rFonts w:ascii="Times New Roman" w:hAnsi="Times New Roman" w:eastAsia="宋体" w:cs="Times New Roman"/>
      <w:shd w:val="clear" w:color="auto" w:fill="EEEEEE"/>
    </w:rPr>
  </w:style>
  <w:style w:type="character" w:customStyle="1" w:styleId="69">
    <w:name w:val="font51"/>
    <w:qFormat/>
    <w:uiPriority w:val="0"/>
    <w:rPr>
      <w:rFonts w:hint="eastAsia" w:ascii="宋体" w:hAnsi="宋体" w:eastAsia="宋体" w:cs="宋体"/>
      <w:b/>
      <w:color w:val="000000"/>
      <w:sz w:val="20"/>
      <w:szCs w:val="20"/>
      <w:u w:val="none"/>
    </w:rPr>
  </w:style>
  <w:style w:type="character" w:customStyle="1" w:styleId="70">
    <w:name w:val="批注文字 字符"/>
    <w:link w:val="11"/>
    <w:qFormat/>
    <w:uiPriority w:val="0"/>
    <w:rPr>
      <w:rFonts w:ascii="Times New Roman" w:hAnsi="Times New Roman" w:eastAsia="宋体" w:cs="Times New Roman"/>
      <w:kern w:val="2"/>
      <w:sz w:val="21"/>
    </w:rPr>
  </w:style>
  <w:style w:type="character" w:customStyle="1" w:styleId="71">
    <w:name w:val="标题 3 字符"/>
    <w:link w:val="4"/>
    <w:qFormat/>
    <w:uiPriority w:val="0"/>
    <w:rPr>
      <w:rFonts w:ascii="宋体" w:hAnsi="Times New Roman" w:eastAsia="宋体" w:cs="Times New Roman"/>
      <w:b/>
      <w:kern w:val="2"/>
      <w:sz w:val="24"/>
    </w:rPr>
  </w:style>
  <w:style w:type="character" w:customStyle="1" w:styleId="72">
    <w:name w:val="正文文本缩进 字符"/>
    <w:link w:val="14"/>
    <w:qFormat/>
    <w:uiPriority w:val="0"/>
    <w:rPr>
      <w:rFonts w:ascii="Times New Roman" w:hAnsi="Times New Roman" w:eastAsia="宋体" w:cs="Times New Roman"/>
      <w:kern w:val="2"/>
      <w:sz w:val="21"/>
    </w:rPr>
  </w:style>
  <w:style w:type="character" w:customStyle="1" w:styleId="73">
    <w:name w:val="标题 4 字符"/>
    <w:link w:val="5"/>
    <w:qFormat/>
    <w:uiPriority w:val="0"/>
    <w:rPr>
      <w:rFonts w:ascii="Arial" w:hAnsi="Arial" w:eastAsia="黑体" w:cs="Times New Roman"/>
      <w:sz w:val="28"/>
    </w:rPr>
  </w:style>
  <w:style w:type="character" w:customStyle="1" w:styleId="74">
    <w:name w:val="hover1"/>
    <w:qFormat/>
    <w:uiPriority w:val="0"/>
    <w:rPr>
      <w:rFonts w:ascii="Times New Roman" w:hAnsi="Times New Roman" w:eastAsia="宋体" w:cs="Times New Roman"/>
      <w:shd w:val="clear" w:color="auto" w:fill="EEEEEE"/>
    </w:rPr>
  </w:style>
  <w:style w:type="character" w:customStyle="1" w:styleId="75">
    <w:name w:val="正文文本缩进 2 字符"/>
    <w:link w:val="20"/>
    <w:qFormat/>
    <w:uiPriority w:val="0"/>
    <w:rPr>
      <w:rFonts w:ascii="宋体" w:hAnsi="Times New Roman" w:eastAsia="宋体" w:cs="Times New Roman"/>
      <w:kern w:val="2"/>
      <w:sz w:val="24"/>
    </w:rPr>
  </w:style>
  <w:style w:type="character" w:customStyle="1" w:styleId="76">
    <w:name w:val="普通(网站) 字符"/>
    <w:link w:val="31"/>
    <w:qFormat/>
    <w:uiPriority w:val="0"/>
    <w:rPr>
      <w:rFonts w:ascii="宋体" w:hAnsi="宋体" w:eastAsia="宋体" w:cs="Times New Roman"/>
      <w:sz w:val="24"/>
      <w:szCs w:val="24"/>
    </w:rPr>
  </w:style>
  <w:style w:type="character" w:customStyle="1" w:styleId="77">
    <w:name w:val="font21"/>
    <w:qFormat/>
    <w:uiPriority w:val="0"/>
    <w:rPr>
      <w:rFonts w:hint="eastAsia" w:ascii="宋体" w:hAnsi="宋体" w:eastAsia="宋体" w:cs="宋体"/>
      <w:color w:val="000000"/>
      <w:sz w:val="20"/>
      <w:szCs w:val="20"/>
      <w:u w:val="none"/>
    </w:rPr>
  </w:style>
  <w:style w:type="character" w:customStyle="1" w:styleId="78">
    <w:name w:val="font81"/>
    <w:basedOn w:val="37"/>
    <w:qFormat/>
    <w:uiPriority w:val="0"/>
    <w:rPr>
      <w:rFonts w:ascii="Arial" w:hAnsi="Arial" w:cs="Arial"/>
      <w:color w:val="000000"/>
      <w:sz w:val="20"/>
      <w:szCs w:val="20"/>
      <w:u w:val="none"/>
    </w:rPr>
  </w:style>
  <w:style w:type="character" w:customStyle="1" w:styleId="79">
    <w:name w:val="style131"/>
    <w:qFormat/>
    <w:uiPriority w:val="0"/>
    <w:rPr>
      <w:rFonts w:ascii="Times New Roman" w:hAnsi="Times New Roman" w:eastAsia="宋体" w:cs="Times New Roman"/>
      <w:sz w:val="18"/>
      <w:szCs w:val="18"/>
    </w:rPr>
  </w:style>
  <w:style w:type="character" w:customStyle="1" w:styleId="80">
    <w:name w:val="页眉 字符"/>
    <w:link w:val="23"/>
    <w:qFormat/>
    <w:uiPriority w:val="0"/>
    <w:rPr>
      <w:rFonts w:ascii="Times New Roman" w:hAnsi="Times New Roman" w:eastAsia="宋体" w:cs="Times New Roman"/>
      <w:kern w:val="2"/>
      <w:sz w:val="18"/>
    </w:rPr>
  </w:style>
  <w:style w:type="character" w:customStyle="1" w:styleId="81">
    <w:name w:val="font61"/>
    <w:basedOn w:val="37"/>
    <w:qFormat/>
    <w:uiPriority w:val="0"/>
    <w:rPr>
      <w:rFonts w:hint="eastAsia" w:ascii="宋体" w:hAnsi="宋体" w:eastAsia="宋体" w:cs="宋体"/>
      <w:i/>
      <w:color w:val="000000"/>
      <w:sz w:val="20"/>
      <w:szCs w:val="20"/>
      <w:u w:val="none"/>
    </w:rPr>
  </w:style>
  <w:style w:type="character" w:customStyle="1" w:styleId="82">
    <w:name w:val="批注框文本 字符"/>
    <w:link w:val="21"/>
    <w:qFormat/>
    <w:uiPriority w:val="0"/>
    <w:rPr>
      <w:rFonts w:ascii="Times New Roman" w:hAnsi="Times New Roman" w:eastAsia="宋体" w:cs="Times New Roman"/>
      <w:kern w:val="2"/>
      <w:sz w:val="18"/>
      <w:szCs w:val="18"/>
    </w:rPr>
  </w:style>
  <w:style w:type="character" w:customStyle="1" w:styleId="83">
    <w:name w:val="icon"/>
    <w:qFormat/>
    <w:uiPriority w:val="0"/>
    <w:rPr>
      <w:rFonts w:ascii="Times New Roman" w:hAnsi="Times New Roman" w:eastAsia="宋体" w:cs="Times New Roman"/>
    </w:rPr>
  </w:style>
  <w:style w:type="character" w:customStyle="1" w:styleId="84">
    <w:name w:val="纯文本 Char1"/>
    <w:qFormat/>
    <w:uiPriority w:val="0"/>
    <w:rPr>
      <w:rFonts w:ascii="宋体" w:hAnsi="Times New Roman" w:eastAsia="宋体" w:cs="Times New Roman"/>
      <w:kern w:val="2"/>
      <w:sz w:val="21"/>
      <w:lang w:val="en-US" w:eastAsia="zh-CN" w:bidi="ar-SA"/>
    </w:rPr>
  </w:style>
  <w:style w:type="character" w:customStyle="1" w:styleId="85">
    <w:name w:val="indent"/>
    <w:qFormat/>
    <w:uiPriority w:val="0"/>
    <w:rPr>
      <w:rFonts w:ascii="Times New Roman" w:hAnsi="Times New Roman" w:eastAsia="宋体" w:cs="Times New Roman"/>
    </w:rPr>
  </w:style>
  <w:style w:type="character" w:customStyle="1" w:styleId="86">
    <w:name w:val="纯文本 字符"/>
    <w:link w:val="17"/>
    <w:qFormat/>
    <w:uiPriority w:val="0"/>
    <w:rPr>
      <w:rFonts w:ascii="宋体" w:hAnsi="Times New Roman" w:eastAsia="宋体" w:cs="Times New Roman"/>
      <w:kern w:val="2"/>
      <w:sz w:val="21"/>
      <w:lang w:val="en-US" w:eastAsia="zh-CN" w:bidi="ar-SA"/>
    </w:rPr>
  </w:style>
  <w:style w:type="character" w:customStyle="1" w:styleId="87">
    <w:name w:val="old"/>
    <w:qFormat/>
    <w:uiPriority w:val="0"/>
    <w:rPr>
      <w:rFonts w:ascii="Times New Roman" w:hAnsi="Times New Roman" w:eastAsia="宋体" w:cs="Times New Roman"/>
      <w:color w:val="999999"/>
    </w:rPr>
  </w:style>
  <w:style w:type="character" w:customStyle="1" w:styleId="88">
    <w:name w:val="标题 5 字符"/>
    <w:link w:val="6"/>
    <w:qFormat/>
    <w:uiPriority w:val="0"/>
    <w:rPr>
      <w:rFonts w:ascii="Times New Roman" w:hAnsi="Times New Roman" w:eastAsia="宋体" w:cs="Times New Roman"/>
      <w:b/>
      <w:sz w:val="28"/>
      <w:szCs w:val="24"/>
    </w:rPr>
  </w:style>
  <w:style w:type="character" w:customStyle="1" w:styleId="89">
    <w:name w:val="标题 3 Char1"/>
    <w:qFormat/>
    <w:uiPriority w:val="0"/>
    <w:rPr>
      <w:rFonts w:ascii="Times New Roman" w:hAnsi="Times New Roman" w:eastAsia="宋体" w:cs="Times New Roman"/>
      <w:b/>
      <w:bCs/>
      <w:kern w:val="2"/>
      <w:sz w:val="32"/>
      <w:szCs w:val="32"/>
      <w:lang w:val="en-US" w:eastAsia="zh-CN" w:bidi="ar-SA"/>
    </w:rPr>
  </w:style>
  <w:style w:type="character" w:customStyle="1" w:styleId="90">
    <w:name w:val="grame"/>
    <w:qFormat/>
    <w:uiPriority w:val="0"/>
    <w:rPr>
      <w:rFonts w:ascii="Times New Roman" w:hAnsi="Times New Roman" w:eastAsia="宋体" w:cs="Times New Roman"/>
    </w:rPr>
  </w:style>
  <w:style w:type="character" w:customStyle="1" w:styleId="91">
    <w:name w:val="font41"/>
    <w:basedOn w:val="37"/>
    <w:qFormat/>
    <w:uiPriority w:val="0"/>
    <w:rPr>
      <w:rFonts w:hint="default" w:ascii="Times New Roman" w:hAnsi="Times New Roman" w:eastAsia="宋体" w:cs="Times New Roman"/>
      <w:color w:val="000000"/>
      <w:sz w:val="24"/>
      <w:szCs w:val="24"/>
      <w:u w:val="none"/>
    </w:rPr>
  </w:style>
  <w:style w:type="character" w:customStyle="1" w:styleId="92">
    <w:name w:val="short_text1"/>
    <w:qFormat/>
    <w:uiPriority w:val="0"/>
    <w:rPr>
      <w:rFonts w:ascii="Times New Roman" w:hAnsi="Times New Roman" w:eastAsia="宋体" w:cs="Times New Roman"/>
      <w:sz w:val="26"/>
      <w:szCs w:val="26"/>
    </w:rPr>
  </w:style>
  <w:style w:type="character" w:customStyle="1" w:styleId="93">
    <w:name w:val="无"/>
    <w:qFormat/>
    <w:uiPriority w:val="0"/>
    <w:rPr>
      <w:rFonts w:ascii="Times New Roman" w:hAnsi="Times New Roman" w:eastAsia="宋体" w:cs="Times New Roman"/>
    </w:rPr>
  </w:style>
  <w:style w:type="character" w:customStyle="1" w:styleId="94">
    <w:name w:val="hps"/>
    <w:qFormat/>
    <w:uiPriority w:val="0"/>
    <w:rPr>
      <w:rFonts w:ascii="Times New Roman" w:hAnsi="Times New Roman" w:eastAsia="宋体" w:cs="Times New Roman"/>
    </w:rPr>
  </w:style>
  <w:style w:type="character" w:customStyle="1" w:styleId="95">
    <w:name w:val="font11"/>
    <w:basedOn w:val="37"/>
    <w:qFormat/>
    <w:uiPriority w:val="0"/>
    <w:rPr>
      <w:rFonts w:ascii="Calibri" w:hAnsi="Calibri" w:eastAsia="宋体" w:cs="Calibri"/>
      <w:color w:val="000000"/>
      <w:sz w:val="14"/>
      <w:szCs w:val="14"/>
      <w:u w:val="none"/>
    </w:rPr>
  </w:style>
  <w:style w:type="character" w:customStyle="1" w:styleId="96">
    <w:name w:val="标题 1 字符"/>
    <w:link w:val="2"/>
    <w:qFormat/>
    <w:uiPriority w:val="0"/>
    <w:rPr>
      <w:rFonts w:ascii="Times New Roman" w:hAnsi="Times New Roman" w:eastAsia="宋体" w:cs="Times New Roman"/>
      <w:b/>
      <w:spacing w:val="20"/>
      <w:kern w:val="44"/>
      <w:sz w:val="32"/>
    </w:rPr>
  </w:style>
  <w:style w:type="paragraph" w:customStyle="1" w:styleId="97">
    <w:name w:val="xl23"/>
    <w:next w:val="30"/>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98">
    <w:name w:val="默认段落字体 Para Char Char Char Char"/>
    <w:basedOn w:val="1"/>
    <w:qFormat/>
    <w:uiPriority w:val="0"/>
    <w:rPr>
      <w:rFonts w:cs="Times New Roman"/>
    </w:rPr>
  </w:style>
  <w:style w:type="paragraph" w:customStyle="1" w:styleId="99">
    <w:name w:val="样式3"/>
    <w:basedOn w:val="1"/>
    <w:qFormat/>
    <w:uiPriority w:val="0"/>
    <w:pPr>
      <w:autoSpaceDE w:val="0"/>
      <w:autoSpaceDN w:val="0"/>
      <w:adjustRightInd w:val="0"/>
      <w:spacing w:line="360" w:lineRule="auto"/>
      <w:ind w:firstLine="480" w:firstLineChars="200"/>
      <w:jc w:val="left"/>
    </w:pPr>
    <w:rPr>
      <w:rFonts w:ascii="宋体" w:hAnsi="宋体"/>
      <w:b w:val="0"/>
    </w:rPr>
  </w:style>
  <w:style w:type="paragraph" w:customStyle="1" w:styleId="100">
    <w:name w:val="_Style 114"/>
    <w:basedOn w:val="1"/>
    <w:next w:val="1"/>
    <w:qFormat/>
    <w:uiPriority w:val="0"/>
    <w:pPr>
      <w:pBdr>
        <w:bottom w:val="single" w:color="auto" w:sz="6" w:space="1"/>
      </w:pBdr>
      <w:jc w:val="center"/>
    </w:pPr>
    <w:rPr>
      <w:rFonts w:ascii="Arial" w:cs="Times New Roman"/>
      <w:vanish/>
      <w:sz w:val="16"/>
    </w:rPr>
  </w:style>
  <w:style w:type="paragraph" w:customStyle="1" w:styleId="101">
    <w:name w:val="Char"/>
    <w:basedOn w:val="1"/>
    <w:qFormat/>
    <w:uiPriority w:val="0"/>
    <w:pPr>
      <w:widowControl/>
      <w:spacing w:after="160" w:line="240" w:lineRule="exact"/>
      <w:jc w:val="left"/>
    </w:pPr>
    <w:rPr>
      <w:rFonts w:ascii="Verdana" w:hAnsi="Verdana" w:cs="Times New Roman"/>
      <w:kern w:val="0"/>
      <w:sz w:val="20"/>
      <w:lang w:eastAsia="en-US"/>
    </w:rPr>
  </w:style>
  <w:style w:type="paragraph" w:customStyle="1" w:styleId="102">
    <w:name w:val="修订4"/>
    <w:qFormat/>
    <w:uiPriority w:val="0"/>
    <w:rPr>
      <w:rFonts w:ascii="Times New Roman" w:hAnsi="Times New Roman" w:eastAsia="宋体" w:cs="Times New Roman"/>
      <w:kern w:val="2"/>
      <w:sz w:val="21"/>
      <w:lang w:val="en-US" w:eastAsia="zh-CN" w:bidi="ar-SA"/>
    </w:rPr>
  </w:style>
  <w:style w:type="paragraph" w:customStyle="1" w:styleId="103">
    <w:name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4">
    <w:name w:val="正文五号"/>
    <w:basedOn w:val="1"/>
    <w:qFormat/>
    <w:uiPriority w:val="0"/>
    <w:rPr>
      <w:rFonts w:ascii="宋体" w:eastAsia="仿宋_GB2312" w:cs="Times New Roman"/>
    </w:rPr>
  </w:style>
  <w:style w:type="paragraph" w:customStyle="1" w:styleId="105">
    <w:name w:val="TOC 标题1"/>
    <w:basedOn w:val="2"/>
    <w:next w:val="1"/>
    <w:qFormat/>
    <w:uiPriority w:val="0"/>
    <w:pPr>
      <w:widowControl/>
      <w:spacing w:before="480" w:after="0" w:line="276" w:lineRule="auto"/>
      <w:jc w:val="left"/>
      <w:outlineLvl w:val="9"/>
    </w:pPr>
    <w:rPr>
      <w:rFonts w:ascii="Cambria" w:hAnsi="Cambria"/>
      <w:bCs/>
      <w:color w:val="366091"/>
      <w:spacing w:val="0"/>
      <w:kern w:val="0"/>
      <w:sz w:val="28"/>
      <w:szCs w:val="28"/>
    </w:rPr>
  </w:style>
  <w:style w:type="paragraph" w:customStyle="1" w:styleId="106">
    <w:name w:val="彩色列表 - 强调文字颜色 11"/>
    <w:basedOn w:val="1"/>
    <w:qFormat/>
    <w:uiPriority w:val="0"/>
    <w:pPr>
      <w:ind w:firstLine="420" w:firstLineChars="200"/>
    </w:pPr>
    <w:rPr>
      <w:rFonts w:ascii="Cambria" w:hAnsi="Cambria" w:cs="Times New Roman"/>
    </w:rPr>
  </w:style>
  <w:style w:type="paragraph" w:customStyle="1" w:styleId="107">
    <w:name w:val="修订1"/>
    <w:qFormat/>
    <w:uiPriority w:val="0"/>
    <w:rPr>
      <w:rFonts w:ascii="Times New Roman" w:hAnsi="Times New Roman" w:eastAsia="宋体" w:cs="Times New Roman"/>
      <w:kern w:val="2"/>
      <w:sz w:val="21"/>
      <w:lang w:val="en-US" w:eastAsia="zh-CN" w:bidi="ar-SA"/>
    </w:rPr>
  </w:style>
  <w:style w:type="paragraph" w:customStyle="1" w:styleId="108">
    <w:name w:val="表格"/>
    <w:basedOn w:val="1"/>
    <w:qFormat/>
    <w:uiPriority w:val="0"/>
    <w:pPr>
      <w:tabs>
        <w:tab w:val="left" w:pos="1200"/>
      </w:tabs>
      <w:spacing w:line="500" w:lineRule="exact"/>
      <w:jc w:val="center"/>
    </w:pPr>
    <w:rPr>
      <w:rFonts w:ascii="宋体" w:cs="Times New Roman"/>
      <w:szCs w:val="18"/>
    </w:rPr>
  </w:style>
  <w:style w:type="paragraph" w:customStyle="1" w:styleId="109">
    <w:name w:val="修订5"/>
    <w:qFormat/>
    <w:uiPriority w:val="0"/>
    <w:rPr>
      <w:rFonts w:ascii="Times New Roman" w:hAnsi="Times New Roman" w:eastAsia="宋体" w:cs="Times New Roman"/>
      <w:kern w:val="2"/>
      <w:sz w:val="21"/>
      <w:lang w:val="en-US" w:eastAsia="zh-CN" w:bidi="ar-SA"/>
    </w:rPr>
  </w:style>
  <w:style w:type="paragraph" w:customStyle="1" w:styleId="110">
    <w:name w:val="目录"/>
    <w:basedOn w:val="1"/>
    <w:qFormat/>
    <w:uiPriority w:val="0"/>
    <w:pPr>
      <w:widowControl/>
      <w:jc w:val="center"/>
    </w:pPr>
    <w:rPr>
      <w:rFonts w:ascii="宋体" w:cs="Times New Roman"/>
      <w:kern w:val="0"/>
      <w:sz w:val="36"/>
    </w:rPr>
  </w:style>
  <w:style w:type="paragraph" w:customStyle="1" w:styleId="111">
    <w:name w:val="Char Char Char Char Char Char Char Char Char Char Char Char"/>
    <w:basedOn w:val="1"/>
    <w:qFormat/>
    <w:uiPriority w:val="0"/>
    <w:pPr>
      <w:tabs>
        <w:tab w:val="right" w:pos="-2120"/>
      </w:tabs>
      <w:snapToGrid w:val="0"/>
    </w:pPr>
    <w:rPr>
      <w:rFonts w:ascii="Tahoma" w:hAnsi="Tahoma" w:cs="Times New Roman"/>
      <w:spacing w:val="6"/>
    </w:rPr>
  </w:style>
  <w:style w:type="paragraph" w:customStyle="1" w:styleId="112">
    <w:name w:val="列出段落1"/>
    <w:basedOn w:val="1"/>
    <w:qFormat/>
    <w:uiPriority w:val="0"/>
    <w:pPr>
      <w:ind w:firstLine="420" w:firstLineChars="200"/>
    </w:pPr>
    <w:rPr>
      <w:rFonts w:cs="Times New Roman"/>
    </w:rPr>
  </w:style>
  <w:style w:type="paragraph" w:customStyle="1" w:styleId="113">
    <w:name w:val="Absatz2AL"/>
    <w:basedOn w:val="13"/>
    <w:next w:val="1"/>
    <w:qFormat/>
    <w:uiPriority w:val="0"/>
    <w:pPr>
      <w:widowControl/>
      <w:overflowPunct w:val="0"/>
      <w:autoSpaceDE w:val="0"/>
      <w:autoSpaceDN w:val="0"/>
      <w:adjustRightInd w:val="0"/>
      <w:textAlignment w:val="baseline"/>
    </w:pPr>
    <w:rPr>
      <w:rFonts w:ascii="Times New Roman" w:eastAsia="楷体_GB2312"/>
      <w:kern w:val="0"/>
      <w:lang w:val="de-DE" w:eastAsia="de-DE"/>
    </w:rPr>
  </w:style>
  <w:style w:type="paragraph" w:customStyle="1" w:styleId="114">
    <w:name w:val="_Style 2"/>
    <w:basedOn w:val="1"/>
    <w:qFormat/>
    <w:uiPriority w:val="0"/>
    <w:pPr>
      <w:ind w:firstLine="420" w:firstLineChars="200"/>
    </w:pPr>
    <w:rPr>
      <w:rFonts w:cs="Times New Roman"/>
      <w:szCs w:val="21"/>
    </w:rPr>
  </w:style>
  <w:style w:type="paragraph" w:customStyle="1" w:styleId="115">
    <w:name w:val="子弹"/>
    <w:basedOn w:val="1"/>
    <w:qFormat/>
    <w:uiPriority w:val="0"/>
    <w:pPr>
      <w:tabs>
        <w:tab w:val="left" w:pos="1134"/>
        <w:tab w:val="right" w:pos="9356"/>
      </w:tabs>
      <w:ind w:left="720" w:hanging="360"/>
    </w:pPr>
    <w:rPr>
      <w:rFonts w:ascii="新宋体" w:hAnsi="新宋体" w:eastAsia="新宋体" w:cs="Times New Roman"/>
      <w:sz w:val="28"/>
      <w:szCs w:val="28"/>
    </w:rPr>
  </w:style>
  <w:style w:type="paragraph" w:customStyle="1" w:styleId="116">
    <w:name w:val="Char Char Char Char1"/>
    <w:basedOn w:val="10"/>
    <w:qFormat/>
    <w:uiPriority w:val="0"/>
    <w:pPr>
      <w:adjustRightInd w:val="0"/>
      <w:snapToGrid w:val="0"/>
      <w:spacing w:line="360" w:lineRule="auto"/>
    </w:pPr>
    <w:rPr>
      <w:rFonts w:ascii="Tahoma" w:hAnsi="Tahoma"/>
    </w:rPr>
  </w:style>
  <w:style w:type="paragraph" w:customStyle="1" w:styleId="117">
    <w:name w:val="无间隔1"/>
    <w:qFormat/>
    <w:uiPriority w:val="0"/>
    <w:pPr>
      <w:adjustRightInd w:val="0"/>
      <w:snapToGrid w:val="0"/>
    </w:pPr>
    <w:rPr>
      <w:rFonts w:ascii="Tahoma" w:hAnsi="Tahoma" w:eastAsia="微软雅黑" w:cs="Times New Roman"/>
      <w:sz w:val="22"/>
      <w:szCs w:val="22"/>
      <w:lang w:val="en-US" w:eastAsia="zh-CN" w:bidi="ar-SA"/>
    </w:rPr>
  </w:style>
  <w:style w:type="paragraph" w:customStyle="1" w:styleId="118">
    <w:name w:val="修订3"/>
    <w:qFormat/>
    <w:uiPriority w:val="0"/>
    <w:rPr>
      <w:rFonts w:ascii="Times New Roman" w:hAnsi="Times New Roman" w:eastAsia="宋体" w:cs="Times New Roman"/>
      <w:kern w:val="2"/>
      <w:sz w:val="21"/>
      <w:lang w:val="en-US" w:eastAsia="zh-CN" w:bidi="ar-SA"/>
    </w:rPr>
  </w:style>
  <w:style w:type="paragraph" w:customStyle="1" w:styleId="119">
    <w:name w:val="样式2"/>
    <w:basedOn w:val="1"/>
    <w:qFormat/>
    <w:uiPriority w:val="0"/>
    <w:pPr>
      <w:spacing w:line="360" w:lineRule="auto"/>
    </w:pPr>
    <w:rPr>
      <w:rFonts w:ascii="Century Gothic" w:hAnsi="Century Gothic" w:eastAsia="黑体" w:cs="Times New Roman"/>
      <w:sz w:val="32"/>
      <w:szCs w:val="30"/>
    </w:rPr>
  </w:style>
  <w:style w:type="paragraph" w:customStyle="1" w:styleId="120">
    <w:name w:val="列出段落11"/>
    <w:basedOn w:val="1"/>
    <w:qFormat/>
    <w:uiPriority w:val="0"/>
    <w:pPr>
      <w:ind w:firstLine="420" w:firstLineChars="200"/>
    </w:pPr>
    <w:rPr>
      <w:rFonts w:ascii="Calibri" w:hAnsi="Calibri" w:cs="Times New Roman"/>
      <w:szCs w:val="22"/>
    </w:rPr>
  </w:style>
  <w:style w:type="paragraph" w:customStyle="1" w:styleId="121">
    <w:name w:val="Char Char Char Char"/>
    <w:basedOn w:val="1"/>
    <w:qFormat/>
    <w:uiPriority w:val="0"/>
    <w:rPr>
      <w:rFonts w:cs="Times New Roman"/>
    </w:rPr>
  </w:style>
  <w:style w:type="paragraph" w:customStyle="1" w:styleId="122">
    <w:name w:val="Char1"/>
    <w:basedOn w:val="1"/>
    <w:qFormat/>
    <w:uiPriority w:val="0"/>
    <w:rPr>
      <w:rFonts w:ascii="Tahoma" w:hAnsi="Tahoma" w:cs="Times New Roman"/>
    </w:rPr>
  </w:style>
  <w:style w:type="paragraph" w:customStyle="1" w:styleId="123">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124">
    <w:name w:val="p0"/>
    <w:basedOn w:val="1"/>
    <w:qFormat/>
    <w:uiPriority w:val="0"/>
    <w:pPr>
      <w:widowControl/>
      <w:spacing w:before="100" w:beforeAutospacing="1" w:after="100" w:afterAutospacing="1"/>
      <w:jc w:val="left"/>
    </w:pPr>
    <w:rPr>
      <w:rFonts w:ascii="宋体" w:hAnsi="宋体"/>
      <w:kern w:val="0"/>
    </w:rPr>
  </w:style>
  <w:style w:type="paragraph" w:customStyle="1" w:styleId="125">
    <w:name w:val="子弹１"/>
    <w:basedOn w:val="115"/>
    <w:qFormat/>
    <w:uiPriority w:val="0"/>
    <w:pPr>
      <w:tabs>
        <w:tab w:val="left" w:pos="873"/>
      </w:tabs>
    </w:pPr>
    <w:rPr>
      <w:rFonts w:ascii="Times New Roman" w:hAnsi="Times New Roman" w:eastAsia="宋体"/>
    </w:rPr>
  </w:style>
  <w:style w:type="paragraph" w:customStyle="1" w:styleId="126">
    <w:name w:val="5"/>
    <w:basedOn w:val="1"/>
    <w:qFormat/>
    <w:uiPriority w:val="0"/>
    <w:pPr>
      <w:tabs>
        <w:tab w:val="right" w:pos="-2120"/>
      </w:tabs>
      <w:snapToGrid w:val="0"/>
    </w:pPr>
    <w:rPr>
      <w:rFonts w:ascii="Tahoma" w:hAnsi="Tahoma" w:cs="Times New Roman"/>
      <w:spacing w:val="6"/>
    </w:rPr>
  </w:style>
  <w:style w:type="paragraph" w:customStyle="1" w:styleId="127">
    <w:name w:val="Char Char1 Char Char"/>
    <w:basedOn w:val="1"/>
    <w:qFormat/>
    <w:uiPriority w:val="0"/>
    <w:pPr>
      <w:tabs>
        <w:tab w:val="left" w:pos="360"/>
      </w:tabs>
    </w:pPr>
    <w:rPr>
      <w:rFonts w:cs="Times New Roman"/>
    </w:rPr>
  </w:style>
  <w:style w:type="paragraph" w:customStyle="1" w:styleId="128">
    <w:name w:val="Char Char1"/>
    <w:basedOn w:val="1"/>
    <w:qFormat/>
    <w:uiPriority w:val="0"/>
    <w:pPr>
      <w:widowControl/>
      <w:spacing w:after="160" w:line="240" w:lineRule="exact"/>
      <w:jc w:val="left"/>
    </w:pPr>
    <w:rPr>
      <w:rFonts w:ascii="Verdana" w:hAnsi="Verdana" w:eastAsia="仿宋_GB2312" w:cs="Times New Roman"/>
      <w:kern w:val="0"/>
      <w:sz w:val="20"/>
      <w:lang w:eastAsia="en-US"/>
    </w:rPr>
  </w:style>
  <w:style w:type="paragraph" w:customStyle="1" w:styleId="129">
    <w:name w:val="Char Char Char"/>
    <w:basedOn w:val="1"/>
    <w:qFormat/>
    <w:uiPriority w:val="0"/>
    <w:pPr>
      <w:ind w:firstLine="200" w:firstLineChars="200"/>
    </w:pPr>
    <w:rPr>
      <w:rFonts w:cs="Times New Roman"/>
    </w:rPr>
  </w:style>
  <w:style w:type="paragraph" w:customStyle="1" w:styleId="130">
    <w:name w:val="Other|1"/>
    <w:basedOn w:val="1"/>
    <w:qFormat/>
    <w:uiPriority w:val="0"/>
    <w:pPr>
      <w:spacing w:line="420" w:lineRule="auto"/>
    </w:pPr>
    <w:rPr>
      <w:rFonts w:ascii="宋体" w:hAnsi="宋体"/>
      <w:u w:val="single"/>
      <w:lang w:val="zh-TW" w:eastAsia="zh-TW" w:bidi="zh-TW"/>
    </w:rPr>
  </w:style>
  <w:style w:type="paragraph" w:customStyle="1" w:styleId="131">
    <w:name w:val="修订2"/>
    <w:qFormat/>
    <w:uiPriority w:val="0"/>
    <w:rPr>
      <w:rFonts w:ascii="Times New Roman" w:hAnsi="Times New Roman" w:eastAsia="宋体" w:cs="Times New Roman"/>
      <w:kern w:val="2"/>
      <w:sz w:val="21"/>
      <w:lang w:val="en-US" w:eastAsia="zh-CN" w:bidi="ar-SA"/>
    </w:rPr>
  </w:style>
  <w:style w:type="paragraph" w:customStyle="1" w:styleId="132">
    <w:name w:val="正文 New New New"/>
    <w:qFormat/>
    <w:uiPriority w:val="0"/>
    <w:pPr>
      <w:jc w:val="both"/>
    </w:pPr>
    <w:rPr>
      <w:rFonts w:ascii="Times New Roman" w:hAnsi="Times New Roman" w:eastAsia="宋体" w:cs="Times New Roman"/>
      <w:kern w:val="2"/>
      <w:sz w:val="21"/>
      <w:lang w:val="en-US" w:eastAsia="zh-CN" w:bidi="ar-SA"/>
    </w:rPr>
  </w:style>
  <w:style w:type="paragraph" w:customStyle="1" w:styleId="133">
    <w:name w:val="缺省文本"/>
    <w:basedOn w:val="1"/>
    <w:qFormat/>
    <w:uiPriority w:val="0"/>
    <w:pPr>
      <w:autoSpaceDE w:val="0"/>
      <w:autoSpaceDN w:val="0"/>
      <w:adjustRightInd w:val="0"/>
      <w:jc w:val="left"/>
    </w:pPr>
    <w:rPr>
      <w:rFonts w:cs="Times New Roman"/>
      <w:kern w:val="0"/>
    </w:rPr>
  </w:style>
  <w:style w:type="paragraph" w:customStyle="1" w:styleId="134">
    <w:name w:val="修订6"/>
    <w:qFormat/>
    <w:uiPriority w:val="0"/>
    <w:rPr>
      <w:rFonts w:ascii="Times New Roman" w:hAnsi="Times New Roman" w:eastAsia="宋体" w:cs="Times New Roman"/>
      <w:kern w:val="2"/>
      <w:sz w:val="21"/>
      <w:lang w:val="en-US" w:eastAsia="zh-CN" w:bidi="ar-SA"/>
    </w:rPr>
  </w:style>
  <w:style w:type="paragraph" w:customStyle="1" w:styleId="135">
    <w:name w:val="样式1"/>
    <w:basedOn w:val="3"/>
    <w:qFormat/>
    <w:uiPriority w:val="0"/>
    <w:pPr>
      <w:adjustRightInd w:val="0"/>
      <w:spacing w:line="416" w:lineRule="atLeast"/>
      <w:jc w:val="left"/>
      <w:textAlignment w:val="baseline"/>
    </w:pPr>
    <w:rPr>
      <w:rFonts w:ascii="Times New Roman" w:hAnsi="Times New Roman" w:eastAsia="黑体"/>
      <w:spacing w:val="0"/>
      <w:kern w:val="0"/>
      <w:sz w:val="30"/>
    </w:rPr>
  </w:style>
  <w:style w:type="paragraph" w:customStyle="1" w:styleId="136">
    <w:name w:val="无间距"/>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7">
    <w:name w:val="抬头"/>
    <w:basedOn w:val="1"/>
    <w:qFormat/>
    <w:uiPriority w:val="0"/>
    <w:pPr>
      <w:spacing w:beforeLines="50" w:line="360" w:lineRule="auto"/>
    </w:pPr>
    <w:rPr>
      <w:rFonts w:ascii="宋体" w:cs="Times New Roman"/>
    </w:rPr>
  </w:style>
  <w:style w:type="paragraph" w:customStyle="1" w:styleId="138">
    <w:name w:val="_Style 1"/>
    <w:basedOn w:val="1"/>
    <w:qFormat/>
    <w:uiPriority w:val="0"/>
    <w:pPr>
      <w:spacing w:line="276" w:lineRule="auto"/>
      <w:ind w:left="720"/>
      <w:contextualSpacing/>
    </w:pPr>
    <w:rPr>
      <w:rFonts w:ascii="Calibri" w:hAnsi="Calibri" w:cs="Times New Roman"/>
    </w:rPr>
  </w:style>
  <w:style w:type="paragraph" w:customStyle="1" w:styleId="139">
    <w:name w:val="_Style 115"/>
    <w:basedOn w:val="1"/>
    <w:next w:val="1"/>
    <w:qFormat/>
    <w:uiPriority w:val="0"/>
    <w:pPr>
      <w:pBdr>
        <w:top w:val="single" w:color="auto" w:sz="6" w:space="1"/>
      </w:pBdr>
      <w:jc w:val="center"/>
    </w:pPr>
    <w:rPr>
      <w:rFonts w:ascii="Arial" w:cs="Times New Roman"/>
      <w:vanish/>
      <w:sz w:val="16"/>
    </w:rPr>
  </w:style>
  <w:style w:type="paragraph" w:customStyle="1" w:styleId="140">
    <w:name w:val="修订11"/>
    <w:qFormat/>
    <w:uiPriority w:val="0"/>
    <w:rPr>
      <w:rFonts w:ascii="Times New Roman" w:hAnsi="Times New Roman" w:eastAsia="宋体" w:cs="Times New Roman"/>
      <w:kern w:val="2"/>
      <w:sz w:val="21"/>
      <w:lang w:val="en-US" w:eastAsia="zh-CN" w:bidi="ar-SA"/>
    </w:rPr>
  </w:style>
  <w:style w:type="paragraph" w:customStyle="1" w:styleId="141">
    <w:name w:val="Char13"/>
    <w:basedOn w:val="1"/>
    <w:qFormat/>
    <w:uiPriority w:val="0"/>
    <w:rPr>
      <w:rFonts w:cs="Times New Roman"/>
    </w:rPr>
  </w:style>
  <w:style w:type="paragraph" w:customStyle="1" w:styleId="142">
    <w:name w:val="列出段落2"/>
    <w:basedOn w:val="1"/>
    <w:qFormat/>
    <w:uiPriority w:val="0"/>
    <w:pPr>
      <w:ind w:firstLine="420" w:firstLineChars="200"/>
    </w:pPr>
    <w:rPr>
      <w:rFonts w:cs="Times New Roman"/>
    </w:rPr>
  </w:style>
  <w:style w:type="character" w:customStyle="1" w:styleId="143">
    <w:name w:val="招标文件正文 Char Char"/>
    <w:link w:val="144"/>
    <w:qFormat/>
    <w:uiPriority w:val="99"/>
    <w:rPr>
      <w:rFonts w:ascii="宋体" w:hAnsi="宋体" w:cs="宋体"/>
      <w:szCs w:val="21"/>
      <w:lang w:val="zh-CN"/>
    </w:rPr>
  </w:style>
  <w:style w:type="paragraph" w:customStyle="1" w:styleId="144">
    <w:name w:val="招标文件正文"/>
    <w:basedOn w:val="1"/>
    <w:link w:val="143"/>
    <w:qFormat/>
    <w:uiPriority w:val="99"/>
    <w:pPr>
      <w:autoSpaceDE w:val="0"/>
      <w:autoSpaceDN w:val="0"/>
      <w:adjustRightInd w:val="0"/>
      <w:snapToGrid w:val="0"/>
      <w:spacing w:line="360" w:lineRule="auto"/>
      <w:ind w:firstLine="200" w:firstLineChars="200"/>
    </w:pPr>
    <w:rPr>
      <w:rFonts w:ascii="宋体" w:hAnsi="宋体"/>
      <w:szCs w:val="21"/>
      <w:lang w:val="zh-CN"/>
    </w:rPr>
  </w:style>
  <w:style w:type="paragraph" w:customStyle="1" w:styleId="145">
    <w:name w:val="--规划正文"/>
    <w:basedOn w:val="1"/>
    <w:qFormat/>
    <w:uiPriority w:val="0"/>
    <w:pPr>
      <w:spacing w:beforeLines="50" w:afterLines="50"/>
      <w:ind w:firstLine="200"/>
    </w:pPr>
    <w:rPr>
      <w:rFonts w:ascii="Calibri" w:hAnsi="Calibri" w:eastAsia="仿宋_GB2312" w:cs="Times New Roman"/>
      <w:szCs w:val="20"/>
    </w:rPr>
  </w:style>
  <w:style w:type="paragraph" w:customStyle="1" w:styleId="146">
    <w:name w:val="【正文】"/>
    <w:basedOn w:val="1"/>
    <w:qFormat/>
    <w:uiPriority w:val="0"/>
    <w:pPr>
      <w:ind w:firstLine="200"/>
    </w:pPr>
  </w:style>
  <w:style w:type="paragraph" w:customStyle="1" w:styleId="147">
    <w:name w:val="样式 标题 1 + 四号 居中 段前: 12 磅 段后: 12 磅 行距: 单倍行距"/>
    <w:basedOn w:val="2"/>
    <w:qFormat/>
    <w:uiPriority w:val="0"/>
    <w:pPr>
      <w:tabs>
        <w:tab w:val="left" w:pos="360"/>
      </w:tabs>
      <w:spacing w:before="240" w:after="240" w:line="240" w:lineRule="auto"/>
      <w:jc w:val="center"/>
    </w:pPr>
    <w:rPr>
      <w:sz w:val="28"/>
      <w:szCs w:val="20"/>
    </w:rPr>
  </w:style>
  <w:style w:type="paragraph" w:customStyle="1" w:styleId="148">
    <w:name w:val="样式 首行缩进:  2 字符"/>
    <w:basedOn w:val="1"/>
    <w:qFormat/>
    <w:uiPriority w:val="0"/>
    <w:pPr>
      <w:spacing w:line="400" w:lineRule="exact"/>
      <w:ind w:firstLine="200" w:firstLineChars="200"/>
    </w:pPr>
    <w:rPr>
      <w:rFonts w:cs="宋体"/>
      <w:sz w:val="24"/>
    </w:rPr>
  </w:style>
  <w:style w:type="paragraph" w:customStyle="1" w:styleId="149">
    <w:name w:val="列表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J:\&#20013;&#22269;&#31185;&#23398;&#38498;\&#20013;&#22269;&#31185;&#23398;&#38498;&#26118;&#26126;&#21160;&#29289;&#30740;&#31350;&#25152;&#20415;&#25658;&#24335;&#23485;&#24102;&#31185;&#23398;&#40060;&#25506;&#20202;&#31995;&#32479;7.29&#29579;&#22269;&#29626;&#20462;&#25913;&#312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中国科学院昆明动物研究所便携式宽带科学鱼探仪系统7.29王国玺修改稿</Template>
  <Company>Users</Company>
  <Pages>116</Pages>
  <Words>20165</Words>
  <Characters>21538</Characters>
  <Lines>381</Lines>
  <Paragraphs>107</Paragraphs>
  <TotalTime>0</TotalTime>
  <ScaleCrop>false</ScaleCrop>
  <LinksUpToDate>false</LinksUpToDate>
  <CharactersWithSpaces>22695</CharactersWithSpaces>
  <Application>WPS Office_12.1.0.21915_F1E327BC-269C-435d-A152-05C5408002CA</Application>
  <DocSecurity>1</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2022-06-20T01:04:00Z</dcterms:created>
  <dc:creator>Windows 用户</dc:creator>
  <cp:lastModifiedBy>云南傲真工程咨询有限公司</cp:lastModifiedBy>
  <cp:lastPrinted>2023-02-20T06:32:00Z</cp:lastPrinted>
  <dcterms:modified xsi:type="dcterms:W3CDTF">2025-08-04T08:56:16Z</dcterms:modified>
  <dc:title>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F9E4EA4C945642E4AD53253D2EAFF000</vt:lpwstr>
  </property>
  <property fmtid="{D5CDD505-2E9C-101B-9397-08002B2CF9AE}" pid="3" name="KSOProductBuildVer">
    <vt:lpwstr>2052-12.1.0.21915</vt:lpwstr>
  </property>
  <property fmtid="{D5CDD505-2E9C-101B-9397-08002B2CF9AE}" pid="4" name="KSOTemplateDocerSaveRecord">
    <vt:lpwstr>eyJoZGlkIjoiOTNjNWYxYWJmNWVkMGE0ZmM5NzU5MzExMjMwY2RmNDMiLCJ1c2VySWQiOiI5NDYzNDAyMDIifQ==</vt:lpwstr>
  </property>
</Properties>
</file>