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0C6FF75">
      <w:pPr>
        <w:jc w:val="center"/>
        <w:rPr>
          <w:rFonts w:ascii="宋体" w:hAnsi="宋体" w:eastAsia="宋体" w:cs="宋体"/>
          <w:b/>
          <w:bCs/>
          <w:sz w:val="54"/>
          <w:szCs w:val="48"/>
          <w:highlight w:val="none"/>
        </w:rPr>
      </w:pPr>
    </w:p>
    <w:p w14:paraId="4175675E">
      <w:pPr>
        <w:spacing w:line="1000" w:lineRule="exact"/>
        <w:jc w:val="center"/>
        <w:rPr>
          <w:rFonts w:hint="eastAsia" w:ascii="宋体" w:hAnsi="宋体" w:eastAsia="宋体" w:cs="宋体"/>
          <w:b/>
          <w:bCs/>
          <w:sz w:val="68"/>
          <w:szCs w:val="68"/>
          <w:highlight w:val="none"/>
        </w:rPr>
      </w:pPr>
      <w:r>
        <w:rPr>
          <w:rFonts w:hint="eastAsia" w:ascii="宋体" w:hAnsi="宋体" w:eastAsia="宋体" w:cs="宋体"/>
          <w:b/>
          <w:bCs/>
          <w:sz w:val="68"/>
          <w:szCs w:val="68"/>
          <w:highlight w:val="none"/>
        </w:rPr>
        <w:t>昌宁县医共体总医院慢病管理</w:t>
      </w:r>
    </w:p>
    <w:p w14:paraId="014CF972">
      <w:pPr>
        <w:spacing w:line="1000" w:lineRule="exact"/>
        <w:jc w:val="center"/>
        <w:rPr>
          <w:rFonts w:ascii="宋体" w:hAnsi="宋体" w:eastAsia="宋体" w:cs="宋体"/>
          <w:b/>
          <w:bCs/>
          <w:sz w:val="60"/>
          <w:szCs w:val="60"/>
          <w:highlight w:val="none"/>
        </w:rPr>
      </w:pPr>
      <w:r>
        <w:rPr>
          <w:rFonts w:hint="eastAsia" w:ascii="宋体" w:hAnsi="宋体" w:eastAsia="宋体" w:cs="宋体"/>
          <w:b/>
          <w:bCs/>
          <w:sz w:val="68"/>
          <w:szCs w:val="68"/>
          <w:highlight w:val="none"/>
        </w:rPr>
        <w:t>信息系统采购项目</w:t>
      </w:r>
    </w:p>
    <w:p w14:paraId="76741F72">
      <w:pPr>
        <w:pStyle w:val="12"/>
        <w:rPr>
          <w:rFonts w:ascii="宋体" w:hAnsi="宋体" w:eastAsia="宋体" w:cs="宋体"/>
          <w:highlight w:val="none"/>
        </w:rPr>
      </w:pPr>
    </w:p>
    <w:p w14:paraId="63EAE046">
      <w:pPr>
        <w:pStyle w:val="15"/>
        <w:spacing w:line="360" w:lineRule="auto"/>
        <w:jc w:val="center"/>
        <w:rPr>
          <w:rFonts w:hAnsi="宋体"/>
          <w:b/>
          <w:bCs/>
          <w:sz w:val="84"/>
          <w:szCs w:val="84"/>
          <w:highlight w:val="none"/>
        </w:rPr>
      </w:pPr>
    </w:p>
    <w:p w14:paraId="6E23DAF7">
      <w:pPr>
        <w:pStyle w:val="15"/>
        <w:spacing w:line="360" w:lineRule="auto"/>
        <w:jc w:val="center"/>
        <w:rPr>
          <w:rFonts w:hAnsi="宋体"/>
          <w:b/>
          <w:bCs/>
          <w:sz w:val="84"/>
          <w:szCs w:val="84"/>
          <w:highlight w:val="none"/>
        </w:rPr>
      </w:pPr>
      <w:r>
        <w:rPr>
          <w:rFonts w:hint="eastAsia" w:hAnsi="宋体"/>
          <w:b/>
          <w:bCs/>
          <w:sz w:val="84"/>
          <w:szCs w:val="84"/>
          <w:highlight w:val="none"/>
        </w:rPr>
        <w:t>竞争性磋商文件</w:t>
      </w:r>
    </w:p>
    <w:p w14:paraId="5B48A74F">
      <w:pPr>
        <w:pStyle w:val="15"/>
        <w:spacing w:line="360" w:lineRule="auto"/>
        <w:rPr>
          <w:rFonts w:hAnsi="宋体"/>
          <w:highlight w:val="none"/>
        </w:rPr>
      </w:pPr>
    </w:p>
    <w:p w14:paraId="13572DD8">
      <w:pPr>
        <w:pStyle w:val="15"/>
        <w:spacing w:line="360" w:lineRule="auto"/>
        <w:ind w:firstLine="2875" w:firstLineChars="895"/>
        <w:rPr>
          <w:rFonts w:hAnsi="宋体"/>
          <w:b/>
          <w:bCs/>
          <w:sz w:val="32"/>
          <w:szCs w:val="32"/>
          <w:highlight w:val="none"/>
        </w:rPr>
      </w:pPr>
      <w:r>
        <w:rPr>
          <w:rFonts w:hint="eastAsia" w:hAnsi="宋体"/>
          <w:b/>
          <w:bCs/>
          <w:sz w:val="32"/>
          <w:szCs w:val="32"/>
          <w:highlight w:val="none"/>
        </w:rPr>
        <w:t>项目编号：TRZBC2026-75</w:t>
      </w:r>
    </w:p>
    <w:p w14:paraId="466BEDFC">
      <w:pPr>
        <w:pStyle w:val="15"/>
        <w:spacing w:line="360" w:lineRule="auto"/>
        <w:jc w:val="center"/>
        <w:rPr>
          <w:rFonts w:hint="eastAsia" w:hAnsi="宋体" w:eastAsia="宋体"/>
          <w:b/>
          <w:bCs/>
          <w:sz w:val="32"/>
          <w:szCs w:val="32"/>
          <w:highlight w:val="none"/>
          <w:lang w:eastAsia="zh-CN"/>
        </w:rPr>
      </w:pPr>
      <w:r>
        <w:rPr>
          <w:rFonts w:hint="eastAsia" w:hAnsi="宋体"/>
          <w:b/>
          <w:bCs/>
          <w:sz w:val="32"/>
          <w:szCs w:val="32"/>
          <w:highlight w:val="none"/>
          <w:lang w:eastAsia="zh-CN"/>
        </w:rPr>
        <w:t>电子交易平台项目编号：BSZC2026-C3-00679-BSTR-0046</w:t>
      </w:r>
    </w:p>
    <w:p w14:paraId="430445C0">
      <w:pPr>
        <w:pStyle w:val="15"/>
        <w:spacing w:line="360" w:lineRule="auto"/>
        <w:rPr>
          <w:rFonts w:hAnsi="宋体"/>
          <w:highlight w:val="none"/>
        </w:rPr>
      </w:pPr>
    </w:p>
    <w:p w14:paraId="05E1AE5C">
      <w:pPr>
        <w:rPr>
          <w:rFonts w:ascii="宋体" w:hAnsi="宋体" w:eastAsia="宋体" w:cs="宋体"/>
          <w:highlight w:val="none"/>
        </w:rPr>
      </w:pPr>
    </w:p>
    <w:p w14:paraId="4AED33B4">
      <w:pPr>
        <w:rPr>
          <w:rFonts w:ascii="宋体" w:hAnsi="宋体" w:eastAsia="宋体" w:cs="宋体"/>
          <w:highlight w:val="none"/>
        </w:rPr>
      </w:pPr>
    </w:p>
    <w:p w14:paraId="4720E8EE">
      <w:pPr>
        <w:rPr>
          <w:rFonts w:ascii="宋体" w:hAnsi="宋体" w:eastAsia="宋体" w:cs="宋体"/>
          <w:highlight w:val="none"/>
        </w:rPr>
      </w:pPr>
    </w:p>
    <w:p w14:paraId="74777139">
      <w:pPr>
        <w:rPr>
          <w:rFonts w:ascii="宋体" w:hAnsi="宋体" w:eastAsia="宋体" w:cs="宋体"/>
          <w:highlight w:val="none"/>
        </w:rPr>
      </w:pPr>
    </w:p>
    <w:p w14:paraId="01734272">
      <w:pPr>
        <w:rPr>
          <w:rFonts w:ascii="宋体" w:hAnsi="宋体" w:eastAsia="宋体" w:cs="宋体"/>
          <w:highlight w:val="none"/>
        </w:rPr>
      </w:pPr>
    </w:p>
    <w:p w14:paraId="20C75051">
      <w:pPr>
        <w:rPr>
          <w:rFonts w:ascii="宋体" w:hAnsi="宋体" w:eastAsia="宋体" w:cs="宋体"/>
          <w:highlight w:val="none"/>
        </w:rPr>
      </w:pPr>
    </w:p>
    <w:p w14:paraId="4B340A04">
      <w:pPr>
        <w:rPr>
          <w:rFonts w:ascii="宋体" w:hAnsi="宋体" w:eastAsia="宋体" w:cs="宋体"/>
          <w:highlight w:val="none"/>
        </w:rPr>
      </w:pPr>
    </w:p>
    <w:p w14:paraId="75C2CBF8">
      <w:pPr>
        <w:rPr>
          <w:rFonts w:ascii="宋体" w:hAnsi="宋体" w:eastAsia="宋体" w:cs="宋体"/>
          <w:highlight w:val="none"/>
        </w:rPr>
      </w:pPr>
    </w:p>
    <w:p w14:paraId="51628453">
      <w:pPr>
        <w:rPr>
          <w:rFonts w:ascii="宋体" w:hAnsi="宋体" w:eastAsia="宋体" w:cs="宋体"/>
          <w:highlight w:val="none"/>
        </w:rPr>
      </w:pPr>
    </w:p>
    <w:p w14:paraId="436A3854">
      <w:pPr>
        <w:pStyle w:val="15"/>
        <w:spacing w:line="360" w:lineRule="auto"/>
        <w:jc w:val="center"/>
        <w:rPr>
          <w:rFonts w:hAnsi="宋体"/>
          <w:b/>
          <w:bCs/>
          <w:sz w:val="32"/>
          <w:szCs w:val="32"/>
          <w:highlight w:val="none"/>
        </w:rPr>
      </w:pPr>
      <w:r>
        <w:rPr>
          <w:rFonts w:hint="eastAsia" w:hAnsi="宋体"/>
          <w:b/>
          <w:bCs/>
          <w:sz w:val="32"/>
          <w:szCs w:val="32"/>
          <w:highlight w:val="none"/>
        </w:rPr>
        <w:t>采购人：昌宁县人民医院</w:t>
      </w:r>
    </w:p>
    <w:p w14:paraId="0BEEDC1E">
      <w:pPr>
        <w:pStyle w:val="15"/>
        <w:spacing w:line="360" w:lineRule="auto"/>
        <w:jc w:val="center"/>
        <w:rPr>
          <w:rFonts w:hAnsi="宋体"/>
          <w:b/>
          <w:bCs/>
          <w:sz w:val="32"/>
          <w:szCs w:val="32"/>
          <w:highlight w:val="none"/>
        </w:rPr>
      </w:pPr>
      <w:r>
        <w:rPr>
          <w:rFonts w:hint="eastAsia" w:hAnsi="宋体"/>
          <w:b/>
          <w:bCs/>
          <w:sz w:val="32"/>
          <w:szCs w:val="32"/>
          <w:highlight w:val="none"/>
        </w:rPr>
        <w:t>采购代理机构：保山市天瑞建设工程招标咨询有限公司</w:t>
      </w:r>
    </w:p>
    <w:p w14:paraId="54302FE0">
      <w:pPr>
        <w:pStyle w:val="15"/>
        <w:spacing w:line="360" w:lineRule="auto"/>
        <w:jc w:val="center"/>
        <w:rPr>
          <w:rFonts w:hAnsi="宋体"/>
          <w:b/>
          <w:bCs/>
          <w:sz w:val="32"/>
          <w:szCs w:val="32"/>
          <w:highlight w:val="none"/>
        </w:rPr>
      </w:pPr>
      <w:r>
        <w:rPr>
          <w:rFonts w:hint="eastAsia" w:hAnsi="宋体"/>
          <w:b/>
          <w:bCs/>
          <w:sz w:val="32"/>
          <w:szCs w:val="32"/>
          <w:highlight w:val="none"/>
        </w:rPr>
        <w:t>二〇二六年六月</w:t>
      </w:r>
    </w:p>
    <w:p w14:paraId="7AC2AC68">
      <w:pPr>
        <w:pStyle w:val="15"/>
        <w:spacing w:line="740" w:lineRule="atLeast"/>
        <w:ind w:firstLine="643" w:firstLineChars="200"/>
        <w:rPr>
          <w:rFonts w:hAnsi="宋体"/>
          <w:b/>
          <w:bCs/>
          <w:sz w:val="32"/>
          <w:szCs w:val="32"/>
          <w:highlight w:val="none"/>
        </w:rPr>
      </w:pPr>
    </w:p>
    <w:p w14:paraId="06E37402">
      <w:pPr>
        <w:widowControl/>
        <w:jc w:val="left"/>
        <w:rPr>
          <w:rFonts w:ascii="宋体" w:hAnsi="宋体" w:eastAsia="宋体" w:cs="宋体"/>
          <w:highlight w:val="none"/>
        </w:rPr>
      </w:pPr>
      <w:r>
        <w:rPr>
          <w:rFonts w:hint="eastAsia" w:ascii="宋体" w:hAnsi="宋体" w:eastAsia="宋体" w:cs="宋体"/>
          <w:highlight w:val="none"/>
        </w:rPr>
        <w:br w:type="page"/>
      </w:r>
    </w:p>
    <w:p w14:paraId="64FE3971">
      <w:pPr>
        <w:jc w:val="center"/>
        <w:rPr>
          <w:rFonts w:ascii="宋体" w:hAnsi="宋体" w:eastAsia="宋体" w:cs="宋体"/>
          <w:b/>
          <w:sz w:val="36"/>
          <w:szCs w:val="36"/>
          <w:highlight w:val="none"/>
        </w:rPr>
      </w:pPr>
      <w:r>
        <w:rPr>
          <w:rFonts w:hint="eastAsia" w:ascii="宋体" w:hAnsi="宋体" w:eastAsia="宋体" w:cs="宋体"/>
          <w:b/>
          <w:sz w:val="36"/>
          <w:szCs w:val="36"/>
          <w:highlight w:val="none"/>
        </w:rPr>
        <w:t>目  录</w:t>
      </w:r>
    </w:p>
    <w:p w14:paraId="6D3397B2">
      <w:pPr>
        <w:rPr>
          <w:rFonts w:ascii="宋体" w:hAnsi="宋体" w:eastAsia="宋体" w:cs="宋体"/>
          <w:highlight w:val="none"/>
        </w:rPr>
      </w:pPr>
    </w:p>
    <w:p w14:paraId="39B63428">
      <w:pPr>
        <w:pStyle w:val="20"/>
        <w:tabs>
          <w:tab w:val="right" w:leader="dot" w:pos="9628"/>
        </w:tabs>
        <w:rPr>
          <w:rFonts w:ascii="宋体" w:hAnsi="宋体" w:eastAsia="宋体" w:cs="宋体"/>
          <w:sz w:val="28"/>
          <w:szCs w:val="28"/>
          <w:highlight w:val="none"/>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TOC  \* MERGEFORMAT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第一章  竞争性磋商公告</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_Toc39092128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2</w:t>
      </w:r>
      <w:r>
        <w:rPr>
          <w:rFonts w:hint="eastAsia" w:ascii="宋体" w:hAnsi="宋体" w:eastAsia="宋体" w:cs="宋体"/>
          <w:sz w:val="28"/>
          <w:szCs w:val="28"/>
          <w:highlight w:val="none"/>
        </w:rPr>
        <w:fldChar w:fldCharType="end"/>
      </w:r>
    </w:p>
    <w:p w14:paraId="69E540B3">
      <w:pPr>
        <w:pStyle w:val="20"/>
        <w:tabs>
          <w:tab w:val="right" w:leader="dot" w:pos="9628"/>
        </w:tabs>
        <w:rPr>
          <w:rFonts w:ascii="宋体" w:hAnsi="宋体" w:eastAsia="宋体" w:cs="宋体"/>
          <w:sz w:val="28"/>
          <w:szCs w:val="28"/>
          <w:highlight w:val="none"/>
        </w:rPr>
      </w:pPr>
      <w:r>
        <w:rPr>
          <w:rFonts w:hint="eastAsia" w:ascii="宋体" w:hAnsi="宋体" w:eastAsia="宋体" w:cs="宋体"/>
          <w:sz w:val="28"/>
          <w:szCs w:val="28"/>
          <w:highlight w:val="none"/>
        </w:rPr>
        <w:t>第二章  磋商申请人须知</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_Toc39092129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4</w:t>
      </w:r>
      <w:r>
        <w:rPr>
          <w:rFonts w:hint="eastAsia" w:ascii="宋体" w:hAnsi="宋体" w:eastAsia="宋体" w:cs="宋体"/>
          <w:sz w:val="28"/>
          <w:szCs w:val="28"/>
          <w:highlight w:val="none"/>
        </w:rPr>
        <w:fldChar w:fldCharType="end"/>
      </w:r>
    </w:p>
    <w:p w14:paraId="5FBC92B1">
      <w:pPr>
        <w:pStyle w:val="21"/>
        <w:tabs>
          <w:tab w:val="right" w:leader="dot" w:pos="9628"/>
        </w:tabs>
        <w:rPr>
          <w:rFonts w:ascii="宋体" w:hAnsi="宋体" w:eastAsia="宋体" w:cs="宋体"/>
          <w:sz w:val="28"/>
          <w:szCs w:val="28"/>
          <w:highlight w:val="none"/>
        </w:rPr>
      </w:pPr>
      <w:r>
        <w:rPr>
          <w:rFonts w:hint="eastAsia" w:ascii="宋体" w:hAnsi="宋体" w:eastAsia="宋体" w:cs="宋体"/>
          <w:sz w:val="28"/>
          <w:szCs w:val="28"/>
          <w:highlight w:val="none"/>
        </w:rPr>
        <w:t>磋商申请人须知前附表</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_Toc39092130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7</w:t>
      </w:r>
      <w:r>
        <w:rPr>
          <w:rFonts w:hint="eastAsia" w:ascii="宋体" w:hAnsi="宋体" w:eastAsia="宋体" w:cs="宋体"/>
          <w:sz w:val="28"/>
          <w:szCs w:val="28"/>
          <w:highlight w:val="none"/>
        </w:rPr>
        <w:fldChar w:fldCharType="end"/>
      </w:r>
    </w:p>
    <w:p w14:paraId="0957957A">
      <w:pPr>
        <w:pStyle w:val="21"/>
        <w:tabs>
          <w:tab w:val="right" w:leader="dot" w:pos="9628"/>
        </w:tabs>
        <w:rPr>
          <w:rFonts w:ascii="宋体" w:hAnsi="宋体" w:eastAsia="宋体" w:cs="宋体"/>
          <w:sz w:val="28"/>
          <w:szCs w:val="28"/>
          <w:highlight w:val="none"/>
        </w:rPr>
      </w:pPr>
      <w:r>
        <w:rPr>
          <w:rFonts w:hint="eastAsia" w:ascii="宋体" w:hAnsi="宋体" w:eastAsia="宋体" w:cs="宋体"/>
          <w:sz w:val="28"/>
          <w:szCs w:val="28"/>
          <w:highlight w:val="none"/>
        </w:rPr>
        <w:t>一、总则</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_Toc39092131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16</w:t>
      </w:r>
      <w:r>
        <w:rPr>
          <w:rFonts w:hint="eastAsia" w:ascii="宋体" w:hAnsi="宋体" w:eastAsia="宋体" w:cs="宋体"/>
          <w:sz w:val="28"/>
          <w:szCs w:val="28"/>
          <w:highlight w:val="none"/>
        </w:rPr>
        <w:fldChar w:fldCharType="end"/>
      </w:r>
    </w:p>
    <w:p w14:paraId="75461262">
      <w:pPr>
        <w:pStyle w:val="21"/>
        <w:tabs>
          <w:tab w:val="right" w:leader="dot" w:pos="9628"/>
        </w:tabs>
        <w:rPr>
          <w:rFonts w:ascii="宋体" w:hAnsi="宋体" w:eastAsia="宋体" w:cs="宋体"/>
          <w:sz w:val="28"/>
          <w:szCs w:val="28"/>
          <w:highlight w:val="none"/>
        </w:rPr>
      </w:pPr>
      <w:r>
        <w:rPr>
          <w:rFonts w:hint="eastAsia" w:ascii="宋体" w:hAnsi="宋体" w:eastAsia="宋体" w:cs="宋体"/>
          <w:sz w:val="28"/>
          <w:szCs w:val="28"/>
          <w:highlight w:val="none"/>
        </w:rPr>
        <w:t>二、磋商文件</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_Toc39092132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16</w:t>
      </w:r>
      <w:r>
        <w:rPr>
          <w:rFonts w:hint="eastAsia" w:ascii="宋体" w:hAnsi="宋体" w:eastAsia="宋体" w:cs="宋体"/>
          <w:sz w:val="28"/>
          <w:szCs w:val="28"/>
          <w:highlight w:val="none"/>
        </w:rPr>
        <w:fldChar w:fldCharType="end"/>
      </w:r>
    </w:p>
    <w:p w14:paraId="3E0E5537">
      <w:pPr>
        <w:pStyle w:val="21"/>
        <w:tabs>
          <w:tab w:val="right" w:leader="dot" w:pos="9628"/>
        </w:tabs>
        <w:rPr>
          <w:rFonts w:ascii="宋体" w:hAnsi="宋体" w:eastAsia="宋体" w:cs="宋体"/>
          <w:sz w:val="28"/>
          <w:szCs w:val="28"/>
          <w:highlight w:val="none"/>
        </w:rPr>
      </w:pPr>
      <w:r>
        <w:rPr>
          <w:rFonts w:hint="eastAsia" w:ascii="宋体" w:hAnsi="宋体" w:eastAsia="宋体" w:cs="宋体"/>
          <w:sz w:val="28"/>
          <w:szCs w:val="28"/>
          <w:highlight w:val="none"/>
        </w:rPr>
        <w:t>三、响应文件</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_Toc39092133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17</w:t>
      </w:r>
      <w:r>
        <w:rPr>
          <w:rFonts w:hint="eastAsia" w:ascii="宋体" w:hAnsi="宋体" w:eastAsia="宋体" w:cs="宋体"/>
          <w:sz w:val="28"/>
          <w:szCs w:val="28"/>
          <w:highlight w:val="none"/>
        </w:rPr>
        <w:fldChar w:fldCharType="end"/>
      </w:r>
    </w:p>
    <w:p w14:paraId="722A71D7">
      <w:pPr>
        <w:pStyle w:val="21"/>
        <w:tabs>
          <w:tab w:val="right" w:leader="dot" w:pos="9628"/>
        </w:tabs>
        <w:rPr>
          <w:rFonts w:ascii="宋体" w:hAnsi="宋体" w:eastAsia="宋体" w:cs="宋体"/>
          <w:sz w:val="28"/>
          <w:szCs w:val="28"/>
          <w:highlight w:val="none"/>
        </w:rPr>
      </w:pPr>
      <w:r>
        <w:rPr>
          <w:rFonts w:hint="eastAsia" w:ascii="宋体" w:hAnsi="宋体" w:eastAsia="宋体" w:cs="宋体"/>
          <w:sz w:val="28"/>
          <w:szCs w:val="28"/>
          <w:highlight w:val="none"/>
        </w:rPr>
        <w:t>四、响应文件的提交</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_Toc39092134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19</w:t>
      </w:r>
      <w:r>
        <w:rPr>
          <w:rFonts w:hint="eastAsia" w:ascii="宋体" w:hAnsi="宋体" w:eastAsia="宋体" w:cs="宋体"/>
          <w:sz w:val="28"/>
          <w:szCs w:val="28"/>
          <w:highlight w:val="none"/>
        </w:rPr>
        <w:fldChar w:fldCharType="end"/>
      </w:r>
    </w:p>
    <w:p w14:paraId="125914EB">
      <w:pPr>
        <w:pStyle w:val="21"/>
        <w:tabs>
          <w:tab w:val="right" w:leader="dot" w:pos="9628"/>
        </w:tabs>
        <w:rPr>
          <w:rFonts w:ascii="宋体" w:hAnsi="宋体" w:eastAsia="宋体" w:cs="宋体"/>
          <w:sz w:val="28"/>
          <w:szCs w:val="28"/>
          <w:highlight w:val="none"/>
        </w:rPr>
      </w:pPr>
      <w:r>
        <w:rPr>
          <w:rFonts w:hint="eastAsia" w:ascii="宋体" w:hAnsi="宋体" w:eastAsia="宋体" w:cs="宋体"/>
          <w:sz w:val="28"/>
          <w:szCs w:val="28"/>
          <w:highlight w:val="none"/>
        </w:rPr>
        <w:t>五、磋商</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_Toc39092135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20</w:t>
      </w:r>
      <w:r>
        <w:rPr>
          <w:rFonts w:hint="eastAsia" w:ascii="宋体" w:hAnsi="宋体" w:eastAsia="宋体" w:cs="宋体"/>
          <w:sz w:val="28"/>
          <w:szCs w:val="28"/>
          <w:highlight w:val="none"/>
        </w:rPr>
        <w:fldChar w:fldCharType="end"/>
      </w:r>
    </w:p>
    <w:p w14:paraId="431D100C">
      <w:pPr>
        <w:pStyle w:val="21"/>
        <w:tabs>
          <w:tab w:val="right" w:leader="dot" w:pos="9628"/>
        </w:tabs>
        <w:rPr>
          <w:rFonts w:ascii="宋体" w:hAnsi="宋体" w:eastAsia="宋体" w:cs="宋体"/>
          <w:sz w:val="28"/>
          <w:szCs w:val="28"/>
          <w:highlight w:val="none"/>
        </w:rPr>
      </w:pPr>
      <w:r>
        <w:rPr>
          <w:rFonts w:hint="eastAsia" w:ascii="宋体" w:hAnsi="宋体" w:eastAsia="宋体" w:cs="宋体"/>
          <w:sz w:val="28"/>
          <w:szCs w:val="28"/>
          <w:highlight w:val="none"/>
        </w:rPr>
        <w:t>六、成交结果</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_Toc39092136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21</w:t>
      </w:r>
      <w:r>
        <w:rPr>
          <w:rFonts w:hint="eastAsia" w:ascii="宋体" w:hAnsi="宋体" w:eastAsia="宋体" w:cs="宋体"/>
          <w:sz w:val="28"/>
          <w:szCs w:val="28"/>
          <w:highlight w:val="none"/>
        </w:rPr>
        <w:fldChar w:fldCharType="end"/>
      </w:r>
    </w:p>
    <w:p w14:paraId="77A740C4">
      <w:pPr>
        <w:pStyle w:val="21"/>
        <w:tabs>
          <w:tab w:val="right" w:leader="dot" w:pos="9628"/>
        </w:tabs>
        <w:rPr>
          <w:rFonts w:ascii="宋体" w:hAnsi="宋体" w:eastAsia="宋体" w:cs="宋体"/>
          <w:sz w:val="28"/>
          <w:szCs w:val="28"/>
          <w:highlight w:val="none"/>
        </w:rPr>
      </w:pPr>
      <w:r>
        <w:rPr>
          <w:rFonts w:hint="eastAsia" w:ascii="宋体" w:hAnsi="宋体" w:eastAsia="宋体" w:cs="宋体"/>
          <w:sz w:val="28"/>
          <w:szCs w:val="28"/>
          <w:highlight w:val="none"/>
        </w:rPr>
        <w:t>七、其他事项</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_Toc39092137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22</w:t>
      </w:r>
      <w:r>
        <w:rPr>
          <w:rFonts w:hint="eastAsia" w:ascii="宋体" w:hAnsi="宋体" w:eastAsia="宋体" w:cs="宋体"/>
          <w:sz w:val="28"/>
          <w:szCs w:val="28"/>
          <w:highlight w:val="none"/>
        </w:rPr>
        <w:fldChar w:fldCharType="end"/>
      </w:r>
    </w:p>
    <w:p w14:paraId="74CAE3AD">
      <w:pPr>
        <w:pStyle w:val="20"/>
        <w:tabs>
          <w:tab w:val="right" w:leader="dot" w:pos="9628"/>
        </w:tabs>
        <w:rPr>
          <w:rFonts w:ascii="宋体" w:hAnsi="宋体" w:eastAsia="宋体" w:cs="宋体"/>
          <w:sz w:val="28"/>
          <w:szCs w:val="28"/>
          <w:highlight w:val="none"/>
        </w:rPr>
      </w:pPr>
      <w:r>
        <w:rPr>
          <w:rFonts w:hint="eastAsia" w:ascii="宋体" w:hAnsi="宋体" w:eastAsia="宋体" w:cs="宋体"/>
          <w:sz w:val="28"/>
          <w:szCs w:val="28"/>
          <w:highlight w:val="none"/>
        </w:rPr>
        <w:t>第三章  合同书样式（参考文本）</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_Toc39092138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24</w:t>
      </w:r>
      <w:r>
        <w:rPr>
          <w:rFonts w:hint="eastAsia" w:ascii="宋体" w:hAnsi="宋体" w:eastAsia="宋体" w:cs="宋体"/>
          <w:sz w:val="28"/>
          <w:szCs w:val="28"/>
          <w:highlight w:val="none"/>
        </w:rPr>
        <w:fldChar w:fldCharType="end"/>
      </w:r>
    </w:p>
    <w:p w14:paraId="0004D8CB">
      <w:pPr>
        <w:pStyle w:val="20"/>
        <w:tabs>
          <w:tab w:val="right" w:leader="dot" w:pos="9628"/>
        </w:tabs>
        <w:rPr>
          <w:rFonts w:ascii="宋体" w:hAnsi="宋体" w:eastAsia="宋体" w:cs="宋体"/>
          <w:sz w:val="28"/>
          <w:szCs w:val="28"/>
          <w:highlight w:val="none"/>
        </w:rPr>
      </w:pPr>
      <w:r>
        <w:rPr>
          <w:rFonts w:hint="eastAsia" w:ascii="宋体" w:hAnsi="宋体" w:eastAsia="宋体" w:cs="宋体"/>
          <w:sz w:val="28"/>
          <w:szCs w:val="28"/>
          <w:highlight w:val="none"/>
        </w:rPr>
        <w:t>第四章  响应文件格式</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_Toc39092139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40</w:t>
      </w:r>
      <w:r>
        <w:rPr>
          <w:rFonts w:hint="eastAsia" w:ascii="宋体" w:hAnsi="宋体" w:eastAsia="宋体" w:cs="宋体"/>
          <w:sz w:val="28"/>
          <w:szCs w:val="28"/>
          <w:highlight w:val="none"/>
        </w:rPr>
        <w:fldChar w:fldCharType="end"/>
      </w:r>
    </w:p>
    <w:p w14:paraId="3820D8FB">
      <w:pPr>
        <w:pStyle w:val="20"/>
        <w:tabs>
          <w:tab w:val="right" w:leader="dot" w:pos="9628"/>
        </w:tabs>
        <w:rPr>
          <w:rFonts w:ascii="宋体" w:hAnsi="宋体" w:eastAsia="宋体" w:cs="宋体"/>
          <w:sz w:val="28"/>
          <w:szCs w:val="28"/>
          <w:highlight w:val="none"/>
        </w:rPr>
      </w:pPr>
      <w:r>
        <w:rPr>
          <w:rFonts w:hint="eastAsia" w:ascii="宋体" w:hAnsi="宋体" w:eastAsia="宋体" w:cs="宋体"/>
          <w:sz w:val="28"/>
          <w:szCs w:val="28"/>
          <w:highlight w:val="none"/>
        </w:rPr>
        <w:t>第五章  采购需求</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_Toc39092140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83</w:t>
      </w:r>
      <w:r>
        <w:rPr>
          <w:rFonts w:hint="eastAsia" w:ascii="宋体" w:hAnsi="宋体" w:eastAsia="宋体" w:cs="宋体"/>
          <w:sz w:val="28"/>
          <w:szCs w:val="28"/>
          <w:highlight w:val="none"/>
        </w:rPr>
        <w:fldChar w:fldCharType="end"/>
      </w:r>
    </w:p>
    <w:p w14:paraId="705584E9">
      <w:pPr>
        <w:pStyle w:val="20"/>
        <w:tabs>
          <w:tab w:val="right" w:leader="dot" w:pos="9628"/>
        </w:tabs>
        <w:rPr>
          <w:rFonts w:ascii="宋体" w:hAnsi="宋体" w:eastAsia="宋体" w:cs="宋体"/>
          <w:sz w:val="28"/>
          <w:szCs w:val="28"/>
          <w:highlight w:val="none"/>
        </w:rPr>
      </w:pPr>
      <w:r>
        <w:rPr>
          <w:rFonts w:hint="eastAsia" w:ascii="宋体" w:hAnsi="宋体" w:eastAsia="宋体" w:cs="宋体"/>
          <w:sz w:val="28"/>
          <w:szCs w:val="28"/>
          <w:highlight w:val="none"/>
        </w:rPr>
        <w:t>第六章  磋商程序和方法</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_Toc39092142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102</w:t>
      </w:r>
      <w:r>
        <w:rPr>
          <w:rFonts w:hint="eastAsia" w:ascii="宋体" w:hAnsi="宋体" w:eastAsia="宋体" w:cs="宋体"/>
          <w:sz w:val="28"/>
          <w:szCs w:val="28"/>
          <w:highlight w:val="none"/>
        </w:rPr>
        <w:fldChar w:fldCharType="end"/>
      </w:r>
    </w:p>
    <w:p w14:paraId="2C7E67EA">
      <w:pPr>
        <w:pStyle w:val="21"/>
        <w:tabs>
          <w:tab w:val="right" w:leader="dot" w:pos="9628"/>
        </w:tabs>
        <w:rPr>
          <w:rFonts w:ascii="宋体" w:hAnsi="宋体" w:eastAsia="宋体" w:cs="宋体"/>
          <w:sz w:val="28"/>
          <w:szCs w:val="28"/>
          <w:highlight w:val="none"/>
        </w:rPr>
      </w:pPr>
      <w:r>
        <w:rPr>
          <w:rFonts w:hint="eastAsia" w:ascii="宋体" w:hAnsi="宋体" w:eastAsia="宋体" w:cs="宋体"/>
          <w:sz w:val="28"/>
          <w:szCs w:val="28"/>
          <w:highlight w:val="none"/>
          <w:lang w:val="zh-CN"/>
        </w:rPr>
        <w:t>磋商程序和方法前附表</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_Toc39092143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102</w:t>
      </w:r>
      <w:r>
        <w:rPr>
          <w:rFonts w:hint="eastAsia" w:ascii="宋体" w:hAnsi="宋体" w:eastAsia="宋体" w:cs="宋体"/>
          <w:sz w:val="28"/>
          <w:szCs w:val="28"/>
          <w:highlight w:val="none"/>
        </w:rPr>
        <w:fldChar w:fldCharType="end"/>
      </w:r>
    </w:p>
    <w:p w14:paraId="53AE8297">
      <w:pPr>
        <w:spacing w:line="360" w:lineRule="auto"/>
        <w:rPr>
          <w:rFonts w:ascii="宋体" w:hAnsi="宋体" w:eastAsia="宋体" w:cs="宋体"/>
          <w:highlight w:val="none"/>
        </w:rPr>
      </w:pPr>
      <w:r>
        <w:rPr>
          <w:rFonts w:hint="eastAsia" w:ascii="宋体" w:hAnsi="宋体" w:eastAsia="宋体" w:cs="宋体"/>
          <w:sz w:val="28"/>
          <w:szCs w:val="28"/>
          <w:highlight w:val="none"/>
        </w:rPr>
        <w:fldChar w:fldCharType="end"/>
      </w:r>
    </w:p>
    <w:p w14:paraId="4CA480D6">
      <w:pPr>
        <w:rPr>
          <w:rFonts w:ascii="宋体" w:hAnsi="宋体" w:eastAsia="宋体" w:cs="宋体"/>
          <w:highlight w:val="none"/>
        </w:rPr>
      </w:pPr>
    </w:p>
    <w:p w14:paraId="5E76A231">
      <w:pPr>
        <w:rPr>
          <w:rFonts w:ascii="宋体" w:hAnsi="宋体" w:eastAsia="宋体" w:cs="宋体"/>
          <w:highlight w:val="none"/>
        </w:rPr>
        <w:sectPr>
          <w:headerReference r:id="rId4" w:type="first"/>
          <w:headerReference r:id="rId3" w:type="default"/>
          <w:footerReference r:id="rId5" w:type="default"/>
          <w:pgSz w:w="11906" w:h="16838"/>
          <w:pgMar w:top="936" w:right="1134" w:bottom="1089" w:left="1134" w:header="851" w:footer="992" w:gutter="0"/>
          <w:pgNumType w:start="0"/>
          <w:cols w:space="425" w:num="1"/>
          <w:docGrid w:type="lines" w:linePitch="312" w:charSpace="0"/>
        </w:sectPr>
      </w:pPr>
    </w:p>
    <w:p w14:paraId="73DD6FE1">
      <w:pPr>
        <w:rPr>
          <w:rFonts w:ascii="宋体" w:hAnsi="宋体" w:eastAsia="宋体" w:cs="宋体"/>
          <w:highlight w:val="none"/>
        </w:rPr>
      </w:pPr>
    </w:p>
    <w:p w14:paraId="3FE421E3">
      <w:pPr>
        <w:pStyle w:val="2"/>
        <w:spacing w:line="360" w:lineRule="auto"/>
        <w:jc w:val="center"/>
        <w:rPr>
          <w:rFonts w:ascii="宋体" w:hAnsi="宋体" w:eastAsia="宋体" w:cs="宋体"/>
          <w:color w:val="auto"/>
          <w:sz w:val="32"/>
          <w:szCs w:val="32"/>
          <w:highlight w:val="none"/>
        </w:rPr>
      </w:pPr>
      <w:bookmarkStart w:id="0" w:name="_Toc39092128"/>
      <w:r>
        <w:rPr>
          <w:rFonts w:hint="eastAsia" w:ascii="宋体" w:hAnsi="宋体" w:eastAsia="宋体" w:cs="宋体"/>
          <w:color w:val="auto"/>
          <w:sz w:val="32"/>
          <w:szCs w:val="32"/>
          <w:highlight w:val="none"/>
        </w:rPr>
        <w:t>第一章  竞争性磋商公告</w:t>
      </w:r>
      <w:bookmarkEnd w:id="0"/>
    </w:p>
    <w:p w14:paraId="54D2BFED">
      <w:pPr>
        <w:widowControl/>
        <w:spacing w:line="360" w:lineRule="auto"/>
        <w:jc w:val="center"/>
        <w:rPr>
          <w:rFonts w:ascii="宋体" w:hAnsi="宋体" w:eastAsia="宋体" w:cs="宋体"/>
          <w:b/>
          <w:bCs/>
          <w:kern w:val="0"/>
          <w:sz w:val="36"/>
          <w:szCs w:val="36"/>
          <w:highlight w:val="none"/>
        </w:rPr>
      </w:pPr>
      <w:r>
        <w:rPr>
          <w:rFonts w:hint="eastAsia" w:ascii="宋体" w:hAnsi="宋体" w:eastAsia="宋体" w:cs="宋体"/>
          <w:b/>
          <w:bCs/>
          <w:kern w:val="0"/>
          <w:sz w:val="36"/>
          <w:szCs w:val="36"/>
          <w:highlight w:val="none"/>
        </w:rPr>
        <w:t>昌宁县医共体总医院慢病管理信息系统采购项目</w:t>
      </w:r>
    </w:p>
    <w:p w14:paraId="5E21A02B">
      <w:pPr>
        <w:widowControl/>
        <w:spacing w:line="360" w:lineRule="auto"/>
        <w:jc w:val="center"/>
        <w:rPr>
          <w:rFonts w:ascii="宋体" w:hAnsi="宋体" w:eastAsia="宋体" w:cs="宋体"/>
          <w:b/>
          <w:bCs/>
          <w:kern w:val="0"/>
          <w:sz w:val="36"/>
          <w:szCs w:val="36"/>
          <w:highlight w:val="none"/>
        </w:rPr>
      </w:pPr>
      <w:r>
        <w:rPr>
          <w:rFonts w:hint="eastAsia" w:ascii="宋体" w:hAnsi="宋体" w:eastAsia="宋体" w:cs="宋体"/>
          <w:b/>
          <w:bCs/>
          <w:kern w:val="0"/>
          <w:sz w:val="36"/>
          <w:szCs w:val="36"/>
          <w:highlight w:val="none"/>
        </w:rPr>
        <w:t>竞争性磋商公告</w:t>
      </w:r>
    </w:p>
    <w:p w14:paraId="7A521568">
      <w:pPr>
        <w:pBdr>
          <w:top w:val="single" w:color="auto" w:sz="4" w:space="1"/>
          <w:left w:val="single" w:color="auto" w:sz="4" w:space="4"/>
          <w:bottom w:val="single" w:color="auto" w:sz="4" w:space="1"/>
          <w:right w:val="single" w:color="auto" w:sz="4" w:space="4"/>
        </w:pBdr>
        <w:spacing w:line="440" w:lineRule="exact"/>
        <w:ind w:firstLine="422" w:firstLineChars="200"/>
        <w:rPr>
          <w:rFonts w:ascii="宋体" w:hAnsi="宋体" w:eastAsia="宋体" w:cs="宋体"/>
          <w:b/>
          <w:szCs w:val="21"/>
          <w:highlight w:val="none"/>
        </w:rPr>
      </w:pPr>
      <w:r>
        <w:rPr>
          <w:rFonts w:hint="eastAsia" w:ascii="宋体" w:hAnsi="宋体" w:eastAsia="宋体" w:cs="宋体"/>
          <w:b/>
          <w:szCs w:val="21"/>
          <w:highlight w:val="none"/>
        </w:rPr>
        <w:t>项目概况</w:t>
      </w:r>
    </w:p>
    <w:p w14:paraId="1B6688BC">
      <w:pPr>
        <w:pBdr>
          <w:top w:val="single" w:color="auto" w:sz="4" w:space="1"/>
          <w:left w:val="single" w:color="auto" w:sz="4" w:space="4"/>
          <w:bottom w:val="single" w:color="auto" w:sz="4" w:space="1"/>
          <w:right w:val="single" w:color="auto" w:sz="4" w:space="4"/>
        </w:pBdr>
        <w:spacing w:line="440" w:lineRule="exact"/>
        <w:ind w:firstLine="420" w:firstLineChars="200"/>
        <w:jc w:val="left"/>
        <w:rPr>
          <w:rFonts w:ascii="宋体" w:hAnsi="宋体" w:eastAsia="宋体" w:cs="宋体"/>
          <w:szCs w:val="21"/>
          <w:highlight w:val="none"/>
        </w:rPr>
      </w:pPr>
      <w:r>
        <w:rPr>
          <w:rFonts w:hint="eastAsia" w:ascii="宋体" w:hAnsi="宋体" w:eastAsia="宋体" w:cs="宋体"/>
          <w:szCs w:val="21"/>
          <w:highlight w:val="none"/>
          <w:u w:val="single"/>
        </w:rPr>
        <w:t>昌宁县医共体总医院慢病管理信息系统采购项目</w:t>
      </w:r>
      <w:r>
        <w:rPr>
          <w:rFonts w:hint="eastAsia" w:ascii="宋体" w:hAnsi="宋体" w:eastAsia="宋体" w:cs="宋体"/>
          <w:szCs w:val="21"/>
          <w:highlight w:val="none"/>
        </w:rPr>
        <w:t>的潜在磋商申请人应在</w:t>
      </w:r>
      <w:r>
        <w:rPr>
          <w:rFonts w:hint="eastAsia" w:ascii="宋体" w:hAnsi="宋体" w:eastAsia="宋体" w:cs="宋体"/>
          <w:kern w:val="0"/>
          <w:highlight w:val="none"/>
          <w:u w:val="single"/>
        </w:rPr>
        <w:t>云南省政府采购电子交易平台（www.zcygov.cn）</w:t>
      </w:r>
      <w:r>
        <w:rPr>
          <w:rFonts w:hint="eastAsia" w:ascii="宋体" w:hAnsi="宋体" w:eastAsia="宋体" w:cs="宋体"/>
          <w:szCs w:val="21"/>
          <w:highlight w:val="none"/>
        </w:rPr>
        <w:t>获取采购文件，并于</w:t>
      </w:r>
      <w:r>
        <w:rPr>
          <w:rFonts w:hint="eastAsia" w:ascii="宋体" w:hAnsi="宋体" w:eastAsia="宋体" w:cs="宋体"/>
          <w:szCs w:val="21"/>
          <w:highlight w:val="none"/>
          <w:u w:val="single"/>
          <w:lang w:eastAsia="zh-CN"/>
        </w:rPr>
        <w:t>2026年07月09日15时00分</w:t>
      </w:r>
      <w:r>
        <w:rPr>
          <w:rFonts w:hint="eastAsia" w:ascii="宋体" w:hAnsi="宋体" w:eastAsia="宋体" w:cs="宋体"/>
          <w:bCs/>
          <w:szCs w:val="21"/>
          <w:highlight w:val="none"/>
        </w:rPr>
        <w:t>（北京时间）前提交响应文件</w:t>
      </w:r>
      <w:r>
        <w:rPr>
          <w:rFonts w:hint="eastAsia" w:ascii="宋体" w:hAnsi="宋体" w:eastAsia="宋体" w:cs="宋体"/>
          <w:szCs w:val="21"/>
          <w:highlight w:val="none"/>
        </w:rPr>
        <w:t>。</w:t>
      </w:r>
    </w:p>
    <w:p w14:paraId="6ED371EF">
      <w:pPr>
        <w:widowControl/>
        <w:spacing w:line="440" w:lineRule="exact"/>
        <w:ind w:firstLine="426" w:firstLineChars="202"/>
        <w:rPr>
          <w:rFonts w:ascii="宋体" w:hAnsi="宋体" w:eastAsia="宋体" w:cs="宋体"/>
          <w:b/>
          <w:kern w:val="0"/>
          <w:highlight w:val="none"/>
        </w:rPr>
      </w:pPr>
    </w:p>
    <w:p w14:paraId="534EA4EC">
      <w:pPr>
        <w:widowControl/>
        <w:spacing w:line="440" w:lineRule="exact"/>
        <w:ind w:firstLine="426" w:firstLineChars="202"/>
        <w:rPr>
          <w:rFonts w:ascii="宋体" w:hAnsi="宋体" w:eastAsia="宋体" w:cs="宋体"/>
          <w:b/>
          <w:kern w:val="0"/>
          <w:highlight w:val="none"/>
        </w:rPr>
      </w:pPr>
      <w:r>
        <w:rPr>
          <w:rFonts w:hint="eastAsia" w:ascii="宋体" w:hAnsi="宋体" w:eastAsia="宋体" w:cs="宋体"/>
          <w:b/>
          <w:kern w:val="0"/>
          <w:highlight w:val="none"/>
        </w:rPr>
        <w:t>一、项目基本情况</w:t>
      </w:r>
    </w:p>
    <w:p w14:paraId="55BEACA7">
      <w:pPr>
        <w:widowControl/>
        <w:spacing w:line="440" w:lineRule="exact"/>
        <w:ind w:firstLine="424" w:firstLineChars="202"/>
        <w:rPr>
          <w:rFonts w:ascii="宋体" w:hAnsi="宋体" w:eastAsia="宋体" w:cs="宋体"/>
          <w:kern w:val="0"/>
          <w:szCs w:val="21"/>
          <w:highlight w:val="none"/>
        </w:rPr>
      </w:pPr>
      <w:r>
        <w:rPr>
          <w:rFonts w:hint="eastAsia" w:ascii="宋体" w:hAnsi="宋体" w:eastAsia="宋体" w:cs="宋体"/>
          <w:kern w:val="0"/>
          <w:szCs w:val="21"/>
          <w:highlight w:val="none"/>
        </w:rPr>
        <w:t>1.项目编号：TRZBC2026-75（</w:t>
      </w:r>
      <w:r>
        <w:rPr>
          <w:rFonts w:hint="eastAsia" w:ascii="宋体" w:hAnsi="宋体" w:eastAsia="宋体" w:cs="宋体"/>
          <w:kern w:val="0"/>
          <w:szCs w:val="21"/>
          <w:highlight w:val="none"/>
          <w:lang w:eastAsia="zh-CN"/>
        </w:rPr>
        <w:t>电子交易平台项目编号：BSZC2026-C3-00679-BSTR-0046</w:t>
      </w:r>
      <w:r>
        <w:rPr>
          <w:rFonts w:hint="eastAsia" w:ascii="宋体" w:hAnsi="宋体" w:eastAsia="宋体" w:cs="宋体"/>
          <w:kern w:val="0"/>
          <w:szCs w:val="21"/>
          <w:highlight w:val="none"/>
        </w:rPr>
        <w:t>）</w:t>
      </w:r>
    </w:p>
    <w:p w14:paraId="41052B56">
      <w:pPr>
        <w:widowControl/>
        <w:spacing w:line="440" w:lineRule="exact"/>
        <w:ind w:firstLine="424" w:firstLineChars="202"/>
        <w:rPr>
          <w:rFonts w:ascii="宋体" w:hAnsi="宋体" w:eastAsia="宋体" w:cs="宋体"/>
          <w:kern w:val="0"/>
          <w:szCs w:val="21"/>
          <w:highlight w:val="none"/>
        </w:rPr>
      </w:pPr>
      <w:r>
        <w:rPr>
          <w:rFonts w:hint="eastAsia" w:ascii="宋体" w:hAnsi="宋体" w:eastAsia="宋体" w:cs="宋体"/>
          <w:kern w:val="0"/>
          <w:szCs w:val="21"/>
          <w:highlight w:val="none"/>
        </w:rPr>
        <w:t>2.项目名称：昌宁县医共体总医院慢病管理信息系统采购项目</w:t>
      </w:r>
    </w:p>
    <w:p w14:paraId="4741B127">
      <w:pPr>
        <w:widowControl/>
        <w:spacing w:line="440" w:lineRule="exact"/>
        <w:ind w:firstLine="424" w:firstLineChars="202"/>
        <w:rPr>
          <w:rFonts w:ascii="宋体" w:hAnsi="宋体" w:eastAsia="宋体" w:cs="宋体"/>
          <w:kern w:val="0"/>
          <w:szCs w:val="21"/>
          <w:highlight w:val="none"/>
        </w:rPr>
      </w:pPr>
      <w:r>
        <w:rPr>
          <w:rFonts w:hint="eastAsia" w:ascii="宋体" w:hAnsi="宋体" w:eastAsia="宋体" w:cs="宋体"/>
          <w:kern w:val="0"/>
          <w:szCs w:val="21"/>
          <w:highlight w:val="none"/>
        </w:rPr>
        <w:t>3.采购方式：竞争性磋商</w:t>
      </w:r>
    </w:p>
    <w:p w14:paraId="4CE33FEF">
      <w:pPr>
        <w:widowControl/>
        <w:spacing w:line="440" w:lineRule="exact"/>
        <w:ind w:firstLine="424" w:firstLineChars="202"/>
        <w:rPr>
          <w:rFonts w:ascii="宋体" w:hAnsi="宋体" w:eastAsia="宋体" w:cs="宋体"/>
          <w:kern w:val="0"/>
          <w:highlight w:val="none"/>
        </w:rPr>
      </w:pPr>
      <w:r>
        <w:rPr>
          <w:rFonts w:hint="eastAsia" w:ascii="宋体" w:hAnsi="宋体" w:eastAsia="宋体" w:cs="宋体"/>
          <w:kern w:val="0"/>
          <w:szCs w:val="21"/>
          <w:highlight w:val="none"/>
        </w:rPr>
        <w:t>4.预算金额：70.00万元</w:t>
      </w:r>
      <w:r>
        <w:rPr>
          <w:rFonts w:hint="eastAsia" w:ascii="宋体" w:hAnsi="宋体" w:eastAsia="宋体" w:cs="宋体"/>
          <w:kern w:val="0"/>
          <w:highlight w:val="none"/>
        </w:rPr>
        <w:t>。</w:t>
      </w:r>
    </w:p>
    <w:p w14:paraId="7BFFC22A">
      <w:pPr>
        <w:spacing w:line="440" w:lineRule="exact"/>
        <w:ind w:firstLine="420" w:firstLineChars="200"/>
        <w:rPr>
          <w:rFonts w:ascii="宋体" w:hAnsi="宋体" w:eastAsia="宋体" w:cs="宋体"/>
          <w:szCs w:val="21"/>
          <w:highlight w:val="none"/>
        </w:rPr>
      </w:pPr>
      <w:r>
        <w:rPr>
          <w:rFonts w:hint="eastAsia" w:ascii="宋体" w:hAnsi="宋体" w:eastAsia="宋体" w:cs="宋体"/>
          <w:szCs w:val="21"/>
          <w:highlight w:val="none"/>
        </w:rPr>
        <w:t>5.最高限价：70.00万元。</w:t>
      </w:r>
    </w:p>
    <w:p w14:paraId="6AC57849">
      <w:pPr>
        <w:spacing w:line="440" w:lineRule="exact"/>
        <w:ind w:firstLine="420" w:firstLineChars="200"/>
        <w:rPr>
          <w:rFonts w:ascii="宋体" w:hAnsi="宋体" w:eastAsia="宋体" w:cs="宋体"/>
          <w:szCs w:val="21"/>
          <w:highlight w:val="none"/>
        </w:rPr>
      </w:pPr>
      <w:r>
        <w:rPr>
          <w:rFonts w:hint="eastAsia" w:ascii="宋体" w:hAnsi="宋体" w:eastAsia="宋体" w:cs="宋体"/>
          <w:szCs w:val="21"/>
          <w:highlight w:val="none"/>
        </w:rPr>
        <w:t>6.采购需求：</w:t>
      </w:r>
    </w:p>
    <w:p w14:paraId="6CA2735A">
      <w:pPr>
        <w:widowControl/>
        <w:spacing w:line="440" w:lineRule="exact"/>
        <w:ind w:firstLine="424" w:firstLineChars="202"/>
        <w:rPr>
          <w:rFonts w:ascii="宋体" w:hAnsi="宋体" w:eastAsia="宋体" w:cs="宋体"/>
          <w:szCs w:val="21"/>
          <w:highlight w:val="none"/>
        </w:rPr>
      </w:pPr>
      <w:r>
        <w:rPr>
          <w:rFonts w:hint="eastAsia" w:ascii="宋体" w:hAnsi="宋体" w:eastAsia="宋体" w:cs="宋体"/>
          <w:szCs w:val="21"/>
          <w:highlight w:val="none"/>
        </w:rPr>
        <w:t>6.1采购内容：昌宁县人民医院统筹搭建县域医共体慢病管理信息系统，根据项目采购需求开发设计“</w:t>
      </w:r>
      <w:r>
        <w:rPr>
          <w:rFonts w:hint="eastAsia" w:ascii="宋体" w:hAnsi="宋体" w:eastAsia="宋体" w:cs="宋体"/>
          <w:kern w:val="0"/>
          <w:szCs w:val="21"/>
          <w:highlight w:val="none"/>
        </w:rPr>
        <w:t>昌宁县医共体总医院慢病管理信息系统</w:t>
      </w:r>
      <w:r>
        <w:rPr>
          <w:rFonts w:hint="eastAsia" w:ascii="宋体" w:hAnsi="宋体" w:eastAsia="宋体" w:cs="宋体"/>
          <w:szCs w:val="21"/>
          <w:highlight w:val="none"/>
        </w:rPr>
        <w:t>”，并将系统安装部署至昌宁县人民医院、昌宁县中医院、昌宁县妇幼保健计划生育服务中心及12个乡镇卫生院。根据项目实际情况开展各医共体各成员单位相关信息系统集成和相关数据接口开发服务，开展新建系统与采购人指定相关系统数据对接和系统集成实施、相关信息数据整合等服务工作，开展系统上线前的试运行和优化适配，整体系统测试验收，项目技术培训指导、售后运维服务等。</w:t>
      </w:r>
    </w:p>
    <w:p w14:paraId="0E1C4D06">
      <w:pPr>
        <w:widowControl/>
        <w:spacing w:line="440" w:lineRule="exact"/>
        <w:ind w:firstLine="424" w:firstLineChars="202"/>
        <w:rPr>
          <w:rFonts w:ascii="宋体" w:hAnsi="宋体" w:eastAsia="宋体" w:cs="宋体"/>
          <w:szCs w:val="21"/>
          <w:highlight w:val="none"/>
        </w:rPr>
      </w:pPr>
      <w:r>
        <w:rPr>
          <w:rFonts w:hint="eastAsia" w:ascii="宋体" w:hAnsi="宋体" w:eastAsia="宋体" w:cs="宋体"/>
          <w:szCs w:val="21"/>
          <w:highlight w:val="none"/>
        </w:rPr>
        <w:t>6.2采购清单</w:t>
      </w:r>
    </w:p>
    <w:tbl>
      <w:tblPr>
        <w:tblStyle w:val="27"/>
        <w:tblW w:w="10042" w:type="dxa"/>
        <w:tblInd w:w="-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0"/>
        <w:gridCol w:w="4392"/>
        <w:gridCol w:w="750"/>
        <w:gridCol w:w="820"/>
        <w:gridCol w:w="1170"/>
        <w:gridCol w:w="2430"/>
      </w:tblGrid>
      <w:tr w14:paraId="580BC9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480" w:type="dxa"/>
            <w:noWrap/>
            <w:vAlign w:val="center"/>
          </w:tcPr>
          <w:p w14:paraId="4948DEBD">
            <w:pPr>
              <w:widowControl/>
              <w:jc w:val="center"/>
              <w:textAlignment w:val="center"/>
              <w:rPr>
                <w:rFonts w:ascii="宋体" w:hAnsi="宋体" w:eastAsia="宋体" w:cs="宋体"/>
                <w:szCs w:val="21"/>
                <w:highlight w:val="none"/>
              </w:rPr>
            </w:pPr>
            <w:r>
              <w:rPr>
                <w:rFonts w:hint="eastAsia" w:ascii="宋体" w:hAnsi="宋体" w:eastAsia="宋体" w:cs="宋体"/>
                <w:kern w:val="0"/>
                <w:szCs w:val="21"/>
                <w:highlight w:val="none"/>
              </w:rPr>
              <w:t>序号</w:t>
            </w:r>
          </w:p>
        </w:tc>
        <w:tc>
          <w:tcPr>
            <w:tcW w:w="4392" w:type="dxa"/>
            <w:vAlign w:val="center"/>
          </w:tcPr>
          <w:p w14:paraId="7510CF08">
            <w:pPr>
              <w:widowControl/>
              <w:jc w:val="center"/>
              <w:textAlignment w:val="center"/>
              <w:rPr>
                <w:rFonts w:ascii="宋体" w:hAnsi="宋体" w:eastAsia="宋体" w:cs="宋体"/>
                <w:kern w:val="0"/>
                <w:szCs w:val="21"/>
                <w:highlight w:val="none"/>
              </w:rPr>
            </w:pPr>
            <w:r>
              <w:rPr>
                <w:rFonts w:hint="eastAsia" w:ascii="宋体" w:hAnsi="宋体" w:eastAsia="宋体" w:cs="宋体"/>
                <w:kern w:val="0"/>
                <w:szCs w:val="21"/>
                <w:highlight w:val="none"/>
              </w:rPr>
              <w:t>项目名称</w:t>
            </w:r>
          </w:p>
        </w:tc>
        <w:tc>
          <w:tcPr>
            <w:tcW w:w="750" w:type="dxa"/>
            <w:vAlign w:val="center"/>
          </w:tcPr>
          <w:p w14:paraId="5A02335D">
            <w:pPr>
              <w:widowControl/>
              <w:jc w:val="center"/>
              <w:textAlignment w:val="center"/>
              <w:rPr>
                <w:rFonts w:ascii="宋体" w:hAnsi="宋体" w:eastAsia="宋体" w:cs="宋体"/>
                <w:szCs w:val="21"/>
                <w:highlight w:val="none"/>
              </w:rPr>
            </w:pPr>
            <w:r>
              <w:rPr>
                <w:rFonts w:hint="eastAsia" w:ascii="宋体" w:hAnsi="宋体" w:eastAsia="宋体" w:cs="宋体"/>
                <w:kern w:val="0"/>
                <w:szCs w:val="21"/>
                <w:highlight w:val="none"/>
              </w:rPr>
              <w:t>数量</w:t>
            </w:r>
          </w:p>
        </w:tc>
        <w:tc>
          <w:tcPr>
            <w:tcW w:w="820" w:type="dxa"/>
            <w:vAlign w:val="center"/>
          </w:tcPr>
          <w:p w14:paraId="1A785FAC">
            <w:pPr>
              <w:widowControl/>
              <w:jc w:val="center"/>
              <w:textAlignment w:val="center"/>
              <w:rPr>
                <w:rFonts w:ascii="宋体" w:hAnsi="宋体" w:eastAsia="宋体" w:cs="宋体"/>
                <w:szCs w:val="21"/>
                <w:highlight w:val="none"/>
              </w:rPr>
            </w:pPr>
            <w:r>
              <w:rPr>
                <w:rFonts w:hint="eastAsia" w:ascii="宋体" w:hAnsi="宋体" w:eastAsia="宋体" w:cs="宋体"/>
                <w:kern w:val="0"/>
                <w:szCs w:val="21"/>
                <w:highlight w:val="none"/>
              </w:rPr>
              <w:t>计量单位</w:t>
            </w:r>
          </w:p>
        </w:tc>
        <w:tc>
          <w:tcPr>
            <w:tcW w:w="1170" w:type="dxa"/>
            <w:vAlign w:val="center"/>
          </w:tcPr>
          <w:p w14:paraId="4272E898">
            <w:pPr>
              <w:widowControl/>
              <w:jc w:val="center"/>
              <w:textAlignment w:val="center"/>
              <w:rPr>
                <w:rFonts w:ascii="宋体" w:hAnsi="宋体" w:eastAsia="宋体" w:cs="宋体"/>
                <w:kern w:val="0"/>
                <w:szCs w:val="21"/>
                <w:highlight w:val="none"/>
              </w:rPr>
            </w:pPr>
            <w:r>
              <w:rPr>
                <w:rFonts w:hint="eastAsia" w:ascii="宋体" w:hAnsi="宋体" w:eastAsia="宋体" w:cs="宋体"/>
                <w:kern w:val="0"/>
                <w:szCs w:val="21"/>
                <w:highlight w:val="none"/>
              </w:rPr>
              <w:t>预算金额（万元）</w:t>
            </w:r>
          </w:p>
        </w:tc>
        <w:tc>
          <w:tcPr>
            <w:tcW w:w="2430" w:type="dxa"/>
            <w:vAlign w:val="center"/>
          </w:tcPr>
          <w:p w14:paraId="63F3A82D">
            <w:pPr>
              <w:widowControl/>
              <w:jc w:val="center"/>
              <w:textAlignment w:val="center"/>
              <w:rPr>
                <w:rFonts w:ascii="宋体" w:hAnsi="宋体" w:eastAsia="宋体" w:cs="宋体"/>
                <w:kern w:val="0"/>
                <w:szCs w:val="21"/>
                <w:highlight w:val="none"/>
              </w:rPr>
            </w:pPr>
            <w:r>
              <w:rPr>
                <w:rFonts w:hint="eastAsia" w:ascii="宋体" w:hAnsi="宋体" w:eastAsia="宋体" w:cs="宋体"/>
                <w:kern w:val="0"/>
                <w:szCs w:val="21"/>
                <w:highlight w:val="none"/>
              </w:rPr>
              <w:t>项目售后运维服务期限</w:t>
            </w:r>
          </w:p>
        </w:tc>
      </w:tr>
      <w:tr w14:paraId="4DFFE1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80" w:type="dxa"/>
            <w:noWrap/>
            <w:vAlign w:val="center"/>
          </w:tcPr>
          <w:p w14:paraId="439774FD">
            <w:pPr>
              <w:widowControl/>
              <w:jc w:val="center"/>
              <w:textAlignment w:val="top"/>
              <w:rPr>
                <w:rFonts w:ascii="宋体" w:hAnsi="宋体" w:eastAsia="宋体" w:cs="宋体"/>
                <w:szCs w:val="21"/>
                <w:highlight w:val="none"/>
              </w:rPr>
            </w:pPr>
            <w:r>
              <w:rPr>
                <w:rFonts w:hint="eastAsia" w:ascii="宋体" w:hAnsi="宋体" w:eastAsia="宋体" w:cs="宋体"/>
                <w:kern w:val="0"/>
                <w:szCs w:val="21"/>
                <w:highlight w:val="none"/>
                <w:lang w:bidi="ar"/>
              </w:rPr>
              <w:t>1</w:t>
            </w:r>
          </w:p>
        </w:tc>
        <w:tc>
          <w:tcPr>
            <w:tcW w:w="4392" w:type="dxa"/>
            <w:vAlign w:val="center"/>
          </w:tcPr>
          <w:p w14:paraId="1A1C9B40">
            <w:pPr>
              <w:widowControl/>
              <w:jc w:val="center"/>
              <w:textAlignment w:val="center"/>
              <w:rPr>
                <w:rFonts w:ascii="宋体" w:hAnsi="宋体" w:eastAsia="宋体" w:cs="宋体"/>
                <w:kern w:val="0"/>
                <w:szCs w:val="21"/>
                <w:highlight w:val="none"/>
              </w:rPr>
            </w:pPr>
            <w:r>
              <w:rPr>
                <w:rFonts w:hint="eastAsia" w:ascii="宋体" w:hAnsi="宋体" w:eastAsia="宋体" w:cs="宋体"/>
                <w:kern w:val="0"/>
                <w:szCs w:val="21"/>
                <w:highlight w:val="none"/>
              </w:rPr>
              <w:t>昌宁县医共体总医院慢病管理信息系统采购项目</w:t>
            </w:r>
          </w:p>
        </w:tc>
        <w:tc>
          <w:tcPr>
            <w:tcW w:w="750" w:type="dxa"/>
            <w:vAlign w:val="center"/>
          </w:tcPr>
          <w:p w14:paraId="76A87A20">
            <w:pPr>
              <w:widowControl/>
              <w:snapToGrid w:val="0"/>
              <w:jc w:val="center"/>
              <w:textAlignment w:val="center"/>
              <w:rPr>
                <w:rFonts w:ascii="宋体" w:hAnsi="宋体" w:eastAsia="宋体" w:cs="宋体"/>
                <w:szCs w:val="21"/>
                <w:highlight w:val="none"/>
              </w:rPr>
            </w:pPr>
            <w:r>
              <w:rPr>
                <w:rFonts w:hint="eastAsia" w:ascii="宋体" w:hAnsi="宋体" w:eastAsia="宋体" w:cs="宋体"/>
                <w:kern w:val="0"/>
                <w:szCs w:val="21"/>
                <w:highlight w:val="none"/>
                <w:lang w:bidi="ar"/>
              </w:rPr>
              <w:t>1</w:t>
            </w:r>
          </w:p>
        </w:tc>
        <w:tc>
          <w:tcPr>
            <w:tcW w:w="820" w:type="dxa"/>
            <w:vAlign w:val="center"/>
          </w:tcPr>
          <w:p w14:paraId="3020BBC0">
            <w:pPr>
              <w:widowControl/>
              <w:snapToGrid w:val="0"/>
              <w:jc w:val="center"/>
              <w:textAlignment w:val="center"/>
              <w:rPr>
                <w:rFonts w:ascii="宋体" w:hAnsi="宋体" w:eastAsia="宋体" w:cs="宋体"/>
                <w:szCs w:val="21"/>
                <w:highlight w:val="none"/>
              </w:rPr>
            </w:pPr>
            <w:r>
              <w:rPr>
                <w:rFonts w:hint="eastAsia" w:ascii="宋体" w:hAnsi="宋体" w:eastAsia="宋体" w:cs="宋体"/>
                <w:kern w:val="0"/>
                <w:szCs w:val="21"/>
                <w:highlight w:val="none"/>
                <w:lang w:bidi="ar"/>
              </w:rPr>
              <w:t>项</w:t>
            </w:r>
          </w:p>
        </w:tc>
        <w:tc>
          <w:tcPr>
            <w:tcW w:w="1170" w:type="dxa"/>
            <w:vAlign w:val="center"/>
          </w:tcPr>
          <w:p w14:paraId="0B5B16BF">
            <w:pPr>
              <w:widowControl/>
              <w:snapToGrid w:val="0"/>
              <w:jc w:val="center"/>
              <w:textAlignment w:val="center"/>
              <w:rPr>
                <w:rFonts w:ascii="宋体" w:hAnsi="宋体" w:eastAsia="宋体" w:cs="宋体"/>
                <w:kern w:val="0"/>
                <w:szCs w:val="21"/>
                <w:highlight w:val="none"/>
              </w:rPr>
            </w:pPr>
            <w:r>
              <w:rPr>
                <w:rFonts w:hint="eastAsia" w:ascii="宋体" w:hAnsi="宋体" w:eastAsia="宋体" w:cs="宋体"/>
                <w:kern w:val="0"/>
                <w:szCs w:val="21"/>
                <w:highlight w:val="none"/>
              </w:rPr>
              <w:t>70.00</w:t>
            </w:r>
          </w:p>
        </w:tc>
        <w:tc>
          <w:tcPr>
            <w:tcW w:w="2430" w:type="dxa"/>
            <w:vAlign w:val="center"/>
          </w:tcPr>
          <w:p w14:paraId="35F6692F">
            <w:pPr>
              <w:widowControl/>
              <w:snapToGrid w:val="0"/>
              <w:jc w:val="center"/>
              <w:textAlignment w:val="center"/>
              <w:rPr>
                <w:rFonts w:ascii="宋体" w:hAnsi="宋体" w:eastAsia="宋体" w:cs="宋体"/>
                <w:kern w:val="0"/>
                <w:szCs w:val="21"/>
                <w:highlight w:val="none"/>
              </w:rPr>
            </w:pPr>
            <w:r>
              <w:rPr>
                <w:rFonts w:hint="eastAsia" w:ascii="宋体" w:hAnsi="宋体" w:eastAsia="宋体" w:cs="宋体"/>
                <w:kern w:val="0"/>
                <w:szCs w:val="21"/>
                <w:highlight w:val="none"/>
              </w:rPr>
              <w:t>自项目整体验收合格之日起不少于1年。</w:t>
            </w:r>
          </w:p>
        </w:tc>
      </w:tr>
    </w:tbl>
    <w:p w14:paraId="0434EB69">
      <w:pPr>
        <w:spacing w:line="460" w:lineRule="exact"/>
        <w:ind w:firstLine="420" w:firstLineChars="200"/>
        <w:rPr>
          <w:rFonts w:ascii="宋体" w:hAnsi="宋体" w:eastAsia="宋体" w:cs="宋体"/>
          <w:szCs w:val="21"/>
          <w:highlight w:val="none"/>
        </w:rPr>
      </w:pPr>
      <w:r>
        <w:rPr>
          <w:rFonts w:hint="eastAsia" w:ascii="宋体" w:hAnsi="宋体" w:eastAsia="宋体" w:cs="宋体"/>
          <w:szCs w:val="21"/>
          <w:highlight w:val="none"/>
        </w:rPr>
        <w:t>6.3项目服务地点：采购人指定地点。</w:t>
      </w:r>
    </w:p>
    <w:p w14:paraId="1BA1A032">
      <w:pPr>
        <w:spacing w:line="460" w:lineRule="exact"/>
        <w:ind w:firstLine="420" w:firstLineChars="200"/>
        <w:rPr>
          <w:rFonts w:ascii="宋体" w:hAnsi="宋体" w:eastAsia="宋体" w:cs="宋体"/>
          <w:szCs w:val="21"/>
          <w:highlight w:val="none"/>
        </w:rPr>
      </w:pPr>
      <w:r>
        <w:rPr>
          <w:rFonts w:hint="eastAsia" w:ascii="宋体" w:hAnsi="宋体" w:eastAsia="宋体" w:cs="宋体"/>
          <w:szCs w:val="21"/>
          <w:highlight w:val="none"/>
        </w:rPr>
        <w:t>6.4标段划分：本项目共划分为一个标段，拟参与采购活动的磋商申请人必须整体报价不得拆分。</w:t>
      </w:r>
    </w:p>
    <w:p w14:paraId="43D133E8">
      <w:pPr>
        <w:spacing w:line="460" w:lineRule="exact"/>
        <w:ind w:firstLine="420" w:firstLineChars="200"/>
        <w:rPr>
          <w:rFonts w:ascii="宋体" w:hAnsi="宋体" w:eastAsia="宋体" w:cs="宋体"/>
          <w:szCs w:val="21"/>
          <w:highlight w:val="none"/>
        </w:rPr>
      </w:pPr>
      <w:r>
        <w:rPr>
          <w:rFonts w:hint="eastAsia" w:ascii="宋体" w:hAnsi="宋体" w:eastAsia="宋体" w:cs="宋体"/>
          <w:szCs w:val="21"/>
          <w:highlight w:val="none"/>
        </w:rPr>
        <w:t>6.5磋商报价说明和要求：</w:t>
      </w:r>
    </w:p>
    <w:p w14:paraId="23517AFD">
      <w:pPr>
        <w:spacing w:line="460" w:lineRule="exact"/>
        <w:ind w:firstLine="420" w:firstLineChars="200"/>
        <w:rPr>
          <w:rFonts w:ascii="宋体" w:hAnsi="宋体" w:eastAsia="宋体" w:cs="宋体"/>
          <w:szCs w:val="21"/>
          <w:highlight w:val="none"/>
        </w:rPr>
      </w:pPr>
      <w:r>
        <w:rPr>
          <w:rFonts w:hint="eastAsia" w:ascii="宋体" w:hAnsi="宋体" w:eastAsia="宋体" w:cs="宋体"/>
          <w:szCs w:val="21"/>
          <w:highlight w:val="none"/>
        </w:rPr>
        <w:t>（1）</w:t>
      </w:r>
      <w:r>
        <w:rPr>
          <w:rFonts w:hint="eastAsia" w:ascii="宋体" w:hAnsi="宋体" w:eastAsia="宋体" w:cs="宋体"/>
          <w:kern w:val="0"/>
          <w:szCs w:val="21"/>
          <w:highlight w:val="none"/>
        </w:rPr>
        <w:t>磋商报价要求：</w:t>
      </w:r>
      <w:r>
        <w:rPr>
          <w:rFonts w:hint="eastAsia" w:ascii="宋体" w:hAnsi="宋体" w:eastAsia="宋体" w:cs="宋体"/>
          <w:szCs w:val="21"/>
          <w:highlight w:val="none"/>
        </w:rPr>
        <w:t>参与本项目的磋商申请人须根据竞争性磋商文件要求分别填报磋商报价总价、分项报价等信息，磋商报价须包含本项目采购所涉及的“</w:t>
      </w:r>
      <w:r>
        <w:rPr>
          <w:rFonts w:hint="eastAsia" w:ascii="宋体" w:hAnsi="宋体" w:eastAsia="宋体" w:cs="宋体"/>
          <w:kern w:val="0"/>
          <w:szCs w:val="21"/>
          <w:highlight w:val="none"/>
        </w:rPr>
        <w:t>昌宁县医共体总医院慢病管理信息系统</w:t>
      </w:r>
      <w:r>
        <w:rPr>
          <w:rFonts w:hint="eastAsia" w:ascii="宋体" w:hAnsi="宋体" w:eastAsia="宋体" w:cs="宋体"/>
          <w:szCs w:val="21"/>
          <w:highlight w:val="none"/>
        </w:rPr>
        <w:t>”开发设计费、根据采购人要求进行系统安装部署服务费，信息系统集成服务费、相关数据接口开发服务费、新建系统与采购人指定相关系统数据对接和系统集成实施服务费、信息数据整合服务费、系统初验及终验的优化适配服务费、项目测试验收服务费，项目技术支持服务费、技术培训及售后运维服务费，以及为开展本项目服务工作必需的项目管理费、人工费、差旅费，必需的税、费（参与本项目采购活动所必须的相关费用）、风险（含不可预见费）等所有费用，以上各项费用应核算到项目的单价和总价报价中，无需单列。</w:t>
      </w:r>
    </w:p>
    <w:p w14:paraId="1A95E0E0">
      <w:pPr>
        <w:spacing w:line="460" w:lineRule="exact"/>
        <w:ind w:firstLine="420" w:firstLineChars="200"/>
        <w:rPr>
          <w:rFonts w:ascii="宋体" w:hAnsi="宋体" w:eastAsia="宋体" w:cs="宋体"/>
          <w:szCs w:val="21"/>
          <w:highlight w:val="none"/>
        </w:rPr>
      </w:pPr>
      <w:r>
        <w:rPr>
          <w:rFonts w:hint="eastAsia" w:ascii="宋体" w:hAnsi="宋体" w:eastAsia="宋体" w:cs="宋体"/>
          <w:kern w:val="0"/>
          <w:szCs w:val="21"/>
          <w:highlight w:val="none"/>
        </w:rPr>
        <w:t>（2）磋商报价其他说明：以上磋商报价视为包含竞争性磋商文件规定的其他项目和服务等方面内容，都应包含在磋商报价中（包括竞争性磋商文件中提到的或没有提到的产品按照过程中所必备各种配套辅助材料及配件和项目实施发生其他技术服务工作等）。即凡磋商申请人在竞争性磋商文件中承诺或涉及的或者是完成本项目交付使用必需的费用，磋商申请人为完成本项目交付使用存在漏报费用时，均视为已包括在磋商总报价或相应项目的单价及总价中。</w:t>
      </w:r>
    </w:p>
    <w:p w14:paraId="4B70097B">
      <w:pPr>
        <w:spacing w:line="460" w:lineRule="exact"/>
        <w:ind w:firstLine="420" w:firstLineChars="200"/>
        <w:rPr>
          <w:rFonts w:ascii="宋体" w:hAnsi="宋体" w:eastAsia="宋体" w:cs="宋体"/>
          <w:szCs w:val="21"/>
          <w:highlight w:val="none"/>
        </w:rPr>
      </w:pPr>
      <w:r>
        <w:rPr>
          <w:rFonts w:hint="eastAsia" w:ascii="宋体" w:hAnsi="宋体" w:eastAsia="宋体" w:cs="宋体"/>
          <w:szCs w:val="21"/>
          <w:highlight w:val="none"/>
        </w:rPr>
        <w:t>6.6付款方式：采购人根据项目进度分阶段支付合同价款。</w:t>
      </w:r>
    </w:p>
    <w:p w14:paraId="339E9F6E">
      <w:pPr>
        <w:spacing w:line="460" w:lineRule="exact"/>
        <w:ind w:firstLine="420" w:firstLineChars="200"/>
        <w:rPr>
          <w:rFonts w:ascii="宋体" w:hAnsi="宋体" w:eastAsia="宋体" w:cs="宋体"/>
          <w:szCs w:val="21"/>
          <w:highlight w:val="none"/>
        </w:rPr>
      </w:pPr>
      <w:r>
        <w:rPr>
          <w:rFonts w:hint="eastAsia" w:ascii="宋体" w:hAnsi="宋体" w:eastAsia="宋体" w:cs="宋体"/>
          <w:szCs w:val="21"/>
          <w:highlight w:val="none"/>
        </w:rPr>
        <w:t>7.合同履行期限：合同签订后60日历天内完成系统开发建设任务工作并达到初步验收标准，根据项目初检的要求开展相应的系统优化整改直至完全达标通过最终验收。项目验收合格后提供不少于1年的系统售后运维服务。</w:t>
      </w:r>
    </w:p>
    <w:p w14:paraId="1BC424C1">
      <w:pPr>
        <w:spacing w:line="460" w:lineRule="exact"/>
        <w:ind w:firstLine="420" w:firstLineChars="200"/>
        <w:rPr>
          <w:rFonts w:ascii="宋体" w:hAnsi="宋体" w:eastAsia="宋体" w:cs="宋体"/>
          <w:szCs w:val="21"/>
          <w:highlight w:val="none"/>
        </w:rPr>
      </w:pPr>
      <w:r>
        <w:rPr>
          <w:rFonts w:hint="eastAsia" w:ascii="宋体" w:hAnsi="宋体" w:eastAsia="宋体" w:cs="宋体"/>
          <w:szCs w:val="21"/>
          <w:highlight w:val="none"/>
        </w:rPr>
        <w:t>8.本项目不接受联合体。</w:t>
      </w:r>
    </w:p>
    <w:p w14:paraId="49519819">
      <w:pPr>
        <w:widowControl/>
        <w:spacing w:line="440" w:lineRule="exact"/>
        <w:ind w:firstLine="426" w:firstLineChars="202"/>
        <w:rPr>
          <w:rFonts w:ascii="宋体" w:hAnsi="宋体" w:eastAsia="宋体" w:cs="宋体"/>
          <w:b/>
          <w:kern w:val="0"/>
          <w:szCs w:val="21"/>
          <w:highlight w:val="none"/>
        </w:rPr>
      </w:pPr>
      <w:r>
        <w:rPr>
          <w:rFonts w:hint="eastAsia" w:ascii="宋体" w:hAnsi="宋体" w:eastAsia="宋体" w:cs="宋体"/>
          <w:b/>
          <w:kern w:val="0"/>
          <w:szCs w:val="21"/>
          <w:highlight w:val="none"/>
        </w:rPr>
        <w:t>二、申请人资格要求：</w:t>
      </w:r>
    </w:p>
    <w:p w14:paraId="5FF9CFE1">
      <w:pPr>
        <w:widowControl/>
        <w:spacing w:line="440" w:lineRule="exact"/>
        <w:ind w:firstLine="424" w:firstLineChars="202"/>
        <w:rPr>
          <w:rFonts w:ascii="宋体" w:hAnsi="宋体" w:eastAsia="宋体" w:cs="宋体"/>
          <w:kern w:val="0"/>
          <w:szCs w:val="21"/>
          <w:highlight w:val="none"/>
        </w:rPr>
      </w:pPr>
      <w:r>
        <w:rPr>
          <w:rFonts w:hint="eastAsia" w:ascii="宋体" w:hAnsi="宋体" w:eastAsia="宋体" w:cs="宋体"/>
          <w:kern w:val="0"/>
          <w:szCs w:val="21"/>
          <w:highlight w:val="none"/>
        </w:rPr>
        <w:t>1.满足《中华人民共和国政府采购法》第二十二条规定；</w:t>
      </w:r>
    </w:p>
    <w:p w14:paraId="02B7D0DF">
      <w:pPr>
        <w:widowControl/>
        <w:spacing w:line="440" w:lineRule="exact"/>
        <w:ind w:firstLine="424" w:firstLineChars="202"/>
        <w:rPr>
          <w:rFonts w:ascii="宋体" w:hAnsi="宋体" w:eastAsia="宋体" w:cs="宋体"/>
          <w:kern w:val="0"/>
          <w:szCs w:val="21"/>
          <w:highlight w:val="none"/>
        </w:rPr>
      </w:pPr>
      <w:r>
        <w:rPr>
          <w:rFonts w:hint="eastAsia" w:ascii="宋体" w:hAnsi="宋体" w:eastAsia="宋体" w:cs="宋体"/>
          <w:kern w:val="0"/>
          <w:szCs w:val="21"/>
          <w:highlight w:val="none"/>
        </w:rPr>
        <w:t>2.落实政府采购政策需满足的资格要求：无，</w:t>
      </w:r>
      <w:r>
        <w:rPr>
          <w:rFonts w:hint="eastAsia" w:ascii="宋体" w:hAnsi="宋体" w:eastAsia="宋体" w:cs="宋体"/>
          <w:szCs w:val="21"/>
          <w:highlight w:val="none"/>
        </w:rPr>
        <w:t>本项目不属于专门面向中小企业的政府采购项目。</w:t>
      </w:r>
    </w:p>
    <w:p w14:paraId="71AEE994">
      <w:pPr>
        <w:widowControl/>
        <w:spacing w:line="440" w:lineRule="exact"/>
        <w:ind w:firstLine="424" w:firstLineChars="202"/>
        <w:rPr>
          <w:rFonts w:ascii="宋体" w:hAnsi="宋体" w:eastAsia="宋体" w:cs="宋体"/>
          <w:kern w:val="0"/>
          <w:szCs w:val="21"/>
          <w:highlight w:val="none"/>
        </w:rPr>
      </w:pPr>
      <w:r>
        <w:rPr>
          <w:rFonts w:hint="eastAsia" w:ascii="宋体" w:hAnsi="宋体" w:eastAsia="宋体" w:cs="宋体"/>
          <w:kern w:val="0"/>
          <w:szCs w:val="21"/>
          <w:highlight w:val="none"/>
        </w:rPr>
        <w:t>3.本项目的特定资格要求：</w:t>
      </w:r>
    </w:p>
    <w:p w14:paraId="401E6962">
      <w:pPr>
        <w:widowControl/>
        <w:spacing w:line="460" w:lineRule="exact"/>
        <w:ind w:firstLine="424" w:firstLineChars="202"/>
        <w:rPr>
          <w:rFonts w:ascii="宋体" w:hAnsi="宋体" w:eastAsia="宋体" w:cs="宋体"/>
          <w:kern w:val="0"/>
          <w:highlight w:val="none"/>
        </w:rPr>
      </w:pPr>
      <w:r>
        <w:rPr>
          <w:rFonts w:hint="eastAsia" w:ascii="宋体" w:hAnsi="宋体" w:eastAsia="宋体" w:cs="宋体"/>
          <w:kern w:val="0"/>
          <w:highlight w:val="none"/>
        </w:rPr>
        <w:t>3.1本项目不接受成交后再次转包、分包开展相应服务工作，磋商申请人须提供针对本项目不转包、分包的书面承诺。</w:t>
      </w:r>
    </w:p>
    <w:p w14:paraId="33BAAD5E">
      <w:pPr>
        <w:widowControl/>
        <w:spacing w:line="460" w:lineRule="exact"/>
        <w:ind w:firstLine="424" w:firstLineChars="202"/>
        <w:rPr>
          <w:rFonts w:ascii="宋体" w:hAnsi="宋体" w:eastAsia="宋体" w:cs="宋体"/>
          <w:kern w:val="0"/>
          <w:szCs w:val="21"/>
          <w:highlight w:val="none"/>
        </w:rPr>
      </w:pPr>
      <w:r>
        <w:rPr>
          <w:rFonts w:hint="eastAsia" w:ascii="宋体" w:hAnsi="宋体" w:eastAsia="宋体" w:cs="宋体"/>
          <w:kern w:val="0"/>
          <w:highlight w:val="none"/>
        </w:rPr>
        <w:t>3.2</w:t>
      </w:r>
      <w:r>
        <w:rPr>
          <w:rFonts w:hint="eastAsia" w:ascii="宋体" w:hAnsi="宋体" w:eastAsia="宋体" w:cs="宋体"/>
          <w:kern w:val="0"/>
          <w:szCs w:val="21"/>
          <w:highlight w:val="none"/>
        </w:rPr>
        <w:t>拒绝参加本次采购活动的情形：</w:t>
      </w:r>
    </w:p>
    <w:p w14:paraId="2ADCD377">
      <w:pPr>
        <w:widowControl/>
        <w:spacing w:line="460" w:lineRule="exact"/>
        <w:ind w:firstLine="424" w:firstLineChars="202"/>
        <w:rPr>
          <w:rFonts w:ascii="宋体" w:hAnsi="宋体" w:eastAsia="宋体" w:cs="宋体"/>
          <w:kern w:val="0"/>
          <w:szCs w:val="21"/>
          <w:highlight w:val="none"/>
        </w:rPr>
      </w:pPr>
      <w:r>
        <w:rPr>
          <w:rFonts w:hint="eastAsia" w:ascii="宋体" w:hAnsi="宋体" w:eastAsia="宋体" w:cs="宋体"/>
          <w:kern w:val="0"/>
          <w:szCs w:val="21"/>
          <w:highlight w:val="none"/>
        </w:rPr>
        <w:t>①单位负责人为同一人或者存在直接控股、管理关系的不同供应商，不得参加同一合同项下的政府采购活动。</w:t>
      </w:r>
    </w:p>
    <w:p w14:paraId="5C296AE2">
      <w:pPr>
        <w:widowControl/>
        <w:spacing w:line="460" w:lineRule="exact"/>
        <w:ind w:firstLine="424" w:firstLineChars="202"/>
        <w:rPr>
          <w:rFonts w:ascii="宋体" w:hAnsi="宋体" w:eastAsia="宋体" w:cs="宋体"/>
          <w:kern w:val="0"/>
          <w:szCs w:val="21"/>
          <w:highlight w:val="none"/>
        </w:rPr>
      </w:pPr>
      <w:r>
        <w:rPr>
          <w:rFonts w:hint="eastAsia" w:ascii="宋体" w:hAnsi="宋体" w:eastAsia="宋体" w:cs="宋体"/>
          <w:kern w:val="0"/>
          <w:szCs w:val="21"/>
          <w:highlight w:val="none"/>
        </w:rPr>
        <w:t>②为采购项目提供整体设计、规范编制或者项目管理、造价、监理、检测等服务的供应商，不得再参加该采购项目的其他采购活动。</w:t>
      </w:r>
    </w:p>
    <w:p w14:paraId="45B3E4CA">
      <w:pPr>
        <w:widowControl/>
        <w:spacing w:line="440" w:lineRule="exact"/>
        <w:ind w:firstLine="424" w:firstLineChars="202"/>
        <w:rPr>
          <w:rFonts w:ascii="宋体" w:hAnsi="宋体" w:eastAsia="宋体" w:cs="宋体"/>
          <w:kern w:val="0"/>
          <w:szCs w:val="21"/>
          <w:highlight w:val="none"/>
        </w:rPr>
      </w:pPr>
      <w:r>
        <w:rPr>
          <w:rFonts w:hint="eastAsia" w:ascii="宋体" w:hAnsi="宋体" w:eastAsia="宋体" w:cs="宋体"/>
          <w:kern w:val="0"/>
          <w:szCs w:val="21"/>
          <w:highlight w:val="none"/>
        </w:rPr>
        <w:t>③</w:t>
      </w:r>
      <w:r>
        <w:rPr>
          <w:rFonts w:hint="eastAsia" w:ascii="宋体" w:hAnsi="宋体" w:eastAsia="宋体" w:cs="宋体"/>
          <w:kern w:val="0"/>
          <w:highlight w:val="none"/>
        </w:rPr>
        <w:t>磋商申请人</w:t>
      </w:r>
      <w:r>
        <w:rPr>
          <w:rFonts w:hint="eastAsia" w:ascii="宋体" w:hAnsi="宋体" w:eastAsia="宋体" w:cs="宋体"/>
          <w:szCs w:val="21"/>
          <w:highlight w:val="none"/>
        </w:rPr>
        <w:t>在本项目评审之日之前未被列入“信用中国”网站“严重失信主体名单”“失信被执行人”“重大税收违法失信主体”“政府采购严重违法失信行为记录名单”，未被列入中国政府采购网“政府采购严重违法失信行为信息记录名单”，由采购人及采购代理机构将按照以上条款对参与本项目的各</w:t>
      </w:r>
      <w:r>
        <w:rPr>
          <w:rFonts w:hint="eastAsia" w:ascii="宋体" w:hAnsi="宋体" w:eastAsia="宋体" w:cs="宋体"/>
          <w:kern w:val="0"/>
          <w:highlight w:val="none"/>
        </w:rPr>
        <w:t>磋商申请人</w:t>
      </w:r>
      <w:r>
        <w:rPr>
          <w:rFonts w:hint="eastAsia" w:ascii="宋体" w:hAnsi="宋体" w:eastAsia="宋体" w:cs="宋体"/>
          <w:szCs w:val="21"/>
          <w:highlight w:val="none"/>
        </w:rPr>
        <w:t>的信用信息进行查询，有不良记录的将被拒绝参与本项目。</w:t>
      </w:r>
    </w:p>
    <w:p w14:paraId="61AF1DAD">
      <w:pPr>
        <w:widowControl/>
        <w:spacing w:line="440" w:lineRule="exact"/>
        <w:ind w:firstLine="426" w:firstLineChars="202"/>
        <w:rPr>
          <w:rFonts w:ascii="宋体" w:hAnsi="宋体" w:eastAsia="宋体" w:cs="宋体"/>
          <w:b/>
          <w:kern w:val="0"/>
          <w:szCs w:val="21"/>
          <w:highlight w:val="none"/>
        </w:rPr>
      </w:pPr>
      <w:r>
        <w:rPr>
          <w:rFonts w:hint="eastAsia" w:ascii="宋体" w:hAnsi="宋体" w:eastAsia="宋体" w:cs="宋体"/>
          <w:b/>
          <w:kern w:val="0"/>
          <w:szCs w:val="21"/>
          <w:highlight w:val="none"/>
        </w:rPr>
        <w:t>三、获取采购文件：</w:t>
      </w:r>
    </w:p>
    <w:p w14:paraId="65F65330">
      <w:pPr>
        <w:widowControl/>
        <w:spacing w:line="440" w:lineRule="exact"/>
        <w:ind w:firstLine="424" w:firstLineChars="202"/>
        <w:rPr>
          <w:rFonts w:ascii="宋体" w:hAnsi="宋体" w:eastAsia="宋体" w:cs="宋体"/>
          <w:kern w:val="0"/>
          <w:szCs w:val="21"/>
          <w:highlight w:val="none"/>
        </w:rPr>
      </w:pPr>
      <w:r>
        <w:rPr>
          <w:rFonts w:hint="eastAsia" w:ascii="宋体" w:hAnsi="宋体" w:eastAsia="宋体" w:cs="宋体"/>
          <w:kern w:val="0"/>
          <w:szCs w:val="21"/>
          <w:highlight w:val="none"/>
        </w:rPr>
        <w:t>1.时间：2026年06月</w:t>
      </w:r>
      <w:r>
        <w:rPr>
          <w:rFonts w:hint="eastAsia" w:ascii="宋体" w:hAnsi="宋体" w:eastAsia="宋体" w:cs="宋体"/>
          <w:kern w:val="0"/>
          <w:szCs w:val="21"/>
          <w:highlight w:val="none"/>
          <w:lang w:val="en-US" w:eastAsia="zh-CN"/>
        </w:rPr>
        <w:t>26</w:t>
      </w:r>
      <w:r>
        <w:rPr>
          <w:rFonts w:hint="eastAsia" w:ascii="宋体" w:hAnsi="宋体" w:eastAsia="宋体" w:cs="宋体"/>
          <w:kern w:val="0"/>
          <w:szCs w:val="21"/>
          <w:highlight w:val="none"/>
        </w:rPr>
        <w:t>日至 2026年0</w:t>
      </w:r>
      <w:r>
        <w:rPr>
          <w:rFonts w:hint="eastAsia" w:ascii="宋体" w:hAnsi="宋体" w:eastAsia="宋体" w:cs="宋体"/>
          <w:kern w:val="0"/>
          <w:szCs w:val="21"/>
          <w:highlight w:val="none"/>
          <w:lang w:val="en-US" w:eastAsia="zh-CN"/>
        </w:rPr>
        <w:t>7</w:t>
      </w:r>
      <w:r>
        <w:rPr>
          <w:rFonts w:hint="eastAsia" w:ascii="宋体" w:hAnsi="宋体" w:eastAsia="宋体" w:cs="宋体"/>
          <w:kern w:val="0"/>
          <w:szCs w:val="21"/>
          <w:highlight w:val="none"/>
        </w:rPr>
        <w:t>月</w:t>
      </w:r>
      <w:r>
        <w:rPr>
          <w:rFonts w:hint="eastAsia" w:ascii="宋体" w:hAnsi="宋体" w:eastAsia="宋体" w:cs="宋体"/>
          <w:kern w:val="0"/>
          <w:szCs w:val="21"/>
          <w:highlight w:val="none"/>
          <w:lang w:val="en-US" w:eastAsia="zh-CN"/>
        </w:rPr>
        <w:t>02</w:t>
      </w:r>
      <w:r>
        <w:rPr>
          <w:rFonts w:hint="eastAsia" w:ascii="宋体" w:hAnsi="宋体" w:eastAsia="宋体" w:cs="宋体"/>
          <w:kern w:val="0"/>
          <w:szCs w:val="21"/>
          <w:highlight w:val="none"/>
        </w:rPr>
        <w:t>日23时59分（北京时间，五个工作日）。</w:t>
      </w:r>
    </w:p>
    <w:p w14:paraId="4043BFB4">
      <w:pPr>
        <w:widowControl/>
        <w:spacing w:line="440" w:lineRule="exact"/>
        <w:ind w:firstLine="424" w:firstLineChars="202"/>
        <w:rPr>
          <w:rFonts w:ascii="宋体" w:hAnsi="宋体" w:eastAsia="宋体" w:cs="宋体"/>
          <w:kern w:val="0"/>
          <w:szCs w:val="21"/>
          <w:highlight w:val="none"/>
        </w:rPr>
      </w:pPr>
      <w:r>
        <w:rPr>
          <w:rFonts w:hint="eastAsia" w:ascii="宋体" w:hAnsi="宋体" w:eastAsia="宋体" w:cs="宋体"/>
          <w:kern w:val="0"/>
          <w:szCs w:val="21"/>
          <w:highlight w:val="none"/>
        </w:rPr>
        <w:t>2.地点：云南省政府采购电子交易平台（www.zcygov.cn）。</w:t>
      </w:r>
    </w:p>
    <w:p w14:paraId="27C2C389">
      <w:pPr>
        <w:widowControl/>
        <w:spacing w:line="420" w:lineRule="exact"/>
        <w:ind w:firstLine="420" w:firstLineChars="200"/>
        <w:rPr>
          <w:rFonts w:ascii="宋体" w:hAnsi="宋体" w:eastAsia="宋体" w:cs="宋体"/>
          <w:kern w:val="0"/>
          <w:szCs w:val="21"/>
          <w:highlight w:val="none"/>
        </w:rPr>
      </w:pPr>
      <w:r>
        <w:rPr>
          <w:rFonts w:hint="eastAsia" w:ascii="宋体" w:hAnsi="宋体" w:eastAsia="宋体" w:cs="宋体"/>
          <w:kern w:val="0"/>
          <w:szCs w:val="21"/>
          <w:highlight w:val="none"/>
        </w:rPr>
        <w:t>3.方式：磋商申请人请于本公告规定竞争性磋商文件获取时间内登录云南省政府采购电子交易平台，采用单位数字证书（CA）登录政采云平台并进行账号与数字证书（CA）绑定后，凭数字证书（CA）进行确认参与本项目并免费获取采购文件及其他相关资料（如有）。</w:t>
      </w:r>
    </w:p>
    <w:p w14:paraId="6E6B018F">
      <w:pPr>
        <w:spacing w:line="420" w:lineRule="exact"/>
        <w:ind w:firstLine="420" w:firstLineChars="200"/>
        <w:rPr>
          <w:rFonts w:ascii="宋体" w:hAnsi="宋体" w:eastAsia="宋体" w:cs="宋体"/>
          <w:kern w:val="0"/>
          <w:szCs w:val="21"/>
          <w:highlight w:val="none"/>
        </w:rPr>
      </w:pPr>
      <w:r>
        <w:rPr>
          <w:rFonts w:hint="eastAsia" w:ascii="宋体" w:hAnsi="宋体" w:eastAsia="宋体" w:cs="宋体"/>
          <w:kern w:val="0"/>
          <w:szCs w:val="21"/>
          <w:highlight w:val="none"/>
        </w:rPr>
        <w:t>注：本项目采购任务在云南省政府采购电子交易平台组织开展电子化政府采购活动，磋商申请人参与本项目需要使用CA，云南支持云南壹证通CA、云南CA等，申请相关说明如下：</w:t>
      </w:r>
    </w:p>
    <w:p w14:paraId="40B01FE9">
      <w:pPr>
        <w:spacing w:line="420" w:lineRule="exact"/>
        <w:ind w:firstLine="420" w:firstLineChars="200"/>
        <w:rPr>
          <w:rFonts w:ascii="宋体" w:hAnsi="宋体" w:eastAsia="宋体" w:cs="宋体"/>
          <w:kern w:val="0"/>
          <w:szCs w:val="21"/>
          <w:highlight w:val="none"/>
        </w:rPr>
      </w:pPr>
      <w:r>
        <w:rPr>
          <w:rFonts w:hint="eastAsia" w:ascii="宋体" w:hAnsi="宋体" w:eastAsia="宋体" w:cs="宋体"/>
          <w:kern w:val="0"/>
          <w:szCs w:val="21"/>
          <w:highlight w:val="none"/>
        </w:rPr>
        <w:t>（1）云南壹证通CA申领链接：http://yzt.ynsmartcert.cn/cms/yztyzt0011.html。云南壹证通7*24小时客户服务热线400-004-0628（紧急办理可拨：19987563037）。</w:t>
      </w:r>
    </w:p>
    <w:p w14:paraId="3BB0DB9B">
      <w:pPr>
        <w:spacing w:line="420" w:lineRule="exact"/>
        <w:ind w:firstLine="420" w:firstLineChars="200"/>
        <w:rPr>
          <w:rFonts w:ascii="宋体" w:hAnsi="宋体" w:eastAsia="宋体" w:cs="宋体"/>
          <w:kern w:val="0"/>
          <w:szCs w:val="21"/>
          <w:highlight w:val="none"/>
        </w:rPr>
      </w:pPr>
      <w:r>
        <w:rPr>
          <w:rFonts w:hint="eastAsia" w:ascii="宋体" w:hAnsi="宋体" w:eastAsia="宋体" w:cs="宋体"/>
          <w:kern w:val="0"/>
          <w:szCs w:val="21"/>
          <w:highlight w:val="none"/>
        </w:rPr>
        <w:t xml:space="preserve">（2）云南CA申领链接：https://cap.yunnanca.net/login，请磋商申请人自行注册办理，云南CA客服热线400-6727-666。 </w:t>
      </w:r>
    </w:p>
    <w:p w14:paraId="57EF5FC4">
      <w:pPr>
        <w:spacing w:line="420" w:lineRule="exact"/>
        <w:ind w:firstLine="420" w:firstLineChars="200"/>
        <w:rPr>
          <w:rFonts w:ascii="宋体" w:hAnsi="宋体" w:eastAsia="宋体" w:cs="宋体"/>
          <w:kern w:val="0"/>
          <w:szCs w:val="21"/>
          <w:highlight w:val="none"/>
        </w:rPr>
      </w:pPr>
      <w:r>
        <w:rPr>
          <w:rFonts w:hint="eastAsia" w:ascii="宋体" w:hAnsi="宋体" w:eastAsia="宋体" w:cs="宋体"/>
          <w:kern w:val="0"/>
          <w:szCs w:val="21"/>
          <w:highlight w:val="none"/>
        </w:rPr>
        <w:t>（3）如果磋商申请人已办理以上任一CA机构的数字证书（CA）且证书处于有效期内，均可直接在云南省政府采购电子交易平台绑定即可，无需重复办理。云南省外供应商在云南省政府采购电子交易平台办理的其他CA（汇信CA、福建CA等）可直接使用，无需重办。</w:t>
      </w:r>
    </w:p>
    <w:p w14:paraId="350ACA30">
      <w:pPr>
        <w:widowControl/>
        <w:spacing w:line="440" w:lineRule="exact"/>
        <w:ind w:firstLine="424" w:firstLineChars="202"/>
        <w:rPr>
          <w:rFonts w:ascii="宋体" w:hAnsi="宋体" w:eastAsia="宋体" w:cs="宋体"/>
          <w:kern w:val="0"/>
          <w:szCs w:val="21"/>
          <w:highlight w:val="none"/>
        </w:rPr>
      </w:pPr>
      <w:r>
        <w:rPr>
          <w:rFonts w:hint="eastAsia" w:ascii="宋体" w:hAnsi="宋体" w:eastAsia="宋体" w:cs="宋体"/>
          <w:kern w:val="0"/>
          <w:szCs w:val="21"/>
          <w:highlight w:val="none"/>
        </w:rPr>
        <w:t>4.售价：¥0.00元。</w:t>
      </w:r>
    </w:p>
    <w:p w14:paraId="0047967E">
      <w:pPr>
        <w:widowControl/>
        <w:spacing w:line="440" w:lineRule="exact"/>
        <w:ind w:firstLine="426" w:firstLineChars="202"/>
        <w:rPr>
          <w:rFonts w:ascii="宋体" w:hAnsi="宋体" w:eastAsia="宋体" w:cs="宋体"/>
          <w:b/>
          <w:kern w:val="0"/>
          <w:szCs w:val="21"/>
          <w:highlight w:val="none"/>
        </w:rPr>
      </w:pPr>
      <w:bookmarkStart w:id="1" w:name="_Toc39092129"/>
      <w:bookmarkStart w:id="2" w:name="_Toc7252730"/>
      <w:r>
        <w:rPr>
          <w:rFonts w:hint="eastAsia" w:ascii="宋体" w:hAnsi="宋体" w:eastAsia="宋体" w:cs="宋体"/>
          <w:b/>
          <w:kern w:val="0"/>
          <w:szCs w:val="21"/>
          <w:highlight w:val="none"/>
        </w:rPr>
        <w:t>四、响应文件提交：</w:t>
      </w:r>
    </w:p>
    <w:p w14:paraId="0F3E2593">
      <w:pPr>
        <w:widowControl/>
        <w:spacing w:line="440" w:lineRule="exact"/>
        <w:ind w:firstLine="424" w:firstLineChars="202"/>
        <w:rPr>
          <w:rFonts w:ascii="宋体" w:hAnsi="宋体" w:eastAsia="宋体" w:cs="宋体"/>
          <w:kern w:val="0"/>
          <w:szCs w:val="21"/>
          <w:highlight w:val="none"/>
        </w:rPr>
      </w:pPr>
      <w:r>
        <w:rPr>
          <w:rFonts w:hint="eastAsia" w:ascii="宋体" w:hAnsi="宋体" w:eastAsia="宋体" w:cs="宋体"/>
          <w:kern w:val="0"/>
          <w:szCs w:val="21"/>
          <w:highlight w:val="none"/>
        </w:rPr>
        <w:t>1.截止时间：</w:t>
      </w:r>
      <w:r>
        <w:rPr>
          <w:rFonts w:hint="eastAsia" w:ascii="宋体" w:hAnsi="宋体" w:eastAsia="宋体" w:cs="宋体"/>
          <w:szCs w:val="21"/>
          <w:highlight w:val="none"/>
          <w:u w:val="single"/>
          <w:lang w:eastAsia="zh-CN"/>
        </w:rPr>
        <w:t>2026年07月09日15时00分</w:t>
      </w:r>
      <w:r>
        <w:rPr>
          <w:rFonts w:hint="eastAsia" w:ascii="宋体" w:hAnsi="宋体" w:eastAsia="宋体" w:cs="宋体"/>
          <w:kern w:val="0"/>
          <w:szCs w:val="21"/>
          <w:highlight w:val="none"/>
        </w:rPr>
        <w:t>（北京时间）。</w:t>
      </w:r>
    </w:p>
    <w:p w14:paraId="6B48F66B">
      <w:pPr>
        <w:widowControl/>
        <w:spacing w:line="440" w:lineRule="exact"/>
        <w:ind w:firstLine="424" w:firstLineChars="202"/>
        <w:rPr>
          <w:rFonts w:ascii="宋体" w:hAnsi="宋体" w:eastAsia="宋体" w:cs="宋体"/>
          <w:kern w:val="0"/>
          <w:szCs w:val="21"/>
          <w:highlight w:val="none"/>
        </w:rPr>
      </w:pPr>
      <w:r>
        <w:rPr>
          <w:rFonts w:hint="eastAsia" w:ascii="宋体" w:hAnsi="宋体" w:eastAsia="宋体" w:cs="宋体"/>
          <w:kern w:val="0"/>
          <w:szCs w:val="21"/>
          <w:highlight w:val="none"/>
        </w:rPr>
        <w:t>2.地点：</w:t>
      </w:r>
      <w:r>
        <w:rPr>
          <w:rFonts w:hint="eastAsia" w:ascii="宋体" w:hAnsi="宋体" w:eastAsia="宋体" w:cs="宋体"/>
          <w:szCs w:val="21"/>
          <w:highlight w:val="none"/>
        </w:rPr>
        <w:t>保山市天瑞建设工程招标咨询有限公司一楼会议室（保山市隆阳区象山路5号），本项目采用云南省政府采购电子交易平台进行远程开标评标工作，磋商申请人无需到达开标现场，请各磋商申请人登录云南省政府采购电子交易平台参与采购活动并递交磋商响应文件。</w:t>
      </w:r>
    </w:p>
    <w:p w14:paraId="5601039B">
      <w:pPr>
        <w:widowControl/>
        <w:spacing w:line="440" w:lineRule="exact"/>
        <w:ind w:firstLine="426" w:firstLineChars="202"/>
        <w:rPr>
          <w:rFonts w:ascii="宋体" w:hAnsi="宋体" w:eastAsia="宋体" w:cs="宋体"/>
          <w:b/>
          <w:kern w:val="0"/>
          <w:szCs w:val="21"/>
          <w:highlight w:val="none"/>
        </w:rPr>
      </w:pPr>
      <w:r>
        <w:rPr>
          <w:rFonts w:hint="eastAsia" w:ascii="宋体" w:hAnsi="宋体" w:eastAsia="宋体" w:cs="宋体"/>
          <w:b/>
          <w:kern w:val="0"/>
          <w:szCs w:val="21"/>
          <w:highlight w:val="none"/>
        </w:rPr>
        <w:t>五、响应文件开启：</w:t>
      </w:r>
    </w:p>
    <w:p w14:paraId="1DA14329">
      <w:pPr>
        <w:widowControl/>
        <w:spacing w:line="440" w:lineRule="exact"/>
        <w:ind w:firstLine="424" w:firstLineChars="202"/>
        <w:rPr>
          <w:rFonts w:ascii="宋体" w:hAnsi="宋体" w:eastAsia="宋体" w:cs="宋体"/>
          <w:kern w:val="0"/>
          <w:szCs w:val="21"/>
          <w:highlight w:val="none"/>
        </w:rPr>
      </w:pPr>
      <w:r>
        <w:rPr>
          <w:rFonts w:hint="eastAsia" w:ascii="宋体" w:hAnsi="宋体" w:eastAsia="宋体" w:cs="宋体"/>
          <w:kern w:val="0"/>
          <w:szCs w:val="21"/>
          <w:highlight w:val="none"/>
        </w:rPr>
        <w:t>1.时间：</w:t>
      </w:r>
      <w:r>
        <w:rPr>
          <w:rFonts w:hint="eastAsia" w:ascii="宋体" w:hAnsi="宋体" w:eastAsia="宋体" w:cs="宋体"/>
          <w:szCs w:val="21"/>
          <w:highlight w:val="none"/>
          <w:u w:val="single"/>
          <w:lang w:eastAsia="zh-CN"/>
        </w:rPr>
        <w:t>2026年07月09日15时00分</w:t>
      </w:r>
      <w:r>
        <w:rPr>
          <w:rFonts w:hint="eastAsia" w:ascii="宋体" w:hAnsi="宋体" w:eastAsia="宋体" w:cs="宋体"/>
          <w:kern w:val="0"/>
          <w:szCs w:val="21"/>
          <w:highlight w:val="none"/>
        </w:rPr>
        <w:t>（北京时间）。</w:t>
      </w:r>
    </w:p>
    <w:p w14:paraId="5078D867">
      <w:pPr>
        <w:widowControl/>
        <w:spacing w:line="440" w:lineRule="exact"/>
        <w:ind w:firstLine="424" w:firstLineChars="202"/>
        <w:rPr>
          <w:rFonts w:ascii="宋体" w:hAnsi="宋体" w:eastAsia="宋体" w:cs="宋体"/>
          <w:kern w:val="0"/>
          <w:szCs w:val="21"/>
          <w:highlight w:val="none"/>
        </w:rPr>
      </w:pPr>
      <w:r>
        <w:rPr>
          <w:rFonts w:hint="eastAsia" w:ascii="宋体" w:hAnsi="宋体" w:eastAsia="宋体" w:cs="宋体"/>
          <w:kern w:val="0"/>
          <w:szCs w:val="21"/>
          <w:highlight w:val="none"/>
        </w:rPr>
        <w:t>2.地点：</w:t>
      </w:r>
      <w:r>
        <w:rPr>
          <w:rFonts w:hint="eastAsia" w:ascii="宋体" w:hAnsi="宋体" w:eastAsia="宋体" w:cs="宋体"/>
          <w:bCs/>
          <w:szCs w:val="21"/>
          <w:highlight w:val="none"/>
        </w:rPr>
        <w:t>保山市天瑞建设工程招标咨询有限公司一楼会议室</w:t>
      </w:r>
      <w:r>
        <w:rPr>
          <w:rFonts w:hint="eastAsia" w:ascii="宋体" w:hAnsi="宋体" w:eastAsia="宋体" w:cs="宋体"/>
          <w:bCs/>
          <w:kern w:val="0"/>
          <w:szCs w:val="21"/>
          <w:highlight w:val="none"/>
        </w:rPr>
        <w:t>（保山市隆阳区象山路5号）</w:t>
      </w:r>
      <w:r>
        <w:rPr>
          <w:rFonts w:hint="eastAsia" w:ascii="宋体" w:hAnsi="宋体" w:eastAsia="宋体" w:cs="宋体"/>
          <w:kern w:val="0"/>
          <w:szCs w:val="21"/>
          <w:highlight w:val="none"/>
        </w:rPr>
        <w:t>。</w:t>
      </w:r>
    </w:p>
    <w:p w14:paraId="4B5C218B">
      <w:pPr>
        <w:widowControl/>
        <w:spacing w:line="440" w:lineRule="exact"/>
        <w:ind w:firstLine="426" w:firstLineChars="202"/>
        <w:rPr>
          <w:rFonts w:ascii="宋体" w:hAnsi="宋体" w:eastAsia="宋体" w:cs="宋体"/>
          <w:b/>
          <w:kern w:val="0"/>
          <w:szCs w:val="21"/>
          <w:highlight w:val="none"/>
        </w:rPr>
      </w:pPr>
      <w:r>
        <w:rPr>
          <w:rFonts w:hint="eastAsia" w:ascii="宋体" w:hAnsi="宋体" w:eastAsia="宋体" w:cs="宋体"/>
          <w:b/>
          <w:kern w:val="0"/>
          <w:szCs w:val="21"/>
          <w:highlight w:val="none"/>
        </w:rPr>
        <w:t>六、公告期限：</w:t>
      </w:r>
    </w:p>
    <w:p w14:paraId="50DA6F39">
      <w:pPr>
        <w:widowControl/>
        <w:spacing w:line="440" w:lineRule="exact"/>
        <w:ind w:firstLine="424" w:firstLineChars="202"/>
        <w:rPr>
          <w:rFonts w:ascii="宋体" w:hAnsi="宋体" w:eastAsia="宋体" w:cs="宋体"/>
          <w:kern w:val="0"/>
          <w:szCs w:val="21"/>
          <w:highlight w:val="none"/>
        </w:rPr>
      </w:pPr>
      <w:r>
        <w:rPr>
          <w:rFonts w:hint="eastAsia" w:ascii="宋体" w:hAnsi="宋体" w:eastAsia="宋体" w:cs="宋体"/>
          <w:kern w:val="0"/>
          <w:szCs w:val="21"/>
          <w:highlight w:val="none"/>
        </w:rPr>
        <w:t>自本公告发布之日起3个工作日。</w:t>
      </w:r>
    </w:p>
    <w:p w14:paraId="6FB8953D">
      <w:pPr>
        <w:widowControl/>
        <w:spacing w:line="440" w:lineRule="exact"/>
        <w:ind w:firstLine="426" w:firstLineChars="202"/>
        <w:rPr>
          <w:rFonts w:ascii="宋体" w:hAnsi="宋体" w:eastAsia="宋体" w:cs="宋体"/>
          <w:b/>
          <w:kern w:val="0"/>
          <w:szCs w:val="21"/>
          <w:highlight w:val="none"/>
        </w:rPr>
      </w:pPr>
      <w:r>
        <w:rPr>
          <w:rFonts w:hint="eastAsia" w:ascii="宋体" w:hAnsi="宋体" w:eastAsia="宋体" w:cs="宋体"/>
          <w:b/>
          <w:kern w:val="0"/>
          <w:szCs w:val="21"/>
          <w:highlight w:val="none"/>
        </w:rPr>
        <w:t>七、其他补充事宜：</w:t>
      </w:r>
    </w:p>
    <w:p w14:paraId="7A19B2E0">
      <w:pPr>
        <w:widowControl/>
        <w:spacing w:line="440" w:lineRule="exact"/>
        <w:ind w:firstLine="424" w:firstLineChars="202"/>
        <w:rPr>
          <w:rFonts w:ascii="宋体" w:hAnsi="宋体" w:eastAsia="宋体" w:cs="宋体"/>
          <w:kern w:val="0"/>
          <w:szCs w:val="21"/>
          <w:highlight w:val="none"/>
        </w:rPr>
      </w:pPr>
      <w:r>
        <w:rPr>
          <w:rFonts w:hint="eastAsia" w:ascii="宋体" w:hAnsi="宋体" w:eastAsia="宋体" w:cs="宋体"/>
          <w:kern w:val="0"/>
          <w:szCs w:val="21"/>
          <w:highlight w:val="none"/>
        </w:rPr>
        <w:t>1.本项目磋商保证金金额：¥12000.00元。</w:t>
      </w:r>
    </w:p>
    <w:p w14:paraId="06A10B3C">
      <w:pPr>
        <w:spacing w:line="440" w:lineRule="exact"/>
        <w:ind w:firstLine="420" w:firstLineChars="200"/>
        <w:rPr>
          <w:rFonts w:ascii="宋体" w:hAnsi="宋体" w:eastAsia="宋体" w:cs="宋体"/>
          <w:bCs/>
          <w:szCs w:val="21"/>
          <w:highlight w:val="none"/>
        </w:rPr>
      </w:pPr>
      <w:r>
        <w:rPr>
          <w:rFonts w:hint="eastAsia" w:ascii="宋体" w:hAnsi="宋体" w:eastAsia="宋体" w:cs="宋体"/>
          <w:bCs/>
          <w:szCs w:val="21"/>
          <w:highlight w:val="none"/>
        </w:rPr>
        <w:t>2.本项目磋商保证金形式为转账或银行保函或保证保险或其他非现金方式（不接受现场缴纳现金）。</w:t>
      </w:r>
    </w:p>
    <w:p w14:paraId="0452770F">
      <w:pPr>
        <w:spacing w:line="440" w:lineRule="exact"/>
        <w:ind w:firstLine="420" w:firstLineChars="200"/>
        <w:rPr>
          <w:rFonts w:ascii="宋体" w:hAnsi="宋体" w:eastAsia="宋体" w:cs="宋体"/>
          <w:bCs/>
          <w:szCs w:val="21"/>
          <w:highlight w:val="none"/>
        </w:rPr>
      </w:pPr>
      <w:r>
        <w:rPr>
          <w:rFonts w:hint="eastAsia" w:ascii="宋体" w:hAnsi="宋体" w:eastAsia="宋体" w:cs="宋体"/>
          <w:bCs/>
          <w:szCs w:val="21"/>
          <w:highlight w:val="none"/>
        </w:rPr>
        <w:t>2.1采用转账的方式提交磋商保证金的，磋商保证金缴纳账户如下：</w:t>
      </w:r>
    </w:p>
    <w:tbl>
      <w:tblPr>
        <w:tblStyle w:val="27"/>
        <w:tblW w:w="9455" w:type="dxa"/>
        <w:tblInd w:w="0" w:type="dxa"/>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0" w:type="dxa"/>
          <w:left w:w="0" w:type="dxa"/>
          <w:bottom w:w="0" w:type="dxa"/>
          <w:right w:w="0" w:type="dxa"/>
        </w:tblCellMar>
      </w:tblPr>
      <w:tblGrid>
        <w:gridCol w:w="9455"/>
      </w:tblGrid>
      <w:tr w14:paraId="0F287318">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45" w:hRule="atLeast"/>
        </w:trPr>
        <w:tc>
          <w:tcPr>
            <w:tcW w:w="9455" w:type="dxa"/>
            <w:tcBorders>
              <w:top w:val="outset" w:color="auto" w:sz="6" w:space="0"/>
              <w:left w:val="outset" w:color="auto" w:sz="6" w:space="0"/>
              <w:bottom w:val="outset" w:color="auto" w:sz="6" w:space="0"/>
              <w:right w:val="outset" w:color="auto" w:sz="6" w:space="0"/>
            </w:tcBorders>
            <w:vAlign w:val="center"/>
          </w:tcPr>
          <w:p w14:paraId="2A932DEE">
            <w:pPr>
              <w:widowControl/>
              <w:spacing w:line="380" w:lineRule="exact"/>
              <w:ind w:firstLine="422" w:firstLineChars="200"/>
              <w:jc w:val="center"/>
              <w:rPr>
                <w:rFonts w:ascii="宋体" w:hAnsi="宋体" w:eastAsia="宋体" w:cs="宋体"/>
                <w:kern w:val="0"/>
                <w:szCs w:val="21"/>
                <w:highlight w:val="none"/>
              </w:rPr>
            </w:pPr>
            <w:r>
              <w:rPr>
                <w:rFonts w:hint="eastAsia" w:ascii="宋体" w:hAnsi="宋体" w:eastAsia="宋体" w:cs="宋体"/>
                <w:b/>
                <w:bCs/>
                <w:kern w:val="0"/>
                <w:szCs w:val="21"/>
                <w:highlight w:val="none"/>
              </w:rPr>
              <w:t>磋商保证金汇款账户</w:t>
            </w:r>
          </w:p>
        </w:tc>
      </w:tr>
      <w:tr w14:paraId="21DA2606">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141" w:hRule="atLeast"/>
        </w:trPr>
        <w:tc>
          <w:tcPr>
            <w:tcW w:w="9455" w:type="dxa"/>
            <w:tcBorders>
              <w:top w:val="outset" w:color="auto" w:sz="6" w:space="0"/>
              <w:left w:val="outset" w:color="auto" w:sz="6" w:space="0"/>
              <w:bottom w:val="outset" w:color="auto" w:sz="6" w:space="0"/>
              <w:right w:val="outset" w:color="auto" w:sz="6" w:space="0"/>
            </w:tcBorders>
            <w:vAlign w:val="center"/>
          </w:tcPr>
          <w:p w14:paraId="7FD4E92B">
            <w:pPr>
              <w:widowControl/>
              <w:spacing w:line="380" w:lineRule="exact"/>
              <w:ind w:firstLine="420" w:firstLineChars="200"/>
              <w:jc w:val="left"/>
              <w:rPr>
                <w:rFonts w:ascii="宋体" w:hAnsi="宋体" w:eastAsia="宋体" w:cs="宋体"/>
                <w:kern w:val="0"/>
                <w:szCs w:val="21"/>
                <w:highlight w:val="none"/>
              </w:rPr>
            </w:pPr>
            <w:r>
              <w:rPr>
                <w:rFonts w:hint="eastAsia" w:ascii="宋体" w:hAnsi="宋体" w:eastAsia="宋体" w:cs="宋体"/>
                <w:kern w:val="0"/>
                <w:szCs w:val="21"/>
                <w:highlight w:val="none"/>
              </w:rPr>
              <w:t>开户名称：保山市天瑞建设工程招标咨询有限公司</w:t>
            </w:r>
          </w:p>
        </w:tc>
      </w:tr>
      <w:tr w14:paraId="258AA7AA">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74" w:hRule="atLeast"/>
        </w:trPr>
        <w:tc>
          <w:tcPr>
            <w:tcW w:w="9455" w:type="dxa"/>
            <w:tcBorders>
              <w:top w:val="outset" w:color="auto" w:sz="6" w:space="0"/>
              <w:left w:val="outset" w:color="auto" w:sz="6" w:space="0"/>
              <w:bottom w:val="outset" w:color="auto" w:sz="6" w:space="0"/>
              <w:right w:val="outset" w:color="auto" w:sz="6" w:space="0"/>
            </w:tcBorders>
            <w:vAlign w:val="center"/>
          </w:tcPr>
          <w:p w14:paraId="7D70155D">
            <w:pPr>
              <w:widowControl/>
              <w:spacing w:line="380" w:lineRule="exact"/>
              <w:ind w:firstLine="420" w:firstLineChars="200"/>
              <w:jc w:val="left"/>
              <w:rPr>
                <w:rFonts w:ascii="宋体" w:hAnsi="宋体" w:eastAsia="宋体" w:cs="宋体"/>
                <w:kern w:val="0"/>
                <w:szCs w:val="21"/>
                <w:highlight w:val="none"/>
              </w:rPr>
            </w:pPr>
            <w:r>
              <w:rPr>
                <w:rFonts w:hint="eastAsia" w:ascii="宋体" w:hAnsi="宋体" w:eastAsia="宋体" w:cs="宋体"/>
                <w:kern w:val="0"/>
                <w:szCs w:val="21"/>
                <w:highlight w:val="none"/>
              </w:rPr>
              <w:t>开户银行：中国建设银行股份有限公司保山新村支行</w:t>
            </w:r>
          </w:p>
        </w:tc>
      </w:tr>
      <w:tr w14:paraId="13A9A24A">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74" w:hRule="atLeast"/>
        </w:trPr>
        <w:tc>
          <w:tcPr>
            <w:tcW w:w="9455" w:type="dxa"/>
            <w:tcBorders>
              <w:top w:val="outset" w:color="auto" w:sz="6" w:space="0"/>
              <w:left w:val="outset" w:color="auto" w:sz="6" w:space="0"/>
              <w:bottom w:val="outset" w:color="auto" w:sz="6" w:space="0"/>
              <w:right w:val="outset" w:color="auto" w:sz="6" w:space="0"/>
            </w:tcBorders>
            <w:vAlign w:val="center"/>
          </w:tcPr>
          <w:p w14:paraId="645EC926">
            <w:pPr>
              <w:widowControl/>
              <w:spacing w:line="380" w:lineRule="exact"/>
              <w:ind w:firstLine="420" w:firstLineChars="200"/>
              <w:jc w:val="left"/>
              <w:rPr>
                <w:rFonts w:ascii="宋体" w:hAnsi="宋体" w:eastAsia="宋体" w:cs="宋体"/>
                <w:kern w:val="0"/>
                <w:szCs w:val="21"/>
                <w:highlight w:val="none"/>
              </w:rPr>
            </w:pPr>
            <w:r>
              <w:rPr>
                <w:rFonts w:hint="eastAsia" w:ascii="宋体" w:hAnsi="宋体" w:eastAsia="宋体" w:cs="宋体"/>
                <w:kern w:val="0"/>
                <w:szCs w:val="21"/>
                <w:highlight w:val="none"/>
              </w:rPr>
              <w:t>账号：5300 1728 6420 5100 0568</w:t>
            </w:r>
          </w:p>
        </w:tc>
      </w:tr>
      <w:tr w14:paraId="40710DF5">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74" w:hRule="atLeast"/>
        </w:trPr>
        <w:tc>
          <w:tcPr>
            <w:tcW w:w="9455" w:type="dxa"/>
            <w:tcBorders>
              <w:top w:val="outset" w:color="auto" w:sz="6" w:space="0"/>
              <w:left w:val="outset" w:color="auto" w:sz="6" w:space="0"/>
              <w:bottom w:val="outset" w:color="auto" w:sz="6" w:space="0"/>
              <w:right w:val="outset" w:color="auto" w:sz="6" w:space="0"/>
            </w:tcBorders>
            <w:vAlign w:val="center"/>
          </w:tcPr>
          <w:p w14:paraId="2523CD57">
            <w:pPr>
              <w:widowControl/>
              <w:spacing w:line="380" w:lineRule="exact"/>
              <w:ind w:firstLine="420" w:firstLineChars="200"/>
              <w:jc w:val="left"/>
              <w:rPr>
                <w:rFonts w:ascii="宋体" w:hAnsi="宋体" w:eastAsia="宋体" w:cs="宋体"/>
                <w:kern w:val="0"/>
                <w:szCs w:val="21"/>
                <w:highlight w:val="none"/>
              </w:rPr>
            </w:pPr>
            <w:r>
              <w:rPr>
                <w:rFonts w:hint="eastAsia" w:ascii="宋体" w:hAnsi="宋体" w:eastAsia="宋体" w:cs="宋体"/>
                <w:kern w:val="0"/>
                <w:szCs w:val="21"/>
                <w:highlight w:val="none"/>
              </w:rPr>
              <w:t>汇入地址：云南省保山市</w:t>
            </w:r>
          </w:p>
        </w:tc>
      </w:tr>
      <w:tr w14:paraId="3DCC0E23">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74" w:hRule="atLeast"/>
        </w:trPr>
        <w:tc>
          <w:tcPr>
            <w:tcW w:w="9455" w:type="dxa"/>
            <w:tcBorders>
              <w:top w:val="outset" w:color="auto" w:sz="6" w:space="0"/>
              <w:left w:val="outset" w:color="auto" w:sz="6" w:space="0"/>
              <w:bottom w:val="outset" w:color="auto" w:sz="6" w:space="0"/>
              <w:right w:val="outset" w:color="auto" w:sz="6" w:space="0"/>
            </w:tcBorders>
            <w:vAlign w:val="center"/>
          </w:tcPr>
          <w:p w14:paraId="22030F7D">
            <w:pPr>
              <w:widowControl/>
              <w:spacing w:line="380" w:lineRule="exact"/>
              <w:ind w:firstLine="420" w:firstLineChars="200"/>
              <w:jc w:val="left"/>
              <w:rPr>
                <w:rFonts w:ascii="宋体" w:hAnsi="宋体" w:eastAsia="宋体" w:cs="宋体"/>
                <w:kern w:val="0"/>
                <w:szCs w:val="21"/>
                <w:highlight w:val="none"/>
              </w:rPr>
            </w:pPr>
            <w:r>
              <w:rPr>
                <w:rFonts w:hint="eastAsia" w:ascii="宋体" w:hAnsi="宋体" w:eastAsia="宋体" w:cs="宋体"/>
                <w:kern w:val="0"/>
                <w:szCs w:val="21"/>
                <w:highlight w:val="none"/>
              </w:rPr>
              <w:t>汇款缴纳查询电话：0875-2147689</w:t>
            </w:r>
          </w:p>
        </w:tc>
      </w:tr>
      <w:tr w14:paraId="2035408A">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74" w:hRule="atLeast"/>
        </w:trPr>
        <w:tc>
          <w:tcPr>
            <w:tcW w:w="9455" w:type="dxa"/>
            <w:tcBorders>
              <w:top w:val="outset" w:color="auto" w:sz="6" w:space="0"/>
              <w:left w:val="outset" w:color="auto" w:sz="6" w:space="0"/>
              <w:bottom w:val="outset" w:color="auto" w:sz="6" w:space="0"/>
              <w:right w:val="outset" w:color="auto" w:sz="6" w:space="0"/>
            </w:tcBorders>
            <w:vAlign w:val="center"/>
          </w:tcPr>
          <w:p w14:paraId="5B88C48E">
            <w:pPr>
              <w:widowControl/>
              <w:spacing w:line="380" w:lineRule="exact"/>
              <w:ind w:firstLine="420" w:firstLineChars="200"/>
              <w:jc w:val="left"/>
              <w:rPr>
                <w:rFonts w:ascii="宋体" w:hAnsi="宋体" w:eastAsia="宋体" w:cs="宋体"/>
                <w:kern w:val="0"/>
                <w:szCs w:val="21"/>
                <w:highlight w:val="none"/>
              </w:rPr>
            </w:pPr>
            <w:r>
              <w:rPr>
                <w:rFonts w:hint="eastAsia" w:ascii="宋体" w:hAnsi="宋体" w:eastAsia="宋体" w:cs="宋体"/>
                <w:kern w:val="0"/>
                <w:szCs w:val="21"/>
                <w:highlight w:val="none"/>
              </w:rPr>
              <w:t>联系人：寸女士</w:t>
            </w:r>
          </w:p>
        </w:tc>
      </w:tr>
      <w:tr w14:paraId="1967BEFA">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74" w:hRule="atLeast"/>
        </w:trPr>
        <w:tc>
          <w:tcPr>
            <w:tcW w:w="9455" w:type="dxa"/>
            <w:tcBorders>
              <w:top w:val="outset" w:color="auto" w:sz="6" w:space="0"/>
              <w:left w:val="outset" w:color="auto" w:sz="6" w:space="0"/>
              <w:bottom w:val="outset" w:color="auto" w:sz="6" w:space="0"/>
              <w:right w:val="outset" w:color="auto" w:sz="6" w:space="0"/>
            </w:tcBorders>
            <w:vAlign w:val="center"/>
          </w:tcPr>
          <w:p w14:paraId="51467BD8">
            <w:pPr>
              <w:widowControl/>
              <w:spacing w:line="400" w:lineRule="exact"/>
              <w:ind w:firstLine="424" w:firstLineChars="202"/>
              <w:rPr>
                <w:rFonts w:ascii="宋体" w:hAnsi="宋体" w:eastAsia="宋体" w:cs="宋体"/>
                <w:szCs w:val="21"/>
                <w:highlight w:val="none"/>
              </w:rPr>
            </w:pPr>
            <w:r>
              <w:rPr>
                <w:rFonts w:hint="eastAsia" w:ascii="宋体" w:hAnsi="宋体" w:eastAsia="宋体" w:cs="宋体"/>
                <w:kern w:val="0"/>
                <w:szCs w:val="21"/>
                <w:highlight w:val="none"/>
              </w:rPr>
              <w:t>注：</w:t>
            </w:r>
            <w:r>
              <w:rPr>
                <w:rFonts w:hint="eastAsia" w:ascii="宋体" w:hAnsi="宋体" w:eastAsia="宋体" w:cs="宋体"/>
                <w:szCs w:val="21"/>
                <w:highlight w:val="none"/>
              </w:rPr>
              <w:t>1.磋商保证金的缴纳：磋商申请人缴纳保证金须从单位基本户或对公账户（自然人请使用自身合法有效账户）转出，并注明项目名称或项目编号。</w:t>
            </w:r>
          </w:p>
          <w:p w14:paraId="761FCB64">
            <w:pPr>
              <w:widowControl/>
              <w:spacing w:line="380" w:lineRule="exact"/>
              <w:ind w:firstLine="420" w:firstLineChars="200"/>
              <w:jc w:val="left"/>
              <w:rPr>
                <w:rFonts w:ascii="宋体" w:hAnsi="宋体" w:eastAsia="宋体" w:cs="宋体"/>
                <w:kern w:val="0"/>
                <w:szCs w:val="21"/>
                <w:highlight w:val="none"/>
              </w:rPr>
            </w:pPr>
            <w:r>
              <w:rPr>
                <w:rFonts w:hint="eastAsia" w:ascii="宋体" w:hAnsi="宋体" w:eastAsia="宋体" w:cs="宋体"/>
                <w:szCs w:val="21"/>
                <w:highlight w:val="none"/>
              </w:rPr>
              <w:t>2.保证金的退还：在成交公告发布后，采购代理机构将在5个工作日内退还未成交磋商申请人缴纳的磋商保证金；成交人与采购人签署后应当及时告知采购代理机构，采购代理机构自政府采购合同签订之日起5个工作日内退还成交人缴纳的投标保证金，并请成交人将政府采购合同复印件送至采购代理机构或将采购合同扫描件发送至采购代理机构电子邮箱（bstrzb@126.com）。</w:t>
            </w:r>
          </w:p>
        </w:tc>
      </w:tr>
    </w:tbl>
    <w:p w14:paraId="040986BC">
      <w:pPr>
        <w:widowControl/>
        <w:spacing w:line="440" w:lineRule="exact"/>
        <w:ind w:firstLine="424" w:firstLineChars="202"/>
        <w:rPr>
          <w:rFonts w:ascii="宋体" w:hAnsi="宋体" w:eastAsia="宋体" w:cs="宋体"/>
          <w:kern w:val="0"/>
          <w:szCs w:val="21"/>
          <w:highlight w:val="none"/>
        </w:rPr>
      </w:pPr>
      <w:r>
        <w:rPr>
          <w:rFonts w:hint="eastAsia" w:ascii="宋体" w:hAnsi="宋体" w:eastAsia="宋体" w:cs="宋体"/>
          <w:kern w:val="0"/>
          <w:szCs w:val="21"/>
          <w:highlight w:val="none"/>
        </w:rPr>
        <w:t>2.2采用</w:t>
      </w:r>
      <w:r>
        <w:rPr>
          <w:rFonts w:hint="eastAsia" w:ascii="宋体" w:hAnsi="宋体" w:eastAsia="宋体" w:cs="宋体"/>
          <w:bCs/>
          <w:szCs w:val="21"/>
          <w:highlight w:val="none"/>
        </w:rPr>
        <w:t>银行保函或保证保险或其他非现金方式提供磋商保证金按照国家现行规定实施，其中银行保函或保证保险可实行线下购买银行保函或保证保险，也可以在</w:t>
      </w:r>
      <w:r>
        <w:rPr>
          <w:rFonts w:hint="eastAsia" w:ascii="宋体" w:hAnsi="宋体" w:eastAsia="宋体" w:cs="宋体"/>
          <w:kern w:val="0"/>
          <w:szCs w:val="21"/>
          <w:highlight w:val="none"/>
        </w:rPr>
        <w:t>云南省政府采购电子交易平台中“金融服务”的模块进行操作</w:t>
      </w:r>
      <w:r>
        <w:rPr>
          <w:rFonts w:hint="eastAsia" w:ascii="宋体" w:hAnsi="宋体" w:eastAsia="宋体" w:cs="宋体"/>
          <w:bCs/>
          <w:szCs w:val="21"/>
          <w:highlight w:val="none"/>
        </w:rPr>
        <w:t>。</w:t>
      </w:r>
    </w:p>
    <w:p w14:paraId="73458129">
      <w:pPr>
        <w:widowControl/>
        <w:spacing w:line="440" w:lineRule="exact"/>
        <w:ind w:firstLine="424" w:firstLineChars="202"/>
        <w:rPr>
          <w:rFonts w:ascii="宋体" w:hAnsi="宋体" w:eastAsia="宋体" w:cs="宋体"/>
          <w:kern w:val="0"/>
          <w:szCs w:val="21"/>
          <w:highlight w:val="none"/>
        </w:rPr>
      </w:pPr>
      <w:r>
        <w:rPr>
          <w:rFonts w:hint="eastAsia" w:ascii="宋体" w:hAnsi="宋体" w:eastAsia="宋体" w:cs="宋体"/>
          <w:kern w:val="0"/>
          <w:szCs w:val="21"/>
          <w:highlight w:val="none"/>
        </w:rPr>
        <w:t>3.公告发布媒体</w:t>
      </w:r>
    </w:p>
    <w:p w14:paraId="4BF63ED6">
      <w:pPr>
        <w:widowControl/>
        <w:spacing w:line="440" w:lineRule="exact"/>
        <w:ind w:firstLine="424" w:firstLineChars="202"/>
        <w:rPr>
          <w:rFonts w:ascii="宋体" w:hAnsi="宋体" w:eastAsia="宋体" w:cs="宋体"/>
          <w:kern w:val="0"/>
          <w:szCs w:val="21"/>
          <w:highlight w:val="none"/>
        </w:rPr>
      </w:pPr>
      <w:r>
        <w:rPr>
          <w:rFonts w:hint="eastAsia" w:ascii="宋体" w:hAnsi="宋体" w:eastAsia="宋体" w:cs="宋体"/>
          <w:kern w:val="0"/>
          <w:szCs w:val="21"/>
          <w:highlight w:val="none"/>
        </w:rPr>
        <w:t>3.1本项目竞争性磋商公告发布媒体：云南省政府采购网。</w:t>
      </w:r>
    </w:p>
    <w:p w14:paraId="6F610C8B">
      <w:pPr>
        <w:widowControl/>
        <w:spacing w:line="440" w:lineRule="exact"/>
        <w:ind w:firstLine="424" w:firstLineChars="202"/>
        <w:rPr>
          <w:rFonts w:ascii="宋体" w:hAnsi="宋体" w:eastAsia="宋体" w:cs="宋体"/>
          <w:kern w:val="0"/>
          <w:szCs w:val="21"/>
          <w:highlight w:val="none"/>
        </w:rPr>
      </w:pPr>
      <w:r>
        <w:rPr>
          <w:rFonts w:hint="eastAsia" w:ascii="宋体" w:hAnsi="宋体" w:eastAsia="宋体" w:cs="宋体"/>
          <w:kern w:val="0"/>
          <w:szCs w:val="21"/>
          <w:highlight w:val="none"/>
        </w:rPr>
        <w:t>3.2磋商申请人在参加磋商申请之前务必认真阅读竞争性磋商公告全部内容；竞争性磋商公告或竞争性磋商文件如有变更，将在以上网站或以书面形式发布。</w:t>
      </w:r>
    </w:p>
    <w:p w14:paraId="595B666A">
      <w:pPr>
        <w:widowControl/>
        <w:spacing w:line="420" w:lineRule="exact"/>
        <w:ind w:firstLine="424" w:firstLineChars="202"/>
        <w:jc w:val="left"/>
        <w:rPr>
          <w:rFonts w:ascii="宋体" w:hAnsi="宋体" w:eastAsia="宋体" w:cs="宋体"/>
          <w:kern w:val="0"/>
          <w:szCs w:val="21"/>
          <w:highlight w:val="none"/>
        </w:rPr>
      </w:pPr>
      <w:r>
        <w:rPr>
          <w:rFonts w:hint="eastAsia" w:ascii="宋体" w:hAnsi="宋体" w:eastAsia="宋体" w:cs="宋体"/>
          <w:kern w:val="0"/>
          <w:szCs w:val="21"/>
          <w:highlight w:val="none"/>
        </w:rPr>
        <w:t>4.采购意向公开情况：根据《财政部关于开展政府采购意向公开工作的通知》（财库〔2020〕10号）等有关规定，2026年04月29日本项目采购意向公开信息在云南省政府采购网发布，采购意向公开信息网“http://www.yngp.com/viewPurchaseInfo.html?sys_purchaseintention_id=6696b5a.19dbd6408f0.3a1f”。</w:t>
      </w:r>
    </w:p>
    <w:p w14:paraId="7BEA44A7">
      <w:pPr>
        <w:widowControl/>
        <w:spacing w:line="420" w:lineRule="exact"/>
        <w:ind w:firstLine="420" w:firstLineChars="200"/>
        <w:jc w:val="left"/>
        <w:rPr>
          <w:rFonts w:ascii="宋体" w:hAnsi="宋体" w:eastAsia="宋体" w:cs="宋体"/>
          <w:szCs w:val="21"/>
          <w:highlight w:val="none"/>
        </w:rPr>
      </w:pPr>
      <w:r>
        <w:rPr>
          <w:rFonts w:hint="eastAsia" w:ascii="宋体" w:hAnsi="宋体" w:eastAsia="宋体" w:cs="宋体"/>
          <w:szCs w:val="21"/>
          <w:highlight w:val="none"/>
        </w:rPr>
        <w:t>5.落实政府采购政策：</w:t>
      </w:r>
    </w:p>
    <w:p w14:paraId="49682266">
      <w:pPr>
        <w:widowControl/>
        <w:spacing w:line="420" w:lineRule="exact"/>
        <w:ind w:firstLine="420" w:firstLineChars="200"/>
        <w:jc w:val="left"/>
        <w:rPr>
          <w:rFonts w:ascii="宋体" w:hAnsi="宋体" w:eastAsia="宋体" w:cs="宋体"/>
          <w:szCs w:val="21"/>
          <w:highlight w:val="none"/>
        </w:rPr>
      </w:pPr>
      <w:r>
        <w:rPr>
          <w:rFonts w:hint="eastAsia" w:ascii="宋体" w:hAnsi="宋体" w:eastAsia="宋体" w:cs="宋体"/>
          <w:szCs w:val="21"/>
          <w:highlight w:val="none"/>
        </w:rPr>
        <w:t>5.1扶持中小企业政策：本项目不属于专门面向中小企业的政府采购项目，在评审时小型、微型企业提供的产品（提供本企业制造的货物，或者提供其他中小企业制造的货物）价格给予10%的扣除。监狱企业、残疾人福利性单位视同小型和微型企业，其产品在评审时给予相同的价格扣除。执行政策文件：《中华人民共和国中小企业促进法》《政府采购促进中小企业发展管理办法》（财库〔2020〕46号）、 《财政部司法部关于政府采购支持监狱企业发展有关问题的通知》（财库〔2014〕68号）、《财政部民政部中国残疾人联合会关于促进残疾人就业政府采购政策的通知》（财库〔2017〕141号）、《关于进一步加大政府采购支持中小企业力度的通知》（财库〔2022〕19号）、《云南省进一步帮扶中小微企业纾困发展工作方案》（云政办发〔2022〕42号）。</w:t>
      </w:r>
    </w:p>
    <w:p w14:paraId="37380AA0">
      <w:pPr>
        <w:widowControl/>
        <w:spacing w:line="420" w:lineRule="exact"/>
        <w:ind w:firstLine="420" w:firstLineChars="200"/>
        <w:jc w:val="left"/>
        <w:rPr>
          <w:rFonts w:ascii="宋体" w:hAnsi="宋体" w:eastAsia="宋体" w:cs="宋体"/>
          <w:szCs w:val="21"/>
          <w:highlight w:val="none"/>
        </w:rPr>
      </w:pPr>
      <w:r>
        <w:rPr>
          <w:rFonts w:hint="eastAsia" w:ascii="宋体" w:hAnsi="宋体" w:eastAsia="宋体" w:cs="宋体"/>
          <w:szCs w:val="21"/>
          <w:highlight w:val="none"/>
        </w:rPr>
        <w:t>6.本次采购采用在云南省政府采购电子交易平台（www.zcygov.cn）上进行采购与递交磋商响应文件，采购过程具体操作流程请各磋商申请人在云南省政府采购电子交易平台（https://www. zcygov.cn/）的网站操作指南中下载《供应商操作指南》查看操作或在该网站中采购学院中观看《政府采购电子交易供应商线上培训》相关视频。磋商申请人在制作响应文件前，需先下载政采云电子投标客户端并进行安装，下载安装完成之后，可通过账号密码或CA登录客户端制作响应文件（客户端下载网址： https://customer.zcygov.cn/CA-driver-download）。</w:t>
      </w:r>
    </w:p>
    <w:p w14:paraId="728D6DBA">
      <w:pPr>
        <w:widowControl/>
        <w:spacing w:line="420" w:lineRule="exact"/>
        <w:ind w:firstLine="424" w:firstLineChars="202"/>
        <w:rPr>
          <w:rFonts w:ascii="宋体" w:hAnsi="宋体" w:eastAsia="宋体" w:cs="宋体"/>
          <w:kern w:val="0"/>
          <w:szCs w:val="21"/>
          <w:highlight w:val="none"/>
        </w:rPr>
      </w:pPr>
      <w:r>
        <w:rPr>
          <w:rFonts w:hint="eastAsia" w:ascii="宋体" w:hAnsi="宋体" w:eastAsia="宋体" w:cs="宋体"/>
          <w:szCs w:val="21"/>
          <w:highlight w:val="none"/>
        </w:rPr>
        <w:t>7.监督电话：昌宁县财政局：0875-7130708</w:t>
      </w:r>
    </w:p>
    <w:p w14:paraId="7D6C9048">
      <w:pPr>
        <w:widowControl/>
        <w:spacing w:line="420" w:lineRule="exact"/>
        <w:ind w:firstLine="426" w:firstLineChars="202"/>
        <w:rPr>
          <w:rFonts w:ascii="宋体" w:hAnsi="宋体" w:eastAsia="宋体" w:cs="宋体"/>
          <w:b/>
          <w:kern w:val="0"/>
          <w:szCs w:val="21"/>
          <w:highlight w:val="none"/>
        </w:rPr>
      </w:pPr>
      <w:r>
        <w:rPr>
          <w:rFonts w:hint="eastAsia" w:ascii="宋体" w:hAnsi="宋体" w:eastAsia="宋体" w:cs="宋体"/>
          <w:b/>
          <w:kern w:val="0"/>
          <w:szCs w:val="21"/>
          <w:highlight w:val="none"/>
        </w:rPr>
        <w:t>八、凡对本次采购提出询问，请按以下方式联系：</w:t>
      </w:r>
    </w:p>
    <w:p w14:paraId="599FBBEE">
      <w:pPr>
        <w:widowControl/>
        <w:spacing w:line="460" w:lineRule="exact"/>
        <w:ind w:firstLine="424" w:firstLineChars="202"/>
        <w:rPr>
          <w:rFonts w:ascii="宋体" w:hAnsi="宋体" w:eastAsia="宋体" w:cs="宋体"/>
          <w:szCs w:val="21"/>
          <w:highlight w:val="none"/>
        </w:rPr>
      </w:pPr>
      <w:r>
        <w:rPr>
          <w:rFonts w:hint="eastAsia" w:ascii="宋体" w:hAnsi="宋体" w:eastAsia="宋体" w:cs="宋体"/>
          <w:szCs w:val="21"/>
          <w:highlight w:val="none"/>
        </w:rPr>
        <w:t>1.采购人信息</w:t>
      </w:r>
    </w:p>
    <w:p w14:paraId="2BED7B57">
      <w:pPr>
        <w:widowControl/>
        <w:spacing w:line="460" w:lineRule="exact"/>
        <w:ind w:firstLine="424" w:firstLineChars="202"/>
        <w:rPr>
          <w:rFonts w:ascii="宋体" w:hAnsi="宋体" w:eastAsia="宋体" w:cs="宋体"/>
          <w:szCs w:val="21"/>
          <w:highlight w:val="none"/>
        </w:rPr>
      </w:pPr>
      <w:r>
        <w:rPr>
          <w:rFonts w:hint="eastAsia" w:ascii="宋体" w:hAnsi="宋体" w:eastAsia="宋体" w:cs="宋体"/>
          <w:szCs w:val="21"/>
          <w:highlight w:val="none"/>
        </w:rPr>
        <w:t>名    称：昌宁县人民医院　</w:t>
      </w:r>
    </w:p>
    <w:p w14:paraId="0A9A09E6">
      <w:pPr>
        <w:widowControl/>
        <w:spacing w:line="460" w:lineRule="exact"/>
        <w:ind w:firstLine="424" w:firstLineChars="202"/>
        <w:rPr>
          <w:rFonts w:ascii="宋体" w:hAnsi="宋体" w:eastAsia="宋体" w:cs="宋体"/>
          <w:szCs w:val="21"/>
          <w:highlight w:val="none"/>
        </w:rPr>
      </w:pPr>
      <w:r>
        <w:rPr>
          <w:rFonts w:hint="eastAsia" w:ascii="宋体" w:hAnsi="宋体" w:eastAsia="宋体" w:cs="宋体"/>
          <w:szCs w:val="21"/>
          <w:highlight w:val="none"/>
        </w:rPr>
        <w:t>地    址：云南省保山市昌宁县田园镇滨河西路7号　</w:t>
      </w:r>
    </w:p>
    <w:p w14:paraId="1FB53A4C">
      <w:pPr>
        <w:widowControl/>
        <w:spacing w:line="460" w:lineRule="exact"/>
        <w:ind w:firstLine="424" w:firstLineChars="202"/>
        <w:rPr>
          <w:rFonts w:ascii="宋体" w:hAnsi="宋体" w:eastAsia="宋体" w:cs="宋体"/>
          <w:szCs w:val="21"/>
          <w:highlight w:val="none"/>
        </w:rPr>
      </w:pPr>
      <w:r>
        <w:rPr>
          <w:rFonts w:hint="eastAsia" w:ascii="宋体" w:hAnsi="宋体" w:eastAsia="宋体" w:cs="宋体"/>
          <w:szCs w:val="21"/>
          <w:highlight w:val="none"/>
        </w:rPr>
        <w:t>联系方式：0875-7120289</w:t>
      </w:r>
    </w:p>
    <w:p w14:paraId="6F8A448E">
      <w:pPr>
        <w:widowControl/>
        <w:spacing w:line="460" w:lineRule="exact"/>
        <w:ind w:firstLine="424" w:firstLineChars="202"/>
        <w:rPr>
          <w:rFonts w:ascii="宋体" w:hAnsi="宋体" w:eastAsia="宋体" w:cs="宋体"/>
          <w:szCs w:val="21"/>
          <w:highlight w:val="none"/>
        </w:rPr>
      </w:pPr>
      <w:r>
        <w:rPr>
          <w:rFonts w:hint="eastAsia" w:ascii="宋体" w:hAnsi="宋体" w:eastAsia="宋体" w:cs="宋体"/>
          <w:szCs w:val="21"/>
          <w:highlight w:val="none"/>
        </w:rPr>
        <w:t>2.采购代理机构信息</w:t>
      </w:r>
    </w:p>
    <w:p w14:paraId="315FA2D7">
      <w:pPr>
        <w:widowControl/>
        <w:spacing w:line="460" w:lineRule="exact"/>
        <w:ind w:firstLine="424" w:firstLineChars="202"/>
        <w:rPr>
          <w:rFonts w:ascii="宋体" w:hAnsi="宋体" w:eastAsia="宋体" w:cs="宋体"/>
          <w:szCs w:val="21"/>
          <w:highlight w:val="none"/>
        </w:rPr>
      </w:pPr>
      <w:r>
        <w:rPr>
          <w:rFonts w:hint="eastAsia" w:ascii="宋体" w:hAnsi="宋体" w:eastAsia="宋体" w:cs="宋体"/>
          <w:szCs w:val="21"/>
          <w:highlight w:val="none"/>
        </w:rPr>
        <w:t>名    称：保山市天瑞建设工程招标咨询有限公司</w:t>
      </w:r>
    </w:p>
    <w:p w14:paraId="70F6DB22">
      <w:pPr>
        <w:widowControl/>
        <w:spacing w:line="460" w:lineRule="exact"/>
        <w:ind w:firstLine="424" w:firstLineChars="202"/>
        <w:rPr>
          <w:rFonts w:ascii="宋体" w:hAnsi="宋体" w:eastAsia="宋体" w:cs="宋体"/>
          <w:szCs w:val="21"/>
          <w:highlight w:val="none"/>
        </w:rPr>
      </w:pPr>
      <w:r>
        <w:rPr>
          <w:rFonts w:hint="eastAsia" w:ascii="宋体" w:hAnsi="宋体" w:eastAsia="宋体" w:cs="宋体"/>
          <w:szCs w:val="21"/>
          <w:highlight w:val="none"/>
        </w:rPr>
        <w:t>地　　址：云南省保山市隆阳区象山路5号　</w:t>
      </w:r>
    </w:p>
    <w:p w14:paraId="732531AC">
      <w:pPr>
        <w:widowControl/>
        <w:spacing w:line="460" w:lineRule="exact"/>
        <w:ind w:firstLine="424" w:firstLineChars="202"/>
        <w:rPr>
          <w:rFonts w:ascii="宋体" w:hAnsi="宋体" w:eastAsia="宋体" w:cs="宋体"/>
          <w:szCs w:val="21"/>
          <w:highlight w:val="none"/>
        </w:rPr>
      </w:pPr>
      <w:r>
        <w:rPr>
          <w:rFonts w:hint="eastAsia" w:ascii="宋体" w:hAnsi="宋体" w:eastAsia="宋体" w:cs="宋体"/>
          <w:szCs w:val="21"/>
          <w:highlight w:val="none"/>
        </w:rPr>
        <w:t>联系方式：0875-2147689</w:t>
      </w:r>
    </w:p>
    <w:p w14:paraId="57EFD03F">
      <w:pPr>
        <w:widowControl/>
        <w:spacing w:line="460" w:lineRule="exact"/>
        <w:ind w:firstLine="424" w:firstLineChars="202"/>
        <w:rPr>
          <w:rFonts w:ascii="宋体" w:hAnsi="宋体" w:eastAsia="宋体" w:cs="宋体"/>
          <w:szCs w:val="21"/>
          <w:highlight w:val="none"/>
        </w:rPr>
      </w:pPr>
      <w:r>
        <w:rPr>
          <w:rFonts w:hint="eastAsia" w:ascii="宋体" w:hAnsi="宋体" w:eastAsia="宋体" w:cs="宋体"/>
          <w:szCs w:val="21"/>
          <w:highlight w:val="none"/>
        </w:rPr>
        <w:t>3.项目联系方式</w:t>
      </w:r>
    </w:p>
    <w:p w14:paraId="1CE2D973">
      <w:pPr>
        <w:widowControl/>
        <w:spacing w:line="460" w:lineRule="exact"/>
        <w:ind w:firstLine="424" w:firstLineChars="202"/>
        <w:rPr>
          <w:rFonts w:ascii="宋体" w:hAnsi="宋体" w:eastAsia="宋体" w:cs="宋体"/>
          <w:szCs w:val="21"/>
          <w:highlight w:val="none"/>
        </w:rPr>
      </w:pPr>
      <w:r>
        <w:rPr>
          <w:rFonts w:hint="eastAsia" w:ascii="宋体" w:hAnsi="宋体" w:eastAsia="宋体" w:cs="宋体"/>
          <w:szCs w:val="21"/>
          <w:highlight w:val="none"/>
        </w:rPr>
        <w:t>采购人项目联系人：杨老师</w:t>
      </w:r>
    </w:p>
    <w:p w14:paraId="555327EA">
      <w:pPr>
        <w:widowControl/>
        <w:spacing w:line="460" w:lineRule="exact"/>
        <w:ind w:firstLine="424" w:firstLineChars="202"/>
        <w:rPr>
          <w:rFonts w:ascii="宋体" w:hAnsi="宋体" w:eastAsia="宋体" w:cs="宋体"/>
          <w:szCs w:val="21"/>
          <w:highlight w:val="none"/>
        </w:rPr>
      </w:pPr>
      <w:r>
        <w:rPr>
          <w:rFonts w:hint="eastAsia" w:ascii="宋体" w:hAnsi="宋体" w:eastAsia="宋体" w:cs="宋体"/>
          <w:szCs w:val="21"/>
          <w:highlight w:val="none"/>
        </w:rPr>
        <w:t xml:space="preserve">电　　话：0875-7120289 </w:t>
      </w:r>
    </w:p>
    <w:p w14:paraId="7DC539E4">
      <w:pPr>
        <w:widowControl/>
        <w:spacing w:line="460" w:lineRule="exact"/>
        <w:ind w:firstLine="424" w:firstLineChars="202"/>
        <w:rPr>
          <w:rFonts w:ascii="宋体" w:hAnsi="宋体" w:eastAsia="宋体" w:cs="宋体"/>
          <w:szCs w:val="21"/>
          <w:highlight w:val="none"/>
        </w:rPr>
      </w:pPr>
      <w:r>
        <w:rPr>
          <w:rFonts w:hint="eastAsia" w:ascii="宋体" w:hAnsi="宋体" w:eastAsia="宋体" w:cs="宋体"/>
          <w:szCs w:val="21"/>
          <w:highlight w:val="none"/>
        </w:rPr>
        <w:t>采购代理机构项目联系人：王先生、杨先生</w:t>
      </w:r>
    </w:p>
    <w:p w14:paraId="0447A87F">
      <w:pPr>
        <w:widowControl/>
        <w:spacing w:line="420" w:lineRule="exact"/>
        <w:ind w:firstLine="424" w:firstLineChars="202"/>
        <w:jc w:val="left"/>
        <w:rPr>
          <w:rFonts w:ascii="宋体" w:hAnsi="宋体" w:eastAsia="宋体" w:cs="宋体"/>
          <w:kern w:val="0"/>
          <w:szCs w:val="21"/>
          <w:highlight w:val="none"/>
        </w:rPr>
      </w:pPr>
      <w:r>
        <w:rPr>
          <w:rFonts w:hint="eastAsia" w:ascii="宋体" w:hAnsi="宋体" w:eastAsia="宋体" w:cs="宋体"/>
          <w:szCs w:val="21"/>
          <w:highlight w:val="none"/>
        </w:rPr>
        <w:t>电　　话：0875-2147689</w:t>
      </w:r>
    </w:p>
    <w:p w14:paraId="2794DD06">
      <w:pPr>
        <w:widowControl/>
        <w:spacing w:line="440" w:lineRule="exact"/>
        <w:ind w:firstLine="424" w:firstLineChars="202"/>
        <w:rPr>
          <w:rFonts w:ascii="宋体" w:hAnsi="宋体" w:eastAsia="宋体" w:cs="宋体"/>
          <w:b/>
          <w:bCs/>
          <w:kern w:val="0"/>
          <w:sz w:val="32"/>
          <w:szCs w:val="32"/>
          <w:highlight w:val="none"/>
        </w:rPr>
      </w:pPr>
      <w:r>
        <w:rPr>
          <w:rFonts w:hint="eastAsia" w:ascii="宋体" w:hAnsi="宋体" w:eastAsia="宋体" w:cs="宋体"/>
          <w:kern w:val="0"/>
          <w:szCs w:val="21"/>
          <w:highlight w:val="none"/>
        </w:rPr>
        <w:br w:type="page"/>
      </w:r>
    </w:p>
    <w:p w14:paraId="205D6E08">
      <w:pPr>
        <w:pStyle w:val="2"/>
        <w:spacing w:line="360" w:lineRule="auto"/>
        <w:jc w:val="center"/>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t>第二章  磋商申请人须知</w:t>
      </w:r>
      <w:bookmarkEnd w:id="1"/>
      <w:bookmarkEnd w:id="2"/>
    </w:p>
    <w:p w14:paraId="0991B201">
      <w:pPr>
        <w:pStyle w:val="3"/>
        <w:spacing w:before="0" w:after="0" w:line="360" w:lineRule="auto"/>
        <w:jc w:val="center"/>
        <w:rPr>
          <w:rFonts w:ascii="宋体" w:hAnsi="宋体" w:eastAsia="宋体" w:cs="宋体"/>
          <w:highlight w:val="none"/>
        </w:rPr>
      </w:pPr>
      <w:bookmarkStart w:id="3" w:name="_Toc7252731"/>
      <w:bookmarkStart w:id="4" w:name="_Toc86124039"/>
      <w:bookmarkStart w:id="5" w:name="_Toc39092130"/>
      <w:r>
        <w:rPr>
          <w:rFonts w:hint="eastAsia" w:ascii="宋体" w:hAnsi="宋体" w:eastAsia="宋体" w:cs="宋体"/>
          <w:highlight w:val="none"/>
        </w:rPr>
        <w:t>磋商申请人须知前附表</w:t>
      </w:r>
      <w:bookmarkEnd w:id="3"/>
      <w:bookmarkEnd w:id="4"/>
      <w:bookmarkEnd w:id="5"/>
    </w:p>
    <w:tbl>
      <w:tblPr>
        <w:tblStyle w:val="27"/>
        <w:tblW w:w="102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3"/>
        <w:gridCol w:w="1188"/>
        <w:gridCol w:w="1192"/>
        <w:gridCol w:w="6999"/>
      </w:tblGrid>
      <w:tr w14:paraId="42C9DE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blHeader/>
          <w:jc w:val="center"/>
        </w:trPr>
        <w:tc>
          <w:tcPr>
            <w:tcW w:w="883" w:type="dxa"/>
            <w:vAlign w:val="center"/>
          </w:tcPr>
          <w:p w14:paraId="1B5ADAAB">
            <w:pPr>
              <w:pStyle w:val="15"/>
              <w:spacing w:line="440" w:lineRule="exact"/>
              <w:jc w:val="center"/>
              <w:rPr>
                <w:rFonts w:hAnsi="宋体"/>
                <w:kern w:val="0"/>
                <w:highlight w:val="none"/>
              </w:rPr>
            </w:pPr>
            <w:r>
              <w:rPr>
                <w:rFonts w:hint="eastAsia" w:hAnsi="宋体"/>
                <w:kern w:val="0"/>
                <w:highlight w:val="none"/>
              </w:rPr>
              <w:t>条款号</w:t>
            </w:r>
          </w:p>
        </w:tc>
        <w:tc>
          <w:tcPr>
            <w:tcW w:w="2380" w:type="dxa"/>
            <w:gridSpan w:val="2"/>
            <w:vAlign w:val="center"/>
          </w:tcPr>
          <w:p w14:paraId="62CEF6DB">
            <w:pPr>
              <w:pStyle w:val="15"/>
              <w:spacing w:line="440" w:lineRule="exact"/>
              <w:jc w:val="center"/>
              <w:rPr>
                <w:rFonts w:hAnsi="宋体"/>
                <w:kern w:val="0"/>
                <w:highlight w:val="none"/>
              </w:rPr>
            </w:pPr>
            <w:r>
              <w:rPr>
                <w:rFonts w:hint="eastAsia" w:hAnsi="宋体"/>
                <w:kern w:val="0"/>
                <w:highlight w:val="none"/>
              </w:rPr>
              <w:t>条款名称</w:t>
            </w:r>
          </w:p>
        </w:tc>
        <w:tc>
          <w:tcPr>
            <w:tcW w:w="6999" w:type="dxa"/>
            <w:vAlign w:val="center"/>
          </w:tcPr>
          <w:p w14:paraId="2674D540">
            <w:pPr>
              <w:pStyle w:val="15"/>
              <w:spacing w:line="440" w:lineRule="exact"/>
              <w:jc w:val="center"/>
              <w:rPr>
                <w:rFonts w:hAnsi="宋体"/>
                <w:kern w:val="0"/>
                <w:highlight w:val="none"/>
              </w:rPr>
            </w:pPr>
            <w:r>
              <w:rPr>
                <w:rFonts w:hint="eastAsia" w:hAnsi="宋体"/>
                <w:kern w:val="0"/>
                <w:highlight w:val="none"/>
              </w:rPr>
              <w:t>编列内容</w:t>
            </w:r>
          </w:p>
        </w:tc>
      </w:tr>
      <w:tr w14:paraId="560310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83" w:type="dxa"/>
            <w:vMerge w:val="restart"/>
            <w:vAlign w:val="center"/>
          </w:tcPr>
          <w:p w14:paraId="527370AC">
            <w:pPr>
              <w:pStyle w:val="15"/>
              <w:spacing w:line="440" w:lineRule="exact"/>
              <w:jc w:val="center"/>
              <w:rPr>
                <w:rFonts w:hAnsi="宋体"/>
                <w:kern w:val="0"/>
                <w:highlight w:val="none"/>
              </w:rPr>
            </w:pPr>
            <w:r>
              <w:rPr>
                <w:rFonts w:hint="eastAsia" w:hAnsi="宋体"/>
                <w:kern w:val="0"/>
                <w:highlight w:val="none"/>
              </w:rPr>
              <w:t>1.2</w:t>
            </w:r>
          </w:p>
        </w:tc>
        <w:tc>
          <w:tcPr>
            <w:tcW w:w="2380" w:type="dxa"/>
            <w:gridSpan w:val="2"/>
            <w:vAlign w:val="center"/>
          </w:tcPr>
          <w:p w14:paraId="27315937">
            <w:pPr>
              <w:pStyle w:val="15"/>
              <w:spacing w:line="440" w:lineRule="exact"/>
              <w:rPr>
                <w:rFonts w:hAnsi="宋体"/>
                <w:kern w:val="0"/>
                <w:highlight w:val="none"/>
              </w:rPr>
            </w:pPr>
            <w:r>
              <w:rPr>
                <w:rFonts w:hint="eastAsia" w:hAnsi="宋体"/>
                <w:kern w:val="0"/>
                <w:highlight w:val="none"/>
              </w:rPr>
              <w:t>采购人</w:t>
            </w:r>
          </w:p>
        </w:tc>
        <w:tc>
          <w:tcPr>
            <w:tcW w:w="6999" w:type="dxa"/>
            <w:vAlign w:val="center"/>
          </w:tcPr>
          <w:p w14:paraId="2E2BEF7A">
            <w:pPr>
              <w:pStyle w:val="15"/>
              <w:spacing w:line="440" w:lineRule="exact"/>
              <w:rPr>
                <w:rFonts w:hAnsi="宋体"/>
                <w:kern w:val="0"/>
                <w:highlight w:val="none"/>
              </w:rPr>
            </w:pPr>
            <w:r>
              <w:rPr>
                <w:rFonts w:hint="eastAsia" w:hAnsi="宋体"/>
                <w:kern w:val="0"/>
                <w:highlight w:val="none"/>
              </w:rPr>
              <w:t>昌宁县人民医院</w:t>
            </w:r>
          </w:p>
        </w:tc>
      </w:tr>
      <w:tr w14:paraId="4E9159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83" w:type="dxa"/>
            <w:vMerge w:val="continue"/>
            <w:vAlign w:val="center"/>
          </w:tcPr>
          <w:p w14:paraId="496DF9BB">
            <w:pPr>
              <w:spacing w:line="440" w:lineRule="exact"/>
              <w:rPr>
                <w:rFonts w:ascii="宋体" w:hAnsi="宋体" w:eastAsia="宋体" w:cs="宋体"/>
                <w:kern w:val="0"/>
                <w:highlight w:val="none"/>
              </w:rPr>
            </w:pPr>
          </w:p>
        </w:tc>
        <w:tc>
          <w:tcPr>
            <w:tcW w:w="2380" w:type="dxa"/>
            <w:gridSpan w:val="2"/>
            <w:vAlign w:val="center"/>
          </w:tcPr>
          <w:p w14:paraId="4426EA55">
            <w:pPr>
              <w:pStyle w:val="15"/>
              <w:spacing w:line="440" w:lineRule="exact"/>
              <w:rPr>
                <w:rFonts w:hAnsi="宋体"/>
                <w:kern w:val="0"/>
                <w:highlight w:val="none"/>
              </w:rPr>
            </w:pPr>
            <w:r>
              <w:rPr>
                <w:rFonts w:hint="eastAsia" w:hAnsi="宋体"/>
                <w:kern w:val="0"/>
                <w:highlight w:val="none"/>
              </w:rPr>
              <w:t>采购代理机构</w:t>
            </w:r>
          </w:p>
        </w:tc>
        <w:tc>
          <w:tcPr>
            <w:tcW w:w="6999" w:type="dxa"/>
            <w:vAlign w:val="center"/>
          </w:tcPr>
          <w:p w14:paraId="22E33427">
            <w:pPr>
              <w:pStyle w:val="15"/>
              <w:spacing w:line="440" w:lineRule="exact"/>
              <w:rPr>
                <w:rFonts w:hAnsi="宋体"/>
                <w:kern w:val="0"/>
                <w:highlight w:val="none"/>
              </w:rPr>
            </w:pPr>
            <w:r>
              <w:rPr>
                <w:rFonts w:hint="eastAsia" w:hAnsi="宋体"/>
                <w:kern w:val="0"/>
                <w:highlight w:val="none"/>
              </w:rPr>
              <w:t>保山市天瑞建设工程招标咨询有限公司</w:t>
            </w:r>
          </w:p>
        </w:tc>
      </w:tr>
      <w:tr w14:paraId="12D4D3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83" w:type="dxa"/>
            <w:vMerge w:val="continue"/>
            <w:vAlign w:val="center"/>
          </w:tcPr>
          <w:p w14:paraId="01024BF6">
            <w:pPr>
              <w:spacing w:line="440" w:lineRule="exact"/>
              <w:rPr>
                <w:rFonts w:ascii="宋体" w:hAnsi="宋体" w:eastAsia="宋体" w:cs="宋体"/>
                <w:kern w:val="0"/>
                <w:highlight w:val="none"/>
              </w:rPr>
            </w:pPr>
          </w:p>
        </w:tc>
        <w:tc>
          <w:tcPr>
            <w:tcW w:w="2380" w:type="dxa"/>
            <w:gridSpan w:val="2"/>
            <w:vAlign w:val="center"/>
          </w:tcPr>
          <w:p w14:paraId="617E2C88">
            <w:pPr>
              <w:pStyle w:val="15"/>
              <w:spacing w:line="440" w:lineRule="exact"/>
              <w:rPr>
                <w:rFonts w:hAnsi="宋体"/>
                <w:kern w:val="0"/>
                <w:highlight w:val="none"/>
              </w:rPr>
            </w:pPr>
            <w:r>
              <w:rPr>
                <w:rFonts w:hint="eastAsia" w:hAnsi="宋体"/>
                <w:kern w:val="0"/>
                <w:highlight w:val="none"/>
              </w:rPr>
              <w:t>项目名称</w:t>
            </w:r>
          </w:p>
        </w:tc>
        <w:tc>
          <w:tcPr>
            <w:tcW w:w="6999" w:type="dxa"/>
            <w:vAlign w:val="center"/>
          </w:tcPr>
          <w:p w14:paraId="7B9D4C55">
            <w:pPr>
              <w:pStyle w:val="15"/>
              <w:spacing w:line="440" w:lineRule="exact"/>
              <w:rPr>
                <w:rFonts w:hAnsi="宋体"/>
                <w:kern w:val="0"/>
                <w:highlight w:val="none"/>
              </w:rPr>
            </w:pPr>
            <w:r>
              <w:rPr>
                <w:rFonts w:hint="eastAsia" w:hAnsi="宋体"/>
                <w:kern w:val="0"/>
                <w:highlight w:val="none"/>
              </w:rPr>
              <w:t>昌宁县医共体总医院慢病管理信息系统采购项目</w:t>
            </w:r>
          </w:p>
        </w:tc>
      </w:tr>
      <w:tr w14:paraId="4655EF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83" w:type="dxa"/>
            <w:vMerge w:val="continue"/>
            <w:vAlign w:val="center"/>
          </w:tcPr>
          <w:p w14:paraId="0A94E238">
            <w:pPr>
              <w:spacing w:line="440" w:lineRule="exact"/>
              <w:rPr>
                <w:rFonts w:ascii="宋体" w:hAnsi="宋体" w:eastAsia="宋体" w:cs="宋体"/>
                <w:kern w:val="0"/>
                <w:highlight w:val="none"/>
              </w:rPr>
            </w:pPr>
          </w:p>
        </w:tc>
        <w:tc>
          <w:tcPr>
            <w:tcW w:w="2380" w:type="dxa"/>
            <w:gridSpan w:val="2"/>
            <w:vAlign w:val="center"/>
          </w:tcPr>
          <w:p w14:paraId="18293D7C">
            <w:pPr>
              <w:pStyle w:val="15"/>
              <w:spacing w:line="440" w:lineRule="exact"/>
              <w:rPr>
                <w:rFonts w:hAnsi="宋体"/>
                <w:kern w:val="0"/>
                <w:highlight w:val="none"/>
              </w:rPr>
            </w:pPr>
            <w:r>
              <w:rPr>
                <w:rFonts w:hint="eastAsia" w:hAnsi="宋体"/>
                <w:kern w:val="0"/>
                <w:highlight w:val="none"/>
              </w:rPr>
              <w:t>项目编号</w:t>
            </w:r>
          </w:p>
        </w:tc>
        <w:tc>
          <w:tcPr>
            <w:tcW w:w="6999" w:type="dxa"/>
            <w:vAlign w:val="center"/>
          </w:tcPr>
          <w:p w14:paraId="2B04D787">
            <w:pPr>
              <w:pStyle w:val="15"/>
              <w:spacing w:line="440" w:lineRule="exact"/>
              <w:rPr>
                <w:rFonts w:hAnsi="宋体"/>
                <w:kern w:val="0"/>
                <w:highlight w:val="none"/>
              </w:rPr>
            </w:pPr>
            <w:r>
              <w:rPr>
                <w:rFonts w:hint="eastAsia" w:hAnsi="宋体"/>
                <w:highlight w:val="none"/>
              </w:rPr>
              <w:t>项目编号：TRZBC2026-75</w:t>
            </w:r>
          </w:p>
          <w:p w14:paraId="7ECA2079">
            <w:pPr>
              <w:pStyle w:val="15"/>
              <w:spacing w:line="440" w:lineRule="exact"/>
              <w:rPr>
                <w:rFonts w:hint="eastAsia" w:hAnsi="宋体" w:eastAsia="宋体"/>
                <w:highlight w:val="none"/>
                <w:lang w:eastAsia="zh-CN"/>
              </w:rPr>
            </w:pPr>
            <w:r>
              <w:rPr>
                <w:rFonts w:hint="eastAsia" w:hAnsi="宋体"/>
                <w:kern w:val="0"/>
                <w:highlight w:val="none"/>
                <w:lang w:eastAsia="zh-CN"/>
              </w:rPr>
              <w:t>电子交易平台项目编号：BSZC2026-C3-00679-BSTR-0046</w:t>
            </w:r>
          </w:p>
        </w:tc>
      </w:tr>
      <w:tr w14:paraId="33597D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83" w:type="dxa"/>
            <w:vAlign w:val="center"/>
          </w:tcPr>
          <w:p w14:paraId="41E75686">
            <w:pPr>
              <w:pStyle w:val="15"/>
              <w:spacing w:line="440" w:lineRule="exact"/>
              <w:jc w:val="center"/>
              <w:rPr>
                <w:rFonts w:hAnsi="宋体"/>
                <w:kern w:val="0"/>
                <w:highlight w:val="none"/>
              </w:rPr>
            </w:pPr>
            <w:r>
              <w:rPr>
                <w:rFonts w:hint="eastAsia" w:hAnsi="宋体"/>
                <w:kern w:val="0"/>
                <w:highlight w:val="none"/>
              </w:rPr>
              <w:t>3.1</w:t>
            </w:r>
          </w:p>
        </w:tc>
        <w:tc>
          <w:tcPr>
            <w:tcW w:w="2380" w:type="dxa"/>
            <w:gridSpan w:val="2"/>
            <w:vAlign w:val="center"/>
          </w:tcPr>
          <w:p w14:paraId="221A8A99">
            <w:pPr>
              <w:pStyle w:val="15"/>
              <w:spacing w:line="440" w:lineRule="exact"/>
              <w:rPr>
                <w:rFonts w:hAnsi="宋体"/>
                <w:kern w:val="0"/>
                <w:highlight w:val="none"/>
              </w:rPr>
            </w:pPr>
            <w:r>
              <w:rPr>
                <w:rFonts w:hint="eastAsia" w:hAnsi="宋体"/>
                <w:kern w:val="0"/>
                <w:highlight w:val="none"/>
              </w:rPr>
              <w:t>采购内容</w:t>
            </w:r>
          </w:p>
        </w:tc>
        <w:tc>
          <w:tcPr>
            <w:tcW w:w="6999" w:type="dxa"/>
            <w:vAlign w:val="center"/>
          </w:tcPr>
          <w:p w14:paraId="66C57358">
            <w:pPr>
              <w:pStyle w:val="15"/>
              <w:spacing w:line="440" w:lineRule="exact"/>
              <w:rPr>
                <w:rFonts w:hAnsi="宋体"/>
                <w:kern w:val="0"/>
                <w:highlight w:val="none"/>
              </w:rPr>
            </w:pPr>
            <w:r>
              <w:rPr>
                <w:rFonts w:hint="eastAsia" w:hAnsi="宋体"/>
                <w:kern w:val="0"/>
                <w:highlight w:val="none"/>
              </w:rPr>
              <w:t>详见第五章《采购需求》</w:t>
            </w:r>
          </w:p>
        </w:tc>
      </w:tr>
      <w:tr w14:paraId="60282A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83" w:type="dxa"/>
            <w:vAlign w:val="center"/>
          </w:tcPr>
          <w:p w14:paraId="7D388F16">
            <w:pPr>
              <w:pStyle w:val="15"/>
              <w:spacing w:line="440" w:lineRule="exact"/>
              <w:jc w:val="center"/>
              <w:rPr>
                <w:rFonts w:hAnsi="宋体"/>
                <w:kern w:val="0"/>
                <w:highlight w:val="none"/>
              </w:rPr>
            </w:pPr>
            <w:r>
              <w:rPr>
                <w:rFonts w:hint="eastAsia" w:hAnsi="宋体"/>
                <w:kern w:val="0"/>
                <w:highlight w:val="none"/>
              </w:rPr>
              <w:t>3.2</w:t>
            </w:r>
          </w:p>
        </w:tc>
        <w:tc>
          <w:tcPr>
            <w:tcW w:w="2380" w:type="dxa"/>
            <w:gridSpan w:val="2"/>
            <w:vAlign w:val="center"/>
          </w:tcPr>
          <w:p w14:paraId="521D5753">
            <w:pPr>
              <w:pStyle w:val="15"/>
              <w:spacing w:line="440" w:lineRule="exact"/>
              <w:rPr>
                <w:rFonts w:hAnsi="宋体"/>
                <w:kern w:val="0"/>
                <w:highlight w:val="none"/>
              </w:rPr>
            </w:pPr>
            <w:r>
              <w:rPr>
                <w:rFonts w:hint="eastAsia" w:hAnsi="宋体"/>
                <w:kern w:val="0"/>
                <w:highlight w:val="none"/>
              </w:rPr>
              <w:t>标段划分</w:t>
            </w:r>
          </w:p>
        </w:tc>
        <w:tc>
          <w:tcPr>
            <w:tcW w:w="6999" w:type="dxa"/>
            <w:vAlign w:val="center"/>
          </w:tcPr>
          <w:p w14:paraId="09FF5AC7">
            <w:pPr>
              <w:spacing w:line="440" w:lineRule="exact"/>
              <w:rPr>
                <w:rFonts w:ascii="宋体" w:hAnsi="宋体" w:eastAsia="宋体" w:cs="宋体"/>
                <w:kern w:val="0"/>
                <w:highlight w:val="none"/>
              </w:rPr>
            </w:pPr>
            <w:r>
              <w:rPr>
                <w:rFonts w:hint="eastAsia" w:ascii="宋体" w:hAnsi="宋体" w:eastAsia="宋体" w:cs="宋体"/>
                <w:kern w:val="0"/>
                <w:highlight w:val="none"/>
              </w:rPr>
              <w:t>标段划分情况：</w:t>
            </w:r>
            <w:r>
              <w:rPr>
                <w:rFonts w:hint="eastAsia" w:ascii="宋体" w:hAnsi="宋体" w:eastAsia="宋体" w:cs="宋体"/>
                <w:szCs w:val="21"/>
                <w:highlight w:val="none"/>
              </w:rPr>
              <w:t>本次采购共划分为1个标段，拟参与本项目的磋商申请人必须整体报价不得拆分。</w:t>
            </w:r>
          </w:p>
        </w:tc>
      </w:tr>
      <w:tr w14:paraId="0841B7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83" w:type="dxa"/>
            <w:vAlign w:val="center"/>
          </w:tcPr>
          <w:p w14:paraId="206AC41D">
            <w:pPr>
              <w:pStyle w:val="15"/>
              <w:spacing w:line="440" w:lineRule="exact"/>
              <w:jc w:val="center"/>
              <w:rPr>
                <w:rFonts w:hAnsi="宋体"/>
                <w:kern w:val="0"/>
                <w:highlight w:val="none"/>
              </w:rPr>
            </w:pPr>
            <w:r>
              <w:rPr>
                <w:rFonts w:hint="eastAsia" w:hAnsi="宋体"/>
                <w:kern w:val="0"/>
                <w:highlight w:val="none"/>
              </w:rPr>
              <w:t>3.3</w:t>
            </w:r>
          </w:p>
        </w:tc>
        <w:tc>
          <w:tcPr>
            <w:tcW w:w="2380" w:type="dxa"/>
            <w:gridSpan w:val="2"/>
            <w:vAlign w:val="center"/>
          </w:tcPr>
          <w:p w14:paraId="003B683B">
            <w:pPr>
              <w:pStyle w:val="15"/>
              <w:spacing w:line="440" w:lineRule="exact"/>
              <w:rPr>
                <w:rFonts w:hAnsi="宋体"/>
                <w:kern w:val="0"/>
                <w:highlight w:val="none"/>
              </w:rPr>
            </w:pPr>
            <w:r>
              <w:rPr>
                <w:rFonts w:hint="eastAsia" w:hAnsi="宋体"/>
                <w:kern w:val="0"/>
                <w:highlight w:val="none"/>
              </w:rPr>
              <w:t>项目服务地点及合同履行期限</w:t>
            </w:r>
          </w:p>
        </w:tc>
        <w:tc>
          <w:tcPr>
            <w:tcW w:w="6999" w:type="dxa"/>
            <w:vAlign w:val="center"/>
          </w:tcPr>
          <w:p w14:paraId="35077B48">
            <w:pPr>
              <w:spacing w:line="440" w:lineRule="exact"/>
              <w:rPr>
                <w:rFonts w:ascii="宋体" w:hAnsi="宋体" w:eastAsia="宋体" w:cs="宋体"/>
                <w:szCs w:val="21"/>
                <w:highlight w:val="none"/>
              </w:rPr>
            </w:pPr>
            <w:r>
              <w:rPr>
                <w:rFonts w:hint="eastAsia" w:ascii="宋体" w:hAnsi="宋体" w:eastAsia="宋体" w:cs="宋体"/>
                <w:szCs w:val="21"/>
                <w:highlight w:val="none"/>
              </w:rPr>
              <w:t>（1）项目服务地点：采购人指定地点。</w:t>
            </w:r>
          </w:p>
          <w:p w14:paraId="1D1C185B">
            <w:pPr>
              <w:spacing w:line="440" w:lineRule="exact"/>
              <w:rPr>
                <w:rFonts w:ascii="宋体" w:hAnsi="宋体" w:eastAsia="宋体" w:cs="宋体"/>
                <w:kern w:val="0"/>
                <w:highlight w:val="none"/>
              </w:rPr>
            </w:pPr>
            <w:r>
              <w:rPr>
                <w:rFonts w:hint="eastAsia" w:ascii="宋体" w:hAnsi="宋体" w:eastAsia="宋体" w:cs="宋体"/>
                <w:szCs w:val="21"/>
                <w:highlight w:val="none"/>
              </w:rPr>
              <w:t>（2）合同履行期限：合同签订后60日历天内完成系统开发建设任务工作并达到初步验收标准，根据项目初检的要求开展相应的系统优化整改直至完全达标通过最终验收。项目验收合格后提供不少于1年的系统售后运维服务。</w:t>
            </w:r>
          </w:p>
        </w:tc>
      </w:tr>
      <w:tr w14:paraId="011BCE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83" w:type="dxa"/>
            <w:vAlign w:val="center"/>
          </w:tcPr>
          <w:p w14:paraId="0DE2C0CD">
            <w:pPr>
              <w:pStyle w:val="15"/>
              <w:spacing w:line="440" w:lineRule="exact"/>
              <w:jc w:val="center"/>
              <w:rPr>
                <w:rFonts w:hAnsi="宋体"/>
                <w:kern w:val="0"/>
                <w:highlight w:val="none"/>
              </w:rPr>
            </w:pPr>
            <w:r>
              <w:rPr>
                <w:rFonts w:hint="eastAsia" w:hAnsi="宋体"/>
                <w:kern w:val="0"/>
                <w:highlight w:val="none"/>
              </w:rPr>
              <w:t>4</w:t>
            </w:r>
          </w:p>
        </w:tc>
        <w:tc>
          <w:tcPr>
            <w:tcW w:w="2380" w:type="dxa"/>
            <w:gridSpan w:val="2"/>
            <w:vAlign w:val="center"/>
          </w:tcPr>
          <w:p w14:paraId="304028B3">
            <w:pPr>
              <w:pStyle w:val="15"/>
              <w:spacing w:line="440" w:lineRule="exact"/>
              <w:rPr>
                <w:rFonts w:hAnsi="宋体"/>
                <w:kern w:val="0"/>
                <w:highlight w:val="none"/>
              </w:rPr>
            </w:pPr>
            <w:r>
              <w:rPr>
                <w:rFonts w:hint="eastAsia" w:hAnsi="宋体"/>
                <w:kern w:val="0"/>
                <w:highlight w:val="none"/>
              </w:rPr>
              <w:t>磋商申请人资格要求</w:t>
            </w:r>
          </w:p>
        </w:tc>
        <w:tc>
          <w:tcPr>
            <w:tcW w:w="6999" w:type="dxa"/>
            <w:vAlign w:val="center"/>
          </w:tcPr>
          <w:p w14:paraId="2155FED5">
            <w:pPr>
              <w:spacing w:line="440" w:lineRule="exact"/>
              <w:rPr>
                <w:rFonts w:ascii="宋体" w:hAnsi="宋体" w:eastAsia="宋体" w:cs="宋体"/>
                <w:kern w:val="0"/>
                <w:highlight w:val="none"/>
              </w:rPr>
            </w:pPr>
            <w:r>
              <w:rPr>
                <w:rFonts w:hint="eastAsia" w:ascii="宋体" w:hAnsi="宋体" w:eastAsia="宋体" w:cs="宋体"/>
                <w:kern w:val="0"/>
                <w:highlight w:val="none"/>
              </w:rPr>
              <w:t>见第一章“竞争性磋商公告”。</w:t>
            </w:r>
          </w:p>
        </w:tc>
      </w:tr>
      <w:tr w14:paraId="3F1AE1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83" w:type="dxa"/>
            <w:vAlign w:val="center"/>
          </w:tcPr>
          <w:p w14:paraId="3B4DE058">
            <w:pPr>
              <w:pStyle w:val="15"/>
              <w:spacing w:line="440" w:lineRule="exact"/>
              <w:jc w:val="center"/>
              <w:rPr>
                <w:rFonts w:hAnsi="宋体"/>
                <w:kern w:val="0"/>
                <w:highlight w:val="none"/>
              </w:rPr>
            </w:pPr>
            <w:r>
              <w:rPr>
                <w:rFonts w:hint="eastAsia" w:hAnsi="宋体"/>
                <w:kern w:val="0"/>
                <w:highlight w:val="none"/>
              </w:rPr>
              <w:t>7.1</w:t>
            </w:r>
          </w:p>
        </w:tc>
        <w:tc>
          <w:tcPr>
            <w:tcW w:w="2380" w:type="dxa"/>
            <w:gridSpan w:val="2"/>
            <w:vAlign w:val="center"/>
          </w:tcPr>
          <w:p w14:paraId="60490BB5">
            <w:pPr>
              <w:autoSpaceDE w:val="0"/>
              <w:autoSpaceDN w:val="0"/>
              <w:snapToGrid w:val="0"/>
              <w:spacing w:line="440" w:lineRule="exact"/>
              <w:textAlignment w:val="bottom"/>
              <w:rPr>
                <w:rFonts w:ascii="宋体" w:hAnsi="宋体" w:eastAsia="宋体" w:cs="宋体"/>
                <w:kern w:val="0"/>
                <w:highlight w:val="none"/>
              </w:rPr>
            </w:pPr>
            <w:r>
              <w:rPr>
                <w:rFonts w:hint="eastAsia" w:ascii="宋体" w:hAnsi="宋体" w:eastAsia="宋体" w:cs="宋体"/>
                <w:kern w:val="0"/>
                <w:highlight w:val="none"/>
              </w:rPr>
              <w:t>磋商文件澄清截止时间</w:t>
            </w:r>
          </w:p>
        </w:tc>
        <w:tc>
          <w:tcPr>
            <w:tcW w:w="6999" w:type="dxa"/>
            <w:vAlign w:val="center"/>
          </w:tcPr>
          <w:p w14:paraId="3744901F">
            <w:pPr>
              <w:autoSpaceDE w:val="0"/>
              <w:autoSpaceDN w:val="0"/>
              <w:snapToGrid w:val="0"/>
              <w:spacing w:line="440" w:lineRule="exact"/>
              <w:textAlignment w:val="bottom"/>
              <w:rPr>
                <w:rFonts w:ascii="宋体" w:hAnsi="宋体" w:eastAsia="宋体" w:cs="宋体"/>
                <w:kern w:val="0"/>
                <w:highlight w:val="none"/>
              </w:rPr>
            </w:pPr>
            <w:r>
              <w:rPr>
                <w:rFonts w:hint="eastAsia" w:ascii="宋体" w:hAnsi="宋体" w:eastAsia="宋体" w:cs="宋体"/>
                <w:kern w:val="0"/>
                <w:highlight w:val="none"/>
              </w:rPr>
              <w:t>提交响应文件截止时间5日前。</w:t>
            </w:r>
          </w:p>
        </w:tc>
      </w:tr>
      <w:tr w14:paraId="3453EC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0" w:hRule="atLeast"/>
          <w:jc w:val="center"/>
        </w:trPr>
        <w:tc>
          <w:tcPr>
            <w:tcW w:w="883" w:type="dxa"/>
            <w:vAlign w:val="center"/>
          </w:tcPr>
          <w:p w14:paraId="23A9EB71">
            <w:pPr>
              <w:pStyle w:val="15"/>
              <w:spacing w:line="440" w:lineRule="exact"/>
              <w:jc w:val="center"/>
              <w:rPr>
                <w:rFonts w:hAnsi="宋体"/>
                <w:kern w:val="0"/>
                <w:highlight w:val="none"/>
              </w:rPr>
            </w:pPr>
            <w:r>
              <w:rPr>
                <w:rFonts w:hint="eastAsia" w:hAnsi="宋体"/>
                <w:kern w:val="0"/>
                <w:highlight w:val="none"/>
              </w:rPr>
              <w:t>7.5</w:t>
            </w:r>
          </w:p>
        </w:tc>
        <w:tc>
          <w:tcPr>
            <w:tcW w:w="2380" w:type="dxa"/>
            <w:gridSpan w:val="2"/>
            <w:vAlign w:val="center"/>
          </w:tcPr>
          <w:p w14:paraId="38A678FB">
            <w:pPr>
              <w:autoSpaceDE w:val="0"/>
              <w:autoSpaceDN w:val="0"/>
              <w:snapToGrid w:val="0"/>
              <w:spacing w:line="440" w:lineRule="exact"/>
              <w:textAlignment w:val="bottom"/>
              <w:rPr>
                <w:rFonts w:ascii="宋体" w:hAnsi="宋体" w:eastAsia="宋体" w:cs="宋体"/>
                <w:kern w:val="0"/>
                <w:highlight w:val="none"/>
              </w:rPr>
            </w:pPr>
            <w:r>
              <w:rPr>
                <w:rFonts w:hint="eastAsia" w:ascii="宋体" w:hAnsi="宋体" w:eastAsia="宋体" w:cs="宋体"/>
                <w:kern w:val="0"/>
                <w:highlight w:val="none"/>
              </w:rPr>
              <w:t>本项目磋商小组根据与磋商申请人磋商情况可能实质性变动的内容</w:t>
            </w:r>
          </w:p>
        </w:tc>
        <w:tc>
          <w:tcPr>
            <w:tcW w:w="6999" w:type="dxa"/>
            <w:vAlign w:val="center"/>
          </w:tcPr>
          <w:p w14:paraId="5CCA37F6">
            <w:pPr>
              <w:autoSpaceDE w:val="0"/>
              <w:autoSpaceDN w:val="0"/>
              <w:snapToGrid w:val="0"/>
              <w:spacing w:line="440" w:lineRule="exact"/>
              <w:textAlignment w:val="bottom"/>
              <w:rPr>
                <w:rFonts w:ascii="宋体" w:hAnsi="宋体" w:eastAsia="宋体" w:cs="宋体"/>
                <w:kern w:val="0"/>
                <w:highlight w:val="none"/>
              </w:rPr>
            </w:pPr>
            <w:r>
              <w:rPr>
                <w:rFonts w:hint="eastAsia" w:ascii="宋体" w:hAnsi="宋体" w:eastAsia="宋体" w:cs="宋体"/>
                <w:kern w:val="0"/>
                <w:highlight w:val="none"/>
              </w:rPr>
              <w:t>第五章  采购需求等</w:t>
            </w:r>
          </w:p>
        </w:tc>
      </w:tr>
      <w:tr w14:paraId="7C9CB9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83" w:type="dxa"/>
            <w:vAlign w:val="center"/>
          </w:tcPr>
          <w:p w14:paraId="677C3500">
            <w:pPr>
              <w:pStyle w:val="15"/>
              <w:spacing w:line="440" w:lineRule="exact"/>
              <w:jc w:val="center"/>
              <w:rPr>
                <w:rFonts w:hAnsi="宋体"/>
                <w:kern w:val="0"/>
                <w:highlight w:val="none"/>
              </w:rPr>
            </w:pPr>
            <w:r>
              <w:rPr>
                <w:rFonts w:hint="eastAsia" w:hAnsi="宋体"/>
                <w:kern w:val="0"/>
                <w:highlight w:val="none"/>
              </w:rPr>
              <w:t xml:space="preserve">9.1 </w:t>
            </w:r>
          </w:p>
        </w:tc>
        <w:tc>
          <w:tcPr>
            <w:tcW w:w="1188" w:type="dxa"/>
            <w:vAlign w:val="center"/>
          </w:tcPr>
          <w:p w14:paraId="41398623">
            <w:pPr>
              <w:pStyle w:val="15"/>
              <w:spacing w:line="440" w:lineRule="exact"/>
              <w:rPr>
                <w:rFonts w:hAnsi="宋体"/>
                <w:kern w:val="0"/>
                <w:highlight w:val="none"/>
              </w:rPr>
            </w:pPr>
            <w:r>
              <w:rPr>
                <w:rFonts w:hint="eastAsia" w:hAnsi="宋体"/>
                <w:kern w:val="0"/>
                <w:highlight w:val="none"/>
              </w:rPr>
              <w:t>构成响应文件的其他资料</w:t>
            </w:r>
          </w:p>
        </w:tc>
        <w:tc>
          <w:tcPr>
            <w:tcW w:w="1192" w:type="dxa"/>
            <w:vAlign w:val="center"/>
          </w:tcPr>
          <w:p w14:paraId="44EE32B2">
            <w:pPr>
              <w:autoSpaceDE w:val="0"/>
              <w:autoSpaceDN w:val="0"/>
              <w:snapToGrid w:val="0"/>
              <w:spacing w:line="440" w:lineRule="exact"/>
              <w:textAlignment w:val="bottom"/>
              <w:rPr>
                <w:rFonts w:ascii="宋体" w:hAnsi="宋体" w:eastAsia="宋体" w:cs="宋体"/>
                <w:kern w:val="0"/>
                <w:highlight w:val="none"/>
              </w:rPr>
            </w:pPr>
            <w:r>
              <w:rPr>
                <w:rFonts w:hint="eastAsia" w:ascii="宋体" w:hAnsi="宋体" w:eastAsia="宋体" w:cs="宋体"/>
                <w:kern w:val="0"/>
                <w:highlight w:val="none"/>
              </w:rPr>
              <w:t>其他材料</w:t>
            </w:r>
          </w:p>
        </w:tc>
        <w:tc>
          <w:tcPr>
            <w:tcW w:w="6999" w:type="dxa"/>
            <w:vAlign w:val="center"/>
          </w:tcPr>
          <w:p w14:paraId="0D1FA599">
            <w:pPr>
              <w:spacing w:line="440" w:lineRule="exact"/>
              <w:ind w:left="38" w:leftChars="18"/>
              <w:rPr>
                <w:rFonts w:ascii="宋体" w:hAnsi="宋体" w:eastAsia="宋体" w:cs="宋体"/>
                <w:kern w:val="0"/>
                <w:highlight w:val="none"/>
              </w:rPr>
            </w:pPr>
            <w:r>
              <w:rPr>
                <w:rFonts w:hint="eastAsia" w:ascii="宋体" w:hAnsi="宋体" w:eastAsia="宋体" w:cs="宋体"/>
                <w:kern w:val="0"/>
                <w:highlight w:val="none"/>
              </w:rPr>
              <w:t>1.具备履行合同所必需的设备和专业技术能力的证明材料。</w:t>
            </w:r>
          </w:p>
          <w:p w14:paraId="6105F825">
            <w:pPr>
              <w:pStyle w:val="15"/>
              <w:spacing w:line="440" w:lineRule="exact"/>
              <w:ind w:left="38" w:leftChars="18" w:firstLine="39" w:firstLineChars="19"/>
              <w:rPr>
                <w:rFonts w:hAnsi="宋体"/>
                <w:kern w:val="0"/>
                <w:highlight w:val="none"/>
              </w:rPr>
            </w:pPr>
            <w:r>
              <w:rPr>
                <w:rFonts w:hint="eastAsia" w:hAnsi="宋体"/>
                <w:kern w:val="0"/>
                <w:highlight w:val="none"/>
              </w:rPr>
              <w:t>2.若磋商文件中另有要求的，则还应满足其他要求中的相关资质要求。</w:t>
            </w:r>
          </w:p>
          <w:p w14:paraId="64733D30">
            <w:pPr>
              <w:pStyle w:val="15"/>
              <w:spacing w:line="440" w:lineRule="exact"/>
              <w:ind w:left="38" w:leftChars="18"/>
              <w:rPr>
                <w:rFonts w:hAnsi="宋体"/>
                <w:kern w:val="0"/>
                <w:highlight w:val="none"/>
              </w:rPr>
            </w:pPr>
            <w:r>
              <w:rPr>
                <w:rFonts w:hint="eastAsia" w:hAnsi="宋体"/>
                <w:kern w:val="0"/>
                <w:highlight w:val="none"/>
              </w:rPr>
              <w:t>3.磋商申请人资格要求中要求提供的资料以及磋商申请人认为需要提供的其他资料。</w:t>
            </w:r>
          </w:p>
        </w:tc>
      </w:tr>
      <w:tr w14:paraId="5A307C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83" w:type="dxa"/>
            <w:vAlign w:val="center"/>
          </w:tcPr>
          <w:p w14:paraId="1A6CD25D">
            <w:pPr>
              <w:pStyle w:val="15"/>
              <w:spacing w:line="440" w:lineRule="exact"/>
              <w:jc w:val="center"/>
              <w:rPr>
                <w:rFonts w:hAnsi="宋体"/>
                <w:kern w:val="0"/>
                <w:highlight w:val="none"/>
              </w:rPr>
            </w:pPr>
            <w:r>
              <w:rPr>
                <w:rFonts w:hint="eastAsia" w:hAnsi="宋体"/>
                <w:kern w:val="0"/>
                <w:highlight w:val="none"/>
              </w:rPr>
              <w:t>10.1</w:t>
            </w:r>
          </w:p>
        </w:tc>
        <w:tc>
          <w:tcPr>
            <w:tcW w:w="2380" w:type="dxa"/>
            <w:gridSpan w:val="2"/>
            <w:vAlign w:val="center"/>
          </w:tcPr>
          <w:p w14:paraId="23FF5641">
            <w:pPr>
              <w:autoSpaceDE w:val="0"/>
              <w:autoSpaceDN w:val="0"/>
              <w:snapToGrid w:val="0"/>
              <w:spacing w:line="440" w:lineRule="exact"/>
              <w:textAlignment w:val="bottom"/>
              <w:rPr>
                <w:rFonts w:ascii="宋体" w:hAnsi="宋体" w:eastAsia="宋体" w:cs="宋体"/>
                <w:kern w:val="0"/>
                <w:highlight w:val="none"/>
              </w:rPr>
            </w:pPr>
            <w:r>
              <w:rPr>
                <w:rFonts w:hint="eastAsia" w:ascii="宋体" w:hAnsi="宋体" w:eastAsia="宋体" w:cs="宋体"/>
                <w:kern w:val="0"/>
                <w:highlight w:val="none"/>
              </w:rPr>
              <w:t>采购预算及最高限价</w:t>
            </w:r>
          </w:p>
        </w:tc>
        <w:tc>
          <w:tcPr>
            <w:tcW w:w="6999" w:type="dxa"/>
            <w:vAlign w:val="center"/>
          </w:tcPr>
          <w:p w14:paraId="2A46605A">
            <w:pPr>
              <w:pStyle w:val="15"/>
              <w:spacing w:line="440" w:lineRule="exact"/>
              <w:rPr>
                <w:rFonts w:hAnsi="宋体"/>
                <w:highlight w:val="none"/>
              </w:rPr>
            </w:pPr>
            <w:r>
              <w:rPr>
                <w:rFonts w:hint="eastAsia" w:hAnsi="宋体"/>
                <w:highlight w:val="none"/>
              </w:rPr>
              <w:t>（1）预算金额：70.00万元。</w:t>
            </w:r>
          </w:p>
          <w:p w14:paraId="2E61F752">
            <w:pPr>
              <w:pStyle w:val="15"/>
              <w:spacing w:line="440" w:lineRule="exact"/>
              <w:rPr>
                <w:rFonts w:hAnsi="宋体"/>
                <w:highlight w:val="none"/>
              </w:rPr>
            </w:pPr>
            <w:r>
              <w:rPr>
                <w:rFonts w:hint="eastAsia" w:hAnsi="宋体"/>
                <w:highlight w:val="none"/>
              </w:rPr>
              <w:t>（2）最高限价：70.00万元。</w:t>
            </w:r>
          </w:p>
          <w:p w14:paraId="1A1F709E">
            <w:pPr>
              <w:pStyle w:val="15"/>
              <w:spacing w:line="440" w:lineRule="exact"/>
              <w:rPr>
                <w:rFonts w:hAnsi="宋体"/>
                <w:highlight w:val="none"/>
              </w:rPr>
            </w:pPr>
            <w:r>
              <w:rPr>
                <w:rFonts w:hint="eastAsia" w:hAnsi="宋体"/>
                <w:highlight w:val="none"/>
              </w:rPr>
              <w:t>（3）</w:t>
            </w:r>
            <w:r>
              <w:rPr>
                <w:rFonts w:hint="eastAsia" w:hAnsi="宋体"/>
                <w:kern w:val="0"/>
                <w:highlight w:val="none"/>
              </w:rPr>
              <w:t>磋商申请人最终报价（总价）不得超过本项目设置的项目最高限价总金额，否则其响应文件将视为无效。</w:t>
            </w:r>
          </w:p>
        </w:tc>
      </w:tr>
      <w:tr w14:paraId="0CC9D8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83" w:type="dxa"/>
            <w:vAlign w:val="center"/>
          </w:tcPr>
          <w:p w14:paraId="295AA50F">
            <w:pPr>
              <w:pStyle w:val="15"/>
              <w:spacing w:line="440" w:lineRule="exact"/>
              <w:jc w:val="center"/>
              <w:rPr>
                <w:rFonts w:hAnsi="宋体"/>
                <w:kern w:val="0"/>
                <w:highlight w:val="none"/>
              </w:rPr>
            </w:pPr>
            <w:r>
              <w:rPr>
                <w:rFonts w:hint="eastAsia" w:hAnsi="宋体"/>
                <w:kern w:val="0"/>
                <w:highlight w:val="none"/>
              </w:rPr>
              <w:t>11.1</w:t>
            </w:r>
          </w:p>
        </w:tc>
        <w:tc>
          <w:tcPr>
            <w:tcW w:w="2380" w:type="dxa"/>
            <w:gridSpan w:val="2"/>
            <w:vAlign w:val="center"/>
          </w:tcPr>
          <w:p w14:paraId="359CFD78">
            <w:pPr>
              <w:pStyle w:val="15"/>
              <w:spacing w:line="440" w:lineRule="exact"/>
              <w:rPr>
                <w:rFonts w:hAnsi="宋体"/>
                <w:kern w:val="0"/>
                <w:highlight w:val="none"/>
              </w:rPr>
            </w:pPr>
            <w:r>
              <w:rPr>
                <w:rFonts w:hint="eastAsia" w:hAnsi="宋体"/>
                <w:kern w:val="0"/>
                <w:highlight w:val="none"/>
              </w:rPr>
              <w:t>有效期</w:t>
            </w:r>
          </w:p>
        </w:tc>
        <w:tc>
          <w:tcPr>
            <w:tcW w:w="6999" w:type="dxa"/>
            <w:vAlign w:val="center"/>
          </w:tcPr>
          <w:p w14:paraId="66940CAD">
            <w:pPr>
              <w:pStyle w:val="15"/>
              <w:spacing w:line="440" w:lineRule="exact"/>
              <w:rPr>
                <w:rFonts w:hAnsi="宋体"/>
                <w:kern w:val="0"/>
                <w:highlight w:val="none"/>
              </w:rPr>
            </w:pPr>
            <w:r>
              <w:rPr>
                <w:rFonts w:hint="eastAsia" w:hAnsi="宋体"/>
                <w:kern w:val="0"/>
                <w:highlight w:val="none"/>
              </w:rPr>
              <w:t>递交响应文件的截止日期后90天</w:t>
            </w:r>
          </w:p>
        </w:tc>
      </w:tr>
      <w:tr w14:paraId="4B258B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83" w:type="dxa"/>
            <w:vAlign w:val="center"/>
          </w:tcPr>
          <w:p w14:paraId="75AA13AC">
            <w:pPr>
              <w:pStyle w:val="15"/>
              <w:spacing w:line="440" w:lineRule="exact"/>
              <w:jc w:val="center"/>
              <w:rPr>
                <w:rFonts w:hAnsi="宋体"/>
                <w:kern w:val="0"/>
                <w:highlight w:val="none"/>
              </w:rPr>
            </w:pPr>
            <w:r>
              <w:rPr>
                <w:rFonts w:hint="eastAsia" w:hAnsi="宋体"/>
                <w:kern w:val="0"/>
                <w:highlight w:val="none"/>
              </w:rPr>
              <w:t>12.6</w:t>
            </w:r>
          </w:p>
        </w:tc>
        <w:tc>
          <w:tcPr>
            <w:tcW w:w="2380" w:type="dxa"/>
            <w:gridSpan w:val="2"/>
            <w:vAlign w:val="center"/>
          </w:tcPr>
          <w:p w14:paraId="45B7DB43">
            <w:pPr>
              <w:pStyle w:val="15"/>
              <w:spacing w:line="440" w:lineRule="exact"/>
              <w:rPr>
                <w:rFonts w:hAnsi="宋体"/>
                <w:kern w:val="0"/>
                <w:highlight w:val="none"/>
              </w:rPr>
            </w:pPr>
            <w:r>
              <w:rPr>
                <w:rFonts w:hint="eastAsia" w:hAnsi="宋体"/>
                <w:kern w:val="0"/>
                <w:highlight w:val="none"/>
              </w:rPr>
              <w:t>响应文件上传相关要求</w:t>
            </w:r>
          </w:p>
        </w:tc>
        <w:tc>
          <w:tcPr>
            <w:tcW w:w="6999" w:type="dxa"/>
            <w:vAlign w:val="center"/>
          </w:tcPr>
          <w:p w14:paraId="13C02DA9">
            <w:pPr>
              <w:pStyle w:val="15"/>
              <w:spacing w:line="440" w:lineRule="exact"/>
              <w:rPr>
                <w:rFonts w:hAnsi="宋体"/>
                <w:kern w:val="0"/>
                <w:highlight w:val="none"/>
              </w:rPr>
            </w:pPr>
            <w:r>
              <w:rPr>
                <w:rFonts w:hint="eastAsia" w:hAnsi="宋体"/>
                <w:kern w:val="0"/>
                <w:highlight w:val="none"/>
              </w:rPr>
              <w:t>12.6.1本次采购采用在云南省政府采购电子交易平台（www.zcygov.cn）上进行采购与递交响应文件，磋商响应文件递交要求如下：</w:t>
            </w:r>
          </w:p>
          <w:p w14:paraId="10A10BBC">
            <w:pPr>
              <w:pStyle w:val="15"/>
              <w:spacing w:line="440" w:lineRule="exact"/>
              <w:rPr>
                <w:rFonts w:hAnsi="宋体"/>
                <w:kern w:val="0"/>
                <w:highlight w:val="none"/>
              </w:rPr>
            </w:pPr>
            <w:r>
              <w:rPr>
                <w:rFonts w:hint="eastAsia" w:hAnsi="宋体"/>
                <w:kern w:val="0"/>
                <w:highlight w:val="none"/>
              </w:rPr>
              <w:t>（1）网上递交：磋商申请人网上递交需登录云南省政府采购电子交易平台（www.zcygov.cn），须在磋商响应文件提交截止时间前完成所有电子竞争性磋商响应文件的上传，磋商响应文件递交截止时间前未完成文件上传的，视为撤回磋商响应文件。</w:t>
            </w:r>
          </w:p>
          <w:p w14:paraId="1428DB53">
            <w:pPr>
              <w:pStyle w:val="15"/>
              <w:spacing w:line="440" w:lineRule="exact"/>
              <w:rPr>
                <w:rFonts w:hAnsi="宋体"/>
                <w:kern w:val="0"/>
                <w:highlight w:val="none"/>
              </w:rPr>
            </w:pPr>
            <w:r>
              <w:rPr>
                <w:rFonts w:hint="eastAsia" w:hAnsi="宋体"/>
                <w:kern w:val="0"/>
                <w:highlight w:val="none"/>
              </w:rPr>
              <w:t>（2）本项目采用在云南省政府采购电子交易平台（www.zcygov.cn）上进行采购与递交响应文件，无需现场递交纸质文件，但应在文件递交截止时间登录系统，并根据开标系统的提示操作解密文件。</w:t>
            </w:r>
          </w:p>
          <w:p w14:paraId="6EC7858D">
            <w:pPr>
              <w:pStyle w:val="15"/>
              <w:spacing w:line="440" w:lineRule="exact"/>
              <w:rPr>
                <w:rFonts w:hAnsi="宋体"/>
                <w:kern w:val="0"/>
                <w:highlight w:val="none"/>
              </w:rPr>
            </w:pPr>
            <w:r>
              <w:rPr>
                <w:rFonts w:hint="eastAsia" w:hAnsi="宋体"/>
                <w:kern w:val="0"/>
                <w:highlight w:val="none"/>
              </w:rPr>
              <w:t>（3）磋商申请人若有幸成交，须在签收采购合同前向采购人提交纸质磋商响应文件一份。</w:t>
            </w:r>
          </w:p>
          <w:p w14:paraId="769E1803">
            <w:pPr>
              <w:pStyle w:val="15"/>
              <w:spacing w:line="440" w:lineRule="exact"/>
              <w:rPr>
                <w:rFonts w:hAnsi="宋体"/>
                <w:kern w:val="0"/>
                <w:highlight w:val="none"/>
              </w:rPr>
            </w:pPr>
            <w:r>
              <w:rPr>
                <w:rFonts w:hint="eastAsia" w:hAnsi="宋体"/>
                <w:kern w:val="0"/>
                <w:highlight w:val="none"/>
              </w:rPr>
              <w:t>12.6.2本项目需要对本次采购的“昌宁县医共体总医院慢病管理信息系统”提供开发设计功能模块（demo）进行视频演示，演示方式采用视频并配音解说进行实现（格式：MP4），视频演示须图像清晰、演示功能准确，配音解说须与视频显示内容一致。演示视频须压缩为加密的压缩包（名称：磋商申请人名称+昌宁县医共体总医院慢病管理信息系统采购项目演示视频），演示视频须在提交投标文件截止时间：</w:t>
            </w:r>
            <w:r>
              <w:rPr>
                <w:rFonts w:hint="eastAsia" w:hAnsi="宋体"/>
                <w:highlight w:val="none"/>
                <w:u w:val="single"/>
                <w:lang w:eastAsia="zh-CN"/>
              </w:rPr>
              <w:t>2026年07月09日15时00分</w:t>
            </w:r>
            <w:r>
              <w:rPr>
                <w:rFonts w:hint="eastAsia" w:hAnsi="宋体"/>
                <w:kern w:val="0"/>
                <w:highlight w:val="none"/>
              </w:rPr>
              <w:t>（北京时间）以前发送至采购代理机构对公邮箱（bstrzb@126.com），演示视频压缩包的解密密码须在</w:t>
            </w:r>
            <w:r>
              <w:rPr>
                <w:rFonts w:hint="eastAsia" w:hAnsi="宋体"/>
                <w:highlight w:val="none"/>
              </w:rPr>
              <w:t>云南省政府采购电子交易平台</w:t>
            </w:r>
            <w:r>
              <w:rPr>
                <w:rFonts w:hint="eastAsia" w:hAnsi="宋体"/>
                <w:kern w:val="0"/>
                <w:highlight w:val="none"/>
              </w:rPr>
              <w:t>开标系统中提示进行磋商响应文件解密后应立即发送至采购代理机构对公邮箱（bstrzb@126.com）。</w:t>
            </w:r>
          </w:p>
          <w:p w14:paraId="76BE9605">
            <w:pPr>
              <w:pStyle w:val="15"/>
              <w:spacing w:line="440" w:lineRule="exact"/>
              <w:rPr>
                <w:rFonts w:hAnsi="宋体"/>
                <w:kern w:val="0"/>
                <w:highlight w:val="none"/>
              </w:rPr>
            </w:pPr>
            <w:r>
              <w:rPr>
                <w:rFonts w:hint="eastAsia" w:hAnsi="宋体"/>
                <w:kern w:val="0"/>
                <w:highlight w:val="none"/>
              </w:rPr>
              <w:t>注：逾期发送或未发送演示视频压缩包，视为磋商申请人未提供演示视频，对应的评审内容将按0分计算。</w:t>
            </w:r>
          </w:p>
        </w:tc>
      </w:tr>
      <w:tr w14:paraId="27571B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83" w:type="dxa"/>
            <w:vAlign w:val="center"/>
          </w:tcPr>
          <w:p w14:paraId="0FC66295">
            <w:pPr>
              <w:pStyle w:val="15"/>
              <w:spacing w:line="440" w:lineRule="exact"/>
              <w:jc w:val="center"/>
              <w:rPr>
                <w:rFonts w:hAnsi="宋体"/>
                <w:kern w:val="0"/>
                <w:highlight w:val="none"/>
              </w:rPr>
            </w:pPr>
            <w:r>
              <w:rPr>
                <w:rFonts w:hint="eastAsia" w:hAnsi="宋体"/>
                <w:kern w:val="0"/>
                <w:highlight w:val="none"/>
              </w:rPr>
              <w:t>13</w:t>
            </w:r>
          </w:p>
        </w:tc>
        <w:tc>
          <w:tcPr>
            <w:tcW w:w="2380" w:type="dxa"/>
            <w:gridSpan w:val="2"/>
            <w:vAlign w:val="center"/>
          </w:tcPr>
          <w:p w14:paraId="73FE551A">
            <w:pPr>
              <w:pStyle w:val="15"/>
              <w:spacing w:line="440" w:lineRule="exact"/>
              <w:ind w:firstLine="420" w:firstLineChars="200"/>
              <w:rPr>
                <w:rFonts w:hAnsi="宋体"/>
                <w:kern w:val="0"/>
                <w:highlight w:val="none"/>
              </w:rPr>
            </w:pPr>
            <w:r>
              <w:rPr>
                <w:rFonts w:hint="eastAsia" w:hAnsi="宋体"/>
                <w:kern w:val="0"/>
                <w:highlight w:val="none"/>
              </w:rPr>
              <w:t>磋商保证金</w:t>
            </w:r>
          </w:p>
        </w:tc>
        <w:tc>
          <w:tcPr>
            <w:tcW w:w="6999" w:type="dxa"/>
            <w:vAlign w:val="center"/>
          </w:tcPr>
          <w:p w14:paraId="2E61C122">
            <w:pPr>
              <w:spacing w:line="440" w:lineRule="exact"/>
              <w:rPr>
                <w:rFonts w:ascii="宋体" w:hAnsi="宋体" w:eastAsia="宋体" w:cs="宋体"/>
                <w:highlight w:val="none"/>
              </w:rPr>
            </w:pPr>
            <w:r>
              <w:rPr>
                <w:rFonts w:hint="eastAsia" w:ascii="宋体" w:hAnsi="宋体" w:eastAsia="宋体" w:cs="宋体"/>
                <w:highlight w:val="none"/>
              </w:rPr>
              <w:t>13.1磋商保证金相关信息</w:t>
            </w:r>
          </w:p>
          <w:p w14:paraId="3AEA9CEF">
            <w:pPr>
              <w:spacing w:line="440" w:lineRule="exact"/>
              <w:rPr>
                <w:rFonts w:ascii="宋体" w:hAnsi="宋体" w:eastAsia="宋体" w:cs="宋体"/>
                <w:highlight w:val="none"/>
              </w:rPr>
            </w:pPr>
            <w:r>
              <w:rPr>
                <w:rFonts w:hint="eastAsia" w:ascii="宋体" w:hAnsi="宋体" w:eastAsia="宋体" w:cs="宋体"/>
                <w:highlight w:val="none"/>
              </w:rPr>
              <w:t>项目名称：昌宁县医共体总医院慢病管理信息系统采购项目</w:t>
            </w:r>
          </w:p>
          <w:p w14:paraId="1823C1A8">
            <w:pPr>
              <w:spacing w:line="440" w:lineRule="exact"/>
              <w:rPr>
                <w:rFonts w:ascii="宋体" w:hAnsi="宋体" w:eastAsia="宋体" w:cs="宋体"/>
                <w:highlight w:val="none"/>
              </w:rPr>
            </w:pPr>
            <w:r>
              <w:rPr>
                <w:rFonts w:hint="eastAsia" w:ascii="宋体" w:hAnsi="宋体" w:eastAsia="宋体" w:cs="宋体"/>
                <w:highlight w:val="none"/>
              </w:rPr>
              <w:t>磋商保证金形式：银行转账或银行保函或保证保险或其他非现金方式（不接受现场缴纳现金）</w:t>
            </w:r>
          </w:p>
          <w:p w14:paraId="7C0F5E8A">
            <w:pPr>
              <w:widowControl/>
              <w:spacing w:line="440" w:lineRule="exact"/>
              <w:rPr>
                <w:rFonts w:ascii="宋体" w:hAnsi="宋体" w:eastAsia="宋体" w:cs="宋体"/>
                <w:highlight w:val="none"/>
              </w:rPr>
            </w:pPr>
            <w:r>
              <w:rPr>
                <w:rFonts w:hint="eastAsia" w:ascii="宋体" w:hAnsi="宋体" w:eastAsia="宋体" w:cs="宋体"/>
                <w:highlight w:val="none"/>
              </w:rPr>
              <w:t>磋商保证金金额：¥12000.00元（壹万贰仟元整）。</w:t>
            </w:r>
          </w:p>
          <w:p w14:paraId="0BBC6420">
            <w:pPr>
              <w:spacing w:line="440" w:lineRule="exact"/>
              <w:rPr>
                <w:rFonts w:ascii="宋体" w:hAnsi="宋体" w:eastAsia="宋体" w:cs="宋体"/>
                <w:highlight w:val="none"/>
              </w:rPr>
            </w:pPr>
            <w:r>
              <w:rPr>
                <w:rFonts w:hint="eastAsia" w:ascii="宋体" w:hAnsi="宋体" w:eastAsia="宋体" w:cs="宋体"/>
                <w:highlight w:val="none"/>
              </w:rPr>
              <w:t>13.2磋商保证金的提交方式</w:t>
            </w:r>
          </w:p>
          <w:p w14:paraId="00BB6424">
            <w:pPr>
              <w:spacing w:line="440" w:lineRule="exact"/>
              <w:rPr>
                <w:rFonts w:ascii="宋体" w:hAnsi="宋体" w:eastAsia="宋体" w:cs="宋体"/>
                <w:highlight w:val="none"/>
              </w:rPr>
            </w:pPr>
            <w:r>
              <w:rPr>
                <w:rFonts w:hint="eastAsia" w:ascii="宋体" w:hAnsi="宋体" w:eastAsia="宋体" w:cs="宋体"/>
                <w:highlight w:val="none"/>
              </w:rPr>
              <w:t>磋商保证金形式：银行转账或银行保函或保证保险或其他非现金方式（不接受现场缴纳现金），磋商申请人可根据实际情况，选择保证金的提供或缴纳方式，有关部门、单位和企业不得以任何方式排斥、限制或拒绝接受。</w:t>
            </w:r>
          </w:p>
          <w:p w14:paraId="1E6F8FDA">
            <w:pPr>
              <w:spacing w:line="440" w:lineRule="exact"/>
              <w:rPr>
                <w:rFonts w:ascii="宋体" w:hAnsi="宋体" w:eastAsia="宋体" w:cs="宋体"/>
                <w:highlight w:val="none"/>
              </w:rPr>
            </w:pPr>
            <w:r>
              <w:rPr>
                <w:rFonts w:hint="eastAsia" w:ascii="宋体" w:hAnsi="宋体" w:eastAsia="宋体" w:cs="宋体"/>
                <w:highlight w:val="none"/>
              </w:rPr>
              <w:t>13.2.1采用银行转账：</w:t>
            </w:r>
          </w:p>
          <w:p w14:paraId="37FC7E2F">
            <w:pPr>
              <w:spacing w:line="440" w:lineRule="exact"/>
              <w:rPr>
                <w:rFonts w:ascii="宋体" w:hAnsi="宋体" w:eastAsia="宋体" w:cs="宋体"/>
                <w:highlight w:val="none"/>
              </w:rPr>
            </w:pPr>
            <w:r>
              <w:rPr>
                <w:rFonts w:hint="eastAsia" w:ascii="宋体" w:hAnsi="宋体" w:eastAsia="宋体" w:cs="宋体"/>
                <w:highlight w:val="none"/>
              </w:rPr>
              <w:t>（1）保证金应以磋商申请人自身的名义提交，并且必须从其基本账户转出（按照规定，磋商申请人可以为自然人的项目除外，若为联合体，保证金由联合体牵头人进行缴纳）。</w:t>
            </w:r>
          </w:p>
          <w:p w14:paraId="7FDC07DF">
            <w:pPr>
              <w:spacing w:line="440" w:lineRule="exact"/>
              <w:rPr>
                <w:rFonts w:ascii="宋体" w:hAnsi="宋体" w:eastAsia="宋体" w:cs="宋体"/>
                <w:highlight w:val="none"/>
              </w:rPr>
            </w:pPr>
            <w:r>
              <w:rPr>
                <w:rFonts w:hint="eastAsia" w:ascii="宋体" w:hAnsi="宋体" w:eastAsia="宋体" w:cs="宋体"/>
                <w:highlight w:val="none"/>
              </w:rPr>
              <w:t>本次项目磋商保证金专用账号转账信息如下（唯一账户）：</w:t>
            </w:r>
          </w:p>
          <w:p w14:paraId="440F5AC1">
            <w:pPr>
              <w:spacing w:line="440" w:lineRule="exact"/>
              <w:rPr>
                <w:rFonts w:ascii="宋体" w:hAnsi="宋体" w:eastAsia="宋体" w:cs="宋体"/>
                <w:highlight w:val="none"/>
              </w:rPr>
            </w:pPr>
            <w:r>
              <w:rPr>
                <w:rFonts w:hint="eastAsia" w:ascii="宋体" w:hAnsi="宋体" w:eastAsia="宋体" w:cs="宋体"/>
                <w:highlight w:val="none"/>
              </w:rPr>
              <w:t>磋商保证金指定账户：</w:t>
            </w:r>
          </w:p>
          <w:p w14:paraId="1FF27444">
            <w:pPr>
              <w:spacing w:line="440" w:lineRule="exact"/>
              <w:rPr>
                <w:rFonts w:ascii="宋体" w:hAnsi="宋体" w:eastAsia="宋体" w:cs="宋体"/>
                <w:highlight w:val="none"/>
              </w:rPr>
            </w:pPr>
            <w:r>
              <w:rPr>
                <w:rFonts w:hint="eastAsia" w:ascii="宋体" w:hAnsi="宋体" w:eastAsia="宋体" w:cs="宋体"/>
                <w:highlight w:val="none"/>
              </w:rPr>
              <w:t>户名：保山市天瑞建设工程招标咨询有限公司</w:t>
            </w:r>
          </w:p>
          <w:p w14:paraId="7F8A5A4C">
            <w:pPr>
              <w:spacing w:line="440" w:lineRule="exact"/>
              <w:rPr>
                <w:rFonts w:ascii="宋体" w:hAnsi="宋体" w:eastAsia="宋体" w:cs="宋体"/>
                <w:highlight w:val="none"/>
              </w:rPr>
            </w:pPr>
            <w:r>
              <w:rPr>
                <w:rFonts w:hint="eastAsia" w:ascii="宋体" w:hAnsi="宋体" w:eastAsia="宋体" w:cs="宋体"/>
                <w:highlight w:val="none"/>
              </w:rPr>
              <w:t>开户银行：中国建设银行股份有限公司保山新村支行</w:t>
            </w:r>
          </w:p>
          <w:p w14:paraId="751F33F0">
            <w:pPr>
              <w:spacing w:line="440" w:lineRule="exact"/>
              <w:rPr>
                <w:rFonts w:ascii="宋体" w:hAnsi="宋体" w:eastAsia="宋体" w:cs="宋体"/>
                <w:highlight w:val="none"/>
              </w:rPr>
            </w:pPr>
            <w:r>
              <w:rPr>
                <w:rFonts w:hint="eastAsia" w:ascii="宋体" w:hAnsi="宋体" w:eastAsia="宋体" w:cs="宋体"/>
                <w:highlight w:val="none"/>
              </w:rPr>
              <w:t>账号：5300 1728 6420 5100 0568</w:t>
            </w:r>
          </w:p>
          <w:p w14:paraId="75CBD1FD">
            <w:pPr>
              <w:spacing w:line="440" w:lineRule="exact"/>
              <w:rPr>
                <w:rFonts w:ascii="宋体" w:hAnsi="宋体" w:eastAsia="宋体" w:cs="宋体"/>
                <w:highlight w:val="none"/>
              </w:rPr>
            </w:pPr>
            <w:r>
              <w:rPr>
                <w:rFonts w:hint="eastAsia" w:ascii="宋体" w:hAnsi="宋体" w:eastAsia="宋体" w:cs="宋体"/>
                <w:highlight w:val="none"/>
              </w:rPr>
              <w:t>汇入地址：云南省保山市</w:t>
            </w:r>
          </w:p>
          <w:p w14:paraId="641AB048">
            <w:pPr>
              <w:spacing w:line="440" w:lineRule="exact"/>
              <w:rPr>
                <w:rFonts w:ascii="宋体" w:hAnsi="宋体" w:eastAsia="宋体" w:cs="宋体"/>
                <w:highlight w:val="none"/>
              </w:rPr>
            </w:pPr>
            <w:r>
              <w:rPr>
                <w:rFonts w:hint="eastAsia" w:ascii="宋体" w:hAnsi="宋体" w:eastAsia="宋体" w:cs="宋体"/>
                <w:highlight w:val="none"/>
              </w:rPr>
              <w:t>汇款缴纳查询电话：0875-2147689</w:t>
            </w:r>
          </w:p>
          <w:p w14:paraId="1CEB89AE">
            <w:pPr>
              <w:spacing w:line="440" w:lineRule="exact"/>
              <w:rPr>
                <w:rFonts w:ascii="宋体" w:hAnsi="宋体" w:eastAsia="宋体" w:cs="宋体"/>
                <w:highlight w:val="none"/>
              </w:rPr>
            </w:pPr>
            <w:r>
              <w:rPr>
                <w:rFonts w:hint="eastAsia" w:ascii="宋体" w:hAnsi="宋体" w:eastAsia="宋体" w:cs="宋体"/>
                <w:highlight w:val="none"/>
              </w:rPr>
              <w:t>联系人：寸女士</w:t>
            </w:r>
          </w:p>
          <w:p w14:paraId="33F1D40D">
            <w:pPr>
              <w:spacing w:line="440" w:lineRule="exact"/>
              <w:rPr>
                <w:rFonts w:ascii="宋体" w:hAnsi="宋体" w:eastAsia="宋体" w:cs="宋体"/>
                <w:highlight w:val="none"/>
              </w:rPr>
            </w:pPr>
            <w:r>
              <w:rPr>
                <w:rFonts w:hint="eastAsia" w:ascii="宋体" w:hAnsi="宋体" w:eastAsia="宋体" w:cs="宋体"/>
                <w:highlight w:val="none"/>
              </w:rPr>
              <w:t>磋商申请人需在磋商保证金缴纳截止时间前递交保证金，保证金单据内要注明项目名称或项目编号（内容须填写完整），到账时间以实际到达专用账号时间为准，未在磋商保证金缴纳 截止时间前到账的保证金视为未提交，为避免由于晚到账的原因造成参与采购活动失败，请各磋商申请人预留充足时间。在跨行转账时请考虑以下因素：1.按照人民银行相关规定，跨行转账在工作日下午四点半前办理手续，可以保证实时跨行到账；2.跨行转账尽量采用电汇方式。</w:t>
            </w:r>
          </w:p>
          <w:p w14:paraId="5F6843CA">
            <w:pPr>
              <w:spacing w:line="440" w:lineRule="exact"/>
              <w:rPr>
                <w:rFonts w:ascii="宋体" w:hAnsi="宋体" w:eastAsia="宋体" w:cs="宋体"/>
                <w:highlight w:val="none"/>
              </w:rPr>
            </w:pPr>
            <w:r>
              <w:rPr>
                <w:rFonts w:hint="eastAsia" w:ascii="宋体" w:hAnsi="宋体" w:eastAsia="宋体" w:cs="宋体"/>
                <w:highlight w:val="none"/>
              </w:rPr>
              <w:t>注意事项：</w:t>
            </w:r>
          </w:p>
          <w:p w14:paraId="020EC1AA">
            <w:pPr>
              <w:spacing w:line="440" w:lineRule="exact"/>
              <w:rPr>
                <w:rFonts w:ascii="宋体" w:hAnsi="宋体" w:eastAsia="宋体" w:cs="宋体"/>
                <w:highlight w:val="none"/>
              </w:rPr>
            </w:pPr>
            <w:r>
              <w:rPr>
                <w:rFonts w:hint="eastAsia" w:ascii="宋体" w:hAnsi="宋体" w:eastAsia="宋体" w:cs="宋体"/>
                <w:highlight w:val="none"/>
              </w:rPr>
              <w:t>1.保证金必须从磋商申请人的基本账户划出；</w:t>
            </w:r>
          </w:p>
          <w:p w14:paraId="4E8F8FD8">
            <w:pPr>
              <w:spacing w:line="440" w:lineRule="exact"/>
              <w:rPr>
                <w:rFonts w:ascii="宋体" w:hAnsi="宋体" w:eastAsia="宋体" w:cs="宋体"/>
                <w:highlight w:val="none"/>
              </w:rPr>
            </w:pPr>
            <w:r>
              <w:rPr>
                <w:rFonts w:hint="eastAsia" w:ascii="宋体" w:hAnsi="宋体" w:eastAsia="宋体" w:cs="宋体"/>
                <w:highlight w:val="none"/>
              </w:rPr>
              <w:t>2.保证金转账仅限电汇、网银方式，其他转账方式视为无效；</w:t>
            </w:r>
          </w:p>
          <w:p w14:paraId="53660A05">
            <w:pPr>
              <w:spacing w:line="440" w:lineRule="exact"/>
              <w:rPr>
                <w:rFonts w:ascii="宋体" w:hAnsi="宋体" w:eastAsia="宋体" w:cs="宋体"/>
                <w:highlight w:val="none"/>
              </w:rPr>
            </w:pPr>
            <w:r>
              <w:rPr>
                <w:rFonts w:hint="eastAsia" w:ascii="宋体" w:hAnsi="宋体" w:eastAsia="宋体" w:cs="宋体"/>
                <w:highlight w:val="none"/>
              </w:rPr>
              <w:t>3.到账时间以保证金专用账户实际到账时间为准，未在缴纳保证金截止时间前到账的保证金无效；</w:t>
            </w:r>
          </w:p>
          <w:p w14:paraId="36149174">
            <w:pPr>
              <w:spacing w:line="440" w:lineRule="exact"/>
              <w:rPr>
                <w:rFonts w:ascii="宋体" w:hAnsi="宋体" w:eastAsia="宋体" w:cs="宋体"/>
                <w:highlight w:val="none"/>
              </w:rPr>
            </w:pPr>
            <w:r>
              <w:rPr>
                <w:rFonts w:hint="eastAsia" w:ascii="宋体" w:hAnsi="宋体" w:eastAsia="宋体" w:cs="宋体"/>
                <w:highlight w:val="none"/>
              </w:rPr>
              <w:t>13.2.2采用银行保函：</w:t>
            </w:r>
          </w:p>
          <w:p w14:paraId="28EBBDE1">
            <w:pPr>
              <w:keepNext/>
              <w:spacing w:line="440" w:lineRule="exact"/>
              <w:rPr>
                <w:rFonts w:ascii="宋体" w:hAnsi="宋体" w:eastAsia="宋体" w:cs="宋体"/>
                <w:kern w:val="0"/>
                <w:highlight w:val="none"/>
              </w:rPr>
            </w:pPr>
            <w:r>
              <w:rPr>
                <w:rFonts w:hint="eastAsia" w:ascii="宋体" w:hAnsi="宋体" w:eastAsia="宋体" w:cs="宋体"/>
                <w:highlight w:val="none"/>
              </w:rPr>
              <w:t>保函申请人必须是磋商申请人，受益人必须是采购人，保证人必须是磋商申请人基本账户的开户银行；银行保函必须正确填写受益人和申请人的全称，并与采购文件规定的名称一致，以免造成磋商无效。</w:t>
            </w:r>
          </w:p>
          <w:p w14:paraId="46DACDAE">
            <w:pPr>
              <w:keepNext/>
              <w:spacing w:line="440" w:lineRule="exact"/>
              <w:rPr>
                <w:rFonts w:ascii="宋体" w:hAnsi="宋体" w:eastAsia="宋体" w:cs="宋体"/>
                <w:kern w:val="0"/>
                <w:highlight w:val="none"/>
              </w:rPr>
            </w:pPr>
            <w:r>
              <w:rPr>
                <w:rFonts w:hint="eastAsia" w:ascii="宋体" w:hAnsi="宋体" w:eastAsia="宋体" w:cs="宋体"/>
                <w:kern w:val="0"/>
                <w:highlight w:val="none"/>
              </w:rPr>
              <w:t>13.2.3采用保证保险：</w:t>
            </w:r>
          </w:p>
          <w:p w14:paraId="694169ED">
            <w:pPr>
              <w:keepNext/>
              <w:spacing w:line="440" w:lineRule="exact"/>
              <w:rPr>
                <w:rFonts w:ascii="宋体" w:hAnsi="宋体" w:eastAsia="宋体" w:cs="宋体"/>
                <w:kern w:val="0"/>
                <w:highlight w:val="none"/>
              </w:rPr>
            </w:pPr>
            <w:r>
              <w:rPr>
                <w:rFonts w:hint="eastAsia" w:ascii="宋体" w:hAnsi="宋体" w:eastAsia="宋体" w:cs="宋体"/>
                <w:kern w:val="0"/>
                <w:highlight w:val="none"/>
              </w:rPr>
              <w:t>须按照国家关于保证保险的要求购买保证保险，磋商申请人持保证保险材料参加磋商。保险受益人（采购人）：</w:t>
            </w:r>
            <w:r>
              <w:rPr>
                <w:rFonts w:hint="eastAsia" w:ascii="宋体" w:hAnsi="宋体" w:eastAsia="宋体" w:cs="宋体"/>
                <w:kern w:val="0"/>
                <w:szCs w:val="21"/>
                <w:highlight w:val="none"/>
              </w:rPr>
              <w:t>昌宁县人民医院</w:t>
            </w:r>
            <w:r>
              <w:rPr>
                <w:rFonts w:hint="eastAsia" w:ascii="宋体" w:hAnsi="宋体" w:eastAsia="宋体" w:cs="宋体"/>
                <w:kern w:val="0"/>
                <w:highlight w:val="none"/>
              </w:rPr>
              <w:t>（统一社会信用代码：</w:t>
            </w:r>
            <w:r>
              <w:rPr>
                <w:rFonts w:hint="eastAsia" w:ascii="宋体" w:hAnsi="宋体" w:eastAsia="宋体" w:cs="宋体"/>
                <w:szCs w:val="21"/>
                <w:highlight w:val="none"/>
              </w:rPr>
              <w:t>11533000015255102U</w:t>
            </w:r>
            <w:r>
              <w:rPr>
                <w:rFonts w:hint="eastAsia" w:ascii="宋体" w:hAnsi="宋体" w:eastAsia="宋体" w:cs="宋体"/>
                <w:kern w:val="0"/>
                <w:highlight w:val="none"/>
              </w:rPr>
              <w:t>）。</w:t>
            </w:r>
          </w:p>
          <w:p w14:paraId="6989956B">
            <w:pPr>
              <w:keepNext/>
              <w:spacing w:line="440" w:lineRule="exact"/>
              <w:rPr>
                <w:rFonts w:ascii="宋体" w:hAnsi="宋体" w:eastAsia="宋体" w:cs="宋体"/>
                <w:kern w:val="0"/>
                <w:highlight w:val="none"/>
              </w:rPr>
            </w:pPr>
            <w:r>
              <w:rPr>
                <w:rFonts w:hint="eastAsia" w:ascii="宋体" w:hAnsi="宋体" w:eastAsia="宋体" w:cs="宋体"/>
                <w:kern w:val="0"/>
                <w:highlight w:val="none"/>
              </w:rPr>
              <w:t>13.3对未足额提交磋商保证金的磋商申请人提交的磋商响应文件，采购代理机构将视其为不响应符合性审查条件而予以拒绝。</w:t>
            </w:r>
          </w:p>
          <w:p w14:paraId="20CF3742">
            <w:pPr>
              <w:spacing w:line="440" w:lineRule="exact"/>
              <w:jc w:val="left"/>
              <w:rPr>
                <w:rFonts w:ascii="宋体" w:hAnsi="宋体" w:eastAsia="宋体" w:cs="宋体"/>
                <w:kern w:val="0"/>
                <w:highlight w:val="none"/>
              </w:rPr>
            </w:pPr>
            <w:r>
              <w:rPr>
                <w:rFonts w:hint="eastAsia" w:ascii="宋体" w:hAnsi="宋体" w:eastAsia="宋体" w:cs="宋体"/>
                <w:kern w:val="0"/>
                <w:highlight w:val="none"/>
              </w:rPr>
              <w:t>13.4</w:t>
            </w:r>
            <w:r>
              <w:rPr>
                <w:rFonts w:hint="eastAsia" w:ascii="宋体" w:hAnsi="宋体" w:eastAsia="宋体" w:cs="宋体"/>
                <w:szCs w:val="21"/>
                <w:highlight w:val="none"/>
              </w:rPr>
              <w:t>在成交公告发布后，采购代理机构将在5个工作日内退还未成交磋商申请人缴纳的磋商保证金；成交人与采购人签署后应当及时告知采购代理机构，采购代理机构自政府采购合同签订之日起5个工作日内退还成交人缴纳的投标保证金，并请成交人将政府采购合同复印件送至采购代理机构或将采购合同扫描件发送至采购代理机构电子邮箱（bstrzb@126.com）。</w:t>
            </w:r>
          </w:p>
        </w:tc>
      </w:tr>
      <w:tr w14:paraId="29EED9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83" w:type="dxa"/>
            <w:vAlign w:val="center"/>
          </w:tcPr>
          <w:p w14:paraId="3EFE39B9">
            <w:pPr>
              <w:pStyle w:val="22"/>
              <w:spacing w:line="440" w:lineRule="exact"/>
              <w:jc w:val="center"/>
              <w:rPr>
                <w:rFonts w:hAnsi="宋体"/>
                <w:sz w:val="21"/>
                <w:szCs w:val="21"/>
                <w:highlight w:val="none"/>
              </w:rPr>
            </w:pPr>
            <w:r>
              <w:rPr>
                <w:rFonts w:hint="eastAsia" w:hAnsi="宋体"/>
                <w:sz w:val="21"/>
                <w:szCs w:val="21"/>
                <w:highlight w:val="none"/>
              </w:rPr>
              <w:t>15.1</w:t>
            </w:r>
          </w:p>
        </w:tc>
        <w:tc>
          <w:tcPr>
            <w:tcW w:w="2380" w:type="dxa"/>
            <w:gridSpan w:val="2"/>
            <w:vAlign w:val="center"/>
          </w:tcPr>
          <w:p w14:paraId="2C88582F">
            <w:pPr>
              <w:pStyle w:val="15"/>
              <w:spacing w:line="440" w:lineRule="exact"/>
              <w:rPr>
                <w:rFonts w:hAnsi="宋体"/>
                <w:kern w:val="0"/>
                <w:highlight w:val="none"/>
              </w:rPr>
            </w:pPr>
            <w:r>
              <w:rPr>
                <w:rFonts w:hint="eastAsia" w:hAnsi="宋体"/>
                <w:kern w:val="0"/>
                <w:highlight w:val="none"/>
              </w:rPr>
              <w:t>递交响应文件的截止时间</w:t>
            </w:r>
          </w:p>
        </w:tc>
        <w:tc>
          <w:tcPr>
            <w:tcW w:w="6999" w:type="dxa"/>
            <w:vAlign w:val="center"/>
          </w:tcPr>
          <w:p w14:paraId="28089A95">
            <w:pPr>
              <w:pStyle w:val="15"/>
              <w:spacing w:line="440" w:lineRule="exact"/>
              <w:rPr>
                <w:rFonts w:hAnsi="宋体"/>
                <w:kern w:val="0"/>
                <w:highlight w:val="none"/>
              </w:rPr>
            </w:pPr>
            <w:r>
              <w:rPr>
                <w:rFonts w:hint="eastAsia" w:hAnsi="宋体"/>
                <w:kern w:val="0"/>
                <w:highlight w:val="none"/>
              </w:rPr>
              <w:t>递交响应文件的截止时间：</w:t>
            </w:r>
            <w:r>
              <w:rPr>
                <w:rFonts w:hint="eastAsia" w:hAnsi="宋体"/>
                <w:highlight w:val="none"/>
                <w:u w:val="single"/>
                <w:lang w:eastAsia="zh-CN"/>
              </w:rPr>
              <w:t>2026年07月09日15时00分</w:t>
            </w:r>
            <w:r>
              <w:rPr>
                <w:rFonts w:hint="eastAsia" w:hAnsi="宋体"/>
                <w:kern w:val="0"/>
                <w:highlight w:val="none"/>
              </w:rPr>
              <w:t>（北京时间）；</w:t>
            </w:r>
          </w:p>
          <w:p w14:paraId="0EFD1720">
            <w:pPr>
              <w:pStyle w:val="15"/>
              <w:spacing w:line="440" w:lineRule="exact"/>
              <w:rPr>
                <w:rFonts w:hAnsi="宋体"/>
                <w:kern w:val="0"/>
                <w:highlight w:val="none"/>
              </w:rPr>
            </w:pPr>
            <w:r>
              <w:rPr>
                <w:rFonts w:hint="eastAsia" w:hAnsi="宋体"/>
                <w:kern w:val="0"/>
                <w:highlight w:val="none"/>
              </w:rPr>
              <w:t>注：磋商申请人须在竞争性磋商响应文件提交截止时间前将电子磋商响应文件上传至</w:t>
            </w:r>
            <w:r>
              <w:rPr>
                <w:rFonts w:hint="eastAsia" w:hAnsi="宋体"/>
                <w:highlight w:val="none"/>
              </w:rPr>
              <w:t>云南省政府采购电子交易平台（www.zcygov.cn）</w:t>
            </w:r>
            <w:r>
              <w:rPr>
                <w:rFonts w:hint="eastAsia" w:hAnsi="宋体"/>
                <w:kern w:val="0"/>
                <w:highlight w:val="none"/>
              </w:rPr>
              <w:t>。逾期上传电子响应文件或逾期未能到达指定地点进行磋商响应文件解密的或未能上传电子响应文件的，其磋商响应文件将视为不合格并拒绝。</w:t>
            </w:r>
          </w:p>
        </w:tc>
      </w:tr>
      <w:tr w14:paraId="085A3C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83" w:type="dxa"/>
            <w:vAlign w:val="center"/>
          </w:tcPr>
          <w:p w14:paraId="7C814467">
            <w:pPr>
              <w:pStyle w:val="22"/>
              <w:spacing w:line="440" w:lineRule="exact"/>
              <w:jc w:val="center"/>
              <w:rPr>
                <w:rFonts w:hAnsi="宋体"/>
                <w:sz w:val="21"/>
                <w:szCs w:val="21"/>
                <w:highlight w:val="none"/>
              </w:rPr>
            </w:pPr>
            <w:r>
              <w:rPr>
                <w:rFonts w:hint="eastAsia" w:hAnsi="宋体"/>
                <w:sz w:val="21"/>
                <w:szCs w:val="21"/>
                <w:highlight w:val="none"/>
              </w:rPr>
              <w:t>15.2</w:t>
            </w:r>
          </w:p>
        </w:tc>
        <w:tc>
          <w:tcPr>
            <w:tcW w:w="2380" w:type="dxa"/>
            <w:gridSpan w:val="2"/>
            <w:vAlign w:val="center"/>
          </w:tcPr>
          <w:p w14:paraId="60751390">
            <w:pPr>
              <w:pStyle w:val="15"/>
              <w:spacing w:line="440" w:lineRule="exact"/>
              <w:rPr>
                <w:rFonts w:hAnsi="宋体"/>
                <w:kern w:val="0"/>
                <w:highlight w:val="none"/>
              </w:rPr>
            </w:pPr>
            <w:r>
              <w:rPr>
                <w:rFonts w:hint="eastAsia" w:hAnsi="宋体"/>
                <w:kern w:val="0"/>
                <w:highlight w:val="none"/>
              </w:rPr>
              <w:t>递交响应文件地点</w:t>
            </w:r>
          </w:p>
        </w:tc>
        <w:tc>
          <w:tcPr>
            <w:tcW w:w="6999" w:type="dxa"/>
            <w:vAlign w:val="center"/>
          </w:tcPr>
          <w:p w14:paraId="0E91A122">
            <w:pPr>
              <w:pStyle w:val="15"/>
              <w:spacing w:line="440" w:lineRule="exact"/>
              <w:jc w:val="both"/>
              <w:rPr>
                <w:rFonts w:hAnsi="宋体"/>
                <w:kern w:val="0"/>
                <w:highlight w:val="none"/>
              </w:rPr>
            </w:pPr>
            <w:r>
              <w:rPr>
                <w:rFonts w:hint="eastAsia" w:hAnsi="宋体"/>
                <w:highlight w:val="none"/>
              </w:rPr>
              <w:t>保山市天瑞建设工程招标咨询有限公司一楼会议室（保山市隆阳区象山路5号），本项目采用云南省政府采购电子交易平台进行远程开标评标工作，磋商申请人无需到达开标现场，请各磋商申请人登录云南省政府采购电子交易平台参与采购活动并递交磋商响应文件。</w:t>
            </w:r>
          </w:p>
        </w:tc>
      </w:tr>
      <w:tr w14:paraId="4E7ACF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83" w:type="dxa"/>
            <w:vAlign w:val="center"/>
          </w:tcPr>
          <w:p w14:paraId="5A59EAF7">
            <w:pPr>
              <w:pStyle w:val="22"/>
              <w:spacing w:line="440" w:lineRule="exact"/>
              <w:jc w:val="center"/>
              <w:rPr>
                <w:rFonts w:hAnsi="宋体"/>
                <w:sz w:val="21"/>
                <w:szCs w:val="21"/>
                <w:highlight w:val="none"/>
              </w:rPr>
            </w:pPr>
            <w:r>
              <w:rPr>
                <w:rFonts w:hint="eastAsia" w:hAnsi="宋体"/>
                <w:sz w:val="21"/>
                <w:szCs w:val="21"/>
                <w:highlight w:val="none"/>
              </w:rPr>
              <w:t>15.3</w:t>
            </w:r>
          </w:p>
        </w:tc>
        <w:tc>
          <w:tcPr>
            <w:tcW w:w="2380" w:type="dxa"/>
            <w:gridSpan w:val="2"/>
            <w:vAlign w:val="center"/>
          </w:tcPr>
          <w:p w14:paraId="27DE747D">
            <w:pPr>
              <w:pStyle w:val="15"/>
              <w:spacing w:line="440" w:lineRule="exact"/>
              <w:rPr>
                <w:rFonts w:hAnsi="宋体"/>
                <w:kern w:val="0"/>
                <w:highlight w:val="none"/>
              </w:rPr>
            </w:pPr>
            <w:r>
              <w:rPr>
                <w:rFonts w:hint="eastAsia" w:hAnsi="宋体"/>
                <w:kern w:val="0"/>
                <w:highlight w:val="none"/>
              </w:rPr>
              <w:t>是否退还响应文件</w:t>
            </w:r>
          </w:p>
        </w:tc>
        <w:tc>
          <w:tcPr>
            <w:tcW w:w="6999" w:type="dxa"/>
            <w:vAlign w:val="center"/>
          </w:tcPr>
          <w:p w14:paraId="3777397C">
            <w:pPr>
              <w:pStyle w:val="15"/>
              <w:spacing w:line="440" w:lineRule="exact"/>
              <w:rPr>
                <w:rFonts w:hAnsi="宋体"/>
                <w:kern w:val="0"/>
                <w:highlight w:val="none"/>
              </w:rPr>
            </w:pPr>
            <w:r>
              <w:rPr>
                <w:rFonts w:hint="eastAsia" w:hAnsi="宋体"/>
                <w:kern w:val="0"/>
                <w:highlight w:val="none"/>
              </w:rPr>
              <w:t>否</w:t>
            </w:r>
          </w:p>
        </w:tc>
      </w:tr>
      <w:tr w14:paraId="1B0270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83" w:type="dxa"/>
            <w:vAlign w:val="center"/>
          </w:tcPr>
          <w:p w14:paraId="4E2B083C">
            <w:pPr>
              <w:pStyle w:val="15"/>
              <w:spacing w:line="440" w:lineRule="exact"/>
              <w:jc w:val="center"/>
              <w:rPr>
                <w:rFonts w:hAnsi="宋体"/>
                <w:kern w:val="0"/>
                <w:highlight w:val="none"/>
              </w:rPr>
            </w:pPr>
            <w:r>
              <w:rPr>
                <w:rFonts w:hint="eastAsia" w:hAnsi="宋体"/>
                <w:kern w:val="0"/>
                <w:highlight w:val="none"/>
              </w:rPr>
              <w:t>16.1</w:t>
            </w:r>
          </w:p>
        </w:tc>
        <w:tc>
          <w:tcPr>
            <w:tcW w:w="2380" w:type="dxa"/>
            <w:gridSpan w:val="2"/>
            <w:vAlign w:val="center"/>
          </w:tcPr>
          <w:p w14:paraId="34239DDB">
            <w:pPr>
              <w:pStyle w:val="15"/>
              <w:spacing w:line="440" w:lineRule="exact"/>
              <w:rPr>
                <w:rFonts w:hAnsi="宋体"/>
                <w:kern w:val="0"/>
                <w:highlight w:val="none"/>
              </w:rPr>
            </w:pPr>
            <w:r>
              <w:rPr>
                <w:rFonts w:hint="eastAsia" w:hAnsi="宋体"/>
                <w:kern w:val="0"/>
                <w:highlight w:val="none"/>
              </w:rPr>
              <w:t>磋商时间和地点</w:t>
            </w:r>
          </w:p>
        </w:tc>
        <w:tc>
          <w:tcPr>
            <w:tcW w:w="6999" w:type="dxa"/>
            <w:vAlign w:val="center"/>
          </w:tcPr>
          <w:p w14:paraId="36D2A9FC">
            <w:pPr>
              <w:pStyle w:val="15"/>
              <w:spacing w:line="440" w:lineRule="exact"/>
              <w:jc w:val="both"/>
              <w:rPr>
                <w:rFonts w:hAnsi="宋体"/>
                <w:kern w:val="0"/>
                <w:highlight w:val="none"/>
              </w:rPr>
            </w:pPr>
            <w:r>
              <w:rPr>
                <w:rFonts w:hint="eastAsia" w:hAnsi="宋体"/>
                <w:kern w:val="0"/>
                <w:highlight w:val="none"/>
              </w:rPr>
              <w:t>磋商响应文件启封时间：</w:t>
            </w:r>
            <w:r>
              <w:rPr>
                <w:rFonts w:hint="eastAsia" w:hAnsi="宋体"/>
                <w:highlight w:val="none"/>
                <w:u w:val="single"/>
                <w:lang w:eastAsia="zh-CN"/>
              </w:rPr>
              <w:t>2026年07月09日15时00分</w:t>
            </w:r>
            <w:r>
              <w:rPr>
                <w:rFonts w:hint="eastAsia" w:hAnsi="宋体"/>
                <w:kern w:val="0"/>
                <w:highlight w:val="none"/>
              </w:rPr>
              <w:t>（北京时间）开始</w:t>
            </w:r>
          </w:p>
          <w:p w14:paraId="1ED1A9A9">
            <w:pPr>
              <w:pStyle w:val="15"/>
              <w:spacing w:line="440" w:lineRule="exact"/>
              <w:rPr>
                <w:rFonts w:hAnsi="宋体"/>
                <w:kern w:val="0"/>
                <w:highlight w:val="none"/>
              </w:rPr>
            </w:pPr>
            <w:r>
              <w:rPr>
                <w:rFonts w:hint="eastAsia" w:hAnsi="宋体"/>
                <w:kern w:val="0"/>
                <w:highlight w:val="none"/>
              </w:rPr>
              <w:t>磋商地点：</w:t>
            </w:r>
            <w:r>
              <w:rPr>
                <w:rFonts w:hint="eastAsia" w:hAnsi="宋体"/>
                <w:bCs/>
                <w:highlight w:val="none"/>
              </w:rPr>
              <w:t>保山市天瑞建设工程招标咨询有限公司一楼会议室</w:t>
            </w:r>
            <w:r>
              <w:rPr>
                <w:rFonts w:hint="eastAsia" w:hAnsi="宋体"/>
                <w:bCs/>
                <w:kern w:val="0"/>
                <w:highlight w:val="none"/>
              </w:rPr>
              <w:t>（保山市隆阳区象山路5号）</w:t>
            </w:r>
          </w:p>
        </w:tc>
      </w:tr>
      <w:tr w14:paraId="4E80A6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83" w:type="dxa"/>
            <w:vMerge w:val="restart"/>
            <w:vAlign w:val="center"/>
          </w:tcPr>
          <w:p w14:paraId="26609174">
            <w:pPr>
              <w:pStyle w:val="15"/>
              <w:spacing w:line="440" w:lineRule="exact"/>
              <w:jc w:val="center"/>
              <w:rPr>
                <w:rFonts w:hAnsi="宋体"/>
                <w:kern w:val="0"/>
                <w:highlight w:val="none"/>
              </w:rPr>
            </w:pPr>
            <w:r>
              <w:rPr>
                <w:rFonts w:hint="eastAsia" w:hAnsi="宋体"/>
                <w:kern w:val="0"/>
                <w:highlight w:val="none"/>
              </w:rPr>
              <w:t>16.4</w:t>
            </w:r>
          </w:p>
        </w:tc>
        <w:tc>
          <w:tcPr>
            <w:tcW w:w="2380" w:type="dxa"/>
            <w:gridSpan w:val="2"/>
            <w:vAlign w:val="center"/>
          </w:tcPr>
          <w:p w14:paraId="081CFDA7">
            <w:pPr>
              <w:pStyle w:val="15"/>
              <w:spacing w:line="440" w:lineRule="exact"/>
              <w:rPr>
                <w:rFonts w:hAnsi="宋体"/>
                <w:kern w:val="0"/>
                <w:highlight w:val="none"/>
              </w:rPr>
            </w:pPr>
            <w:r>
              <w:rPr>
                <w:rFonts w:hint="eastAsia" w:hAnsi="宋体"/>
                <w:kern w:val="0"/>
                <w:highlight w:val="none"/>
              </w:rPr>
              <w:t>磋商程序和方法</w:t>
            </w:r>
          </w:p>
        </w:tc>
        <w:tc>
          <w:tcPr>
            <w:tcW w:w="6999" w:type="dxa"/>
            <w:vAlign w:val="center"/>
          </w:tcPr>
          <w:p w14:paraId="6AB6E9B6">
            <w:pPr>
              <w:pStyle w:val="15"/>
              <w:spacing w:line="440" w:lineRule="exact"/>
              <w:rPr>
                <w:rFonts w:hAnsi="宋体"/>
                <w:kern w:val="0"/>
                <w:highlight w:val="none"/>
              </w:rPr>
            </w:pPr>
            <w:r>
              <w:rPr>
                <w:rFonts w:hint="eastAsia" w:hAnsi="宋体"/>
                <w:kern w:val="0"/>
                <w:highlight w:val="none"/>
              </w:rPr>
              <w:t>综合评估评分法</w:t>
            </w:r>
          </w:p>
        </w:tc>
      </w:tr>
      <w:tr w14:paraId="36EF2A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83" w:type="dxa"/>
            <w:vMerge w:val="continue"/>
            <w:vAlign w:val="center"/>
          </w:tcPr>
          <w:p w14:paraId="3CA53D71">
            <w:pPr>
              <w:pStyle w:val="15"/>
              <w:spacing w:line="440" w:lineRule="exact"/>
              <w:jc w:val="center"/>
              <w:rPr>
                <w:rFonts w:hAnsi="宋体"/>
                <w:kern w:val="0"/>
                <w:highlight w:val="none"/>
              </w:rPr>
            </w:pPr>
          </w:p>
        </w:tc>
        <w:tc>
          <w:tcPr>
            <w:tcW w:w="9379" w:type="dxa"/>
            <w:gridSpan w:val="3"/>
            <w:vAlign w:val="center"/>
          </w:tcPr>
          <w:p w14:paraId="2AF7150D">
            <w:pPr>
              <w:spacing w:line="440" w:lineRule="exact"/>
              <w:rPr>
                <w:rFonts w:ascii="宋体" w:hAnsi="宋体" w:eastAsia="宋体" w:cs="宋体"/>
                <w:bCs/>
                <w:kern w:val="0"/>
                <w:szCs w:val="21"/>
                <w:highlight w:val="none"/>
              </w:rPr>
            </w:pPr>
            <w:r>
              <w:rPr>
                <w:rFonts w:hint="eastAsia" w:ascii="宋体" w:hAnsi="宋体" w:eastAsia="宋体" w:cs="宋体"/>
                <w:bCs/>
                <w:kern w:val="0"/>
                <w:szCs w:val="21"/>
                <w:highlight w:val="none"/>
              </w:rPr>
              <w:t>第六章“磋商程序和方法”第2.1款资格审查标准规定的内容，为参加磋商的磋商申请人必须具备的资格条件，凡有一条不满足的磋商申请人不再参与磋商。请各参加磋商的磋商申请人仔细阅读资格审查标准。</w:t>
            </w:r>
          </w:p>
        </w:tc>
      </w:tr>
      <w:tr w14:paraId="60AD5F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83" w:type="dxa"/>
            <w:vAlign w:val="center"/>
          </w:tcPr>
          <w:p w14:paraId="714FDF31">
            <w:pPr>
              <w:pStyle w:val="15"/>
              <w:spacing w:line="440" w:lineRule="exact"/>
              <w:jc w:val="center"/>
              <w:rPr>
                <w:rFonts w:hAnsi="宋体"/>
                <w:kern w:val="0"/>
                <w:highlight w:val="none"/>
              </w:rPr>
            </w:pPr>
            <w:r>
              <w:rPr>
                <w:rFonts w:hint="eastAsia" w:hAnsi="宋体"/>
                <w:kern w:val="0"/>
                <w:highlight w:val="none"/>
              </w:rPr>
              <w:t>23.1</w:t>
            </w:r>
          </w:p>
        </w:tc>
        <w:tc>
          <w:tcPr>
            <w:tcW w:w="2380" w:type="dxa"/>
            <w:gridSpan w:val="2"/>
            <w:vAlign w:val="center"/>
          </w:tcPr>
          <w:p w14:paraId="2DF8EE67">
            <w:pPr>
              <w:spacing w:line="440" w:lineRule="exact"/>
              <w:rPr>
                <w:rFonts w:ascii="宋体" w:hAnsi="宋体" w:eastAsia="宋体" w:cs="宋体"/>
                <w:bCs/>
                <w:kern w:val="0"/>
                <w:szCs w:val="21"/>
                <w:highlight w:val="none"/>
              </w:rPr>
            </w:pPr>
            <w:r>
              <w:rPr>
                <w:rFonts w:hint="eastAsia" w:ascii="宋体" w:hAnsi="宋体" w:eastAsia="宋体" w:cs="宋体"/>
                <w:szCs w:val="21"/>
                <w:highlight w:val="none"/>
              </w:rPr>
              <w:t>中标服务费</w:t>
            </w:r>
          </w:p>
        </w:tc>
        <w:tc>
          <w:tcPr>
            <w:tcW w:w="6999" w:type="dxa"/>
            <w:vAlign w:val="center"/>
          </w:tcPr>
          <w:p w14:paraId="468B105A">
            <w:pPr>
              <w:spacing w:line="440" w:lineRule="exact"/>
              <w:rPr>
                <w:rFonts w:ascii="宋体" w:hAnsi="宋体" w:eastAsia="宋体" w:cs="宋体"/>
                <w:szCs w:val="21"/>
                <w:highlight w:val="none"/>
              </w:rPr>
            </w:pPr>
            <w:r>
              <w:rPr>
                <w:rFonts w:hint="eastAsia" w:ascii="宋体" w:hAnsi="宋体" w:eastAsia="宋体" w:cs="宋体"/>
                <w:szCs w:val="21"/>
                <w:highlight w:val="none"/>
              </w:rPr>
              <w:t>中标服务费</w:t>
            </w:r>
            <w:r>
              <w:rPr>
                <w:rFonts w:hint="eastAsia" w:ascii="宋体" w:hAnsi="宋体" w:eastAsia="宋体" w:cs="宋体"/>
                <w:bCs/>
                <w:kern w:val="0"/>
                <w:szCs w:val="21"/>
                <w:highlight w:val="none"/>
              </w:rPr>
              <w:t>：采购代理机构根据《云南省建设工程及政府采购代理服务收费参考意见》（云建招协</w:t>
            </w:r>
            <w:r>
              <w:rPr>
                <w:rFonts w:hint="eastAsia" w:ascii="宋体" w:hAnsi="宋体" w:eastAsia="宋体" w:cs="宋体"/>
                <w:szCs w:val="21"/>
                <w:highlight w:val="none"/>
              </w:rPr>
              <w:t>〔2026〕11号</w:t>
            </w:r>
            <w:r>
              <w:rPr>
                <w:rFonts w:hint="eastAsia" w:ascii="宋体" w:hAnsi="宋体" w:eastAsia="宋体" w:cs="宋体"/>
                <w:bCs/>
                <w:kern w:val="0"/>
                <w:szCs w:val="21"/>
                <w:highlight w:val="none"/>
              </w:rPr>
              <w:t>）中服务类标准向成交人收取中标服务费，并以成交金额为计算</w:t>
            </w:r>
            <w:r>
              <w:rPr>
                <w:rFonts w:hint="eastAsia" w:ascii="宋体" w:hAnsi="宋体" w:eastAsia="宋体" w:cs="宋体"/>
                <w:szCs w:val="21"/>
                <w:highlight w:val="none"/>
              </w:rPr>
              <w:t>费用基数，计费规则如下：</w:t>
            </w:r>
          </w:p>
          <w:p w14:paraId="61004DDB">
            <w:pPr>
              <w:spacing w:line="440" w:lineRule="exact"/>
              <w:rPr>
                <w:rFonts w:ascii="宋体" w:hAnsi="宋体" w:eastAsia="宋体" w:cs="宋体"/>
                <w:szCs w:val="21"/>
                <w:highlight w:val="none"/>
              </w:rPr>
            </w:pPr>
            <w:r>
              <w:rPr>
                <w:rFonts w:hint="eastAsia" w:ascii="宋体" w:hAnsi="宋体" w:eastAsia="宋体" w:cs="宋体"/>
                <w:szCs w:val="21"/>
                <w:highlight w:val="none"/>
              </w:rPr>
              <w:t>（1）中标服务费（万元）=成交金额×1.5%。若计算后的中标服务费低于5000.00元的按5000.00元收取。</w:t>
            </w:r>
          </w:p>
          <w:p w14:paraId="7DEBB21A">
            <w:pPr>
              <w:spacing w:line="440" w:lineRule="exact"/>
              <w:rPr>
                <w:rFonts w:ascii="宋体" w:hAnsi="宋体" w:eastAsia="宋体" w:cs="宋体"/>
                <w:szCs w:val="21"/>
                <w:highlight w:val="none"/>
              </w:rPr>
            </w:pPr>
            <w:r>
              <w:rPr>
                <w:rFonts w:hint="eastAsia" w:ascii="宋体" w:hAnsi="宋体" w:eastAsia="宋体" w:cs="宋体"/>
                <w:szCs w:val="21"/>
                <w:highlight w:val="none"/>
              </w:rPr>
              <w:t>（2）成交人在领取成交通知书时一次性向采购代理机构支付。除上述费用外，不再收取其他任何费用。</w:t>
            </w:r>
          </w:p>
          <w:p w14:paraId="2A9D97B9">
            <w:pPr>
              <w:spacing w:line="440" w:lineRule="exact"/>
              <w:rPr>
                <w:rFonts w:ascii="宋体" w:hAnsi="宋体" w:eastAsia="宋体" w:cs="宋体"/>
                <w:szCs w:val="21"/>
                <w:highlight w:val="none"/>
              </w:rPr>
            </w:pPr>
            <w:r>
              <w:rPr>
                <w:rFonts w:hint="eastAsia" w:ascii="宋体" w:hAnsi="宋体" w:eastAsia="宋体" w:cs="宋体"/>
                <w:szCs w:val="21"/>
                <w:highlight w:val="none"/>
              </w:rPr>
              <w:t>（3）招标代理费（成交服务费）缴纳指定账户：</w:t>
            </w:r>
          </w:p>
          <w:p w14:paraId="5752A776">
            <w:pPr>
              <w:spacing w:line="440" w:lineRule="exact"/>
              <w:rPr>
                <w:rFonts w:ascii="宋体" w:hAnsi="宋体" w:eastAsia="宋体" w:cs="宋体"/>
                <w:szCs w:val="21"/>
                <w:highlight w:val="none"/>
              </w:rPr>
            </w:pPr>
            <w:r>
              <w:rPr>
                <w:rFonts w:hint="eastAsia" w:ascii="宋体" w:hAnsi="宋体" w:eastAsia="宋体" w:cs="宋体"/>
                <w:szCs w:val="21"/>
                <w:highlight w:val="none"/>
              </w:rPr>
              <w:t>户名：保山市天瑞建设工程招标咨询有限公司</w:t>
            </w:r>
          </w:p>
          <w:p w14:paraId="67C349C9">
            <w:pPr>
              <w:spacing w:line="440" w:lineRule="exact"/>
              <w:rPr>
                <w:rFonts w:ascii="宋体" w:hAnsi="宋体" w:eastAsia="宋体" w:cs="宋体"/>
                <w:szCs w:val="21"/>
                <w:highlight w:val="none"/>
              </w:rPr>
            </w:pPr>
            <w:r>
              <w:rPr>
                <w:rFonts w:hint="eastAsia" w:ascii="宋体" w:hAnsi="宋体" w:eastAsia="宋体" w:cs="宋体"/>
                <w:szCs w:val="21"/>
                <w:highlight w:val="none"/>
              </w:rPr>
              <w:t>开户银行：中国建设银行股份有限公司保山新村支行</w:t>
            </w:r>
          </w:p>
          <w:p w14:paraId="04FEC91A">
            <w:pPr>
              <w:spacing w:line="440" w:lineRule="exact"/>
              <w:rPr>
                <w:rFonts w:ascii="宋体" w:hAnsi="宋体" w:eastAsia="宋体" w:cs="宋体"/>
                <w:szCs w:val="21"/>
                <w:highlight w:val="none"/>
              </w:rPr>
            </w:pPr>
            <w:r>
              <w:rPr>
                <w:rFonts w:hint="eastAsia" w:ascii="宋体" w:hAnsi="宋体" w:eastAsia="宋体" w:cs="宋体"/>
                <w:szCs w:val="21"/>
                <w:highlight w:val="none"/>
              </w:rPr>
              <w:t>账号：5300 1728 6420 5100 0568</w:t>
            </w:r>
          </w:p>
          <w:p w14:paraId="409341B0">
            <w:pPr>
              <w:spacing w:line="440" w:lineRule="exact"/>
              <w:rPr>
                <w:rFonts w:ascii="宋体" w:hAnsi="宋体" w:eastAsia="宋体" w:cs="宋体"/>
                <w:szCs w:val="21"/>
                <w:highlight w:val="none"/>
              </w:rPr>
            </w:pPr>
            <w:r>
              <w:rPr>
                <w:rFonts w:hint="eastAsia" w:ascii="宋体" w:hAnsi="宋体" w:eastAsia="宋体" w:cs="宋体"/>
                <w:szCs w:val="21"/>
                <w:highlight w:val="none"/>
              </w:rPr>
              <w:t>汇入地址：云南省保山市</w:t>
            </w:r>
          </w:p>
          <w:p w14:paraId="5B3DF304">
            <w:pPr>
              <w:spacing w:line="440" w:lineRule="exact"/>
              <w:rPr>
                <w:rFonts w:ascii="宋体" w:hAnsi="宋体" w:eastAsia="宋体" w:cs="宋体"/>
                <w:highlight w:val="none"/>
              </w:rPr>
            </w:pPr>
            <w:r>
              <w:rPr>
                <w:rFonts w:hint="eastAsia" w:ascii="宋体" w:hAnsi="宋体" w:eastAsia="宋体" w:cs="宋体"/>
                <w:szCs w:val="21"/>
                <w:highlight w:val="none"/>
              </w:rPr>
              <w:t>联系人：寸女士</w:t>
            </w:r>
          </w:p>
        </w:tc>
      </w:tr>
      <w:tr w14:paraId="17710D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83" w:type="dxa"/>
            <w:vAlign w:val="center"/>
          </w:tcPr>
          <w:p w14:paraId="4ECDE553">
            <w:pPr>
              <w:pStyle w:val="15"/>
              <w:spacing w:line="440" w:lineRule="exact"/>
              <w:jc w:val="center"/>
              <w:rPr>
                <w:rFonts w:hAnsi="宋体"/>
                <w:kern w:val="0"/>
                <w:highlight w:val="none"/>
              </w:rPr>
            </w:pPr>
            <w:r>
              <w:rPr>
                <w:rFonts w:hint="eastAsia" w:hAnsi="宋体"/>
                <w:kern w:val="0"/>
                <w:highlight w:val="none"/>
              </w:rPr>
              <w:t>25.1</w:t>
            </w:r>
          </w:p>
        </w:tc>
        <w:tc>
          <w:tcPr>
            <w:tcW w:w="9379" w:type="dxa"/>
            <w:gridSpan w:val="3"/>
            <w:vAlign w:val="center"/>
          </w:tcPr>
          <w:p w14:paraId="24DDD4E5">
            <w:pPr>
              <w:pStyle w:val="15"/>
              <w:spacing w:line="440" w:lineRule="exact"/>
              <w:rPr>
                <w:rFonts w:hAnsi="宋体"/>
                <w:kern w:val="0"/>
                <w:highlight w:val="none"/>
              </w:rPr>
            </w:pPr>
            <w:r>
              <w:rPr>
                <w:rFonts w:hint="eastAsia" w:hAnsi="宋体"/>
                <w:kern w:val="0"/>
                <w:highlight w:val="none"/>
              </w:rPr>
              <w:t>需要补充的其他内容</w:t>
            </w:r>
          </w:p>
        </w:tc>
      </w:tr>
      <w:tr w14:paraId="048475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83" w:type="dxa"/>
            <w:vAlign w:val="center"/>
          </w:tcPr>
          <w:p w14:paraId="2249FA57">
            <w:pPr>
              <w:pStyle w:val="15"/>
              <w:spacing w:line="440" w:lineRule="exact"/>
              <w:jc w:val="center"/>
              <w:rPr>
                <w:rFonts w:hAnsi="宋体"/>
                <w:kern w:val="0"/>
                <w:highlight w:val="none"/>
              </w:rPr>
            </w:pPr>
            <w:r>
              <w:rPr>
                <w:rFonts w:hint="eastAsia" w:hAnsi="宋体"/>
                <w:kern w:val="0"/>
                <w:highlight w:val="none"/>
              </w:rPr>
              <w:t>25.1.1</w:t>
            </w:r>
          </w:p>
        </w:tc>
        <w:tc>
          <w:tcPr>
            <w:tcW w:w="9379" w:type="dxa"/>
            <w:gridSpan w:val="3"/>
            <w:vAlign w:val="center"/>
          </w:tcPr>
          <w:p w14:paraId="46723D8F">
            <w:pPr>
              <w:pStyle w:val="15"/>
              <w:spacing w:line="440" w:lineRule="exact"/>
              <w:rPr>
                <w:rFonts w:hAnsi="宋体"/>
                <w:kern w:val="0"/>
                <w:highlight w:val="none"/>
              </w:rPr>
            </w:pPr>
            <w:r>
              <w:rPr>
                <w:rFonts w:hint="eastAsia" w:hAnsi="宋体"/>
                <w:kern w:val="0"/>
                <w:highlight w:val="none"/>
              </w:rPr>
              <w:t>磋商报价说明和要求：</w:t>
            </w:r>
          </w:p>
          <w:p w14:paraId="7B9D45F6">
            <w:pPr>
              <w:pStyle w:val="15"/>
              <w:spacing w:line="440" w:lineRule="exact"/>
              <w:rPr>
                <w:rFonts w:hAnsi="宋体"/>
                <w:kern w:val="0"/>
                <w:highlight w:val="none"/>
              </w:rPr>
            </w:pPr>
            <w:r>
              <w:rPr>
                <w:rFonts w:hint="eastAsia" w:hAnsi="宋体"/>
                <w:kern w:val="0"/>
                <w:highlight w:val="none"/>
              </w:rPr>
              <w:t>（1）磋商报价要求：参与本项目的磋商申请人须根据竞争性磋商文件要求分别填报磋商报价总价、分项报价等信息，磋商报价须包含本项目采购所涉及的“昌宁县医共体总医院慢病管理信息系统”开发设计费、根据采购人要求进行系统安装部署服务费，信息系统集成服务费、相关数据接口开发服务费、新建系统与采购人指定相关系统数据对接和系统集成实施服务费、信息数据整合服务费、系统初验及终验的优化适配服务费、项目测试验收服务费，项目技术支持服务费、技术培训及售后运维服务费，以及为开展本项目服务工作必需的项目管理费、人工费、差旅费，必需的税、费（参与本项目采购活动所必须的相关费用）、风险（含不可预见费）等所有费用，以上各项费用应核算到项目的单价和总价报价中，无需单列。</w:t>
            </w:r>
          </w:p>
          <w:p w14:paraId="07FBCBAC">
            <w:pPr>
              <w:pStyle w:val="15"/>
              <w:spacing w:line="440" w:lineRule="exact"/>
              <w:rPr>
                <w:rFonts w:hAnsi="宋体"/>
                <w:kern w:val="0"/>
                <w:highlight w:val="none"/>
              </w:rPr>
            </w:pPr>
            <w:r>
              <w:rPr>
                <w:rFonts w:hint="eastAsia" w:hAnsi="宋体"/>
                <w:kern w:val="0"/>
                <w:highlight w:val="none"/>
              </w:rPr>
              <w:t>（2）磋商报价其他说明：以上磋商报价视为包含竞争性磋商文件规定的其他项目和服务等方面内容，都应包含在磋商报价中（包括竞争性磋商文件中提到的或没有提到的产品按照过程中所必备各种配套辅助材料及配件和项目实施发生其他技术服务工作等）。即凡磋商申请人在竞争性磋商文件中承诺或涉及的或者是完成本项目交付使用必需的费用，磋商申请人为完成本项目交付使用存在漏报费用时，均视为已包括在磋商总报价或相应项目的单价及总价中。</w:t>
            </w:r>
          </w:p>
          <w:p w14:paraId="12103078">
            <w:pPr>
              <w:pStyle w:val="15"/>
              <w:spacing w:line="440" w:lineRule="exact"/>
              <w:rPr>
                <w:rFonts w:hAnsi="宋体"/>
                <w:highlight w:val="none"/>
              </w:rPr>
            </w:pPr>
            <w:r>
              <w:rPr>
                <w:rFonts w:hint="eastAsia" w:hAnsi="宋体"/>
                <w:kern w:val="0"/>
                <w:highlight w:val="none"/>
              </w:rPr>
              <w:t>（3）最终磋商报价应按照云南省政府采购电子交易平台系统提示和要求在规定时间内填报。磋商申请人一旦成交，成交价即作为合同签订的执行依据，合同履行过程中，合同金额将不作调整。</w:t>
            </w:r>
          </w:p>
        </w:tc>
      </w:tr>
      <w:tr w14:paraId="675BE8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83" w:type="dxa"/>
            <w:vAlign w:val="center"/>
          </w:tcPr>
          <w:p w14:paraId="392E4AF2">
            <w:pPr>
              <w:pStyle w:val="15"/>
              <w:spacing w:line="440" w:lineRule="exact"/>
              <w:jc w:val="center"/>
              <w:rPr>
                <w:rFonts w:hAnsi="宋体"/>
                <w:kern w:val="0"/>
                <w:highlight w:val="none"/>
              </w:rPr>
            </w:pPr>
            <w:r>
              <w:rPr>
                <w:rFonts w:hint="eastAsia" w:hAnsi="宋体"/>
                <w:kern w:val="0"/>
                <w:highlight w:val="none"/>
              </w:rPr>
              <w:t>25.1.2</w:t>
            </w:r>
          </w:p>
        </w:tc>
        <w:tc>
          <w:tcPr>
            <w:tcW w:w="9379" w:type="dxa"/>
            <w:gridSpan w:val="3"/>
            <w:vAlign w:val="center"/>
          </w:tcPr>
          <w:p w14:paraId="6FEF17F1">
            <w:pPr>
              <w:pStyle w:val="15"/>
              <w:spacing w:line="440" w:lineRule="exact"/>
              <w:rPr>
                <w:rFonts w:hAnsi="宋体"/>
                <w:kern w:val="0"/>
                <w:highlight w:val="none"/>
              </w:rPr>
            </w:pPr>
            <w:r>
              <w:rPr>
                <w:rFonts w:hint="eastAsia" w:hAnsi="宋体"/>
                <w:kern w:val="0"/>
                <w:highlight w:val="none"/>
              </w:rPr>
              <w:t>评审办法：综合评分法（详见第六章磋商程序和方法）</w:t>
            </w:r>
          </w:p>
        </w:tc>
      </w:tr>
      <w:tr w14:paraId="670287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83" w:type="dxa"/>
            <w:vAlign w:val="center"/>
          </w:tcPr>
          <w:p w14:paraId="23D267D3">
            <w:pPr>
              <w:pStyle w:val="15"/>
              <w:spacing w:line="440" w:lineRule="exact"/>
              <w:jc w:val="center"/>
              <w:rPr>
                <w:rFonts w:hAnsi="宋体"/>
                <w:kern w:val="0"/>
                <w:highlight w:val="none"/>
              </w:rPr>
            </w:pPr>
            <w:r>
              <w:rPr>
                <w:rFonts w:hint="eastAsia" w:hAnsi="宋体"/>
                <w:kern w:val="0"/>
                <w:highlight w:val="none"/>
              </w:rPr>
              <w:t>25.1.3</w:t>
            </w:r>
          </w:p>
        </w:tc>
        <w:tc>
          <w:tcPr>
            <w:tcW w:w="9379" w:type="dxa"/>
            <w:gridSpan w:val="3"/>
            <w:vAlign w:val="center"/>
          </w:tcPr>
          <w:p w14:paraId="08130BF0">
            <w:pPr>
              <w:pStyle w:val="15"/>
              <w:keepNext/>
              <w:spacing w:line="440" w:lineRule="exact"/>
              <w:rPr>
                <w:rFonts w:hAnsi="宋体"/>
                <w:kern w:val="0"/>
                <w:highlight w:val="none"/>
              </w:rPr>
            </w:pPr>
            <w:r>
              <w:rPr>
                <w:rFonts w:hint="eastAsia" w:hAnsi="宋体"/>
                <w:kern w:val="0"/>
                <w:highlight w:val="none"/>
              </w:rPr>
              <w:t>书面提疑时间：2026年0</w:t>
            </w:r>
            <w:r>
              <w:rPr>
                <w:rFonts w:hint="eastAsia" w:hAnsi="宋体"/>
                <w:kern w:val="0"/>
                <w:highlight w:val="none"/>
                <w:lang w:val="en-US" w:eastAsia="zh-CN"/>
              </w:rPr>
              <w:t>7</w:t>
            </w:r>
            <w:r>
              <w:rPr>
                <w:rFonts w:hint="eastAsia" w:hAnsi="宋体"/>
                <w:kern w:val="0"/>
                <w:highlight w:val="none"/>
              </w:rPr>
              <w:t>月</w:t>
            </w:r>
            <w:r>
              <w:rPr>
                <w:rFonts w:hint="eastAsia" w:hAnsi="宋体"/>
                <w:kern w:val="0"/>
                <w:highlight w:val="none"/>
                <w:lang w:val="en-US" w:eastAsia="zh-CN"/>
              </w:rPr>
              <w:t>03</w:t>
            </w:r>
            <w:r>
              <w:rPr>
                <w:rFonts w:hint="eastAsia" w:hAnsi="宋体"/>
                <w:kern w:val="0"/>
                <w:highlight w:val="none"/>
              </w:rPr>
              <w:t>日17时00分前，</w:t>
            </w:r>
            <w:r>
              <w:rPr>
                <w:rFonts w:hint="eastAsia" w:hAnsi="宋体"/>
                <w:highlight w:val="none"/>
              </w:rPr>
              <w:t>在竞争性磋商获取时间前，所有获取了竞争性磋商文件的潜在磋商申请人通过书面形式向或</w:t>
            </w:r>
            <w:r>
              <w:rPr>
                <w:rFonts w:hint="eastAsia" w:hAnsi="宋体"/>
                <w:kern w:val="0"/>
                <w:highlight w:val="none"/>
              </w:rPr>
              <w:t>云南省政府采购电子交易平台</w:t>
            </w:r>
            <w:r>
              <w:rPr>
                <w:rFonts w:hint="eastAsia" w:hAnsi="宋体"/>
                <w:highlight w:val="none"/>
              </w:rPr>
              <w:t>向采购代理机构提问。</w:t>
            </w:r>
          </w:p>
          <w:p w14:paraId="668AEB43">
            <w:pPr>
              <w:pStyle w:val="15"/>
              <w:spacing w:line="440" w:lineRule="exact"/>
              <w:rPr>
                <w:rFonts w:hAnsi="宋体"/>
                <w:kern w:val="0"/>
                <w:highlight w:val="none"/>
              </w:rPr>
            </w:pPr>
            <w:r>
              <w:rPr>
                <w:rFonts w:hint="eastAsia" w:hAnsi="宋体"/>
                <w:kern w:val="0"/>
                <w:highlight w:val="none"/>
              </w:rPr>
              <w:t>书面答疑时间：2026年0</w:t>
            </w:r>
            <w:r>
              <w:rPr>
                <w:rFonts w:hint="eastAsia" w:hAnsi="宋体"/>
                <w:kern w:val="0"/>
                <w:highlight w:val="none"/>
                <w:lang w:val="en-US" w:eastAsia="zh-CN"/>
              </w:rPr>
              <w:t>7</w:t>
            </w:r>
            <w:r>
              <w:rPr>
                <w:rFonts w:hint="eastAsia" w:hAnsi="宋体"/>
                <w:kern w:val="0"/>
                <w:highlight w:val="none"/>
              </w:rPr>
              <w:t>月</w:t>
            </w:r>
            <w:r>
              <w:rPr>
                <w:rFonts w:hint="eastAsia" w:hAnsi="宋体"/>
                <w:kern w:val="0"/>
                <w:highlight w:val="none"/>
                <w:lang w:val="en-US" w:eastAsia="zh-CN"/>
              </w:rPr>
              <w:t>06</w:t>
            </w:r>
            <w:r>
              <w:rPr>
                <w:rFonts w:hint="eastAsia" w:hAnsi="宋体"/>
                <w:kern w:val="0"/>
                <w:highlight w:val="none"/>
              </w:rPr>
              <w:t>日17时00分前，</w:t>
            </w:r>
            <w:r>
              <w:rPr>
                <w:rFonts w:hint="eastAsia" w:hAnsi="宋体"/>
                <w:highlight w:val="none"/>
              </w:rPr>
              <w:t>由采购代理机构以补遗书方式按程序报有采购人同意后，向潜在磋商申请人发布，且磋商申请人须回函确认。若发生实质性变更的，磋商时间、磋商响应文件递交时间顺延，顺延时间为自发布实质性变更的更正公告之日起不少于5日历天。</w:t>
            </w:r>
          </w:p>
        </w:tc>
      </w:tr>
      <w:tr w14:paraId="44178C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83" w:type="dxa"/>
            <w:vAlign w:val="center"/>
          </w:tcPr>
          <w:p w14:paraId="26C5A57D">
            <w:pPr>
              <w:pStyle w:val="15"/>
              <w:spacing w:line="440" w:lineRule="exact"/>
              <w:jc w:val="center"/>
              <w:rPr>
                <w:rFonts w:hAnsi="宋体"/>
                <w:kern w:val="0"/>
                <w:highlight w:val="none"/>
              </w:rPr>
            </w:pPr>
            <w:r>
              <w:rPr>
                <w:rFonts w:hint="eastAsia" w:hAnsi="宋体"/>
                <w:kern w:val="0"/>
                <w:highlight w:val="none"/>
              </w:rPr>
              <w:t>25.1.4</w:t>
            </w:r>
          </w:p>
        </w:tc>
        <w:tc>
          <w:tcPr>
            <w:tcW w:w="9379" w:type="dxa"/>
            <w:gridSpan w:val="3"/>
            <w:vAlign w:val="center"/>
          </w:tcPr>
          <w:p w14:paraId="1CC5D9B5">
            <w:pPr>
              <w:pStyle w:val="15"/>
              <w:spacing w:line="440" w:lineRule="exact"/>
              <w:rPr>
                <w:rFonts w:hAnsi="宋体"/>
                <w:highlight w:val="none"/>
              </w:rPr>
            </w:pPr>
            <w:r>
              <w:rPr>
                <w:rFonts w:hint="eastAsia" w:hAnsi="宋体"/>
                <w:highlight w:val="none"/>
              </w:rPr>
              <w:t>实质性商务条款说明：实质性商务条款包含合同履行期限、项目服务地点、项目售后运维服务期限等非技术要求的指标。</w:t>
            </w:r>
          </w:p>
        </w:tc>
      </w:tr>
      <w:tr w14:paraId="6A3E41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83" w:type="dxa"/>
            <w:vAlign w:val="center"/>
          </w:tcPr>
          <w:p w14:paraId="79854AB5">
            <w:pPr>
              <w:pStyle w:val="15"/>
              <w:spacing w:line="440" w:lineRule="exact"/>
              <w:jc w:val="center"/>
              <w:rPr>
                <w:rFonts w:hAnsi="宋体"/>
                <w:kern w:val="0"/>
                <w:highlight w:val="none"/>
              </w:rPr>
            </w:pPr>
            <w:r>
              <w:rPr>
                <w:rFonts w:hint="eastAsia" w:hAnsi="宋体"/>
                <w:kern w:val="0"/>
                <w:highlight w:val="none"/>
              </w:rPr>
              <w:t>25.1.5</w:t>
            </w:r>
          </w:p>
        </w:tc>
        <w:tc>
          <w:tcPr>
            <w:tcW w:w="9379" w:type="dxa"/>
            <w:gridSpan w:val="3"/>
            <w:vAlign w:val="center"/>
          </w:tcPr>
          <w:p w14:paraId="3AAA7315">
            <w:pPr>
              <w:pStyle w:val="15"/>
              <w:spacing w:line="440" w:lineRule="exact"/>
              <w:rPr>
                <w:rFonts w:hAnsi="宋体"/>
                <w:b/>
                <w:bCs/>
                <w:highlight w:val="none"/>
              </w:rPr>
            </w:pPr>
            <w:r>
              <w:rPr>
                <w:rFonts w:hint="eastAsia" w:hAnsi="宋体"/>
                <w:b/>
                <w:bCs/>
                <w:highlight w:val="none"/>
              </w:rPr>
              <w:t>关于本项目的实质性要求（采购文件没有标注为实质性条款的，不作为实质性要求的评审范围）：</w:t>
            </w:r>
          </w:p>
          <w:p w14:paraId="5F9EE775">
            <w:pPr>
              <w:pStyle w:val="15"/>
              <w:spacing w:line="440" w:lineRule="exact"/>
              <w:rPr>
                <w:rFonts w:hAnsi="宋体"/>
                <w:b/>
                <w:bCs/>
                <w:highlight w:val="none"/>
              </w:rPr>
            </w:pPr>
            <w:r>
              <w:rPr>
                <w:rFonts w:hint="eastAsia" w:hAnsi="宋体"/>
                <w:b/>
                <w:bCs/>
                <w:highlight w:val="none"/>
              </w:rPr>
              <w:t>（1）磋商申请人填报的“实质性商务条款”不满足采购需求的，则视为实质性不响应。</w:t>
            </w:r>
          </w:p>
          <w:p w14:paraId="49C231C4">
            <w:pPr>
              <w:pStyle w:val="15"/>
              <w:spacing w:line="440" w:lineRule="exact"/>
              <w:rPr>
                <w:rFonts w:hAnsi="宋体"/>
                <w:b/>
                <w:bCs/>
                <w:highlight w:val="none"/>
              </w:rPr>
            </w:pPr>
            <w:r>
              <w:rPr>
                <w:rFonts w:hint="eastAsia" w:hAnsi="宋体"/>
                <w:b/>
                <w:bCs/>
                <w:highlight w:val="none"/>
              </w:rPr>
              <w:t>（2）磋商申请人未按竞争性磋商文件要求提供“关于拟开发设计的软件产品和提供的服务不受第三方侵权的书面承诺”的，则视为实质性不响应。</w:t>
            </w:r>
          </w:p>
          <w:p w14:paraId="72DDEF30">
            <w:pPr>
              <w:pStyle w:val="15"/>
              <w:spacing w:line="440" w:lineRule="exact"/>
              <w:rPr>
                <w:rFonts w:hAnsi="宋体"/>
                <w:b/>
                <w:bCs/>
                <w:highlight w:val="none"/>
              </w:rPr>
            </w:pPr>
            <w:r>
              <w:rPr>
                <w:rFonts w:hint="eastAsia" w:hAnsi="宋体"/>
                <w:b/>
                <w:bCs/>
                <w:highlight w:val="none"/>
              </w:rPr>
              <w:t>（3）磋商申请人未竞争性磋商文件按要求完整填报“无串通投标行为的承诺函”的，则视为实质性不响应。</w:t>
            </w:r>
          </w:p>
          <w:p w14:paraId="0228CF19">
            <w:pPr>
              <w:pStyle w:val="15"/>
              <w:spacing w:line="440" w:lineRule="exact"/>
              <w:rPr>
                <w:rFonts w:hAnsi="宋体"/>
                <w:b/>
                <w:bCs/>
                <w:highlight w:val="none"/>
              </w:rPr>
            </w:pPr>
            <w:r>
              <w:rPr>
                <w:rFonts w:hint="eastAsia" w:hAnsi="宋体"/>
                <w:b/>
                <w:bCs/>
                <w:highlight w:val="none"/>
              </w:rPr>
              <w:t>（4）磋商响应文件中如有瞒报或虚报或提供虚假材料的，则视为实质性不响应。</w:t>
            </w:r>
          </w:p>
          <w:p w14:paraId="09CD1C9D">
            <w:pPr>
              <w:pStyle w:val="15"/>
              <w:spacing w:line="440" w:lineRule="exact"/>
              <w:rPr>
                <w:rFonts w:hAnsi="宋体"/>
                <w:highlight w:val="none"/>
              </w:rPr>
            </w:pPr>
            <w:r>
              <w:rPr>
                <w:rFonts w:hint="eastAsia" w:hAnsi="宋体"/>
                <w:b/>
                <w:bCs/>
                <w:highlight w:val="none"/>
              </w:rPr>
              <w:t>（5）磋商响应文件中提出采购人不能接受的条款的，则视为实质性不响应。</w:t>
            </w:r>
          </w:p>
        </w:tc>
      </w:tr>
      <w:tr w14:paraId="690F9D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83" w:type="dxa"/>
            <w:vAlign w:val="center"/>
          </w:tcPr>
          <w:p w14:paraId="241B6380">
            <w:pPr>
              <w:pStyle w:val="15"/>
              <w:spacing w:line="440" w:lineRule="exact"/>
              <w:jc w:val="center"/>
              <w:rPr>
                <w:rFonts w:hAnsi="宋体"/>
                <w:kern w:val="0"/>
                <w:highlight w:val="none"/>
              </w:rPr>
            </w:pPr>
            <w:r>
              <w:rPr>
                <w:rFonts w:hint="eastAsia" w:hAnsi="宋体"/>
                <w:kern w:val="0"/>
                <w:highlight w:val="none"/>
              </w:rPr>
              <w:t>25.1.6</w:t>
            </w:r>
          </w:p>
        </w:tc>
        <w:tc>
          <w:tcPr>
            <w:tcW w:w="9379" w:type="dxa"/>
            <w:gridSpan w:val="3"/>
            <w:vAlign w:val="center"/>
          </w:tcPr>
          <w:p w14:paraId="751B7AD4">
            <w:pPr>
              <w:widowControl/>
              <w:spacing w:line="440" w:lineRule="exact"/>
              <w:jc w:val="left"/>
              <w:rPr>
                <w:rFonts w:ascii="宋体" w:hAnsi="宋体" w:eastAsia="宋体" w:cs="宋体"/>
                <w:szCs w:val="21"/>
                <w:highlight w:val="none"/>
              </w:rPr>
            </w:pPr>
            <w:r>
              <w:rPr>
                <w:rFonts w:hint="eastAsia" w:ascii="宋体" w:hAnsi="宋体" w:eastAsia="宋体" w:cs="宋体"/>
                <w:szCs w:val="21"/>
                <w:highlight w:val="none"/>
              </w:rPr>
              <w:t>本项目对小微企业的评审：</w:t>
            </w:r>
            <w:r>
              <w:rPr>
                <w:rFonts w:hint="eastAsia" w:ascii="宋体" w:hAnsi="宋体" w:eastAsia="宋体" w:cs="宋体"/>
                <w:szCs w:val="21"/>
                <w:highlight w:val="none"/>
              </w:rPr>
              <w:fldChar w:fldCharType="begin"/>
            </w:r>
            <w:r>
              <w:rPr>
                <w:rFonts w:hint="eastAsia" w:ascii="宋体" w:hAnsi="宋体" w:eastAsia="宋体" w:cs="宋体"/>
                <w:szCs w:val="21"/>
                <w:highlight w:val="none"/>
              </w:rPr>
              <w:instrText xml:space="preserve"> eq \o\ac(□,</w:instrText>
            </w:r>
            <w:r>
              <w:rPr>
                <w:rFonts w:hint="eastAsia" w:ascii="宋体" w:hAnsi="宋体" w:eastAsia="宋体" w:cs="宋体"/>
                <w:position w:val="2"/>
                <w:szCs w:val="21"/>
                <w:highlight w:val="none"/>
              </w:rPr>
              <w:instrText xml:space="preserve">√</w:instrText>
            </w:r>
            <w:r>
              <w:rPr>
                <w:rFonts w:hint="eastAsia" w:ascii="宋体" w:hAnsi="宋体" w:eastAsia="宋体" w:cs="宋体"/>
                <w:szCs w:val="21"/>
                <w:highlight w:val="none"/>
              </w:rPr>
              <w:instrText xml:space="preserve">)</w:instrText>
            </w:r>
            <w:r>
              <w:rPr>
                <w:rFonts w:hint="eastAsia" w:ascii="宋体" w:hAnsi="宋体" w:eastAsia="宋体" w:cs="宋体"/>
                <w:szCs w:val="21"/>
                <w:highlight w:val="none"/>
              </w:rPr>
              <w:fldChar w:fldCharType="end"/>
            </w:r>
            <w:r>
              <w:rPr>
                <w:rFonts w:hint="eastAsia" w:ascii="宋体" w:hAnsi="宋体" w:eastAsia="宋体" w:cs="宋体"/>
                <w:szCs w:val="21"/>
                <w:highlight w:val="none"/>
              </w:rPr>
              <w:t>适用  □不适用，本项目不属于专门面向中小企业的政府采购项目。</w:t>
            </w:r>
          </w:p>
          <w:p w14:paraId="70C86308">
            <w:pPr>
              <w:widowControl/>
              <w:spacing w:line="440" w:lineRule="exact"/>
              <w:jc w:val="left"/>
              <w:rPr>
                <w:rFonts w:ascii="宋体" w:hAnsi="宋体" w:eastAsia="宋体" w:cs="宋体"/>
                <w:szCs w:val="21"/>
                <w:highlight w:val="none"/>
              </w:rPr>
            </w:pPr>
            <w:r>
              <w:rPr>
                <w:rFonts w:hint="eastAsia" w:ascii="宋体" w:hAnsi="宋体" w:eastAsia="宋体" w:cs="宋体"/>
                <w:szCs w:val="21"/>
                <w:highlight w:val="none"/>
              </w:rPr>
              <w:t>中小微型企业有关政策如下：</w:t>
            </w:r>
          </w:p>
          <w:p w14:paraId="53064AC9">
            <w:pPr>
              <w:widowControl/>
              <w:spacing w:line="440" w:lineRule="exact"/>
              <w:jc w:val="left"/>
              <w:rPr>
                <w:rFonts w:ascii="宋体" w:hAnsi="宋体" w:eastAsia="宋体" w:cs="宋体"/>
                <w:szCs w:val="21"/>
                <w:highlight w:val="none"/>
              </w:rPr>
            </w:pPr>
            <w:r>
              <w:rPr>
                <w:rFonts w:hint="eastAsia" w:ascii="宋体" w:hAnsi="宋体" w:eastAsia="宋体" w:cs="宋体"/>
                <w:szCs w:val="21"/>
                <w:highlight w:val="none"/>
              </w:rPr>
              <w:t>（1）根据《中华人民共和国中小企业促进法》《政府采购促进中小企业发展管理办法》《</w:t>
            </w:r>
            <w:r>
              <w:rPr>
                <w:rFonts w:hint="eastAsia" w:ascii="宋体" w:hAnsi="宋体" w:eastAsia="宋体" w:cs="宋体"/>
                <w:kern w:val="0"/>
                <w:szCs w:val="21"/>
                <w:highlight w:val="none"/>
              </w:rPr>
              <w:t xml:space="preserve">关于进一步加大政府采购支持中小企业力度的通知》（财库〔2022〕19号）《云南省进一步帮扶中小微企业纾困发展工作方案》（云政办发〔2022〕42号） </w:t>
            </w:r>
            <w:r>
              <w:rPr>
                <w:rFonts w:hint="eastAsia" w:ascii="宋体" w:hAnsi="宋体" w:eastAsia="宋体" w:cs="宋体"/>
                <w:szCs w:val="21"/>
                <w:highlight w:val="none"/>
              </w:rPr>
              <w:t>规定执行；</w:t>
            </w:r>
          </w:p>
          <w:p w14:paraId="4125EA50">
            <w:pPr>
              <w:widowControl/>
              <w:spacing w:line="440" w:lineRule="exact"/>
              <w:jc w:val="left"/>
              <w:rPr>
                <w:rFonts w:ascii="宋体" w:hAnsi="宋体" w:eastAsia="宋体" w:cs="宋体"/>
                <w:szCs w:val="21"/>
                <w:highlight w:val="none"/>
              </w:rPr>
            </w:pPr>
            <w:r>
              <w:rPr>
                <w:rFonts w:hint="eastAsia" w:ascii="宋体" w:hAnsi="宋体" w:eastAsia="宋体" w:cs="宋体"/>
                <w:szCs w:val="21"/>
                <w:highlight w:val="none"/>
              </w:rPr>
              <w:t>（2）根据工信部等部委发布的《关于印发中小企业划型标准规定的通知》（工信部联企业〔2011〕300号）规定执行；</w:t>
            </w:r>
            <w:r>
              <w:rPr>
                <w:rFonts w:hint="eastAsia" w:ascii="宋体" w:hAnsi="宋体" w:eastAsia="宋体" w:cs="宋体"/>
                <w:b/>
                <w:bCs/>
                <w:szCs w:val="21"/>
                <w:highlight w:val="none"/>
              </w:rPr>
              <w:t>本项目属于服务类项目，行业为软件和信息技术服务业。</w:t>
            </w:r>
          </w:p>
          <w:p w14:paraId="40A36AB8">
            <w:pPr>
              <w:widowControl/>
              <w:spacing w:line="440" w:lineRule="exact"/>
              <w:jc w:val="left"/>
              <w:rPr>
                <w:rFonts w:ascii="宋体" w:hAnsi="宋体" w:eastAsia="宋体" w:cs="宋体"/>
                <w:szCs w:val="21"/>
                <w:highlight w:val="none"/>
              </w:rPr>
            </w:pPr>
            <w:r>
              <w:rPr>
                <w:rFonts w:hint="eastAsia" w:ascii="宋体" w:hAnsi="宋体" w:eastAsia="宋体" w:cs="宋体"/>
                <w:szCs w:val="21"/>
                <w:highlight w:val="none"/>
              </w:rPr>
              <w:t>（3）按照《财政部司法部关于政府采购支持监狱企业发展有关问题的通知》（财库〔2014〕68号）文件规定，在政府采购活动中，监狱企业视同小型、微型企业，享受评审中价格扣除的政府采购政策；</w:t>
            </w:r>
          </w:p>
          <w:p w14:paraId="40AC00C3">
            <w:pPr>
              <w:widowControl/>
              <w:spacing w:line="440" w:lineRule="exact"/>
              <w:jc w:val="left"/>
              <w:rPr>
                <w:rFonts w:ascii="宋体" w:hAnsi="宋体" w:eastAsia="宋体" w:cs="宋体"/>
                <w:szCs w:val="21"/>
                <w:highlight w:val="none"/>
              </w:rPr>
            </w:pPr>
            <w:r>
              <w:rPr>
                <w:rFonts w:hint="eastAsia" w:ascii="宋体" w:hAnsi="宋体" w:eastAsia="宋体" w:cs="宋体"/>
                <w:szCs w:val="21"/>
                <w:highlight w:val="none"/>
              </w:rPr>
              <w:t>（4）按照《财政部民政部中国残疾人联合会关于促进残疾人就业政府采购政策的通知》，残疾人福利性单位视同小型、微型企业，享受评审中价格扣除的政府采购政策，残疾人福利性单位属于小型、微型企业的，不重复享受政策；</w:t>
            </w:r>
          </w:p>
          <w:p w14:paraId="62BF1D56">
            <w:pPr>
              <w:widowControl/>
              <w:spacing w:line="440" w:lineRule="exact"/>
              <w:jc w:val="left"/>
              <w:rPr>
                <w:rFonts w:ascii="宋体" w:hAnsi="宋体" w:eastAsia="宋体" w:cs="宋体"/>
                <w:szCs w:val="21"/>
                <w:highlight w:val="none"/>
              </w:rPr>
            </w:pPr>
            <w:r>
              <w:rPr>
                <w:rFonts w:hint="eastAsia" w:ascii="宋体" w:hAnsi="宋体" w:eastAsia="宋体" w:cs="宋体"/>
                <w:szCs w:val="21"/>
                <w:highlight w:val="none"/>
              </w:rPr>
              <w:t>（5）价格扣除幅度：小型、微型企业产品（提供本企业制造的货物、承担的工程或者服务，或者提供其他小型、微型企业制造的货物）价格给予10%（工程类的3%）的扣除。在货物采购项目中，供应商提供的货物既有中小企业制造货物，也有大型企业制造货物的，不享受本办法规定的中小企业扶持政策。</w:t>
            </w:r>
          </w:p>
          <w:p w14:paraId="52498911">
            <w:pPr>
              <w:pStyle w:val="15"/>
              <w:spacing w:line="440" w:lineRule="exact"/>
              <w:rPr>
                <w:rFonts w:hAnsi="宋体"/>
                <w:kern w:val="0"/>
                <w:highlight w:val="none"/>
              </w:rPr>
            </w:pPr>
            <w:r>
              <w:rPr>
                <w:rFonts w:hint="eastAsia" w:hAnsi="宋体"/>
                <w:highlight w:val="none"/>
              </w:rPr>
              <w:t>（6）如果联合协议中约定，小型、微型企业和监狱企业的协议合同金额占到联合体协议合同总金额30%以上的，可给予联合体4 %（工程类的1%）的价格扣除。联合体各方均为小型、微型企业和监狱企业的，联合体视同为小型、微型企业和监狱企业。组成联合体或者接受分包的小微企业与联合体内其他企业、分包企业之间存在直接控股、管理关系的，不享受价格扣除优惠政策。</w:t>
            </w:r>
            <w:r>
              <w:rPr>
                <w:rFonts w:hint="eastAsia" w:hAnsi="宋体"/>
                <w:b/>
                <w:bCs/>
                <w:highlight w:val="none"/>
              </w:rPr>
              <w:t>本项目不接受分包，不接受联合体，此条不适用。</w:t>
            </w:r>
          </w:p>
        </w:tc>
      </w:tr>
      <w:tr w14:paraId="486237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83" w:type="dxa"/>
            <w:vAlign w:val="center"/>
          </w:tcPr>
          <w:p w14:paraId="68F32EF1">
            <w:pPr>
              <w:pStyle w:val="15"/>
              <w:spacing w:line="440" w:lineRule="exact"/>
              <w:jc w:val="center"/>
              <w:rPr>
                <w:rFonts w:hAnsi="宋体"/>
                <w:kern w:val="0"/>
                <w:highlight w:val="none"/>
              </w:rPr>
            </w:pPr>
            <w:r>
              <w:rPr>
                <w:rFonts w:hint="eastAsia" w:hAnsi="宋体"/>
                <w:kern w:val="0"/>
                <w:highlight w:val="none"/>
              </w:rPr>
              <w:t>25.1.7</w:t>
            </w:r>
          </w:p>
        </w:tc>
        <w:tc>
          <w:tcPr>
            <w:tcW w:w="9379" w:type="dxa"/>
            <w:gridSpan w:val="3"/>
            <w:vAlign w:val="center"/>
          </w:tcPr>
          <w:p w14:paraId="4BBAA6E2">
            <w:pPr>
              <w:pStyle w:val="15"/>
              <w:spacing w:line="440" w:lineRule="exact"/>
              <w:rPr>
                <w:rFonts w:hAnsi="宋体"/>
                <w:kern w:val="0"/>
                <w:highlight w:val="none"/>
              </w:rPr>
            </w:pPr>
            <w:r>
              <w:rPr>
                <w:rFonts w:hint="eastAsia" w:hAnsi="宋体"/>
                <w:kern w:val="0"/>
                <w:highlight w:val="none"/>
              </w:rPr>
              <w:t>本项目对环境标志产品及节能产品的评审：</w:t>
            </w:r>
            <w:r>
              <w:rPr>
                <w:rFonts w:hint="eastAsia" w:hAnsi="宋体"/>
                <w:highlight w:val="none"/>
              </w:rPr>
              <w:fldChar w:fldCharType="begin"/>
            </w:r>
            <w:r>
              <w:rPr>
                <w:rFonts w:hint="eastAsia" w:hAnsi="宋体"/>
                <w:highlight w:val="none"/>
              </w:rPr>
              <w:instrText xml:space="preserve"> eq \o\ac(□)</w:instrText>
            </w:r>
            <w:r>
              <w:rPr>
                <w:rFonts w:hint="eastAsia" w:hAnsi="宋体"/>
                <w:highlight w:val="none"/>
              </w:rPr>
              <w:fldChar w:fldCharType="end"/>
            </w:r>
            <w:r>
              <w:rPr>
                <w:rFonts w:hint="eastAsia" w:hAnsi="宋体"/>
                <w:highlight w:val="none"/>
              </w:rPr>
              <w:t>适用  ☑不适用</w:t>
            </w:r>
            <w:r>
              <w:rPr>
                <w:rFonts w:hint="eastAsia" w:hAnsi="宋体"/>
                <w:kern w:val="0"/>
                <w:highlight w:val="none"/>
              </w:rPr>
              <w:t>。</w:t>
            </w:r>
          </w:p>
          <w:p w14:paraId="31ADACC4">
            <w:pPr>
              <w:pStyle w:val="15"/>
              <w:spacing w:line="440" w:lineRule="exact"/>
              <w:rPr>
                <w:rFonts w:hAnsi="宋体"/>
                <w:kern w:val="0"/>
                <w:highlight w:val="none"/>
              </w:rPr>
            </w:pPr>
            <w:r>
              <w:rPr>
                <w:rFonts w:hint="eastAsia" w:hAnsi="宋体"/>
                <w:kern w:val="0"/>
                <w:highlight w:val="none"/>
              </w:rPr>
              <w:t>（1）落实强制采购节能产品、鼓励节能政策：</w:t>
            </w:r>
            <w:r>
              <w:rPr>
                <w:rFonts w:hint="eastAsia" w:hAnsi="宋体"/>
                <w:highlight w:val="none"/>
              </w:rPr>
              <w:t>对国家公布的节能产品政府采购清单中属于强制采购的产品，予以强制采购。属于非强制采购的产品，在技术、服务等指标同等条件下，予以优先采购。执行政策文件：《国务院办公厅关于建立政府强制采购节能产品制度的通知》（国办发〔2007〕51号）、《财政部 发展改革委 生态环境部 市场监管总局关于调整优化节能产品、环境标志产品政府采购执行机制的通知》（财库〔2019〕9号）、《关于印发节能产品政府采购品目清单的通知》（财库〔2019〕19号）等文件。</w:t>
            </w:r>
          </w:p>
          <w:p w14:paraId="17A28DE9">
            <w:pPr>
              <w:pStyle w:val="15"/>
              <w:spacing w:line="440" w:lineRule="exact"/>
              <w:rPr>
                <w:rFonts w:hAnsi="宋体"/>
                <w:kern w:val="0"/>
                <w:highlight w:val="none"/>
              </w:rPr>
            </w:pPr>
            <w:r>
              <w:rPr>
                <w:rFonts w:hint="eastAsia" w:hAnsi="宋体"/>
                <w:kern w:val="0"/>
                <w:highlight w:val="none"/>
              </w:rPr>
              <w:t>（2）鼓励环保政策：</w:t>
            </w:r>
            <w:r>
              <w:rPr>
                <w:rFonts w:hint="eastAsia" w:hAnsi="宋体"/>
                <w:highlight w:val="none"/>
              </w:rPr>
              <w:t>在技术、服务等指标同等条件下，优先采购国家公布的属于环境标志产品政府采购清单中产品。执行政策文件：《关于环境标志产品政府采购实施的意见》（财库〔2006〕90号）、《财政部 发展改革委 生态环境部 市场监管总局关于调整优化节能产品、环境标志产品政府采购执行机制的通知》（财库〔2019〕9号）、《关于印发环境标志产品政府采购品目清单的通知》（财库〔2019〕18号）等文件。</w:t>
            </w:r>
          </w:p>
          <w:p w14:paraId="78E9028E">
            <w:pPr>
              <w:pStyle w:val="15"/>
              <w:spacing w:line="440" w:lineRule="exact"/>
              <w:rPr>
                <w:rFonts w:hAnsi="宋体"/>
                <w:kern w:val="0"/>
                <w:highlight w:val="none"/>
              </w:rPr>
            </w:pPr>
            <w:r>
              <w:rPr>
                <w:rFonts w:hint="eastAsia" w:hAnsi="宋体"/>
                <w:kern w:val="0"/>
                <w:highlight w:val="none"/>
              </w:rPr>
              <w:t>（3）根据《节能产品政府采购实施意见》（财库〔2004〕185 号）、《财政部 发展改革委 生态环境部 市场监管总局 关于调整优化节能产品、环境标志产品政府采购执行机制的通知》（财库〔2019〕9号），如果服务单位拟供的产品属于“节能产品政府采购清单”中的，按照磋商办法中要求给予加分。服务单位须提供证明材料（请提供在中国政府采购网“节能产品清单”中产品查询结果截图），否则评标时不予认可。</w:t>
            </w:r>
          </w:p>
          <w:p w14:paraId="42F5FF04">
            <w:pPr>
              <w:pStyle w:val="15"/>
              <w:spacing w:line="440" w:lineRule="exact"/>
              <w:rPr>
                <w:rFonts w:hAnsi="宋体"/>
                <w:kern w:val="0"/>
                <w:highlight w:val="none"/>
              </w:rPr>
            </w:pPr>
            <w:r>
              <w:rPr>
                <w:rFonts w:hint="eastAsia" w:hAnsi="宋体"/>
                <w:kern w:val="0"/>
                <w:highlight w:val="none"/>
              </w:rPr>
              <w:t>（4）根据《关于环境标志产品政府采购实施的意见》（财库〔2006〕90 号）、《财政部 发展改革委 生态环境部 市场监管总局 关于调整优化节能产品、环境标志产品政府采购执行机制的通知》（财库〔2019〕9号），如果服务单位拟供的产品属于“环境标志产品政府采购清单”中的，按照磋商办法中要求给予加分。服务单位须提供证明材料（必须提供在中国政府采购网“环保标志产品清单” 中产品查询结果截图），否则评标时不予认可。</w:t>
            </w:r>
          </w:p>
        </w:tc>
      </w:tr>
      <w:tr w14:paraId="210E3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83" w:type="dxa"/>
            <w:vAlign w:val="center"/>
          </w:tcPr>
          <w:p w14:paraId="3314F1AB">
            <w:pPr>
              <w:pStyle w:val="15"/>
              <w:spacing w:line="440" w:lineRule="exact"/>
              <w:jc w:val="center"/>
              <w:rPr>
                <w:rFonts w:hAnsi="宋体"/>
                <w:kern w:val="0"/>
                <w:highlight w:val="none"/>
              </w:rPr>
            </w:pPr>
            <w:r>
              <w:rPr>
                <w:rFonts w:hint="eastAsia" w:hAnsi="宋体"/>
                <w:kern w:val="0"/>
                <w:highlight w:val="none"/>
              </w:rPr>
              <w:t>25.1.8</w:t>
            </w:r>
          </w:p>
        </w:tc>
        <w:tc>
          <w:tcPr>
            <w:tcW w:w="9379" w:type="dxa"/>
            <w:gridSpan w:val="3"/>
            <w:vAlign w:val="center"/>
          </w:tcPr>
          <w:p w14:paraId="0AF27C3E">
            <w:pPr>
              <w:pStyle w:val="15"/>
              <w:spacing w:line="440" w:lineRule="exact"/>
              <w:rPr>
                <w:rFonts w:hAnsi="宋体"/>
                <w:b/>
                <w:bCs/>
                <w:kern w:val="0"/>
                <w:highlight w:val="none"/>
              </w:rPr>
            </w:pPr>
            <w:r>
              <w:rPr>
                <w:rFonts w:hint="eastAsia" w:hAnsi="宋体"/>
                <w:b/>
                <w:bCs/>
                <w:kern w:val="0"/>
                <w:highlight w:val="none"/>
              </w:rPr>
              <w:t>本项目对本国产品的评审：</w:t>
            </w:r>
            <w:r>
              <w:rPr>
                <w:rFonts w:hint="eastAsia" w:hAnsi="宋体"/>
                <w:highlight w:val="none"/>
              </w:rPr>
              <w:fldChar w:fldCharType="begin"/>
            </w:r>
            <w:r>
              <w:rPr>
                <w:rFonts w:hint="eastAsia" w:hAnsi="宋体"/>
                <w:highlight w:val="none"/>
              </w:rPr>
              <w:instrText xml:space="preserve"> eq \o\ac(□)</w:instrText>
            </w:r>
            <w:r>
              <w:rPr>
                <w:rFonts w:hint="eastAsia" w:hAnsi="宋体"/>
                <w:highlight w:val="none"/>
              </w:rPr>
              <w:fldChar w:fldCharType="end"/>
            </w:r>
            <w:r>
              <w:rPr>
                <w:rFonts w:hint="eastAsia" w:hAnsi="宋体"/>
                <w:highlight w:val="none"/>
              </w:rPr>
              <w:t>适用  ☑不适用</w:t>
            </w:r>
            <w:r>
              <w:rPr>
                <w:rFonts w:hint="eastAsia" w:hAnsi="宋体"/>
                <w:kern w:val="0"/>
                <w:highlight w:val="none"/>
              </w:rPr>
              <w:t>。</w:t>
            </w:r>
          </w:p>
          <w:p w14:paraId="7762D79F">
            <w:pPr>
              <w:pStyle w:val="15"/>
              <w:spacing w:line="440" w:lineRule="exact"/>
              <w:rPr>
                <w:rFonts w:hAnsi="宋体"/>
                <w:kern w:val="0"/>
                <w:highlight w:val="none"/>
              </w:rPr>
            </w:pPr>
            <w:r>
              <w:rPr>
                <w:rFonts w:hint="eastAsia" w:hAnsi="宋体"/>
                <w:kern w:val="0"/>
                <w:highlight w:val="none"/>
              </w:rPr>
              <w:t>（1）实施政策：《国务院办公厅关于在政府采购中实施本国产品标准及相关政策的通知》（国办发〔2025〕34号）、《关于贯彻落实〈国务院办公厅关于在政府采购中实施本国产品标准及相关政策的通知〉的意见》（财库〔2025〕30号）。</w:t>
            </w:r>
          </w:p>
          <w:p w14:paraId="27E0C7CD">
            <w:pPr>
              <w:pStyle w:val="15"/>
              <w:spacing w:line="440" w:lineRule="exact"/>
              <w:rPr>
                <w:rFonts w:hAnsi="宋体"/>
                <w:kern w:val="0"/>
                <w:highlight w:val="none"/>
              </w:rPr>
            </w:pPr>
            <w:r>
              <w:rPr>
                <w:rFonts w:hint="eastAsia" w:hAnsi="宋体"/>
                <w:kern w:val="0"/>
                <w:highlight w:val="none"/>
              </w:rPr>
              <w:t>（2）本国产品标准的适用范围：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7235704D">
            <w:pPr>
              <w:pStyle w:val="15"/>
              <w:spacing w:line="440" w:lineRule="exact"/>
              <w:rPr>
                <w:rFonts w:hAnsi="宋体"/>
                <w:kern w:val="0"/>
                <w:highlight w:val="none"/>
              </w:rPr>
            </w:pPr>
            <w:r>
              <w:rPr>
                <w:rFonts w:hint="eastAsia" w:hAnsi="宋体"/>
                <w:kern w:val="0"/>
                <w:highlight w:val="none"/>
              </w:rPr>
              <w:t>（3）本国产品应当符合以下条件：</w:t>
            </w:r>
          </w:p>
          <w:p w14:paraId="7163112E">
            <w:pPr>
              <w:pStyle w:val="15"/>
              <w:spacing w:line="440" w:lineRule="exact"/>
              <w:rPr>
                <w:rFonts w:hAnsi="宋体"/>
                <w:kern w:val="0"/>
                <w:highlight w:val="none"/>
              </w:rPr>
            </w:pPr>
            <w:r>
              <w:rPr>
                <w:rFonts w:hint="eastAsia" w:hAnsi="宋体"/>
                <w:kern w:val="0"/>
                <w:highlight w:val="none"/>
              </w:rPr>
              <w:t>A.按照《国务院办公厅关于在政府采购中实施本国产品标准及相关政策的通知》（国办发〔2025〕34号）中“（一）在中国境内生产”的标准执行。</w:t>
            </w:r>
          </w:p>
          <w:p w14:paraId="164EBB47">
            <w:pPr>
              <w:pStyle w:val="15"/>
              <w:spacing w:line="440" w:lineRule="exact"/>
              <w:rPr>
                <w:rFonts w:hAnsi="宋体"/>
                <w:kern w:val="0"/>
                <w:highlight w:val="none"/>
              </w:rPr>
            </w:pPr>
            <w:r>
              <w:rPr>
                <w:rFonts w:hint="eastAsia" w:hAnsi="宋体"/>
                <w:kern w:val="0"/>
                <w:highlight w:val="none"/>
              </w:rPr>
              <w:t>产品应当在中国境内生产，即在中华人民共和国关境内实现从原材料、组件到产品的属性改变。</w:t>
            </w:r>
          </w:p>
          <w:p w14:paraId="12B7A69D">
            <w:pPr>
              <w:pStyle w:val="15"/>
              <w:spacing w:line="440" w:lineRule="exact"/>
              <w:rPr>
                <w:rFonts w:hAnsi="宋体"/>
                <w:kern w:val="0"/>
                <w:highlight w:val="none"/>
              </w:rPr>
            </w:pPr>
            <w:r>
              <w:rPr>
                <w:rFonts w:hint="eastAsia" w:hAnsi="宋体"/>
                <w:kern w:val="0"/>
                <w:highlight w:val="none"/>
              </w:rPr>
              <w:t>属性改变是指经过制造、加工或者组装等工序，产生完全不同于原材料、组件的新产品，并具有新的名称和特征（用途）。属性改变不包括以下细微操作：</w:t>
            </w:r>
          </w:p>
          <w:p w14:paraId="13DB0CDF">
            <w:pPr>
              <w:pStyle w:val="15"/>
              <w:spacing w:line="440" w:lineRule="exact"/>
              <w:rPr>
                <w:rFonts w:hAnsi="宋体"/>
                <w:kern w:val="0"/>
                <w:highlight w:val="none"/>
              </w:rPr>
            </w:pPr>
            <w:r>
              <w:rPr>
                <w:rFonts w:hint="eastAsia" w:hAnsi="宋体"/>
                <w:kern w:val="0"/>
                <w:highlight w:val="none"/>
              </w:rPr>
              <w:t>a.为确保产品在运输或者储存期间保持某种状态而进行的操作；</w:t>
            </w:r>
          </w:p>
          <w:p w14:paraId="4638084B">
            <w:pPr>
              <w:pStyle w:val="15"/>
              <w:spacing w:line="440" w:lineRule="exact"/>
              <w:rPr>
                <w:rFonts w:hAnsi="宋体"/>
                <w:kern w:val="0"/>
                <w:highlight w:val="none"/>
              </w:rPr>
            </w:pPr>
            <w:r>
              <w:rPr>
                <w:rFonts w:hint="eastAsia" w:hAnsi="宋体"/>
                <w:kern w:val="0"/>
                <w:highlight w:val="none"/>
              </w:rPr>
              <w:t>b.为产品运输或者销售进行的包装或者展示；</w:t>
            </w:r>
          </w:p>
          <w:p w14:paraId="20FE81F8">
            <w:pPr>
              <w:pStyle w:val="15"/>
              <w:spacing w:line="440" w:lineRule="exact"/>
              <w:rPr>
                <w:rFonts w:hAnsi="宋体"/>
                <w:kern w:val="0"/>
                <w:highlight w:val="none"/>
              </w:rPr>
            </w:pPr>
            <w:r>
              <w:rPr>
                <w:rFonts w:hint="eastAsia" w:hAnsi="宋体"/>
                <w:kern w:val="0"/>
                <w:highlight w:val="none"/>
              </w:rPr>
              <w:t>c.在产品或者其包装上粘贴或者印刷品牌、标志、标识以及其他用于区别的标记；</w:t>
            </w:r>
          </w:p>
          <w:p w14:paraId="30A30EC5">
            <w:pPr>
              <w:pStyle w:val="15"/>
              <w:spacing w:line="440" w:lineRule="exact"/>
              <w:rPr>
                <w:rFonts w:hAnsi="宋体"/>
                <w:kern w:val="0"/>
                <w:highlight w:val="none"/>
              </w:rPr>
            </w:pPr>
            <w:r>
              <w:rPr>
                <w:rFonts w:hint="eastAsia" w:hAnsi="宋体"/>
                <w:kern w:val="0"/>
                <w:highlight w:val="none"/>
              </w:rPr>
              <w:t>d.简单的上漆、磨光和分装；</w:t>
            </w:r>
          </w:p>
          <w:p w14:paraId="16029F66">
            <w:pPr>
              <w:pStyle w:val="15"/>
              <w:spacing w:line="440" w:lineRule="exact"/>
              <w:rPr>
                <w:rFonts w:hAnsi="宋体"/>
                <w:kern w:val="0"/>
                <w:highlight w:val="none"/>
              </w:rPr>
            </w:pPr>
            <w:r>
              <w:rPr>
                <w:rFonts w:hint="eastAsia" w:hAnsi="宋体"/>
                <w:kern w:val="0"/>
                <w:highlight w:val="none"/>
              </w:rPr>
              <w:t>e.其他不属于属性改变的情形。</w:t>
            </w:r>
          </w:p>
          <w:p w14:paraId="0016FF71">
            <w:pPr>
              <w:pStyle w:val="15"/>
              <w:spacing w:line="440" w:lineRule="exact"/>
              <w:rPr>
                <w:rFonts w:hAnsi="宋体"/>
                <w:kern w:val="0"/>
                <w:highlight w:val="none"/>
              </w:rPr>
            </w:pPr>
            <w:r>
              <w:rPr>
                <w:rFonts w:hint="eastAsia" w:hAnsi="宋体"/>
                <w:kern w:val="0"/>
                <w:highlight w:val="none"/>
              </w:rPr>
              <w:t>B.按照《关于贯彻落实〈国务院办公厅关于在政府采购中实施本国产品标准及相关政策的通知〉的意见》（财库〔2025〕30号）中“对医疗器械产品，取得药品监督管理部门授予的准字号医疗器械注册证的，属于在中国境内生产的产品；其他产品，根据实际情况判断是否在中国境内生产”的标准执行。</w:t>
            </w:r>
          </w:p>
          <w:p w14:paraId="31CCB91A">
            <w:pPr>
              <w:pStyle w:val="15"/>
              <w:spacing w:line="440" w:lineRule="exact"/>
              <w:rPr>
                <w:rFonts w:hAnsi="宋体"/>
                <w:kern w:val="0"/>
                <w:highlight w:val="none"/>
              </w:rPr>
            </w:pPr>
            <w:r>
              <w:rPr>
                <w:rFonts w:hint="eastAsia" w:hAnsi="宋体"/>
                <w:kern w:val="0"/>
                <w:highlight w:val="none"/>
              </w:rPr>
              <w:t>④对本国产品的支持政策</w:t>
            </w:r>
          </w:p>
          <w:p w14:paraId="171A966E">
            <w:pPr>
              <w:pStyle w:val="15"/>
              <w:spacing w:line="440" w:lineRule="exact"/>
              <w:rPr>
                <w:rFonts w:hAnsi="宋体"/>
                <w:kern w:val="0"/>
                <w:highlight w:val="none"/>
              </w:rPr>
            </w:pPr>
            <w:r>
              <w:rPr>
                <w:rFonts w:hint="eastAsia" w:hAnsi="宋体"/>
                <w:kern w:val="0"/>
                <w:highlight w:val="none"/>
              </w:rPr>
              <w:t>A.政府采购活动中既有本国产品又有非本国产品参与竞争的，依法对本国产品给予价格评审优惠，对本国产品的报价给予20%的价格扣除，用扣除后的价格参与评审。</w:t>
            </w:r>
          </w:p>
          <w:p w14:paraId="2F30FD44">
            <w:pPr>
              <w:pStyle w:val="15"/>
              <w:spacing w:line="440" w:lineRule="exact"/>
              <w:rPr>
                <w:rFonts w:hAnsi="宋体"/>
                <w:kern w:val="0"/>
                <w:highlight w:val="none"/>
              </w:rPr>
            </w:pPr>
            <w:r>
              <w:rPr>
                <w:rFonts w:hint="eastAsia" w:hAnsi="宋体"/>
                <w:kern w:val="0"/>
                <w:highlight w:val="none"/>
              </w:rPr>
              <w:t>B.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tc>
      </w:tr>
      <w:tr w14:paraId="34B5C0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83" w:type="dxa"/>
            <w:vAlign w:val="center"/>
          </w:tcPr>
          <w:p w14:paraId="28256DDE">
            <w:pPr>
              <w:pStyle w:val="15"/>
              <w:spacing w:line="440" w:lineRule="exact"/>
              <w:jc w:val="center"/>
              <w:rPr>
                <w:rFonts w:hAnsi="宋体"/>
                <w:kern w:val="0"/>
                <w:highlight w:val="none"/>
              </w:rPr>
            </w:pPr>
            <w:r>
              <w:rPr>
                <w:rFonts w:hint="eastAsia" w:hAnsi="宋体"/>
                <w:kern w:val="0"/>
                <w:highlight w:val="none"/>
              </w:rPr>
              <w:t>25.1.9</w:t>
            </w:r>
          </w:p>
        </w:tc>
        <w:tc>
          <w:tcPr>
            <w:tcW w:w="9379" w:type="dxa"/>
            <w:gridSpan w:val="3"/>
            <w:vAlign w:val="center"/>
          </w:tcPr>
          <w:p w14:paraId="68346D57">
            <w:pPr>
              <w:widowControl/>
              <w:snapToGrid w:val="0"/>
              <w:spacing w:line="440" w:lineRule="exact"/>
              <w:jc w:val="left"/>
              <w:rPr>
                <w:rFonts w:ascii="宋体" w:hAnsi="宋体" w:eastAsia="宋体" w:cs="宋体"/>
                <w:b/>
                <w:bCs/>
                <w:highlight w:val="none"/>
              </w:rPr>
            </w:pPr>
            <w:r>
              <w:rPr>
                <w:rFonts w:hint="eastAsia" w:ascii="宋体" w:hAnsi="宋体" w:eastAsia="宋体" w:cs="宋体"/>
                <w:b/>
                <w:bCs/>
                <w:highlight w:val="none"/>
              </w:rPr>
              <w:t>其它：</w:t>
            </w:r>
          </w:p>
          <w:p w14:paraId="5DA30C2A">
            <w:pPr>
              <w:widowControl/>
              <w:snapToGrid w:val="0"/>
              <w:spacing w:line="440" w:lineRule="exact"/>
              <w:jc w:val="left"/>
              <w:rPr>
                <w:rFonts w:ascii="宋体" w:hAnsi="宋体" w:eastAsia="宋体" w:cs="宋体"/>
                <w:kern w:val="0"/>
                <w:highlight w:val="none"/>
              </w:rPr>
            </w:pPr>
            <w:r>
              <w:rPr>
                <w:rFonts w:hint="eastAsia" w:ascii="宋体" w:hAnsi="宋体" w:eastAsia="宋体" w:cs="宋体"/>
                <w:kern w:val="0"/>
                <w:highlight w:val="none"/>
              </w:rPr>
              <w:t>（1）本竞争性磋商文件中所提到的公章：指公安部门备案的行政公章或合法有效的电子公章；签字：指亲笔签字或合法的电子签名。</w:t>
            </w:r>
          </w:p>
          <w:p w14:paraId="499819B7">
            <w:pPr>
              <w:widowControl/>
              <w:snapToGrid w:val="0"/>
              <w:spacing w:line="440" w:lineRule="exact"/>
              <w:jc w:val="left"/>
              <w:rPr>
                <w:rFonts w:ascii="宋体" w:hAnsi="宋体" w:eastAsia="宋体" w:cs="宋体"/>
                <w:kern w:val="0"/>
                <w:highlight w:val="none"/>
              </w:rPr>
            </w:pPr>
            <w:r>
              <w:rPr>
                <w:rFonts w:hint="eastAsia" w:ascii="宋体" w:hAnsi="宋体" w:eastAsia="宋体" w:cs="宋体"/>
                <w:kern w:val="0"/>
                <w:highlight w:val="none"/>
              </w:rPr>
              <w:t>注：</w:t>
            </w:r>
            <w:r>
              <w:rPr>
                <w:rFonts w:hint="eastAsia" w:ascii="宋体" w:hAnsi="宋体" w:eastAsia="宋体" w:cs="宋体"/>
                <w:kern w:val="0"/>
                <w:szCs w:val="21"/>
                <w:highlight w:val="none"/>
              </w:rPr>
              <w:t>法定代表人：是指具有独立承担民事责任的法人机构的法定代表人；负责人：是指具有独立承担民事责任的非法人机构行使机构管理和代表权利义务的主体，如：自然人本人、个体经营户的经营者、民办非企业单位（社会团体）和合伙制机构等非法人机构的负责人。</w:t>
            </w:r>
          </w:p>
          <w:p w14:paraId="6E799F8C">
            <w:pPr>
              <w:widowControl/>
              <w:snapToGrid w:val="0"/>
              <w:spacing w:line="440" w:lineRule="exact"/>
              <w:jc w:val="left"/>
              <w:rPr>
                <w:rFonts w:ascii="宋体" w:hAnsi="宋体" w:eastAsia="宋体" w:cs="宋体"/>
                <w:kern w:val="0"/>
                <w:highlight w:val="none"/>
              </w:rPr>
            </w:pPr>
            <w:r>
              <w:rPr>
                <w:rFonts w:hint="eastAsia" w:ascii="宋体" w:hAnsi="宋体" w:eastAsia="宋体" w:cs="宋体"/>
                <w:kern w:val="0"/>
                <w:highlight w:val="none"/>
              </w:rPr>
              <w:t>（2）串标围标判定依据：</w:t>
            </w:r>
          </w:p>
          <w:p w14:paraId="0C4E3050">
            <w:pPr>
              <w:widowControl/>
              <w:snapToGrid w:val="0"/>
              <w:spacing w:line="440" w:lineRule="exact"/>
              <w:jc w:val="left"/>
              <w:rPr>
                <w:rFonts w:ascii="宋体" w:hAnsi="宋体" w:eastAsia="宋体" w:cs="宋体"/>
                <w:kern w:val="0"/>
                <w:highlight w:val="none"/>
              </w:rPr>
            </w:pPr>
            <w:r>
              <w:rPr>
                <w:rFonts w:hint="eastAsia" w:ascii="宋体" w:hAnsi="宋体" w:eastAsia="宋体" w:cs="宋体"/>
                <w:kern w:val="0"/>
                <w:highlight w:val="none"/>
              </w:rPr>
              <w:t>①不同磋商申请人提交的磋商响应文件中内容错漏之处出现高度一致，或其他内容出现高度一致性（除竞争性磋商文件中规定的内容外）的；</w:t>
            </w:r>
          </w:p>
          <w:p w14:paraId="41BDA8A9">
            <w:pPr>
              <w:widowControl/>
              <w:snapToGrid w:val="0"/>
              <w:spacing w:line="440" w:lineRule="exact"/>
              <w:jc w:val="left"/>
              <w:rPr>
                <w:rFonts w:ascii="宋体" w:hAnsi="宋体" w:eastAsia="宋体" w:cs="宋体"/>
                <w:kern w:val="0"/>
                <w:highlight w:val="none"/>
              </w:rPr>
            </w:pPr>
            <w:r>
              <w:rPr>
                <w:rFonts w:hint="eastAsia" w:ascii="宋体" w:hAnsi="宋体" w:eastAsia="宋体" w:cs="宋体"/>
                <w:kern w:val="0"/>
                <w:highlight w:val="none"/>
              </w:rPr>
              <w:t>②不同磋商申请人的磋商响应文件相互混装的；</w:t>
            </w:r>
          </w:p>
          <w:p w14:paraId="7E407F5A">
            <w:pPr>
              <w:widowControl/>
              <w:snapToGrid w:val="0"/>
              <w:spacing w:line="440" w:lineRule="exact"/>
              <w:jc w:val="left"/>
              <w:rPr>
                <w:rFonts w:ascii="宋体" w:hAnsi="宋体" w:eastAsia="宋体" w:cs="宋体"/>
                <w:kern w:val="0"/>
                <w:highlight w:val="none"/>
              </w:rPr>
            </w:pPr>
            <w:r>
              <w:rPr>
                <w:rFonts w:hint="eastAsia" w:ascii="宋体" w:hAnsi="宋体" w:eastAsia="宋体" w:cs="宋体"/>
                <w:kern w:val="0"/>
                <w:highlight w:val="none"/>
              </w:rPr>
              <w:t>③现行法律法规规定的其他判定依据。</w:t>
            </w:r>
          </w:p>
          <w:p w14:paraId="6C51825E">
            <w:pPr>
              <w:widowControl/>
              <w:snapToGrid w:val="0"/>
              <w:spacing w:line="440" w:lineRule="exact"/>
              <w:jc w:val="left"/>
              <w:rPr>
                <w:rFonts w:ascii="宋体" w:hAnsi="宋体" w:eastAsia="宋体" w:cs="宋体"/>
                <w:highlight w:val="none"/>
              </w:rPr>
            </w:pPr>
            <w:r>
              <w:rPr>
                <w:rFonts w:hint="eastAsia" w:ascii="宋体" w:hAnsi="宋体" w:eastAsia="宋体" w:cs="宋体"/>
                <w:kern w:val="0"/>
                <w:highlight w:val="none"/>
              </w:rPr>
              <w:t>（3）</w:t>
            </w:r>
            <w:r>
              <w:rPr>
                <w:rFonts w:hint="eastAsia" w:ascii="宋体" w:hAnsi="宋体" w:eastAsia="宋体" w:cs="宋体"/>
                <w:highlight w:val="none"/>
              </w:rPr>
              <w:t>保证金将被没收的情况（出现下列情况之一者其提交的磋商保证金将被没收）：</w:t>
            </w:r>
          </w:p>
          <w:p w14:paraId="261CC4D7">
            <w:pPr>
              <w:widowControl/>
              <w:snapToGrid w:val="0"/>
              <w:spacing w:line="440" w:lineRule="exact"/>
              <w:jc w:val="left"/>
              <w:rPr>
                <w:rFonts w:ascii="宋体" w:hAnsi="宋体" w:eastAsia="宋体" w:cs="宋体"/>
                <w:highlight w:val="none"/>
              </w:rPr>
            </w:pPr>
            <w:r>
              <w:rPr>
                <w:rFonts w:hint="eastAsia" w:ascii="宋体" w:hAnsi="宋体" w:eastAsia="宋体" w:cs="宋体"/>
                <w:highlight w:val="none"/>
              </w:rPr>
              <w:t>①磋商申请人在提交磋商响应文件截止时间后撤回响应文件的；</w:t>
            </w:r>
          </w:p>
          <w:p w14:paraId="4D44FE0F">
            <w:pPr>
              <w:widowControl/>
              <w:snapToGrid w:val="0"/>
              <w:spacing w:line="440" w:lineRule="exact"/>
              <w:jc w:val="left"/>
              <w:rPr>
                <w:rFonts w:ascii="宋体" w:hAnsi="宋体" w:eastAsia="宋体" w:cs="宋体"/>
                <w:highlight w:val="none"/>
              </w:rPr>
            </w:pPr>
            <w:r>
              <w:rPr>
                <w:rFonts w:hint="eastAsia" w:ascii="宋体" w:hAnsi="宋体" w:eastAsia="宋体" w:cs="宋体"/>
                <w:highlight w:val="none"/>
              </w:rPr>
              <w:t>②磋商申请人在磋商响应文件中提供虚假材料的；</w:t>
            </w:r>
          </w:p>
          <w:p w14:paraId="779F7AEC">
            <w:pPr>
              <w:widowControl/>
              <w:snapToGrid w:val="0"/>
              <w:spacing w:line="440" w:lineRule="exact"/>
              <w:jc w:val="left"/>
              <w:rPr>
                <w:rFonts w:ascii="宋体" w:hAnsi="宋体" w:eastAsia="宋体" w:cs="宋体"/>
                <w:highlight w:val="none"/>
              </w:rPr>
            </w:pPr>
            <w:r>
              <w:rPr>
                <w:rFonts w:hint="eastAsia" w:ascii="宋体" w:hAnsi="宋体" w:eastAsia="宋体" w:cs="宋体"/>
                <w:highlight w:val="none"/>
              </w:rPr>
              <w:t>③除因不可抗力或竞争性磋商文件、成交通知书认可的情形以外，成交人不与采购人签订合同的；</w:t>
            </w:r>
          </w:p>
          <w:p w14:paraId="7FFE6AC8">
            <w:pPr>
              <w:widowControl/>
              <w:snapToGrid w:val="0"/>
              <w:spacing w:line="440" w:lineRule="exact"/>
              <w:jc w:val="left"/>
              <w:rPr>
                <w:rFonts w:ascii="宋体" w:hAnsi="宋体" w:eastAsia="宋体" w:cs="宋体"/>
                <w:highlight w:val="none"/>
              </w:rPr>
            </w:pPr>
            <w:r>
              <w:rPr>
                <w:rFonts w:hint="eastAsia" w:ascii="宋体" w:hAnsi="宋体" w:eastAsia="宋体" w:cs="宋体"/>
                <w:highlight w:val="none"/>
              </w:rPr>
              <w:t>④磋商申请人与采购人、其他磋商申请人或者采购代理机构恶意串通的；</w:t>
            </w:r>
          </w:p>
          <w:p w14:paraId="0F6EE6B0">
            <w:pPr>
              <w:pStyle w:val="15"/>
              <w:spacing w:line="440" w:lineRule="exact"/>
              <w:rPr>
                <w:rFonts w:hAnsi="宋体"/>
                <w:kern w:val="0"/>
                <w:highlight w:val="none"/>
              </w:rPr>
            </w:pPr>
            <w:r>
              <w:rPr>
                <w:rFonts w:hint="eastAsia" w:hAnsi="宋体"/>
                <w:highlight w:val="none"/>
              </w:rPr>
              <w:t>⑤采购文件、法律法规规定的其他情形。</w:t>
            </w:r>
          </w:p>
        </w:tc>
      </w:tr>
    </w:tbl>
    <w:p w14:paraId="20DFC674">
      <w:pPr>
        <w:widowControl/>
        <w:jc w:val="left"/>
        <w:rPr>
          <w:rFonts w:ascii="宋体" w:hAnsi="宋体" w:eastAsia="宋体" w:cs="宋体"/>
          <w:b/>
          <w:bCs/>
          <w:sz w:val="32"/>
          <w:szCs w:val="32"/>
          <w:highlight w:val="none"/>
        </w:rPr>
      </w:pPr>
      <w:bookmarkStart w:id="6" w:name="_Toc7252732"/>
      <w:bookmarkStart w:id="7" w:name="_Toc86124040"/>
      <w:r>
        <w:rPr>
          <w:rFonts w:hint="eastAsia" w:ascii="宋体" w:hAnsi="宋体" w:eastAsia="宋体" w:cs="宋体"/>
          <w:highlight w:val="none"/>
        </w:rPr>
        <w:br w:type="page"/>
      </w:r>
    </w:p>
    <w:p w14:paraId="639DF8CD">
      <w:pPr>
        <w:pStyle w:val="3"/>
        <w:spacing w:before="0" w:after="0" w:line="360" w:lineRule="auto"/>
        <w:jc w:val="center"/>
        <w:rPr>
          <w:rFonts w:ascii="宋体" w:hAnsi="宋体" w:eastAsia="宋体" w:cs="宋体"/>
          <w:highlight w:val="none"/>
        </w:rPr>
      </w:pPr>
      <w:bookmarkStart w:id="8" w:name="_Toc39092131"/>
      <w:r>
        <w:rPr>
          <w:rFonts w:hint="eastAsia" w:ascii="宋体" w:hAnsi="宋体" w:eastAsia="宋体" w:cs="宋体"/>
          <w:highlight w:val="none"/>
        </w:rPr>
        <w:t>一、总则</w:t>
      </w:r>
      <w:bookmarkEnd w:id="6"/>
      <w:bookmarkEnd w:id="7"/>
      <w:bookmarkEnd w:id="8"/>
    </w:p>
    <w:p w14:paraId="2D223890">
      <w:pPr>
        <w:pStyle w:val="48"/>
        <w:numPr>
          <w:ilvl w:val="1"/>
          <w:numId w:val="2"/>
        </w:numPr>
        <w:spacing w:line="360" w:lineRule="auto"/>
        <w:ind w:left="0" w:firstLine="643"/>
        <w:rPr>
          <w:rFonts w:ascii="宋体" w:hAnsi="宋体" w:eastAsia="宋体" w:cs="宋体"/>
          <w:b/>
          <w:sz w:val="32"/>
          <w:szCs w:val="32"/>
          <w:highlight w:val="none"/>
        </w:rPr>
      </w:pPr>
      <w:bookmarkStart w:id="9" w:name="_Toc329810186"/>
      <w:bookmarkStart w:id="10" w:name="_Toc7252733"/>
      <w:bookmarkStart w:id="11" w:name="_Toc383175052"/>
      <w:bookmarkStart w:id="12" w:name="_Toc383175474"/>
      <w:bookmarkStart w:id="13" w:name="_Toc383175276"/>
      <w:r>
        <w:rPr>
          <w:rFonts w:hint="eastAsia" w:ascii="宋体" w:hAnsi="宋体" w:eastAsia="宋体" w:cs="宋体"/>
          <w:b/>
          <w:sz w:val="32"/>
          <w:szCs w:val="32"/>
          <w:highlight w:val="none"/>
        </w:rPr>
        <w:t>项目概况</w:t>
      </w:r>
      <w:bookmarkEnd w:id="9"/>
      <w:bookmarkEnd w:id="10"/>
      <w:bookmarkEnd w:id="11"/>
      <w:bookmarkEnd w:id="12"/>
      <w:bookmarkEnd w:id="13"/>
    </w:p>
    <w:p w14:paraId="188A423D">
      <w:pPr>
        <w:spacing w:line="360" w:lineRule="auto"/>
        <w:ind w:firstLine="420" w:firstLineChars="200"/>
        <w:rPr>
          <w:rFonts w:ascii="宋体" w:hAnsi="宋体" w:eastAsia="宋体" w:cs="宋体"/>
          <w:highlight w:val="none"/>
        </w:rPr>
      </w:pPr>
      <w:r>
        <w:rPr>
          <w:rFonts w:hint="eastAsia" w:ascii="宋体" w:hAnsi="宋体" w:eastAsia="宋体" w:cs="宋体"/>
          <w:highlight w:val="none"/>
        </w:rPr>
        <w:t>1.1</w:t>
      </w:r>
      <w:r>
        <w:rPr>
          <w:rFonts w:hint="eastAsia" w:ascii="宋体" w:hAnsi="宋体" w:eastAsia="宋体" w:cs="宋体"/>
          <w:highlight w:val="none"/>
        </w:rPr>
        <w:tab/>
      </w:r>
      <w:r>
        <w:rPr>
          <w:rFonts w:hint="eastAsia" w:ascii="宋体" w:hAnsi="宋体" w:eastAsia="宋体" w:cs="宋体"/>
          <w:highlight w:val="none"/>
        </w:rPr>
        <w:t>根据《中华人民共和国政府采购法》《中华人民共和国政府采购法实施条例》《财政部令第87号、第94号、第101号、第102号》《政府采购竞争性磋商采购方式管理暂行办法》等有关法律法规和规章的规定，本项目已获主管部门批准，现对本次货物采购进行竞争性磋商采购。</w:t>
      </w:r>
    </w:p>
    <w:p w14:paraId="71A56628">
      <w:pPr>
        <w:spacing w:line="360" w:lineRule="auto"/>
        <w:ind w:firstLine="420" w:firstLineChars="200"/>
        <w:rPr>
          <w:rFonts w:ascii="宋体" w:hAnsi="宋体" w:eastAsia="宋体" w:cs="宋体"/>
          <w:highlight w:val="none"/>
        </w:rPr>
      </w:pPr>
      <w:r>
        <w:rPr>
          <w:rFonts w:hint="eastAsia" w:ascii="宋体" w:hAnsi="宋体" w:eastAsia="宋体" w:cs="宋体"/>
          <w:highlight w:val="none"/>
        </w:rPr>
        <w:t>1.2</w:t>
      </w:r>
      <w:r>
        <w:rPr>
          <w:rFonts w:hint="eastAsia" w:ascii="宋体" w:hAnsi="宋体" w:eastAsia="宋体" w:cs="宋体"/>
          <w:highlight w:val="none"/>
        </w:rPr>
        <w:tab/>
      </w:r>
      <w:r>
        <w:rPr>
          <w:rFonts w:hint="eastAsia" w:ascii="宋体" w:hAnsi="宋体" w:eastAsia="宋体" w:cs="宋体"/>
          <w:highlight w:val="none"/>
        </w:rPr>
        <w:t>本项目采购人、采购代理机构、项目名称、项目编号：见“</w:t>
      </w:r>
      <w:r>
        <w:rPr>
          <w:rFonts w:hint="eastAsia" w:ascii="宋体" w:hAnsi="宋体" w:eastAsia="宋体" w:cs="宋体"/>
          <w:b/>
          <w:bCs/>
          <w:highlight w:val="none"/>
        </w:rPr>
        <w:t>磋商申请人须知前附表</w:t>
      </w:r>
      <w:r>
        <w:rPr>
          <w:rFonts w:hint="eastAsia" w:ascii="宋体" w:hAnsi="宋体" w:eastAsia="宋体" w:cs="宋体"/>
          <w:highlight w:val="none"/>
        </w:rPr>
        <w:t>”。</w:t>
      </w:r>
    </w:p>
    <w:p w14:paraId="288E7197">
      <w:pPr>
        <w:pStyle w:val="48"/>
        <w:numPr>
          <w:ilvl w:val="1"/>
          <w:numId w:val="2"/>
        </w:numPr>
        <w:spacing w:line="360" w:lineRule="auto"/>
        <w:ind w:left="0" w:firstLine="643"/>
        <w:rPr>
          <w:rFonts w:ascii="宋体" w:hAnsi="宋体" w:eastAsia="宋体" w:cs="宋体"/>
          <w:b/>
          <w:sz w:val="32"/>
          <w:szCs w:val="32"/>
          <w:highlight w:val="none"/>
        </w:rPr>
      </w:pPr>
      <w:bookmarkStart w:id="14" w:name="_Toc265142411"/>
      <w:bookmarkStart w:id="15" w:name="_Toc383175277"/>
      <w:bookmarkStart w:id="16" w:name="_Toc7252734"/>
      <w:bookmarkStart w:id="17" w:name="_Toc383175475"/>
      <w:bookmarkStart w:id="18" w:name="_Toc383175053"/>
      <w:bookmarkStart w:id="19" w:name="_Toc329810187"/>
      <w:r>
        <w:rPr>
          <w:rFonts w:hint="eastAsia" w:ascii="宋体" w:hAnsi="宋体" w:eastAsia="宋体" w:cs="宋体"/>
          <w:b/>
          <w:sz w:val="32"/>
          <w:szCs w:val="32"/>
          <w:highlight w:val="none"/>
        </w:rPr>
        <w:t>资金来源</w:t>
      </w:r>
      <w:bookmarkEnd w:id="14"/>
      <w:bookmarkEnd w:id="15"/>
      <w:bookmarkEnd w:id="16"/>
      <w:bookmarkEnd w:id="17"/>
      <w:bookmarkEnd w:id="18"/>
      <w:bookmarkEnd w:id="19"/>
    </w:p>
    <w:p w14:paraId="035E1107">
      <w:pPr>
        <w:spacing w:line="360" w:lineRule="auto"/>
        <w:ind w:firstLine="420" w:firstLineChars="200"/>
        <w:rPr>
          <w:rFonts w:ascii="宋体" w:hAnsi="宋体" w:eastAsia="宋体" w:cs="宋体"/>
          <w:highlight w:val="none"/>
        </w:rPr>
      </w:pPr>
      <w:r>
        <w:rPr>
          <w:rFonts w:hint="eastAsia" w:ascii="宋体" w:hAnsi="宋体" w:eastAsia="宋体" w:cs="宋体"/>
          <w:highlight w:val="none"/>
        </w:rPr>
        <w:t>2.1资金来源已落实，用于采购“</w:t>
      </w:r>
      <w:r>
        <w:rPr>
          <w:rFonts w:hint="eastAsia" w:ascii="宋体" w:hAnsi="宋体" w:eastAsia="宋体" w:cs="宋体"/>
          <w:b/>
          <w:bCs/>
          <w:highlight w:val="none"/>
        </w:rPr>
        <w:t>采购需求</w:t>
      </w:r>
      <w:r>
        <w:rPr>
          <w:rFonts w:hint="eastAsia" w:ascii="宋体" w:hAnsi="宋体" w:eastAsia="宋体" w:cs="宋体"/>
          <w:highlight w:val="none"/>
        </w:rPr>
        <w:t>”所列货物（服务）。</w:t>
      </w:r>
      <w:bookmarkStart w:id="20" w:name="_Toc383175054"/>
      <w:bookmarkStart w:id="21" w:name="_Toc383175476"/>
      <w:bookmarkStart w:id="22" w:name="_Toc265142412"/>
      <w:bookmarkStart w:id="23" w:name="_Toc383175278"/>
      <w:bookmarkStart w:id="24" w:name="_Toc329810188"/>
    </w:p>
    <w:p w14:paraId="69FF6046">
      <w:pPr>
        <w:pStyle w:val="48"/>
        <w:numPr>
          <w:ilvl w:val="1"/>
          <w:numId w:val="2"/>
        </w:numPr>
        <w:spacing w:line="360" w:lineRule="auto"/>
        <w:ind w:left="0" w:firstLine="643"/>
        <w:rPr>
          <w:rFonts w:ascii="宋体" w:hAnsi="宋体" w:eastAsia="宋体" w:cs="宋体"/>
          <w:b/>
          <w:sz w:val="32"/>
          <w:szCs w:val="32"/>
          <w:highlight w:val="none"/>
        </w:rPr>
      </w:pPr>
      <w:bookmarkStart w:id="25" w:name="_Toc7252735"/>
      <w:r>
        <w:rPr>
          <w:rFonts w:hint="eastAsia" w:ascii="宋体" w:hAnsi="宋体" w:eastAsia="宋体" w:cs="宋体"/>
          <w:b/>
          <w:sz w:val="32"/>
          <w:szCs w:val="32"/>
          <w:highlight w:val="none"/>
        </w:rPr>
        <w:t>采购范围</w:t>
      </w:r>
      <w:bookmarkEnd w:id="20"/>
      <w:bookmarkEnd w:id="21"/>
      <w:bookmarkEnd w:id="22"/>
      <w:bookmarkEnd w:id="23"/>
      <w:bookmarkEnd w:id="24"/>
      <w:bookmarkEnd w:id="25"/>
    </w:p>
    <w:p w14:paraId="3739E304">
      <w:pPr>
        <w:spacing w:line="360" w:lineRule="auto"/>
        <w:ind w:firstLine="420" w:firstLineChars="200"/>
        <w:rPr>
          <w:rFonts w:ascii="宋体" w:hAnsi="宋体" w:eastAsia="宋体" w:cs="宋体"/>
          <w:highlight w:val="none"/>
        </w:rPr>
      </w:pPr>
      <w:r>
        <w:rPr>
          <w:rFonts w:hint="eastAsia" w:ascii="宋体" w:hAnsi="宋体" w:eastAsia="宋体" w:cs="宋体"/>
          <w:highlight w:val="none"/>
        </w:rPr>
        <w:t>3.1 本项目采购内容：见“</w:t>
      </w:r>
      <w:r>
        <w:rPr>
          <w:rFonts w:hint="eastAsia" w:ascii="宋体" w:hAnsi="宋体" w:eastAsia="宋体" w:cs="宋体"/>
          <w:b/>
          <w:bCs/>
          <w:highlight w:val="none"/>
        </w:rPr>
        <w:t>磋商申请人须知前附表</w:t>
      </w:r>
      <w:r>
        <w:rPr>
          <w:rFonts w:hint="eastAsia" w:ascii="宋体" w:hAnsi="宋体" w:eastAsia="宋体" w:cs="宋体"/>
          <w:highlight w:val="none"/>
        </w:rPr>
        <w:t>”。</w:t>
      </w:r>
    </w:p>
    <w:p w14:paraId="66E5A25D">
      <w:pPr>
        <w:spacing w:line="360" w:lineRule="auto"/>
        <w:ind w:firstLine="420" w:firstLineChars="200"/>
        <w:rPr>
          <w:rFonts w:ascii="宋体" w:hAnsi="宋体" w:eastAsia="宋体" w:cs="宋体"/>
          <w:highlight w:val="none"/>
        </w:rPr>
      </w:pPr>
      <w:r>
        <w:rPr>
          <w:rFonts w:hint="eastAsia" w:ascii="宋体" w:hAnsi="宋体" w:eastAsia="宋体" w:cs="宋体"/>
          <w:highlight w:val="none"/>
        </w:rPr>
        <w:t>3.2标段划分：见“</w:t>
      </w:r>
      <w:r>
        <w:rPr>
          <w:rFonts w:hint="eastAsia" w:ascii="宋体" w:hAnsi="宋体" w:eastAsia="宋体" w:cs="宋体"/>
          <w:b/>
          <w:bCs/>
          <w:highlight w:val="none"/>
        </w:rPr>
        <w:t>磋商申请人须知前附表</w:t>
      </w:r>
      <w:r>
        <w:rPr>
          <w:rFonts w:hint="eastAsia" w:ascii="宋体" w:hAnsi="宋体" w:eastAsia="宋体" w:cs="宋体"/>
          <w:highlight w:val="none"/>
        </w:rPr>
        <w:t>”。</w:t>
      </w:r>
    </w:p>
    <w:p w14:paraId="6E22EACD">
      <w:pPr>
        <w:spacing w:line="360" w:lineRule="auto"/>
        <w:ind w:firstLine="420" w:firstLineChars="200"/>
        <w:rPr>
          <w:rFonts w:ascii="宋体" w:hAnsi="宋体" w:eastAsia="宋体" w:cs="宋体"/>
          <w:highlight w:val="none"/>
        </w:rPr>
      </w:pPr>
      <w:r>
        <w:rPr>
          <w:rFonts w:hint="eastAsia" w:ascii="宋体" w:hAnsi="宋体" w:eastAsia="宋体" w:cs="宋体"/>
          <w:highlight w:val="none"/>
        </w:rPr>
        <w:t>3.2项目服务地点及</w:t>
      </w:r>
      <w:r>
        <w:rPr>
          <w:rFonts w:hint="eastAsia" w:ascii="宋体" w:hAnsi="宋体" w:eastAsia="宋体" w:cs="宋体"/>
          <w:kern w:val="0"/>
          <w:highlight w:val="none"/>
        </w:rPr>
        <w:t>合同履行期限</w:t>
      </w:r>
      <w:r>
        <w:rPr>
          <w:rFonts w:hint="eastAsia" w:ascii="宋体" w:hAnsi="宋体" w:eastAsia="宋体" w:cs="宋体"/>
          <w:highlight w:val="none"/>
        </w:rPr>
        <w:t>：见“</w:t>
      </w:r>
      <w:r>
        <w:rPr>
          <w:rFonts w:hint="eastAsia" w:ascii="宋体" w:hAnsi="宋体" w:eastAsia="宋体" w:cs="宋体"/>
          <w:b/>
          <w:bCs/>
          <w:highlight w:val="none"/>
        </w:rPr>
        <w:t>磋商申请人须知前附表</w:t>
      </w:r>
      <w:r>
        <w:rPr>
          <w:rFonts w:hint="eastAsia" w:ascii="宋体" w:hAnsi="宋体" w:eastAsia="宋体" w:cs="宋体"/>
          <w:highlight w:val="none"/>
        </w:rPr>
        <w:t>”。</w:t>
      </w:r>
    </w:p>
    <w:p w14:paraId="4371CBDE">
      <w:pPr>
        <w:pStyle w:val="48"/>
        <w:numPr>
          <w:ilvl w:val="1"/>
          <w:numId w:val="2"/>
        </w:numPr>
        <w:spacing w:line="360" w:lineRule="auto"/>
        <w:ind w:left="0" w:firstLine="643"/>
        <w:rPr>
          <w:rFonts w:ascii="宋体" w:hAnsi="宋体" w:eastAsia="宋体" w:cs="宋体"/>
          <w:b/>
          <w:sz w:val="32"/>
          <w:szCs w:val="32"/>
          <w:highlight w:val="none"/>
        </w:rPr>
      </w:pPr>
      <w:bookmarkStart w:id="26" w:name="_Toc329810189"/>
      <w:bookmarkStart w:id="27" w:name="_Toc7252736"/>
      <w:bookmarkStart w:id="28" w:name="_Toc383175279"/>
      <w:bookmarkStart w:id="29" w:name="_Toc383175055"/>
      <w:bookmarkStart w:id="30" w:name="_Toc383175477"/>
      <w:r>
        <w:rPr>
          <w:rFonts w:hint="eastAsia" w:ascii="宋体" w:hAnsi="宋体" w:eastAsia="宋体" w:cs="宋体"/>
          <w:b/>
          <w:sz w:val="32"/>
          <w:szCs w:val="32"/>
          <w:highlight w:val="none"/>
        </w:rPr>
        <w:t>合格的磋商申请人（以下简称磋商申请人）</w:t>
      </w:r>
      <w:bookmarkEnd w:id="26"/>
      <w:bookmarkEnd w:id="27"/>
      <w:bookmarkEnd w:id="28"/>
      <w:bookmarkEnd w:id="29"/>
      <w:bookmarkEnd w:id="30"/>
    </w:p>
    <w:p w14:paraId="2B0CF68A">
      <w:pPr>
        <w:spacing w:line="360" w:lineRule="auto"/>
        <w:ind w:firstLine="420" w:firstLineChars="200"/>
        <w:rPr>
          <w:rFonts w:ascii="宋体" w:hAnsi="宋体" w:eastAsia="宋体" w:cs="宋体"/>
          <w:highlight w:val="none"/>
        </w:rPr>
      </w:pPr>
      <w:r>
        <w:rPr>
          <w:rFonts w:hint="eastAsia" w:ascii="宋体" w:hAnsi="宋体" w:eastAsia="宋体" w:cs="宋体"/>
          <w:highlight w:val="none"/>
        </w:rPr>
        <w:t>4.1</w:t>
      </w:r>
      <w:r>
        <w:rPr>
          <w:rFonts w:hint="eastAsia" w:ascii="宋体" w:hAnsi="宋体" w:eastAsia="宋体" w:cs="宋体"/>
          <w:highlight w:val="none"/>
        </w:rPr>
        <w:tab/>
      </w:r>
      <w:r>
        <w:rPr>
          <w:rFonts w:hint="eastAsia" w:ascii="宋体" w:hAnsi="宋体" w:eastAsia="宋体" w:cs="宋体"/>
          <w:highlight w:val="none"/>
        </w:rPr>
        <w:t>详见：“竞争性磋商公告”</w:t>
      </w:r>
    </w:p>
    <w:p w14:paraId="172795BF">
      <w:pPr>
        <w:pStyle w:val="48"/>
        <w:numPr>
          <w:ilvl w:val="1"/>
          <w:numId w:val="2"/>
        </w:numPr>
        <w:spacing w:line="360" w:lineRule="auto"/>
        <w:ind w:left="0" w:firstLine="643"/>
        <w:rPr>
          <w:rFonts w:ascii="宋体" w:hAnsi="宋体" w:eastAsia="宋体" w:cs="宋体"/>
          <w:b/>
          <w:sz w:val="32"/>
          <w:szCs w:val="32"/>
          <w:highlight w:val="none"/>
        </w:rPr>
      </w:pPr>
      <w:bookmarkStart w:id="31" w:name="_Hlt200176664"/>
      <w:bookmarkEnd w:id="31"/>
      <w:bookmarkStart w:id="32" w:name="_Toc383175056"/>
      <w:bookmarkStart w:id="33" w:name="_Toc383175280"/>
      <w:bookmarkStart w:id="34" w:name="_Toc329810190"/>
      <w:bookmarkStart w:id="35" w:name="_Toc7252737"/>
      <w:bookmarkStart w:id="36" w:name="_Toc383175478"/>
      <w:r>
        <w:rPr>
          <w:rFonts w:hint="eastAsia" w:ascii="宋体" w:hAnsi="宋体" w:eastAsia="宋体" w:cs="宋体"/>
          <w:b/>
          <w:sz w:val="32"/>
          <w:szCs w:val="32"/>
          <w:highlight w:val="none"/>
        </w:rPr>
        <w:t>磋商费用</w:t>
      </w:r>
      <w:bookmarkEnd w:id="32"/>
      <w:bookmarkEnd w:id="33"/>
      <w:bookmarkEnd w:id="34"/>
      <w:bookmarkEnd w:id="35"/>
      <w:bookmarkEnd w:id="36"/>
    </w:p>
    <w:p w14:paraId="7D1A55C6">
      <w:pPr>
        <w:spacing w:line="360" w:lineRule="auto"/>
        <w:ind w:firstLine="420" w:firstLineChars="200"/>
        <w:rPr>
          <w:rFonts w:ascii="宋体" w:hAnsi="宋体" w:eastAsia="宋体" w:cs="宋体"/>
          <w:highlight w:val="none"/>
        </w:rPr>
      </w:pPr>
      <w:r>
        <w:rPr>
          <w:rFonts w:hint="eastAsia" w:ascii="宋体" w:hAnsi="宋体" w:eastAsia="宋体" w:cs="宋体"/>
          <w:highlight w:val="none"/>
        </w:rPr>
        <w:t>无论是否成交，磋商申请人自行承担所有与参加磋商有关的全部费用。</w:t>
      </w:r>
    </w:p>
    <w:p w14:paraId="1D3F3D33">
      <w:pPr>
        <w:pStyle w:val="3"/>
        <w:spacing w:before="0" w:after="0" w:line="360" w:lineRule="auto"/>
        <w:jc w:val="center"/>
        <w:rPr>
          <w:rFonts w:ascii="宋体" w:hAnsi="宋体" w:eastAsia="宋体" w:cs="宋体"/>
          <w:highlight w:val="none"/>
        </w:rPr>
      </w:pPr>
      <w:bookmarkStart w:id="37" w:name="_Toc7252738"/>
      <w:bookmarkStart w:id="38" w:name="_Toc39092132"/>
      <w:bookmarkStart w:id="39" w:name="_Toc86124047"/>
      <w:r>
        <w:rPr>
          <w:rFonts w:hint="eastAsia" w:ascii="宋体" w:hAnsi="宋体" w:eastAsia="宋体" w:cs="宋体"/>
          <w:highlight w:val="none"/>
        </w:rPr>
        <w:t>二、磋商文件</w:t>
      </w:r>
      <w:bookmarkEnd w:id="37"/>
      <w:bookmarkEnd w:id="38"/>
      <w:bookmarkEnd w:id="39"/>
    </w:p>
    <w:p w14:paraId="0029A6A0">
      <w:pPr>
        <w:pStyle w:val="48"/>
        <w:numPr>
          <w:ilvl w:val="1"/>
          <w:numId w:val="2"/>
        </w:numPr>
        <w:spacing w:line="360" w:lineRule="auto"/>
        <w:ind w:left="0" w:firstLine="643"/>
        <w:rPr>
          <w:rFonts w:ascii="宋体" w:hAnsi="宋体" w:eastAsia="宋体" w:cs="宋体"/>
          <w:b/>
          <w:sz w:val="32"/>
          <w:szCs w:val="32"/>
          <w:highlight w:val="none"/>
        </w:rPr>
      </w:pPr>
      <w:bookmarkStart w:id="40" w:name="_Toc7252739"/>
      <w:bookmarkStart w:id="41" w:name="_Toc383175058"/>
      <w:bookmarkStart w:id="42" w:name="_Toc329810192"/>
      <w:bookmarkStart w:id="43" w:name="_Toc383175480"/>
      <w:bookmarkStart w:id="44" w:name="_Toc383175282"/>
      <w:r>
        <w:rPr>
          <w:rFonts w:hint="eastAsia" w:ascii="宋体" w:hAnsi="宋体" w:eastAsia="宋体" w:cs="宋体"/>
          <w:b/>
          <w:sz w:val="32"/>
          <w:szCs w:val="32"/>
          <w:highlight w:val="none"/>
        </w:rPr>
        <w:t>磋商文件的组成</w:t>
      </w:r>
      <w:bookmarkEnd w:id="40"/>
      <w:bookmarkEnd w:id="41"/>
      <w:bookmarkEnd w:id="42"/>
      <w:bookmarkEnd w:id="43"/>
      <w:bookmarkEnd w:id="44"/>
    </w:p>
    <w:p w14:paraId="446F9118">
      <w:pPr>
        <w:spacing w:line="360" w:lineRule="auto"/>
        <w:ind w:left="502" w:firstLine="420" w:firstLineChars="200"/>
        <w:rPr>
          <w:rFonts w:ascii="宋体" w:hAnsi="宋体" w:eastAsia="宋体" w:cs="宋体"/>
          <w:highlight w:val="none"/>
        </w:rPr>
      </w:pPr>
      <w:r>
        <w:rPr>
          <w:rFonts w:hint="eastAsia" w:ascii="宋体" w:hAnsi="宋体" w:eastAsia="宋体" w:cs="宋体"/>
          <w:highlight w:val="none"/>
        </w:rPr>
        <w:t>要求提供的货物和服务、采购过程及合同条款在磋商文件中均有说明，磋商文件共六章，各章的内容如下：</w:t>
      </w:r>
    </w:p>
    <w:p w14:paraId="3939F80F">
      <w:pPr>
        <w:spacing w:line="360" w:lineRule="auto"/>
        <w:ind w:left="502" w:firstLine="420" w:firstLineChars="200"/>
        <w:rPr>
          <w:rFonts w:ascii="宋体" w:hAnsi="宋体" w:eastAsia="宋体" w:cs="宋体"/>
          <w:highlight w:val="none"/>
        </w:rPr>
      </w:pPr>
      <w:r>
        <w:rPr>
          <w:rFonts w:hint="eastAsia" w:ascii="宋体" w:hAnsi="宋体" w:eastAsia="宋体" w:cs="宋体"/>
          <w:highlight w:val="none"/>
        </w:rPr>
        <w:t>第一章  竞争性磋商公告</w:t>
      </w:r>
    </w:p>
    <w:p w14:paraId="04EBD7A4">
      <w:pPr>
        <w:spacing w:line="360" w:lineRule="auto"/>
        <w:ind w:left="502" w:firstLine="420" w:firstLineChars="200"/>
        <w:rPr>
          <w:rFonts w:ascii="宋体" w:hAnsi="宋体" w:eastAsia="宋体" w:cs="宋体"/>
          <w:highlight w:val="none"/>
        </w:rPr>
      </w:pPr>
      <w:r>
        <w:rPr>
          <w:rFonts w:hint="eastAsia" w:ascii="宋体" w:hAnsi="宋体" w:eastAsia="宋体" w:cs="宋体"/>
          <w:highlight w:val="none"/>
        </w:rPr>
        <w:t>第二章  磋商申请人须知</w:t>
      </w:r>
    </w:p>
    <w:p w14:paraId="307E97BA">
      <w:pPr>
        <w:spacing w:line="360" w:lineRule="auto"/>
        <w:ind w:left="502" w:firstLine="420" w:firstLineChars="200"/>
        <w:rPr>
          <w:rFonts w:ascii="宋体" w:hAnsi="宋体" w:eastAsia="宋体" w:cs="宋体"/>
          <w:highlight w:val="none"/>
        </w:rPr>
      </w:pPr>
      <w:r>
        <w:rPr>
          <w:rFonts w:hint="eastAsia" w:ascii="宋体" w:hAnsi="宋体" w:eastAsia="宋体" w:cs="宋体"/>
          <w:highlight w:val="none"/>
        </w:rPr>
        <w:t>第三章  合同书样式及主要条款</w:t>
      </w:r>
    </w:p>
    <w:p w14:paraId="324EED7A">
      <w:pPr>
        <w:spacing w:line="360" w:lineRule="auto"/>
        <w:ind w:left="502" w:firstLine="420" w:firstLineChars="200"/>
        <w:rPr>
          <w:rFonts w:ascii="宋体" w:hAnsi="宋体" w:eastAsia="宋体" w:cs="宋体"/>
          <w:highlight w:val="none"/>
        </w:rPr>
      </w:pPr>
      <w:r>
        <w:rPr>
          <w:rFonts w:hint="eastAsia" w:ascii="宋体" w:hAnsi="宋体" w:eastAsia="宋体" w:cs="宋体"/>
          <w:highlight w:val="none"/>
        </w:rPr>
        <w:t>第四章  响应文件格式</w:t>
      </w:r>
    </w:p>
    <w:p w14:paraId="5FECB0C3">
      <w:pPr>
        <w:spacing w:line="360" w:lineRule="auto"/>
        <w:ind w:left="502" w:firstLine="420" w:firstLineChars="200"/>
        <w:rPr>
          <w:rFonts w:ascii="宋体" w:hAnsi="宋体" w:eastAsia="宋体" w:cs="宋体"/>
          <w:highlight w:val="none"/>
        </w:rPr>
      </w:pPr>
      <w:r>
        <w:rPr>
          <w:rFonts w:hint="eastAsia" w:ascii="宋体" w:hAnsi="宋体" w:eastAsia="宋体" w:cs="宋体"/>
          <w:highlight w:val="none"/>
        </w:rPr>
        <w:t>第五章  采购需求</w:t>
      </w:r>
    </w:p>
    <w:p w14:paraId="5DEE8382">
      <w:pPr>
        <w:spacing w:line="360" w:lineRule="auto"/>
        <w:ind w:left="502" w:firstLine="420" w:firstLineChars="200"/>
        <w:rPr>
          <w:rFonts w:ascii="宋体" w:hAnsi="宋体" w:eastAsia="宋体" w:cs="宋体"/>
          <w:highlight w:val="none"/>
        </w:rPr>
      </w:pPr>
      <w:r>
        <w:rPr>
          <w:rFonts w:hint="eastAsia" w:ascii="宋体" w:hAnsi="宋体" w:eastAsia="宋体" w:cs="宋体"/>
          <w:highlight w:val="none"/>
        </w:rPr>
        <w:t>第六章  磋商程序及方法</w:t>
      </w:r>
    </w:p>
    <w:p w14:paraId="27B2D3A1">
      <w:pPr>
        <w:pStyle w:val="48"/>
        <w:numPr>
          <w:ilvl w:val="1"/>
          <w:numId w:val="2"/>
        </w:numPr>
        <w:spacing w:line="360" w:lineRule="auto"/>
        <w:ind w:left="0" w:firstLine="643"/>
        <w:rPr>
          <w:rFonts w:ascii="宋体" w:hAnsi="宋体" w:eastAsia="宋体" w:cs="宋体"/>
          <w:b/>
          <w:sz w:val="32"/>
          <w:szCs w:val="32"/>
          <w:highlight w:val="none"/>
        </w:rPr>
      </w:pPr>
      <w:bookmarkStart w:id="45" w:name="_Toc86124049"/>
      <w:bookmarkStart w:id="46" w:name="_Toc7252740"/>
      <w:bookmarkStart w:id="47" w:name="_Toc383175481"/>
      <w:bookmarkStart w:id="48" w:name="_Toc383175059"/>
      <w:bookmarkStart w:id="49" w:name="_Toc383175283"/>
      <w:bookmarkStart w:id="50" w:name="_Toc329810193"/>
      <w:r>
        <w:rPr>
          <w:rFonts w:hint="eastAsia" w:ascii="宋体" w:hAnsi="宋体" w:eastAsia="宋体" w:cs="宋体"/>
          <w:b/>
          <w:sz w:val="32"/>
          <w:szCs w:val="32"/>
          <w:highlight w:val="none"/>
        </w:rPr>
        <w:t>磋商文件的澄清</w:t>
      </w:r>
      <w:bookmarkEnd w:id="45"/>
      <w:r>
        <w:rPr>
          <w:rFonts w:hint="eastAsia" w:ascii="宋体" w:hAnsi="宋体" w:eastAsia="宋体" w:cs="宋体"/>
          <w:b/>
          <w:sz w:val="32"/>
          <w:szCs w:val="32"/>
          <w:highlight w:val="none"/>
        </w:rPr>
        <w:t>、修改</w:t>
      </w:r>
      <w:bookmarkEnd w:id="46"/>
      <w:bookmarkEnd w:id="47"/>
      <w:bookmarkEnd w:id="48"/>
      <w:bookmarkEnd w:id="49"/>
      <w:bookmarkEnd w:id="50"/>
    </w:p>
    <w:p w14:paraId="66681DD7">
      <w:pPr>
        <w:spacing w:line="360" w:lineRule="auto"/>
        <w:ind w:firstLine="420" w:firstLineChars="200"/>
        <w:rPr>
          <w:rFonts w:ascii="宋体" w:hAnsi="宋体" w:eastAsia="宋体" w:cs="宋体"/>
          <w:highlight w:val="none"/>
        </w:rPr>
      </w:pPr>
      <w:r>
        <w:rPr>
          <w:rFonts w:hint="eastAsia" w:ascii="宋体" w:hAnsi="宋体" w:eastAsia="宋体" w:cs="宋体"/>
          <w:highlight w:val="none"/>
        </w:rPr>
        <w:t>7.1</w:t>
      </w:r>
      <w:r>
        <w:rPr>
          <w:rFonts w:hint="eastAsia" w:ascii="宋体" w:hAnsi="宋体" w:eastAsia="宋体" w:cs="宋体"/>
          <w:highlight w:val="none"/>
        </w:rPr>
        <w:tab/>
      </w:r>
      <w:r>
        <w:rPr>
          <w:rFonts w:hint="eastAsia" w:ascii="宋体" w:hAnsi="宋体" w:eastAsia="宋体" w:cs="宋体"/>
          <w:highlight w:val="none"/>
        </w:rPr>
        <w:t>参加磋商申请人应认真审核磋商文件，如有疑问的，磋商申请人可以在 “磋商申请人须知前附表”规定截止时间前以澄清函形式（加盖单位公章）要求采购代理机构澄清，截止时间后送达的澄清要求概不接受。</w:t>
      </w:r>
    </w:p>
    <w:p w14:paraId="34A538B2">
      <w:pPr>
        <w:spacing w:line="360" w:lineRule="auto"/>
        <w:ind w:firstLine="420" w:firstLineChars="200"/>
        <w:rPr>
          <w:rFonts w:ascii="宋体" w:hAnsi="宋体" w:eastAsia="宋体" w:cs="宋体"/>
          <w:highlight w:val="none"/>
        </w:rPr>
      </w:pPr>
      <w:r>
        <w:rPr>
          <w:rFonts w:hint="eastAsia" w:ascii="宋体" w:hAnsi="宋体" w:eastAsia="宋体" w:cs="宋体"/>
          <w:highlight w:val="none"/>
        </w:rPr>
        <w:t>7.2</w:t>
      </w:r>
      <w:r>
        <w:rPr>
          <w:rFonts w:hint="eastAsia" w:ascii="宋体" w:hAnsi="宋体" w:eastAsia="宋体" w:cs="宋体"/>
          <w:highlight w:val="none"/>
        </w:rPr>
        <w:tab/>
      </w:r>
      <w:r>
        <w:rPr>
          <w:rFonts w:hint="eastAsia" w:ascii="宋体" w:hAnsi="宋体" w:eastAsia="宋体" w:cs="宋体"/>
          <w:highlight w:val="none"/>
        </w:rPr>
        <w:t>采购代理机构将以书面形式答复所有购买磋商文件的磋商申请人（答复中不包含问题的来源）要求澄清的问题，其他澄清方式无效。</w:t>
      </w:r>
    </w:p>
    <w:p w14:paraId="52AD20BE">
      <w:pPr>
        <w:spacing w:line="360" w:lineRule="auto"/>
        <w:ind w:firstLine="420" w:firstLineChars="200"/>
        <w:rPr>
          <w:rFonts w:ascii="宋体" w:hAnsi="宋体" w:eastAsia="宋体" w:cs="宋体"/>
          <w:highlight w:val="none"/>
        </w:rPr>
      </w:pPr>
      <w:r>
        <w:rPr>
          <w:rFonts w:hint="eastAsia" w:ascii="宋体" w:hAnsi="宋体" w:eastAsia="宋体" w:cs="宋体"/>
          <w:highlight w:val="none"/>
        </w:rPr>
        <w:t>7.3</w:t>
      </w:r>
      <w:r>
        <w:rPr>
          <w:rFonts w:hint="eastAsia" w:ascii="宋体" w:hAnsi="宋体" w:eastAsia="宋体" w:cs="宋体"/>
          <w:highlight w:val="none"/>
        </w:rPr>
        <w:tab/>
      </w:r>
      <w:r>
        <w:rPr>
          <w:rFonts w:hint="eastAsia" w:ascii="宋体" w:hAnsi="宋体" w:eastAsia="宋体" w:cs="宋体"/>
          <w:highlight w:val="none"/>
        </w:rPr>
        <w:t>采购人、采购代理机构对已发出的磋商文件进行必要的澄清或者修改的，澄清或者修改的内容作为磋商文件的组成部分。澄清或者修改的内容可能影响响应文件编制的，采购人、采购代理机构将在提交首次响应文件截止之日5日前，以书面形式通知所有接收磋商文件的磋商申请人，不足5日的，将顺延提交首次响应文件截止之日。</w:t>
      </w:r>
    </w:p>
    <w:p w14:paraId="782BB19E">
      <w:pPr>
        <w:spacing w:line="360" w:lineRule="auto"/>
        <w:ind w:firstLine="420" w:firstLineChars="200"/>
        <w:rPr>
          <w:rFonts w:ascii="宋体" w:hAnsi="宋体" w:eastAsia="宋体" w:cs="宋体"/>
          <w:highlight w:val="none"/>
        </w:rPr>
      </w:pPr>
      <w:r>
        <w:rPr>
          <w:rFonts w:hint="eastAsia" w:ascii="宋体" w:hAnsi="宋体" w:eastAsia="宋体" w:cs="宋体"/>
          <w:highlight w:val="none"/>
        </w:rPr>
        <w:t>7.4</w:t>
      </w:r>
      <w:r>
        <w:rPr>
          <w:rFonts w:hint="eastAsia" w:ascii="宋体" w:hAnsi="宋体" w:eastAsia="宋体" w:cs="宋体"/>
          <w:highlight w:val="none"/>
        </w:rPr>
        <w:tab/>
      </w:r>
      <w:r>
        <w:rPr>
          <w:rFonts w:hint="eastAsia" w:ascii="宋体" w:hAnsi="宋体" w:eastAsia="宋体" w:cs="宋体"/>
          <w:highlight w:val="none"/>
        </w:rPr>
        <w:t>采购代理机构和采购人可以视采购具体情况，推迟递交响应文件截止时间，并将变更时间书面通知所有购买磋商文件的磋商申请人。</w:t>
      </w:r>
    </w:p>
    <w:p w14:paraId="641353C3">
      <w:pPr>
        <w:spacing w:line="360" w:lineRule="auto"/>
        <w:ind w:firstLine="420" w:firstLineChars="200"/>
        <w:rPr>
          <w:rFonts w:ascii="宋体" w:hAnsi="宋体" w:eastAsia="宋体" w:cs="宋体"/>
          <w:highlight w:val="none"/>
        </w:rPr>
      </w:pPr>
      <w:r>
        <w:rPr>
          <w:rFonts w:hint="eastAsia" w:ascii="宋体" w:hAnsi="宋体" w:eastAsia="宋体" w:cs="宋体"/>
          <w:highlight w:val="none"/>
        </w:rPr>
        <w:t>7.5</w:t>
      </w:r>
      <w:r>
        <w:rPr>
          <w:rFonts w:hint="eastAsia" w:ascii="宋体" w:hAnsi="宋体" w:eastAsia="宋体" w:cs="宋体"/>
          <w:highlight w:val="none"/>
        </w:rPr>
        <w:tab/>
      </w:r>
      <w:r>
        <w:rPr>
          <w:rFonts w:hint="eastAsia" w:ascii="宋体" w:hAnsi="宋体" w:eastAsia="宋体" w:cs="宋体"/>
          <w:highlight w:val="none"/>
        </w:rPr>
        <w:t>在磋商过程中，磋商小组可以根据磋商文件和磋商情况实质性变动采购需求中的技术、服务要求以及合同草案条款，但不得变动磋商文件中的其他内容。实质性变动的内容，须经采购人代表确认。本项目磋商小组根据与磋商申请人磋商情况可能实质性变动的内容详见磋商申请人须知前附表。</w:t>
      </w:r>
    </w:p>
    <w:p w14:paraId="07205043">
      <w:pPr>
        <w:pStyle w:val="3"/>
        <w:spacing w:before="0" w:after="0" w:line="360" w:lineRule="auto"/>
        <w:jc w:val="center"/>
        <w:rPr>
          <w:rFonts w:ascii="宋体" w:hAnsi="宋体" w:eastAsia="宋体" w:cs="宋体"/>
          <w:highlight w:val="none"/>
        </w:rPr>
      </w:pPr>
      <w:bookmarkStart w:id="51" w:name="_Toc39092133"/>
      <w:bookmarkStart w:id="52" w:name="_Toc86124051"/>
      <w:bookmarkStart w:id="53" w:name="_Toc7252741"/>
      <w:bookmarkStart w:id="54" w:name="_Toc329810211"/>
      <w:r>
        <w:rPr>
          <w:rFonts w:hint="eastAsia" w:ascii="宋体" w:hAnsi="宋体" w:eastAsia="宋体" w:cs="宋体"/>
          <w:highlight w:val="none"/>
        </w:rPr>
        <w:t>三、响应文件</w:t>
      </w:r>
      <w:bookmarkEnd w:id="51"/>
      <w:bookmarkEnd w:id="52"/>
      <w:bookmarkEnd w:id="53"/>
    </w:p>
    <w:p w14:paraId="26C6A652">
      <w:pPr>
        <w:pStyle w:val="48"/>
        <w:numPr>
          <w:ilvl w:val="1"/>
          <w:numId w:val="2"/>
        </w:numPr>
        <w:spacing w:line="360" w:lineRule="auto"/>
        <w:ind w:left="0" w:firstLine="643"/>
        <w:rPr>
          <w:rFonts w:ascii="宋体" w:hAnsi="宋体" w:eastAsia="宋体" w:cs="宋体"/>
          <w:b/>
          <w:sz w:val="32"/>
          <w:szCs w:val="32"/>
          <w:highlight w:val="none"/>
        </w:rPr>
      </w:pPr>
      <w:bookmarkStart w:id="55" w:name="_Toc329810195"/>
      <w:bookmarkStart w:id="56" w:name="_Toc383175285"/>
      <w:bookmarkStart w:id="57" w:name="_Toc383175061"/>
      <w:bookmarkStart w:id="58" w:name="_Toc7252742"/>
      <w:bookmarkStart w:id="59" w:name="_Toc383175483"/>
      <w:bookmarkStart w:id="60" w:name="_Toc86124052"/>
      <w:r>
        <w:rPr>
          <w:rFonts w:hint="eastAsia" w:ascii="宋体" w:hAnsi="宋体" w:eastAsia="宋体" w:cs="宋体"/>
          <w:b/>
          <w:sz w:val="32"/>
          <w:szCs w:val="32"/>
          <w:highlight w:val="none"/>
        </w:rPr>
        <w:t>响应文件编写注意事项</w:t>
      </w:r>
      <w:bookmarkEnd w:id="55"/>
      <w:bookmarkEnd w:id="56"/>
      <w:bookmarkEnd w:id="57"/>
      <w:bookmarkEnd w:id="58"/>
      <w:bookmarkEnd w:id="59"/>
      <w:bookmarkEnd w:id="60"/>
    </w:p>
    <w:p w14:paraId="0568C77A">
      <w:pPr>
        <w:spacing w:line="360" w:lineRule="auto"/>
        <w:ind w:firstLine="420" w:firstLineChars="200"/>
        <w:rPr>
          <w:rFonts w:ascii="宋体" w:hAnsi="宋体" w:eastAsia="宋体" w:cs="宋体"/>
          <w:highlight w:val="none"/>
        </w:rPr>
      </w:pPr>
      <w:r>
        <w:rPr>
          <w:rFonts w:hint="eastAsia" w:ascii="宋体" w:hAnsi="宋体" w:eastAsia="宋体" w:cs="宋体"/>
          <w:highlight w:val="none"/>
        </w:rPr>
        <w:t>8.1</w:t>
      </w:r>
      <w:r>
        <w:rPr>
          <w:rFonts w:hint="eastAsia" w:ascii="宋体" w:hAnsi="宋体" w:eastAsia="宋体" w:cs="宋体"/>
          <w:highlight w:val="none"/>
        </w:rPr>
        <w:tab/>
      </w:r>
      <w:r>
        <w:rPr>
          <w:rFonts w:hint="eastAsia" w:ascii="宋体" w:hAnsi="宋体" w:eastAsia="宋体" w:cs="宋体"/>
          <w:highlight w:val="none"/>
        </w:rPr>
        <w:t>磋商申请人应仔细阅读磋商文件，在完全了解采购的内容、技术性能要求（见第五章“采购需求”）和商务条件后，编写响应文件。</w:t>
      </w:r>
    </w:p>
    <w:p w14:paraId="7C70E0C5">
      <w:pPr>
        <w:spacing w:line="360" w:lineRule="auto"/>
        <w:ind w:firstLine="420" w:firstLineChars="200"/>
        <w:rPr>
          <w:rFonts w:ascii="宋体" w:hAnsi="宋体" w:eastAsia="宋体" w:cs="宋体"/>
          <w:highlight w:val="none"/>
        </w:rPr>
      </w:pPr>
      <w:r>
        <w:rPr>
          <w:rFonts w:hint="eastAsia" w:ascii="宋体" w:hAnsi="宋体" w:eastAsia="宋体" w:cs="宋体"/>
          <w:highlight w:val="none"/>
        </w:rPr>
        <w:t>8.2</w:t>
      </w:r>
      <w:r>
        <w:rPr>
          <w:rFonts w:hint="eastAsia" w:ascii="宋体" w:hAnsi="宋体" w:eastAsia="宋体" w:cs="宋体"/>
          <w:highlight w:val="none"/>
        </w:rPr>
        <w:tab/>
      </w:r>
      <w:r>
        <w:rPr>
          <w:rFonts w:hint="eastAsia" w:ascii="宋体" w:hAnsi="宋体" w:eastAsia="宋体" w:cs="宋体"/>
          <w:highlight w:val="none"/>
        </w:rPr>
        <w:t>对磋商文件提出的实质性要求和条件做出响应是指磋商申请人必须对磋商文件中规定的成交实质性要求和条件做出满足或者优于原要求和条件的承诺，并提供相应的证明材料。</w:t>
      </w:r>
    </w:p>
    <w:p w14:paraId="3B3868CF">
      <w:pPr>
        <w:pStyle w:val="48"/>
        <w:numPr>
          <w:ilvl w:val="1"/>
          <w:numId w:val="2"/>
        </w:numPr>
        <w:spacing w:line="360" w:lineRule="auto"/>
        <w:ind w:left="0" w:firstLine="643"/>
        <w:rPr>
          <w:rFonts w:ascii="宋体" w:hAnsi="宋体" w:eastAsia="宋体" w:cs="宋体"/>
          <w:b/>
          <w:sz w:val="32"/>
          <w:szCs w:val="32"/>
          <w:highlight w:val="none"/>
        </w:rPr>
      </w:pPr>
      <w:bookmarkStart w:id="61" w:name="_Toc7252743"/>
      <w:bookmarkStart w:id="62" w:name="_Toc383175286"/>
      <w:bookmarkStart w:id="63" w:name="_Toc383175062"/>
      <w:bookmarkStart w:id="64" w:name="_Toc383175484"/>
      <w:bookmarkStart w:id="65" w:name="_Toc86124054"/>
      <w:bookmarkStart w:id="66" w:name="_Toc329810196"/>
      <w:r>
        <w:rPr>
          <w:rFonts w:hint="eastAsia" w:ascii="宋体" w:hAnsi="宋体" w:eastAsia="宋体" w:cs="宋体"/>
          <w:b/>
          <w:sz w:val="32"/>
          <w:szCs w:val="32"/>
          <w:highlight w:val="none"/>
        </w:rPr>
        <w:t>响应文件构成</w:t>
      </w:r>
      <w:bookmarkEnd w:id="61"/>
      <w:bookmarkEnd w:id="62"/>
      <w:bookmarkEnd w:id="63"/>
      <w:bookmarkEnd w:id="64"/>
      <w:bookmarkEnd w:id="65"/>
      <w:bookmarkEnd w:id="66"/>
    </w:p>
    <w:p w14:paraId="7E7DDEDC">
      <w:pPr>
        <w:spacing w:line="360" w:lineRule="auto"/>
        <w:ind w:firstLine="420" w:firstLineChars="200"/>
        <w:rPr>
          <w:rFonts w:ascii="宋体" w:hAnsi="宋体" w:eastAsia="宋体" w:cs="宋体"/>
          <w:highlight w:val="none"/>
        </w:rPr>
      </w:pPr>
      <w:r>
        <w:rPr>
          <w:rFonts w:hint="eastAsia" w:ascii="宋体" w:hAnsi="宋体" w:eastAsia="宋体" w:cs="宋体"/>
          <w:highlight w:val="none"/>
        </w:rPr>
        <w:t>9.1</w:t>
      </w:r>
      <w:r>
        <w:rPr>
          <w:rFonts w:hint="eastAsia" w:ascii="宋体" w:hAnsi="宋体" w:eastAsia="宋体" w:cs="宋体"/>
          <w:highlight w:val="none"/>
        </w:rPr>
        <w:tab/>
      </w:r>
      <w:r>
        <w:rPr>
          <w:rFonts w:hint="eastAsia" w:ascii="宋体" w:hAnsi="宋体" w:eastAsia="宋体" w:cs="宋体"/>
          <w:highlight w:val="none"/>
        </w:rPr>
        <w:t>磋商申请人编写的响应文件应按第四章“响应文件格式”要求及内容要求填写。有关文件的提交如未特别注明需提供原件的，可提供复印件。</w:t>
      </w:r>
    </w:p>
    <w:p w14:paraId="1AEE11EA">
      <w:pPr>
        <w:pStyle w:val="48"/>
        <w:numPr>
          <w:ilvl w:val="1"/>
          <w:numId w:val="2"/>
        </w:numPr>
        <w:spacing w:line="360" w:lineRule="auto"/>
        <w:ind w:left="0" w:firstLine="643"/>
        <w:rPr>
          <w:rFonts w:ascii="宋体" w:hAnsi="宋体" w:eastAsia="宋体" w:cs="宋体"/>
          <w:b/>
          <w:sz w:val="32"/>
          <w:szCs w:val="32"/>
          <w:highlight w:val="none"/>
        </w:rPr>
      </w:pPr>
      <w:bookmarkStart w:id="67" w:name="_Toc86124056"/>
      <w:bookmarkStart w:id="68" w:name="_Toc329810197"/>
      <w:bookmarkStart w:id="69" w:name="_Toc383175063"/>
      <w:bookmarkStart w:id="70" w:name="_Toc383175485"/>
      <w:bookmarkStart w:id="71" w:name="_Toc7252744"/>
      <w:bookmarkStart w:id="72" w:name="_Toc383175287"/>
      <w:r>
        <w:rPr>
          <w:rFonts w:hint="eastAsia" w:ascii="宋体" w:hAnsi="宋体" w:eastAsia="宋体" w:cs="宋体"/>
          <w:b/>
          <w:sz w:val="32"/>
          <w:szCs w:val="32"/>
          <w:highlight w:val="none"/>
        </w:rPr>
        <w:t>报价</w:t>
      </w:r>
      <w:bookmarkEnd w:id="67"/>
      <w:r>
        <w:rPr>
          <w:rFonts w:hint="eastAsia" w:ascii="宋体" w:hAnsi="宋体" w:eastAsia="宋体" w:cs="宋体"/>
          <w:b/>
          <w:sz w:val="32"/>
          <w:szCs w:val="32"/>
          <w:highlight w:val="none"/>
        </w:rPr>
        <w:t>和报价货币</w:t>
      </w:r>
      <w:bookmarkEnd w:id="68"/>
      <w:bookmarkEnd w:id="69"/>
      <w:bookmarkEnd w:id="70"/>
      <w:bookmarkEnd w:id="71"/>
      <w:bookmarkEnd w:id="72"/>
    </w:p>
    <w:p w14:paraId="142F3C3E">
      <w:pPr>
        <w:spacing w:line="360" w:lineRule="auto"/>
        <w:ind w:firstLine="420" w:firstLineChars="200"/>
        <w:rPr>
          <w:rFonts w:ascii="宋体" w:hAnsi="宋体" w:eastAsia="宋体" w:cs="宋体"/>
          <w:highlight w:val="none"/>
        </w:rPr>
      </w:pPr>
      <w:r>
        <w:rPr>
          <w:rFonts w:hint="eastAsia" w:ascii="宋体" w:hAnsi="宋体" w:eastAsia="宋体" w:cs="宋体"/>
          <w:highlight w:val="none"/>
        </w:rPr>
        <w:t>10.1</w:t>
      </w:r>
      <w:r>
        <w:rPr>
          <w:rFonts w:hint="eastAsia" w:ascii="宋体" w:hAnsi="宋体" w:eastAsia="宋体" w:cs="宋体"/>
          <w:highlight w:val="none"/>
        </w:rPr>
        <w:tab/>
      </w:r>
      <w:r>
        <w:rPr>
          <w:rFonts w:hint="eastAsia" w:ascii="宋体" w:hAnsi="宋体" w:eastAsia="宋体" w:cs="宋体"/>
          <w:highlight w:val="none"/>
        </w:rPr>
        <w:t>本项目采购预算和最高限价详见“</w:t>
      </w:r>
      <w:r>
        <w:rPr>
          <w:rFonts w:hint="eastAsia" w:ascii="宋体" w:hAnsi="宋体" w:eastAsia="宋体" w:cs="宋体"/>
          <w:b/>
          <w:bCs/>
          <w:highlight w:val="none"/>
        </w:rPr>
        <w:t>磋商申请人须知前附表</w:t>
      </w:r>
      <w:r>
        <w:rPr>
          <w:rFonts w:hint="eastAsia" w:ascii="宋体" w:hAnsi="宋体" w:eastAsia="宋体" w:cs="宋体"/>
          <w:highlight w:val="none"/>
        </w:rPr>
        <w:t>”，最后报价超过采购预算的磋商申请人将按无效处理。</w:t>
      </w:r>
    </w:p>
    <w:p w14:paraId="1B60F406">
      <w:pPr>
        <w:spacing w:line="360" w:lineRule="auto"/>
        <w:ind w:firstLine="422" w:firstLineChars="200"/>
        <w:rPr>
          <w:rFonts w:ascii="宋体" w:hAnsi="宋体" w:eastAsia="宋体" w:cs="宋体"/>
          <w:highlight w:val="none"/>
        </w:rPr>
      </w:pPr>
      <w:r>
        <w:rPr>
          <w:rFonts w:hint="eastAsia" w:ascii="宋体" w:hAnsi="宋体" w:eastAsia="宋体" w:cs="宋体"/>
          <w:b/>
          <w:bCs/>
          <w:highlight w:val="none"/>
        </w:rPr>
        <w:t>10.2</w:t>
      </w:r>
      <w:r>
        <w:rPr>
          <w:rFonts w:hint="eastAsia" w:ascii="宋体" w:hAnsi="宋体" w:eastAsia="宋体" w:cs="宋体"/>
          <w:b/>
          <w:bCs/>
          <w:highlight w:val="none"/>
        </w:rPr>
        <w:tab/>
      </w:r>
      <w:r>
        <w:rPr>
          <w:rFonts w:hint="eastAsia" w:ascii="宋体" w:hAnsi="宋体" w:eastAsia="宋体" w:cs="宋体"/>
          <w:b/>
          <w:bCs/>
          <w:highlight w:val="none"/>
        </w:rPr>
        <w:t>磋商申请人须就“采购需求”中所有采购内容作完整唯一报价。</w:t>
      </w:r>
    </w:p>
    <w:p w14:paraId="66DECDAC">
      <w:pPr>
        <w:pStyle w:val="15"/>
        <w:spacing w:line="360" w:lineRule="auto"/>
        <w:ind w:firstLine="420" w:firstLineChars="200"/>
        <w:jc w:val="both"/>
        <w:rPr>
          <w:rFonts w:hAnsi="宋体"/>
          <w:highlight w:val="none"/>
        </w:rPr>
      </w:pPr>
      <w:r>
        <w:rPr>
          <w:rFonts w:hint="eastAsia" w:hAnsi="宋体"/>
          <w:highlight w:val="none"/>
        </w:rPr>
        <w:t>10.3</w:t>
      </w:r>
      <w:r>
        <w:rPr>
          <w:rFonts w:hint="eastAsia" w:hAnsi="宋体"/>
          <w:highlight w:val="none"/>
        </w:rPr>
        <w:tab/>
      </w:r>
      <w:r>
        <w:rPr>
          <w:rFonts w:hint="eastAsia" w:hAnsi="宋体"/>
          <w:highlight w:val="none"/>
        </w:rPr>
        <w:t>磋商申请人应依据磋商文件的要求及有关资料自行报价，执行国家或行业现行技术经济标准、定额及规范，自行测算出满足采购要求的服务的竞争性报价。报价均为人民币元或服务费率，磋商报价应包括完成本项目所需的一切费用，该报价应符合国内行情并不能保证磋商申请人完成履行合同所需的一切工作，为包干总价。合同一旦签订，此价格在合同实施期间将不因市场价格等的变化而调整。</w:t>
      </w:r>
    </w:p>
    <w:p w14:paraId="675061AB">
      <w:pPr>
        <w:pStyle w:val="15"/>
        <w:spacing w:line="360" w:lineRule="auto"/>
        <w:ind w:firstLine="420" w:firstLineChars="200"/>
        <w:jc w:val="both"/>
        <w:rPr>
          <w:rFonts w:hAnsi="宋体"/>
          <w:highlight w:val="none"/>
        </w:rPr>
      </w:pPr>
      <w:r>
        <w:rPr>
          <w:rFonts w:hint="eastAsia" w:hAnsi="宋体"/>
          <w:highlight w:val="none"/>
        </w:rPr>
        <w:t>10.4</w:t>
      </w:r>
      <w:r>
        <w:rPr>
          <w:rFonts w:hint="eastAsia" w:hAnsi="宋体"/>
          <w:highlight w:val="none"/>
        </w:rPr>
        <w:tab/>
      </w:r>
      <w:r>
        <w:rPr>
          <w:rFonts w:hint="eastAsia" w:hAnsi="宋体"/>
          <w:highlight w:val="none"/>
        </w:rPr>
        <w:t>须完整报价，少报、漏报、错报视为已包含在磋商总报价中，结算时不作调整。</w:t>
      </w:r>
    </w:p>
    <w:p w14:paraId="4739A077">
      <w:pPr>
        <w:pStyle w:val="15"/>
        <w:spacing w:line="360" w:lineRule="auto"/>
        <w:ind w:firstLine="420" w:firstLineChars="200"/>
        <w:jc w:val="both"/>
        <w:rPr>
          <w:rFonts w:hAnsi="宋体"/>
          <w:highlight w:val="none"/>
        </w:rPr>
      </w:pPr>
      <w:r>
        <w:rPr>
          <w:rFonts w:hint="eastAsia" w:hAnsi="宋体"/>
          <w:highlight w:val="none"/>
        </w:rPr>
        <w:t>10.5</w:t>
      </w:r>
      <w:r>
        <w:rPr>
          <w:rFonts w:hint="eastAsia" w:hAnsi="宋体"/>
          <w:highlight w:val="none"/>
        </w:rPr>
        <w:tab/>
      </w:r>
      <w:r>
        <w:rPr>
          <w:rFonts w:hint="eastAsia" w:hAnsi="宋体"/>
          <w:highlight w:val="none"/>
        </w:rPr>
        <w:t>磋商申请人应根据“报价表”要求填写磋商报价组成情况。</w:t>
      </w:r>
    </w:p>
    <w:p w14:paraId="676D93C5">
      <w:pPr>
        <w:spacing w:line="360" w:lineRule="auto"/>
        <w:ind w:firstLine="420" w:firstLineChars="200"/>
        <w:rPr>
          <w:rFonts w:ascii="宋体" w:hAnsi="宋体" w:eastAsia="宋体" w:cs="宋体"/>
          <w:b/>
          <w:bCs/>
          <w:highlight w:val="none"/>
        </w:rPr>
      </w:pPr>
      <w:r>
        <w:rPr>
          <w:rFonts w:hint="eastAsia" w:ascii="宋体" w:hAnsi="宋体" w:eastAsia="宋体" w:cs="宋体"/>
          <w:highlight w:val="none"/>
        </w:rPr>
        <w:t>10.6</w:t>
      </w:r>
      <w:r>
        <w:rPr>
          <w:rFonts w:hint="eastAsia" w:ascii="宋体" w:hAnsi="宋体" w:eastAsia="宋体" w:cs="宋体"/>
          <w:highlight w:val="none"/>
        </w:rPr>
        <w:tab/>
      </w:r>
      <w:r>
        <w:rPr>
          <w:rFonts w:hint="eastAsia" w:ascii="宋体" w:hAnsi="宋体" w:eastAsia="宋体" w:cs="宋体"/>
          <w:b/>
          <w:bCs/>
          <w:highlight w:val="none"/>
        </w:rPr>
        <w:t>通过实质性审查的磋商申请人才能进入磋商程序并进行第二轮报价，第二轮报价为最终报价。</w:t>
      </w:r>
    </w:p>
    <w:p w14:paraId="4226FC5E">
      <w:pPr>
        <w:spacing w:line="360" w:lineRule="auto"/>
        <w:ind w:firstLine="422" w:firstLineChars="200"/>
        <w:rPr>
          <w:rFonts w:ascii="宋体" w:hAnsi="宋体" w:eastAsia="宋体" w:cs="宋体"/>
          <w:b/>
          <w:bCs/>
          <w:highlight w:val="none"/>
        </w:rPr>
      </w:pPr>
      <w:r>
        <w:rPr>
          <w:rFonts w:hint="eastAsia" w:ascii="宋体" w:hAnsi="宋体" w:eastAsia="宋体" w:cs="宋体"/>
          <w:b/>
          <w:bCs/>
          <w:highlight w:val="none"/>
        </w:rPr>
        <w:t>10.7</w:t>
      </w:r>
      <w:r>
        <w:rPr>
          <w:rFonts w:hint="eastAsia" w:ascii="宋体" w:hAnsi="宋体" w:eastAsia="宋体" w:cs="宋体"/>
          <w:b/>
          <w:bCs/>
          <w:highlight w:val="none"/>
        </w:rPr>
        <w:tab/>
      </w:r>
      <w:r>
        <w:rPr>
          <w:rFonts w:hint="eastAsia" w:ascii="宋体" w:hAnsi="宋体" w:eastAsia="宋体" w:cs="宋体"/>
          <w:b/>
          <w:bCs/>
          <w:highlight w:val="none"/>
        </w:rPr>
        <w:t>最终报价文件应由法定代表人（负责人）或委托代理人签字，在规定的时间内统一密封递交。若已递交的最终报价文件若出现含义不明确、同类问题表述不一致或者签署不完整、有明显文字和计算错误的，可以进行澄清和补充，但不得改变最终报价文件中报价等实质性内容（算术性错误修正的除外）。</w:t>
      </w:r>
    </w:p>
    <w:p w14:paraId="0EB9E44E">
      <w:pPr>
        <w:spacing w:line="360" w:lineRule="auto"/>
        <w:ind w:firstLine="420" w:firstLineChars="200"/>
        <w:rPr>
          <w:rFonts w:ascii="宋体" w:hAnsi="宋体" w:eastAsia="宋体" w:cs="宋体"/>
          <w:b/>
          <w:bCs/>
          <w:highlight w:val="none"/>
        </w:rPr>
      </w:pPr>
      <w:r>
        <w:rPr>
          <w:rFonts w:hint="eastAsia" w:ascii="宋体" w:hAnsi="宋体" w:eastAsia="宋体" w:cs="宋体"/>
          <w:kern w:val="0"/>
          <w:highlight w:val="none"/>
        </w:rPr>
        <w:t>磋商申请人的澄清、说明或者更正应当由法定代表人（负责人）或其授权代表签字或者加盖公章。由授权代表签字的，应当附法定代表人（负责人）授权书。磋商申请人为自然人的，应当由本人签字并附身份证明。</w:t>
      </w:r>
    </w:p>
    <w:p w14:paraId="34AE5FAA">
      <w:pPr>
        <w:adjustRightIn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10.8</w:t>
      </w:r>
      <w:r>
        <w:rPr>
          <w:rFonts w:hint="eastAsia" w:ascii="宋体" w:hAnsi="宋体" w:eastAsia="宋体" w:cs="宋体"/>
          <w:highlight w:val="none"/>
        </w:rPr>
        <w:tab/>
      </w:r>
      <w:r>
        <w:rPr>
          <w:rFonts w:hint="eastAsia" w:ascii="宋体" w:hAnsi="宋体" w:eastAsia="宋体" w:cs="宋体"/>
          <w:highlight w:val="none"/>
        </w:rPr>
        <w:t>磋商申请人不得哄抬报价，也不应低于成本价（或进价）报价。磋商小组认为磋商申请人的最低报价或者某些分项报价明显不合理或者低于成本，有可能影响项目质量和不能诚信履约的，将要求其在规定的期限内提供书面文件予以解释说明，并提交相关证明材料。否则，磋商小组可以取消该磋商申请人的成交候选人资格。</w:t>
      </w:r>
    </w:p>
    <w:p w14:paraId="5332F0D5">
      <w:pPr>
        <w:adjustRightIn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10.9</w:t>
      </w:r>
      <w:r>
        <w:rPr>
          <w:rFonts w:hint="eastAsia" w:ascii="宋体" w:hAnsi="宋体" w:eastAsia="宋体" w:cs="宋体"/>
          <w:highlight w:val="none"/>
        </w:rPr>
        <w:tab/>
      </w:r>
      <w:r>
        <w:rPr>
          <w:rFonts w:hint="eastAsia" w:ascii="宋体" w:hAnsi="宋体" w:eastAsia="宋体" w:cs="宋体"/>
          <w:kern w:val="0"/>
          <w:highlight w:val="none"/>
        </w:rPr>
        <w:t>本次采购的磋商报价及合同结算货币为</w:t>
      </w:r>
      <w:r>
        <w:rPr>
          <w:rFonts w:hint="eastAsia" w:ascii="宋体" w:hAnsi="宋体" w:eastAsia="宋体" w:cs="宋体"/>
          <w:highlight w:val="none"/>
        </w:rPr>
        <w:t>人民币。</w:t>
      </w:r>
    </w:p>
    <w:p w14:paraId="11B0E2F7">
      <w:pPr>
        <w:pStyle w:val="48"/>
        <w:numPr>
          <w:ilvl w:val="1"/>
          <w:numId w:val="2"/>
        </w:numPr>
        <w:spacing w:line="360" w:lineRule="auto"/>
        <w:ind w:left="0" w:firstLine="643"/>
        <w:rPr>
          <w:rFonts w:ascii="宋体" w:hAnsi="宋体" w:eastAsia="宋体" w:cs="宋体"/>
          <w:b/>
          <w:sz w:val="32"/>
          <w:szCs w:val="32"/>
          <w:highlight w:val="none"/>
        </w:rPr>
      </w:pPr>
      <w:bookmarkStart w:id="73" w:name="_Toc7252745"/>
      <w:bookmarkStart w:id="74" w:name="_Toc86124058"/>
      <w:bookmarkStart w:id="75" w:name="_Toc383175486"/>
      <w:bookmarkStart w:id="76" w:name="_Toc329810198"/>
      <w:bookmarkStart w:id="77" w:name="_Toc383175064"/>
      <w:bookmarkStart w:id="78" w:name="_Toc383175288"/>
      <w:r>
        <w:rPr>
          <w:rFonts w:hint="eastAsia" w:ascii="宋体" w:hAnsi="宋体" w:eastAsia="宋体" w:cs="宋体"/>
          <w:b/>
          <w:sz w:val="32"/>
          <w:szCs w:val="32"/>
          <w:highlight w:val="none"/>
        </w:rPr>
        <w:t>有效期</w:t>
      </w:r>
      <w:bookmarkEnd w:id="73"/>
      <w:bookmarkEnd w:id="74"/>
      <w:bookmarkEnd w:id="75"/>
      <w:bookmarkEnd w:id="76"/>
      <w:bookmarkEnd w:id="77"/>
      <w:bookmarkEnd w:id="78"/>
    </w:p>
    <w:p w14:paraId="11D6D036">
      <w:pPr>
        <w:spacing w:line="360" w:lineRule="auto"/>
        <w:ind w:firstLine="420" w:firstLineChars="200"/>
        <w:rPr>
          <w:rFonts w:ascii="宋体" w:hAnsi="宋体" w:eastAsia="宋体" w:cs="宋体"/>
          <w:highlight w:val="none"/>
        </w:rPr>
      </w:pPr>
      <w:r>
        <w:rPr>
          <w:rFonts w:hint="eastAsia" w:ascii="宋体" w:hAnsi="宋体" w:eastAsia="宋体" w:cs="宋体"/>
          <w:highlight w:val="none"/>
        </w:rPr>
        <w:t>11.1</w:t>
      </w:r>
      <w:r>
        <w:rPr>
          <w:rFonts w:hint="eastAsia" w:ascii="宋体" w:hAnsi="宋体" w:eastAsia="宋体" w:cs="宋体"/>
          <w:highlight w:val="none"/>
        </w:rPr>
        <w:tab/>
      </w:r>
      <w:r>
        <w:rPr>
          <w:rFonts w:hint="eastAsia" w:ascii="宋体" w:hAnsi="宋体" w:eastAsia="宋体" w:cs="宋体"/>
          <w:highlight w:val="none"/>
        </w:rPr>
        <w:t>在“</w:t>
      </w:r>
      <w:r>
        <w:rPr>
          <w:rFonts w:hint="eastAsia" w:ascii="宋体" w:hAnsi="宋体" w:eastAsia="宋体" w:cs="宋体"/>
          <w:b/>
          <w:bCs/>
          <w:highlight w:val="none"/>
        </w:rPr>
        <w:t>磋商申请人须知前附表</w:t>
      </w:r>
      <w:r>
        <w:rPr>
          <w:rFonts w:hint="eastAsia" w:ascii="宋体" w:hAnsi="宋体" w:eastAsia="宋体" w:cs="宋体"/>
          <w:highlight w:val="none"/>
        </w:rPr>
        <w:t>”规定的有效期内，磋商申请人不得要求撤销或修改其响应文件。</w:t>
      </w:r>
    </w:p>
    <w:p w14:paraId="75B3747F">
      <w:pPr>
        <w:spacing w:line="360" w:lineRule="auto"/>
        <w:ind w:firstLine="420" w:firstLineChars="200"/>
        <w:rPr>
          <w:rFonts w:ascii="宋体" w:hAnsi="宋体" w:eastAsia="宋体" w:cs="宋体"/>
          <w:highlight w:val="none"/>
        </w:rPr>
      </w:pPr>
      <w:r>
        <w:rPr>
          <w:rFonts w:hint="eastAsia" w:ascii="宋体" w:hAnsi="宋体" w:eastAsia="宋体" w:cs="宋体"/>
          <w:highlight w:val="none"/>
        </w:rPr>
        <w:t>11.2</w:t>
      </w:r>
      <w:r>
        <w:rPr>
          <w:rFonts w:hint="eastAsia" w:ascii="宋体" w:hAnsi="宋体" w:eastAsia="宋体" w:cs="宋体"/>
          <w:highlight w:val="none"/>
        </w:rPr>
        <w:tab/>
      </w:r>
      <w:r>
        <w:rPr>
          <w:rFonts w:hint="eastAsia" w:ascii="宋体" w:hAnsi="宋体" w:eastAsia="宋体" w:cs="宋体"/>
          <w:highlight w:val="none"/>
        </w:rPr>
        <w:t>因特殊情况需要延长有效期的，采购代理机构以书面形式通知所有磋商申请人延长有效期。磋商申请人同意延长的，应相应延长其保证金的有效期，但不得要求或被允许修改或撤销其响应文件；磋商申请人拒绝延长的，其响应文件失效，但磋商申请人有权收回其保证金。</w:t>
      </w:r>
    </w:p>
    <w:p w14:paraId="58184315">
      <w:pPr>
        <w:pStyle w:val="48"/>
        <w:numPr>
          <w:ilvl w:val="1"/>
          <w:numId w:val="2"/>
        </w:numPr>
        <w:spacing w:line="360" w:lineRule="auto"/>
        <w:ind w:left="0" w:firstLine="643"/>
        <w:rPr>
          <w:rFonts w:ascii="宋体" w:hAnsi="宋体" w:eastAsia="宋体" w:cs="宋体"/>
          <w:b/>
          <w:sz w:val="32"/>
          <w:szCs w:val="32"/>
          <w:highlight w:val="none"/>
        </w:rPr>
      </w:pPr>
      <w:bookmarkStart w:id="79" w:name="_Toc86124059"/>
      <w:bookmarkStart w:id="80" w:name="_Toc329810199"/>
      <w:bookmarkStart w:id="81" w:name="_Toc383175065"/>
      <w:bookmarkStart w:id="82" w:name="_Toc7252746"/>
      <w:bookmarkStart w:id="83" w:name="_Toc383175289"/>
      <w:bookmarkStart w:id="84" w:name="_Toc383175487"/>
      <w:r>
        <w:rPr>
          <w:rFonts w:hint="eastAsia" w:ascii="宋体" w:hAnsi="宋体" w:eastAsia="宋体" w:cs="宋体"/>
          <w:b/>
          <w:sz w:val="32"/>
          <w:szCs w:val="32"/>
          <w:highlight w:val="none"/>
        </w:rPr>
        <w:t>磋商响应文件的</w:t>
      </w:r>
      <w:bookmarkEnd w:id="79"/>
      <w:bookmarkEnd w:id="80"/>
      <w:r>
        <w:rPr>
          <w:rFonts w:hint="eastAsia" w:ascii="宋体" w:hAnsi="宋体" w:eastAsia="宋体" w:cs="宋体"/>
          <w:b/>
          <w:sz w:val="32"/>
          <w:szCs w:val="32"/>
          <w:highlight w:val="none"/>
        </w:rPr>
        <w:t>编制</w:t>
      </w:r>
      <w:bookmarkEnd w:id="81"/>
      <w:bookmarkEnd w:id="82"/>
      <w:bookmarkEnd w:id="83"/>
      <w:bookmarkEnd w:id="84"/>
    </w:p>
    <w:p w14:paraId="36BD1714">
      <w:pPr>
        <w:spacing w:line="360" w:lineRule="auto"/>
        <w:ind w:firstLine="420" w:firstLineChars="200"/>
        <w:jc w:val="left"/>
        <w:rPr>
          <w:rFonts w:ascii="宋体" w:hAnsi="宋体" w:eastAsia="宋体" w:cs="宋体"/>
          <w:highlight w:val="none"/>
        </w:rPr>
      </w:pPr>
      <w:r>
        <w:rPr>
          <w:rFonts w:hint="eastAsia" w:ascii="宋体" w:hAnsi="宋体" w:eastAsia="宋体" w:cs="宋体"/>
          <w:highlight w:val="none"/>
        </w:rPr>
        <w:t>12.1</w:t>
      </w:r>
      <w:r>
        <w:rPr>
          <w:rFonts w:hint="eastAsia" w:ascii="宋体" w:hAnsi="宋体" w:eastAsia="宋体" w:cs="宋体"/>
          <w:highlight w:val="none"/>
        </w:rPr>
        <w:tab/>
      </w:r>
      <w:r>
        <w:rPr>
          <w:rFonts w:hint="eastAsia" w:ascii="宋体" w:hAnsi="宋体" w:eastAsia="宋体" w:cs="宋体"/>
          <w:b/>
          <w:bCs/>
          <w:highlight w:val="none"/>
        </w:rPr>
        <w:t>磋商申请人在制作响应文件前，需先下载政采云电子投标客户端并进行安装，下 载安装完成之后，可通过账号密码或CA登录客户端制作响应文件。（政采云电子投标客户端下载网址： https://customer.zcygov.cn/CA-driver-download ）。</w:t>
      </w:r>
    </w:p>
    <w:p w14:paraId="684ED4F3">
      <w:pPr>
        <w:spacing w:line="360" w:lineRule="auto"/>
        <w:ind w:firstLine="420" w:firstLineChars="200"/>
        <w:rPr>
          <w:rFonts w:ascii="宋体" w:hAnsi="宋体" w:eastAsia="宋体" w:cs="宋体"/>
          <w:highlight w:val="none"/>
        </w:rPr>
      </w:pPr>
      <w:r>
        <w:rPr>
          <w:rFonts w:hint="eastAsia" w:ascii="宋体" w:hAnsi="宋体" w:eastAsia="宋体" w:cs="宋体"/>
          <w:highlight w:val="none"/>
        </w:rPr>
        <w:t>12.2响应文件须按磋商文件要求由磋商申请人的法定代表人（负责人）或其委托代理人签字或加盖单位公章。</w:t>
      </w:r>
      <w:r>
        <w:rPr>
          <w:rFonts w:hint="eastAsia" w:ascii="宋体" w:hAnsi="宋体" w:eastAsia="宋体" w:cs="宋体"/>
          <w:b/>
          <w:bCs/>
          <w:highlight w:val="none"/>
        </w:rPr>
        <w:t>委托代理人签字的，磋商响应文件应附法定代表人（负责人）签署的授权委托书。</w:t>
      </w:r>
    </w:p>
    <w:p w14:paraId="7311709F">
      <w:pPr>
        <w:spacing w:line="360" w:lineRule="auto"/>
        <w:ind w:firstLine="420" w:firstLineChars="200"/>
        <w:rPr>
          <w:rFonts w:ascii="宋体" w:hAnsi="宋体" w:eastAsia="宋体" w:cs="宋体"/>
          <w:highlight w:val="none"/>
        </w:rPr>
      </w:pPr>
      <w:r>
        <w:rPr>
          <w:rFonts w:hint="eastAsia" w:ascii="宋体" w:hAnsi="宋体" w:eastAsia="宋体" w:cs="宋体"/>
          <w:highlight w:val="none"/>
        </w:rPr>
        <w:t>12.3</w:t>
      </w:r>
      <w:r>
        <w:rPr>
          <w:rFonts w:hint="eastAsia" w:ascii="宋体" w:hAnsi="宋体" w:eastAsia="宋体" w:cs="宋体"/>
          <w:highlight w:val="none"/>
        </w:rPr>
        <w:tab/>
      </w:r>
      <w:r>
        <w:rPr>
          <w:rFonts w:hint="eastAsia" w:ascii="宋体" w:hAnsi="宋体" w:eastAsia="宋体" w:cs="宋体"/>
          <w:highlight w:val="none"/>
        </w:rPr>
        <w:t>响应文件应尽量避免涂改、行间插字或删除。如果出现上述情况，改动之处应加盖单位公章或磋商申请人法定代表人（负责人）或其授权的代理人签字确认。</w:t>
      </w:r>
    </w:p>
    <w:p w14:paraId="76CB6972">
      <w:pPr>
        <w:spacing w:line="360" w:lineRule="auto"/>
        <w:ind w:firstLine="420" w:firstLineChars="200"/>
        <w:rPr>
          <w:rFonts w:ascii="宋体" w:hAnsi="宋体" w:eastAsia="宋体" w:cs="宋体"/>
          <w:highlight w:val="none"/>
        </w:rPr>
      </w:pPr>
      <w:r>
        <w:rPr>
          <w:rFonts w:hint="eastAsia" w:ascii="宋体" w:hAnsi="宋体" w:eastAsia="宋体" w:cs="宋体"/>
          <w:highlight w:val="none"/>
        </w:rPr>
        <w:t>12.4响应文件应由法定代表人（负责人）或其委托代理人在竞争性磋商文件第四章磋商响应文件格式部分规定签字处逐一签字，要求盖章处应盖单位公章。</w:t>
      </w:r>
    </w:p>
    <w:p w14:paraId="34D48676">
      <w:pPr>
        <w:spacing w:line="360" w:lineRule="auto"/>
        <w:ind w:firstLine="420" w:firstLineChars="200"/>
        <w:rPr>
          <w:rFonts w:ascii="宋体" w:hAnsi="宋体" w:eastAsia="宋体" w:cs="宋体"/>
          <w:highlight w:val="none"/>
        </w:rPr>
      </w:pPr>
      <w:r>
        <w:rPr>
          <w:rFonts w:hint="eastAsia" w:ascii="宋体" w:hAnsi="宋体" w:eastAsia="宋体" w:cs="宋体"/>
          <w:highlight w:val="none"/>
        </w:rPr>
        <w:t>12.5电子响应文件在封面上应按照竞争性磋商文件要求进行编制。</w:t>
      </w:r>
    </w:p>
    <w:p w14:paraId="542B9C24">
      <w:pPr>
        <w:spacing w:line="360" w:lineRule="auto"/>
        <w:ind w:firstLine="420" w:firstLineChars="200"/>
        <w:rPr>
          <w:rFonts w:ascii="宋体" w:hAnsi="宋体" w:eastAsia="宋体" w:cs="宋体"/>
          <w:highlight w:val="none"/>
        </w:rPr>
      </w:pPr>
      <w:r>
        <w:rPr>
          <w:rFonts w:hint="eastAsia" w:ascii="宋体" w:hAnsi="宋体" w:eastAsia="宋体" w:cs="宋体"/>
          <w:highlight w:val="none"/>
        </w:rPr>
        <w:t>12.6</w:t>
      </w:r>
      <w:r>
        <w:rPr>
          <w:rFonts w:hint="eastAsia" w:ascii="宋体" w:hAnsi="宋体" w:eastAsia="宋体" w:cs="宋体"/>
          <w:highlight w:val="none"/>
        </w:rPr>
        <w:tab/>
      </w:r>
      <w:r>
        <w:rPr>
          <w:rFonts w:hint="eastAsia" w:ascii="宋体" w:hAnsi="宋体" w:eastAsia="宋体" w:cs="宋体"/>
          <w:highlight w:val="none"/>
        </w:rPr>
        <w:t>电子响应文件应按照竞争性磋商文件的要求进行编制目录并加密。</w:t>
      </w:r>
    </w:p>
    <w:p w14:paraId="69B73226">
      <w:pPr>
        <w:spacing w:line="360" w:lineRule="auto"/>
        <w:ind w:firstLine="420" w:firstLineChars="200"/>
        <w:rPr>
          <w:rFonts w:ascii="宋体" w:hAnsi="宋体" w:eastAsia="宋体" w:cs="宋体"/>
          <w:highlight w:val="none"/>
        </w:rPr>
      </w:pPr>
      <w:r>
        <w:rPr>
          <w:rFonts w:hint="eastAsia" w:ascii="宋体" w:hAnsi="宋体" w:eastAsia="宋体" w:cs="宋体"/>
          <w:highlight w:val="none"/>
        </w:rPr>
        <w:t>12.7响应文件上传及相关要求：见“</w:t>
      </w:r>
      <w:r>
        <w:rPr>
          <w:rFonts w:hint="eastAsia" w:ascii="宋体" w:hAnsi="宋体" w:eastAsia="宋体" w:cs="宋体"/>
          <w:b/>
          <w:bCs/>
          <w:highlight w:val="none"/>
        </w:rPr>
        <w:t>磋商申请人须知前附表</w:t>
      </w:r>
      <w:r>
        <w:rPr>
          <w:rFonts w:hint="eastAsia" w:ascii="宋体" w:hAnsi="宋体" w:eastAsia="宋体" w:cs="宋体"/>
          <w:highlight w:val="none"/>
        </w:rPr>
        <w:t>”。</w:t>
      </w:r>
    </w:p>
    <w:p w14:paraId="720BBA53">
      <w:pPr>
        <w:pStyle w:val="48"/>
        <w:numPr>
          <w:ilvl w:val="1"/>
          <w:numId w:val="2"/>
        </w:numPr>
        <w:spacing w:line="360" w:lineRule="auto"/>
        <w:ind w:left="0" w:firstLine="643"/>
        <w:rPr>
          <w:rFonts w:ascii="宋体" w:hAnsi="宋体" w:eastAsia="宋体" w:cs="宋体"/>
          <w:b/>
          <w:sz w:val="32"/>
          <w:szCs w:val="32"/>
          <w:highlight w:val="none"/>
        </w:rPr>
      </w:pPr>
      <w:bookmarkStart w:id="85" w:name="_Toc7252747"/>
      <w:r>
        <w:rPr>
          <w:rFonts w:hint="eastAsia" w:ascii="宋体" w:hAnsi="宋体" w:eastAsia="宋体" w:cs="宋体"/>
          <w:b/>
          <w:sz w:val="32"/>
          <w:szCs w:val="32"/>
          <w:highlight w:val="none"/>
        </w:rPr>
        <w:t>磋商保证金</w:t>
      </w:r>
      <w:bookmarkEnd w:id="85"/>
    </w:p>
    <w:p w14:paraId="154E8C2A">
      <w:pPr>
        <w:pStyle w:val="48"/>
        <w:numPr>
          <w:ilvl w:val="1"/>
          <w:numId w:val="3"/>
        </w:numPr>
        <w:spacing w:line="360" w:lineRule="auto"/>
        <w:ind w:left="0" w:firstLine="420"/>
        <w:rPr>
          <w:rFonts w:ascii="宋体" w:hAnsi="宋体" w:eastAsia="宋体" w:cs="宋体"/>
          <w:highlight w:val="none"/>
        </w:rPr>
      </w:pPr>
      <w:r>
        <w:rPr>
          <w:rFonts w:hint="eastAsia" w:ascii="宋体" w:hAnsi="宋体" w:eastAsia="宋体" w:cs="宋体"/>
          <w:highlight w:val="none"/>
        </w:rPr>
        <w:t>磋商保证金为人民币。磋商申请人应在递交响应文件截止时间以前按“</w:t>
      </w:r>
      <w:r>
        <w:rPr>
          <w:rFonts w:hint="eastAsia" w:ascii="宋体" w:hAnsi="宋体" w:eastAsia="宋体" w:cs="宋体"/>
          <w:b/>
          <w:bCs/>
          <w:highlight w:val="none"/>
        </w:rPr>
        <w:t>磋商申请人须知前附表</w:t>
      </w:r>
      <w:r>
        <w:rPr>
          <w:rFonts w:hint="eastAsia" w:ascii="宋体" w:hAnsi="宋体" w:eastAsia="宋体" w:cs="宋体"/>
          <w:highlight w:val="none"/>
        </w:rPr>
        <w:t>”规定的方式及金额交至保山市天瑞建设工程招标咨询有限公司，并在磋商有效期内保持有效。</w:t>
      </w:r>
    </w:p>
    <w:p w14:paraId="230DD314">
      <w:pPr>
        <w:pStyle w:val="48"/>
        <w:numPr>
          <w:ilvl w:val="1"/>
          <w:numId w:val="3"/>
        </w:numPr>
        <w:spacing w:line="360" w:lineRule="auto"/>
        <w:ind w:left="0" w:firstLine="420"/>
        <w:rPr>
          <w:rFonts w:ascii="宋体" w:hAnsi="宋体" w:eastAsia="宋体" w:cs="宋体"/>
          <w:highlight w:val="none"/>
        </w:rPr>
      </w:pPr>
      <w:r>
        <w:rPr>
          <w:rFonts w:hint="eastAsia" w:ascii="宋体" w:hAnsi="宋体" w:eastAsia="宋体" w:cs="宋体"/>
          <w:highlight w:val="none"/>
        </w:rPr>
        <w:t>磋商保证金形式：磋商保证金应按“</w:t>
      </w:r>
      <w:r>
        <w:rPr>
          <w:rFonts w:hint="eastAsia" w:ascii="宋体" w:hAnsi="宋体" w:eastAsia="宋体" w:cs="宋体"/>
          <w:b/>
          <w:bCs/>
          <w:highlight w:val="none"/>
        </w:rPr>
        <w:t>磋商申请人须知前附表</w:t>
      </w:r>
      <w:r>
        <w:rPr>
          <w:rFonts w:hint="eastAsia" w:ascii="宋体" w:hAnsi="宋体" w:eastAsia="宋体" w:cs="宋体"/>
          <w:highlight w:val="none"/>
        </w:rPr>
        <w:t>”规定的形式提交。</w:t>
      </w:r>
    </w:p>
    <w:p w14:paraId="5E86D9E9">
      <w:pPr>
        <w:pStyle w:val="48"/>
        <w:numPr>
          <w:ilvl w:val="1"/>
          <w:numId w:val="3"/>
        </w:numPr>
        <w:spacing w:line="360" w:lineRule="auto"/>
        <w:ind w:left="0" w:firstLine="420"/>
        <w:rPr>
          <w:rFonts w:ascii="宋体" w:hAnsi="宋体" w:eastAsia="宋体" w:cs="宋体"/>
          <w:highlight w:val="none"/>
        </w:rPr>
      </w:pPr>
      <w:r>
        <w:rPr>
          <w:rFonts w:hint="eastAsia" w:ascii="宋体" w:hAnsi="宋体" w:eastAsia="宋体" w:cs="宋体"/>
          <w:highlight w:val="none"/>
        </w:rPr>
        <w:t>办理保证金手续时，请务必在银行进账单或电汇单的用途栏或空白栏上注明项目名称及项目编号。</w:t>
      </w:r>
    </w:p>
    <w:p w14:paraId="3B029D81">
      <w:pPr>
        <w:pStyle w:val="48"/>
        <w:numPr>
          <w:ilvl w:val="1"/>
          <w:numId w:val="3"/>
        </w:numPr>
        <w:spacing w:line="360" w:lineRule="auto"/>
        <w:ind w:left="0" w:firstLine="420"/>
        <w:rPr>
          <w:rFonts w:ascii="宋体" w:hAnsi="宋体" w:eastAsia="宋体" w:cs="宋体"/>
          <w:highlight w:val="none"/>
        </w:rPr>
      </w:pPr>
      <w:r>
        <w:rPr>
          <w:rFonts w:hint="eastAsia" w:ascii="宋体" w:hAnsi="宋体" w:eastAsia="宋体" w:cs="宋体"/>
          <w:highlight w:val="none"/>
        </w:rPr>
        <w:t>磋商申请人应在递交响应文件时向采购代理机构提交采购代理机构出具的保证金到账收据凭证，如果以电汇或网银转账等方式提交的则仅需出示电汇或网银转账凭证。</w:t>
      </w:r>
    </w:p>
    <w:p w14:paraId="27A66029">
      <w:pPr>
        <w:pStyle w:val="48"/>
        <w:numPr>
          <w:ilvl w:val="1"/>
          <w:numId w:val="3"/>
        </w:numPr>
        <w:spacing w:line="360" w:lineRule="auto"/>
        <w:ind w:left="0" w:firstLine="420"/>
        <w:rPr>
          <w:rFonts w:ascii="宋体" w:hAnsi="宋体" w:eastAsia="宋体" w:cs="宋体"/>
          <w:highlight w:val="none"/>
        </w:rPr>
      </w:pPr>
      <w:r>
        <w:rPr>
          <w:rFonts w:hint="eastAsia" w:ascii="宋体" w:hAnsi="宋体" w:eastAsia="宋体" w:cs="宋体"/>
          <w:szCs w:val="21"/>
          <w:highlight w:val="none"/>
        </w:rPr>
        <w:t>在成交公告发布后，采购代理机构将在5个工作日内退还未成交磋商申请人缴纳的磋商保证金；成交人与采购人签署后应当及时告知采购代理机构，采购代理机构自政府采购合同签订之日起5个工作日内退还成交人缴纳的投标保证金，并请成交人将政府采购合同复印件送至采购代理机构或将采购合同扫描件发送至采购代理机构电子邮箱（bstrzb@126.com）。</w:t>
      </w:r>
    </w:p>
    <w:p w14:paraId="473C1722">
      <w:pPr>
        <w:pStyle w:val="48"/>
        <w:numPr>
          <w:ilvl w:val="1"/>
          <w:numId w:val="3"/>
        </w:numPr>
        <w:spacing w:line="360" w:lineRule="auto"/>
        <w:ind w:left="0" w:firstLine="420"/>
        <w:rPr>
          <w:rFonts w:ascii="宋体" w:hAnsi="宋体" w:eastAsia="宋体" w:cs="宋体"/>
          <w:highlight w:val="none"/>
        </w:rPr>
      </w:pPr>
      <w:r>
        <w:rPr>
          <w:rFonts w:hint="eastAsia" w:ascii="宋体" w:hAnsi="宋体" w:eastAsia="宋体" w:cs="宋体"/>
          <w:highlight w:val="none"/>
        </w:rPr>
        <w:t xml:space="preserve"> 下列情况发生时，磋商保证金将不予退还：</w:t>
      </w:r>
    </w:p>
    <w:p w14:paraId="283C1458">
      <w:pPr>
        <w:pStyle w:val="48"/>
        <w:numPr>
          <w:ilvl w:val="0"/>
          <w:numId w:val="4"/>
        </w:numPr>
        <w:spacing w:line="360" w:lineRule="auto"/>
        <w:ind w:left="0" w:firstLine="420"/>
        <w:rPr>
          <w:rFonts w:ascii="宋体" w:hAnsi="宋体" w:eastAsia="宋体" w:cs="宋体"/>
          <w:highlight w:val="none"/>
        </w:rPr>
      </w:pPr>
      <w:r>
        <w:rPr>
          <w:rFonts w:hint="eastAsia" w:ascii="宋体" w:hAnsi="宋体" w:eastAsia="宋体" w:cs="宋体"/>
          <w:highlight w:val="none"/>
        </w:rPr>
        <w:t>磋商申请人在提交响应文件截止时间后撤回响应文件的；</w:t>
      </w:r>
    </w:p>
    <w:p w14:paraId="1F4F30BF">
      <w:pPr>
        <w:pStyle w:val="48"/>
        <w:numPr>
          <w:ilvl w:val="0"/>
          <w:numId w:val="4"/>
        </w:numPr>
        <w:spacing w:line="360" w:lineRule="auto"/>
        <w:ind w:left="0" w:firstLine="420"/>
        <w:rPr>
          <w:rFonts w:ascii="宋体" w:hAnsi="宋体" w:eastAsia="宋体" w:cs="宋体"/>
          <w:highlight w:val="none"/>
        </w:rPr>
      </w:pPr>
      <w:r>
        <w:rPr>
          <w:rFonts w:hint="eastAsia" w:ascii="宋体" w:hAnsi="宋体" w:eastAsia="宋体" w:cs="宋体"/>
          <w:highlight w:val="none"/>
        </w:rPr>
        <w:t>磋商申请人在响应文件中提供虚假材料的；</w:t>
      </w:r>
    </w:p>
    <w:p w14:paraId="67C159EB">
      <w:pPr>
        <w:pStyle w:val="48"/>
        <w:numPr>
          <w:ilvl w:val="0"/>
          <w:numId w:val="4"/>
        </w:numPr>
        <w:spacing w:line="360" w:lineRule="auto"/>
        <w:ind w:left="0" w:firstLine="420"/>
        <w:rPr>
          <w:rFonts w:ascii="宋体" w:hAnsi="宋体" w:eastAsia="宋体" w:cs="宋体"/>
          <w:highlight w:val="none"/>
        </w:rPr>
      </w:pPr>
      <w:r>
        <w:rPr>
          <w:rFonts w:hint="eastAsia" w:ascii="宋体" w:hAnsi="宋体" w:eastAsia="宋体" w:cs="宋体"/>
          <w:highlight w:val="none"/>
        </w:rPr>
        <w:t>除因不可抗力或磋商文件、成交通知书认可的情形以外，成交磋商申请人不与采购人签订合同的；</w:t>
      </w:r>
    </w:p>
    <w:p w14:paraId="1BA93F16">
      <w:pPr>
        <w:pStyle w:val="48"/>
        <w:numPr>
          <w:ilvl w:val="0"/>
          <w:numId w:val="4"/>
        </w:numPr>
        <w:spacing w:line="360" w:lineRule="auto"/>
        <w:ind w:left="0" w:firstLine="420"/>
        <w:rPr>
          <w:rFonts w:ascii="宋体" w:hAnsi="宋体" w:eastAsia="宋体" w:cs="宋体"/>
          <w:highlight w:val="none"/>
        </w:rPr>
      </w:pPr>
      <w:r>
        <w:rPr>
          <w:rFonts w:hint="eastAsia" w:ascii="宋体" w:hAnsi="宋体" w:eastAsia="宋体" w:cs="宋体"/>
          <w:highlight w:val="none"/>
        </w:rPr>
        <w:t>磋商申请人与采购人、其他磋商申请人或者采购代理机构恶意串通的；</w:t>
      </w:r>
    </w:p>
    <w:p w14:paraId="46BD9DAB">
      <w:pPr>
        <w:pStyle w:val="48"/>
        <w:numPr>
          <w:ilvl w:val="0"/>
          <w:numId w:val="4"/>
        </w:numPr>
        <w:spacing w:line="360" w:lineRule="auto"/>
        <w:ind w:left="0" w:firstLine="420"/>
        <w:rPr>
          <w:rFonts w:ascii="宋体" w:hAnsi="宋体" w:eastAsia="宋体" w:cs="宋体"/>
          <w:highlight w:val="none"/>
        </w:rPr>
      </w:pPr>
      <w:r>
        <w:rPr>
          <w:rFonts w:hint="eastAsia" w:ascii="宋体" w:hAnsi="宋体" w:eastAsia="宋体" w:cs="宋体"/>
          <w:highlight w:val="none"/>
        </w:rPr>
        <w:t>竞争性磋商文件规定的其他情形。</w:t>
      </w:r>
    </w:p>
    <w:p w14:paraId="38BB5A20">
      <w:pPr>
        <w:pStyle w:val="3"/>
        <w:spacing w:before="0" w:after="0" w:line="360" w:lineRule="auto"/>
        <w:jc w:val="center"/>
        <w:rPr>
          <w:rFonts w:ascii="宋体" w:hAnsi="宋体" w:eastAsia="宋体" w:cs="宋体"/>
          <w:highlight w:val="none"/>
        </w:rPr>
      </w:pPr>
      <w:bookmarkStart w:id="86" w:name="_Toc86124061"/>
      <w:bookmarkStart w:id="87" w:name="_Toc7252748"/>
      <w:bookmarkStart w:id="88" w:name="_Toc39092134"/>
      <w:r>
        <w:rPr>
          <w:rFonts w:hint="eastAsia" w:ascii="宋体" w:hAnsi="宋体" w:eastAsia="宋体" w:cs="宋体"/>
          <w:highlight w:val="none"/>
        </w:rPr>
        <w:t>四、响应文件的提交</w:t>
      </w:r>
      <w:bookmarkEnd w:id="86"/>
      <w:bookmarkEnd w:id="87"/>
      <w:bookmarkEnd w:id="88"/>
    </w:p>
    <w:p w14:paraId="2152D54F">
      <w:pPr>
        <w:pStyle w:val="48"/>
        <w:numPr>
          <w:ilvl w:val="1"/>
          <w:numId w:val="2"/>
        </w:numPr>
        <w:spacing w:line="360" w:lineRule="auto"/>
        <w:ind w:left="0" w:firstLine="643"/>
        <w:rPr>
          <w:rFonts w:ascii="宋体" w:hAnsi="宋体" w:eastAsia="宋体" w:cs="宋体"/>
          <w:b/>
          <w:sz w:val="32"/>
          <w:szCs w:val="32"/>
          <w:highlight w:val="none"/>
        </w:rPr>
      </w:pPr>
      <w:bookmarkStart w:id="89" w:name="_Toc7252749"/>
      <w:bookmarkStart w:id="90" w:name="_Toc86124062"/>
      <w:bookmarkStart w:id="91" w:name="_Toc383175490"/>
      <w:bookmarkStart w:id="92" w:name="_Toc383175292"/>
      <w:bookmarkStart w:id="93" w:name="_Toc383175068"/>
      <w:bookmarkStart w:id="94" w:name="_Toc329810202"/>
      <w:r>
        <w:rPr>
          <w:rFonts w:hint="eastAsia" w:ascii="宋体" w:hAnsi="宋体" w:eastAsia="宋体" w:cs="宋体"/>
          <w:b/>
          <w:sz w:val="32"/>
          <w:szCs w:val="32"/>
          <w:highlight w:val="none"/>
        </w:rPr>
        <w:t>响应文件的</w:t>
      </w:r>
      <w:bookmarkEnd w:id="89"/>
      <w:bookmarkEnd w:id="90"/>
      <w:bookmarkEnd w:id="91"/>
      <w:bookmarkEnd w:id="92"/>
      <w:bookmarkEnd w:id="93"/>
      <w:bookmarkEnd w:id="94"/>
      <w:r>
        <w:rPr>
          <w:rFonts w:hint="eastAsia" w:ascii="宋体" w:hAnsi="宋体" w:eastAsia="宋体" w:cs="宋体"/>
          <w:b/>
          <w:sz w:val="32"/>
          <w:szCs w:val="32"/>
          <w:highlight w:val="none"/>
        </w:rPr>
        <w:t>上传和递交</w:t>
      </w:r>
    </w:p>
    <w:p w14:paraId="334AE590">
      <w:pPr>
        <w:spacing w:line="360" w:lineRule="auto"/>
        <w:ind w:firstLine="420" w:firstLineChars="200"/>
        <w:rPr>
          <w:rFonts w:ascii="宋体" w:hAnsi="宋体" w:eastAsia="宋体" w:cs="宋体"/>
          <w:highlight w:val="none"/>
        </w:rPr>
      </w:pPr>
      <w:r>
        <w:rPr>
          <w:rFonts w:hint="eastAsia" w:ascii="宋体" w:hAnsi="宋体" w:eastAsia="宋体" w:cs="宋体"/>
          <w:highlight w:val="none"/>
        </w:rPr>
        <w:t>14.1</w:t>
      </w:r>
      <w:r>
        <w:rPr>
          <w:rFonts w:hint="eastAsia" w:ascii="宋体" w:hAnsi="宋体" w:eastAsia="宋体" w:cs="宋体"/>
          <w:highlight w:val="none"/>
        </w:rPr>
        <w:tab/>
      </w:r>
      <w:r>
        <w:rPr>
          <w:rFonts w:hint="eastAsia" w:ascii="宋体" w:hAnsi="宋体" w:eastAsia="宋体" w:cs="宋体"/>
          <w:highlight w:val="none"/>
        </w:rPr>
        <w:t>磋商申请人应按“</w:t>
      </w:r>
      <w:r>
        <w:rPr>
          <w:rFonts w:hint="eastAsia" w:ascii="宋体" w:hAnsi="宋体" w:eastAsia="宋体" w:cs="宋体"/>
          <w:b/>
          <w:bCs/>
          <w:highlight w:val="none"/>
        </w:rPr>
        <w:t>磋商申请人须知前附表</w:t>
      </w:r>
      <w:r>
        <w:rPr>
          <w:rFonts w:hint="eastAsia" w:ascii="宋体" w:hAnsi="宋体" w:eastAsia="宋体" w:cs="宋体"/>
          <w:highlight w:val="none"/>
        </w:rPr>
        <w:t>”中规定的提交响应文件。</w:t>
      </w:r>
    </w:p>
    <w:p w14:paraId="6A4913B8">
      <w:pPr>
        <w:spacing w:line="360" w:lineRule="auto"/>
        <w:ind w:firstLine="420" w:firstLineChars="200"/>
        <w:rPr>
          <w:rFonts w:ascii="宋体" w:hAnsi="宋体" w:eastAsia="宋体" w:cs="宋体"/>
          <w:kern w:val="0"/>
          <w:szCs w:val="21"/>
          <w:highlight w:val="none"/>
        </w:rPr>
      </w:pPr>
      <w:r>
        <w:rPr>
          <w:rFonts w:hint="eastAsia" w:ascii="宋体" w:hAnsi="宋体" w:eastAsia="宋体" w:cs="宋体"/>
          <w:highlight w:val="none"/>
        </w:rPr>
        <w:t>14.2</w:t>
      </w:r>
      <w:r>
        <w:rPr>
          <w:rFonts w:hint="eastAsia" w:ascii="宋体" w:hAnsi="宋体" w:eastAsia="宋体" w:cs="宋体"/>
          <w:highlight w:val="none"/>
        </w:rPr>
        <w:tab/>
      </w:r>
      <w:r>
        <w:rPr>
          <w:rFonts w:hint="eastAsia" w:ascii="宋体" w:hAnsi="宋体" w:eastAsia="宋体" w:cs="宋体"/>
          <w:kern w:val="0"/>
          <w:szCs w:val="21"/>
          <w:highlight w:val="none"/>
        </w:rPr>
        <w:t>本项目采用在云南省政府采购电子交易平台（www.zcygov.cn）上进行采购与递交响应文件，无需现场递交纸质文件，但应在文件递交截止时间前登录系统，并根据开标系统的提示操作解密文件（采用现场参会解密磋商响应文件的，请在磋商会议现场指定电脑进行解密磋商响应文件）。</w:t>
      </w:r>
    </w:p>
    <w:p w14:paraId="4B7EDA0F">
      <w:pPr>
        <w:spacing w:line="360" w:lineRule="auto"/>
        <w:ind w:firstLine="420" w:firstLineChars="200"/>
        <w:rPr>
          <w:rFonts w:ascii="宋体" w:hAnsi="宋体" w:eastAsia="宋体" w:cs="宋体"/>
          <w:kern w:val="0"/>
          <w:szCs w:val="21"/>
          <w:highlight w:val="none"/>
        </w:rPr>
      </w:pPr>
      <w:r>
        <w:rPr>
          <w:rFonts w:hint="eastAsia" w:ascii="宋体" w:hAnsi="宋体" w:eastAsia="宋体" w:cs="宋体"/>
          <w:kern w:val="0"/>
          <w:szCs w:val="21"/>
          <w:highlight w:val="none"/>
        </w:rPr>
        <w:t>14.3本次采购采用在云南省政府采购电子交易平台（www.zcygov.cn）上进行采购与递交响应文件，采购过程具体操作流程请各磋商申请人在云南省政府采购电子交易平台（https://www. zcygov.cn/）的网站操作指南中下载《供应商操作指南》查看操作或在该网站中采购学院中观看《政府采购电子交易供应商线上培训》相关视频。</w:t>
      </w:r>
    </w:p>
    <w:p w14:paraId="45355CF8">
      <w:pPr>
        <w:pStyle w:val="48"/>
        <w:numPr>
          <w:ilvl w:val="1"/>
          <w:numId w:val="2"/>
        </w:numPr>
        <w:spacing w:line="360" w:lineRule="auto"/>
        <w:ind w:left="0" w:firstLine="643"/>
        <w:rPr>
          <w:rFonts w:ascii="宋体" w:hAnsi="宋体" w:eastAsia="宋体" w:cs="宋体"/>
          <w:b/>
          <w:sz w:val="32"/>
          <w:szCs w:val="32"/>
          <w:highlight w:val="none"/>
        </w:rPr>
      </w:pPr>
      <w:bookmarkStart w:id="95" w:name="_Toc7252750"/>
      <w:bookmarkStart w:id="96" w:name="_Toc383175293"/>
      <w:bookmarkStart w:id="97" w:name="_Toc383175069"/>
      <w:bookmarkStart w:id="98" w:name="_Toc86124063"/>
      <w:bookmarkStart w:id="99" w:name="_Toc383175491"/>
      <w:bookmarkStart w:id="100" w:name="_Toc329810203"/>
      <w:r>
        <w:rPr>
          <w:rFonts w:hint="eastAsia" w:ascii="宋体" w:hAnsi="宋体" w:eastAsia="宋体" w:cs="宋体"/>
          <w:b/>
          <w:sz w:val="32"/>
          <w:szCs w:val="32"/>
          <w:highlight w:val="none"/>
        </w:rPr>
        <w:t>递交响应文件的截止时间和地点</w:t>
      </w:r>
      <w:bookmarkEnd w:id="95"/>
      <w:bookmarkEnd w:id="96"/>
      <w:bookmarkEnd w:id="97"/>
      <w:bookmarkEnd w:id="98"/>
      <w:bookmarkEnd w:id="99"/>
      <w:bookmarkEnd w:id="100"/>
    </w:p>
    <w:p w14:paraId="1EE28680">
      <w:pPr>
        <w:spacing w:line="360" w:lineRule="auto"/>
        <w:ind w:firstLine="420" w:firstLineChars="200"/>
        <w:rPr>
          <w:rFonts w:ascii="宋体" w:hAnsi="宋体" w:eastAsia="宋体" w:cs="宋体"/>
          <w:highlight w:val="none"/>
        </w:rPr>
      </w:pPr>
      <w:r>
        <w:rPr>
          <w:rFonts w:hint="eastAsia" w:ascii="宋体" w:hAnsi="宋体" w:eastAsia="宋体" w:cs="宋体"/>
          <w:highlight w:val="none"/>
        </w:rPr>
        <w:t>15.1</w:t>
      </w:r>
      <w:r>
        <w:rPr>
          <w:rFonts w:hint="eastAsia" w:ascii="宋体" w:hAnsi="宋体" w:eastAsia="宋体" w:cs="宋体"/>
          <w:highlight w:val="none"/>
        </w:rPr>
        <w:tab/>
      </w:r>
      <w:r>
        <w:rPr>
          <w:rFonts w:hint="eastAsia" w:ascii="宋体" w:hAnsi="宋体" w:eastAsia="宋体" w:cs="宋体"/>
          <w:highlight w:val="none"/>
        </w:rPr>
        <w:t>响应文件的递交不得迟于“</w:t>
      </w:r>
      <w:r>
        <w:rPr>
          <w:rFonts w:hint="eastAsia" w:ascii="宋体" w:hAnsi="宋体" w:eastAsia="宋体" w:cs="宋体"/>
          <w:b/>
          <w:bCs/>
          <w:highlight w:val="none"/>
        </w:rPr>
        <w:t>磋商申请人须知前附表</w:t>
      </w:r>
      <w:r>
        <w:rPr>
          <w:rFonts w:hint="eastAsia" w:ascii="宋体" w:hAnsi="宋体" w:eastAsia="宋体" w:cs="宋体"/>
          <w:highlight w:val="none"/>
        </w:rPr>
        <w:t>”规定的递交响应文件截止时间。</w:t>
      </w:r>
      <w:r>
        <w:rPr>
          <w:rFonts w:hint="eastAsia" w:ascii="宋体" w:hAnsi="宋体" w:eastAsia="宋体" w:cs="宋体"/>
          <w:b/>
          <w:bCs/>
          <w:highlight w:val="none"/>
        </w:rPr>
        <w:t>电子响应文件须在竞争性磋商响应文件提交截止时间以前上传至云南省政府采购电子交易平台（www.zcygov.cn），逾期上传电子响应文件或磋商申请人在截止时间以前未能送达指定地点不能解密电子响应文件的，其磋商响应文件将被拒绝。</w:t>
      </w:r>
    </w:p>
    <w:p w14:paraId="1A627F8E">
      <w:pPr>
        <w:spacing w:line="360" w:lineRule="auto"/>
        <w:ind w:firstLine="420" w:firstLineChars="200"/>
        <w:rPr>
          <w:rFonts w:ascii="宋体" w:hAnsi="宋体" w:eastAsia="宋体" w:cs="宋体"/>
          <w:b/>
          <w:bCs/>
          <w:highlight w:val="none"/>
        </w:rPr>
      </w:pPr>
      <w:r>
        <w:rPr>
          <w:rFonts w:hint="eastAsia" w:ascii="宋体" w:hAnsi="宋体" w:eastAsia="宋体" w:cs="宋体"/>
          <w:highlight w:val="none"/>
        </w:rPr>
        <w:t>15.2</w:t>
      </w:r>
      <w:r>
        <w:rPr>
          <w:rFonts w:hint="eastAsia" w:ascii="宋体" w:hAnsi="宋体" w:eastAsia="宋体" w:cs="宋体"/>
          <w:highlight w:val="none"/>
        </w:rPr>
        <w:tab/>
      </w:r>
      <w:r>
        <w:rPr>
          <w:rFonts w:hint="eastAsia" w:ascii="宋体" w:hAnsi="宋体" w:eastAsia="宋体" w:cs="宋体"/>
          <w:highlight w:val="none"/>
        </w:rPr>
        <w:t>磋商申请人必须在规定时间内将响应文件上传到</w:t>
      </w:r>
      <w:r>
        <w:rPr>
          <w:rFonts w:hint="eastAsia" w:ascii="宋体" w:hAnsi="宋体" w:eastAsia="宋体" w:cs="宋体"/>
          <w:kern w:val="0"/>
          <w:szCs w:val="21"/>
          <w:highlight w:val="none"/>
        </w:rPr>
        <w:t>云南省政府采购电子交易平台（www.zcygov.cn），采购人及采购代理机构将在</w:t>
      </w:r>
      <w:r>
        <w:rPr>
          <w:rFonts w:hint="eastAsia" w:ascii="宋体" w:hAnsi="宋体" w:eastAsia="宋体" w:cs="宋体"/>
          <w:highlight w:val="none"/>
        </w:rPr>
        <w:t>“</w:t>
      </w:r>
      <w:r>
        <w:rPr>
          <w:rFonts w:hint="eastAsia" w:ascii="宋体" w:hAnsi="宋体" w:eastAsia="宋体" w:cs="宋体"/>
          <w:b/>
          <w:bCs/>
          <w:highlight w:val="none"/>
        </w:rPr>
        <w:t>磋商申请人须知前附表</w:t>
      </w:r>
      <w:r>
        <w:rPr>
          <w:rFonts w:hint="eastAsia" w:ascii="宋体" w:hAnsi="宋体" w:eastAsia="宋体" w:cs="宋体"/>
          <w:highlight w:val="none"/>
        </w:rPr>
        <w:t>”规定的地点举行磋商会议。</w:t>
      </w:r>
    </w:p>
    <w:p w14:paraId="1D39EF2E">
      <w:pPr>
        <w:spacing w:line="360" w:lineRule="auto"/>
        <w:ind w:firstLine="420" w:firstLineChars="200"/>
        <w:rPr>
          <w:rFonts w:ascii="宋体" w:hAnsi="宋体" w:eastAsia="宋体" w:cs="宋体"/>
          <w:highlight w:val="none"/>
        </w:rPr>
      </w:pPr>
      <w:r>
        <w:rPr>
          <w:rFonts w:hint="eastAsia" w:ascii="宋体" w:hAnsi="宋体" w:eastAsia="宋体" w:cs="宋体"/>
          <w:highlight w:val="none"/>
        </w:rPr>
        <w:t>15.3</w:t>
      </w:r>
      <w:r>
        <w:rPr>
          <w:rFonts w:hint="eastAsia" w:ascii="宋体" w:hAnsi="宋体" w:eastAsia="宋体" w:cs="宋体"/>
          <w:highlight w:val="none"/>
        </w:rPr>
        <w:tab/>
      </w:r>
      <w:r>
        <w:rPr>
          <w:rFonts w:hint="eastAsia" w:ascii="宋体" w:hAnsi="宋体" w:eastAsia="宋体" w:cs="宋体"/>
          <w:highlight w:val="none"/>
        </w:rPr>
        <w:t>除“</w:t>
      </w:r>
      <w:r>
        <w:rPr>
          <w:rFonts w:hint="eastAsia" w:ascii="宋体" w:hAnsi="宋体" w:eastAsia="宋体" w:cs="宋体"/>
          <w:b/>
          <w:bCs/>
          <w:highlight w:val="none"/>
        </w:rPr>
        <w:t>磋商申请人须知前附表</w:t>
      </w:r>
      <w:r>
        <w:rPr>
          <w:rFonts w:hint="eastAsia" w:ascii="宋体" w:hAnsi="宋体" w:eastAsia="宋体" w:cs="宋体"/>
          <w:highlight w:val="none"/>
        </w:rPr>
        <w:t>”另有规定外，磋商申请人所递交的响应文件不予退还。</w:t>
      </w:r>
    </w:p>
    <w:p w14:paraId="2FBF0339">
      <w:pPr>
        <w:pStyle w:val="3"/>
        <w:spacing w:before="0" w:after="0" w:line="360" w:lineRule="auto"/>
        <w:jc w:val="center"/>
        <w:rPr>
          <w:rFonts w:ascii="宋体" w:hAnsi="宋体" w:eastAsia="宋体" w:cs="宋体"/>
          <w:highlight w:val="none"/>
        </w:rPr>
      </w:pPr>
      <w:bookmarkStart w:id="101" w:name="_Toc86124064"/>
      <w:bookmarkStart w:id="102" w:name="_Toc39092135"/>
      <w:bookmarkStart w:id="103" w:name="_Toc7252751"/>
      <w:r>
        <w:rPr>
          <w:rFonts w:hint="eastAsia" w:ascii="宋体" w:hAnsi="宋体" w:eastAsia="宋体" w:cs="宋体"/>
          <w:highlight w:val="none"/>
        </w:rPr>
        <w:t>五、磋商</w:t>
      </w:r>
      <w:bookmarkEnd w:id="101"/>
      <w:bookmarkEnd w:id="102"/>
      <w:bookmarkEnd w:id="103"/>
    </w:p>
    <w:p w14:paraId="258D430C">
      <w:pPr>
        <w:pStyle w:val="48"/>
        <w:numPr>
          <w:ilvl w:val="1"/>
          <w:numId w:val="2"/>
        </w:numPr>
        <w:spacing w:line="360" w:lineRule="auto"/>
        <w:ind w:left="0" w:firstLine="643"/>
        <w:rPr>
          <w:rFonts w:ascii="宋体" w:hAnsi="宋体" w:eastAsia="宋体" w:cs="宋体"/>
          <w:b/>
          <w:sz w:val="32"/>
          <w:szCs w:val="32"/>
          <w:highlight w:val="none"/>
        </w:rPr>
      </w:pPr>
      <w:bookmarkStart w:id="104" w:name="_Toc7252752"/>
      <w:r>
        <w:rPr>
          <w:rFonts w:hint="eastAsia" w:ascii="宋体" w:hAnsi="宋体" w:eastAsia="宋体" w:cs="宋体"/>
          <w:b/>
          <w:sz w:val="32"/>
          <w:szCs w:val="32"/>
          <w:highlight w:val="none"/>
        </w:rPr>
        <w:t>磋商</w:t>
      </w:r>
      <w:bookmarkEnd w:id="104"/>
    </w:p>
    <w:p w14:paraId="4235B7D9">
      <w:pPr>
        <w:spacing w:line="360" w:lineRule="auto"/>
        <w:ind w:firstLine="420" w:firstLineChars="200"/>
        <w:rPr>
          <w:rFonts w:ascii="宋体" w:hAnsi="宋体" w:eastAsia="宋体" w:cs="宋体"/>
          <w:highlight w:val="none"/>
        </w:rPr>
      </w:pPr>
      <w:r>
        <w:rPr>
          <w:rFonts w:hint="eastAsia" w:ascii="宋体" w:hAnsi="宋体" w:eastAsia="宋体" w:cs="宋体"/>
          <w:highlight w:val="none"/>
        </w:rPr>
        <w:t>16.1</w:t>
      </w:r>
      <w:r>
        <w:rPr>
          <w:rFonts w:hint="eastAsia" w:ascii="宋体" w:hAnsi="宋体" w:eastAsia="宋体" w:cs="宋体"/>
          <w:highlight w:val="none"/>
        </w:rPr>
        <w:tab/>
      </w:r>
      <w:r>
        <w:rPr>
          <w:rFonts w:hint="eastAsia" w:ascii="宋体" w:hAnsi="宋体" w:eastAsia="宋体" w:cs="宋体"/>
          <w:highlight w:val="none"/>
        </w:rPr>
        <w:t>采购代理机构将在“</w:t>
      </w:r>
      <w:r>
        <w:rPr>
          <w:rFonts w:hint="eastAsia" w:ascii="宋体" w:hAnsi="宋体" w:eastAsia="宋体" w:cs="宋体"/>
          <w:b/>
          <w:bCs/>
          <w:highlight w:val="none"/>
        </w:rPr>
        <w:t>磋商申请人须知前附表</w:t>
      </w:r>
      <w:r>
        <w:rPr>
          <w:rFonts w:hint="eastAsia" w:ascii="宋体" w:hAnsi="宋体" w:eastAsia="宋体" w:cs="宋体"/>
          <w:highlight w:val="none"/>
        </w:rPr>
        <w:t>”规定的时间和地点进行磋商，磋商申请人的法定代表人（负责人）或其委托代理人应按时参加。</w:t>
      </w:r>
    </w:p>
    <w:p w14:paraId="5F25701F">
      <w:pPr>
        <w:spacing w:line="360" w:lineRule="auto"/>
        <w:ind w:firstLine="420" w:firstLineChars="200"/>
        <w:rPr>
          <w:rFonts w:ascii="宋体" w:hAnsi="宋体" w:eastAsia="宋体" w:cs="宋体"/>
          <w:highlight w:val="none"/>
        </w:rPr>
      </w:pPr>
      <w:r>
        <w:rPr>
          <w:rFonts w:hint="eastAsia" w:ascii="宋体" w:hAnsi="宋体" w:eastAsia="宋体" w:cs="宋体"/>
          <w:highlight w:val="none"/>
        </w:rPr>
        <w:t>16.2</w:t>
      </w:r>
      <w:r>
        <w:rPr>
          <w:rFonts w:hint="eastAsia" w:ascii="宋体" w:hAnsi="宋体" w:eastAsia="宋体" w:cs="宋体"/>
          <w:highlight w:val="none"/>
        </w:rPr>
        <w:tab/>
      </w:r>
      <w:r>
        <w:rPr>
          <w:rFonts w:hint="eastAsia" w:ascii="宋体" w:hAnsi="宋体" w:eastAsia="宋体" w:cs="宋体"/>
          <w:highlight w:val="none"/>
        </w:rPr>
        <w:t>磋商由磋商小组负责。磋商小组由采购人代表和有关技术、经济等方面的专家组成，成员人数应当为3人及以上单数。其中，技术、经济等方面的专家不得少于成员总数的三分之二。磋商应当推选组长，但采购人代表不得担任组长。</w:t>
      </w:r>
    </w:p>
    <w:p w14:paraId="69205E6F">
      <w:pPr>
        <w:spacing w:line="360" w:lineRule="auto"/>
        <w:ind w:firstLine="422" w:firstLineChars="200"/>
        <w:rPr>
          <w:rFonts w:ascii="宋体" w:hAnsi="宋体" w:eastAsia="宋体" w:cs="宋体"/>
          <w:b/>
          <w:bCs/>
          <w:highlight w:val="none"/>
        </w:rPr>
      </w:pPr>
      <w:r>
        <w:rPr>
          <w:rFonts w:hint="eastAsia" w:ascii="宋体" w:hAnsi="宋体" w:eastAsia="宋体" w:cs="宋体"/>
          <w:b/>
          <w:bCs/>
          <w:highlight w:val="none"/>
        </w:rPr>
        <w:t>采购人委派代表参加磋商会议的，要向采购代理机构出具授权函。除授权代表外，采购人可以委派纪检监察等相关人员进入磋商现场，对磋商工作实施监督，但不得超过2人。</w:t>
      </w:r>
    </w:p>
    <w:p w14:paraId="16B4554C">
      <w:pPr>
        <w:spacing w:line="360" w:lineRule="auto"/>
        <w:ind w:firstLine="420" w:firstLineChars="200"/>
        <w:rPr>
          <w:rFonts w:ascii="宋体" w:hAnsi="宋体" w:eastAsia="宋体" w:cs="宋体"/>
          <w:highlight w:val="none"/>
        </w:rPr>
      </w:pPr>
      <w:r>
        <w:rPr>
          <w:rFonts w:hint="eastAsia" w:ascii="宋体" w:hAnsi="宋体" w:eastAsia="宋体" w:cs="宋体"/>
          <w:highlight w:val="none"/>
        </w:rPr>
        <w:t>16.3</w:t>
      </w:r>
      <w:r>
        <w:rPr>
          <w:rFonts w:hint="eastAsia" w:ascii="宋体" w:hAnsi="宋体" w:eastAsia="宋体" w:cs="宋体"/>
          <w:highlight w:val="none"/>
        </w:rPr>
        <w:tab/>
      </w:r>
      <w:r>
        <w:rPr>
          <w:rFonts w:hint="eastAsia" w:ascii="宋体" w:hAnsi="宋体" w:eastAsia="宋体" w:cs="宋体"/>
          <w:highlight w:val="none"/>
        </w:rPr>
        <w:t xml:space="preserve"> 磋商原则</w:t>
      </w:r>
    </w:p>
    <w:p w14:paraId="3AC9099E">
      <w:pPr>
        <w:tabs>
          <w:tab w:val="left" w:pos="7980"/>
        </w:tabs>
        <w:spacing w:line="360" w:lineRule="auto"/>
        <w:ind w:firstLine="420" w:firstLineChars="200"/>
        <w:rPr>
          <w:rFonts w:ascii="宋体" w:hAnsi="宋体" w:eastAsia="宋体" w:cs="宋体"/>
          <w:highlight w:val="none"/>
        </w:rPr>
      </w:pPr>
      <w:r>
        <w:rPr>
          <w:rFonts w:hint="eastAsia" w:ascii="宋体" w:hAnsi="宋体" w:eastAsia="宋体" w:cs="宋体"/>
          <w:highlight w:val="none"/>
        </w:rPr>
        <w:t>磋商小组对各磋商申请人的响应文件进行详细评审。磋商小组按照得分的高低推荐成交候选人，推荐成交候选人1—3人，并标明排列顺序。</w:t>
      </w:r>
    </w:p>
    <w:p w14:paraId="371A2C3D">
      <w:pPr>
        <w:spacing w:line="360" w:lineRule="auto"/>
        <w:ind w:firstLine="420" w:firstLineChars="200"/>
        <w:rPr>
          <w:rFonts w:ascii="宋体" w:hAnsi="宋体" w:eastAsia="宋体" w:cs="宋体"/>
          <w:highlight w:val="none"/>
        </w:rPr>
      </w:pPr>
      <w:r>
        <w:rPr>
          <w:rFonts w:hint="eastAsia" w:ascii="宋体" w:hAnsi="宋体" w:eastAsia="宋体" w:cs="宋体"/>
          <w:highlight w:val="none"/>
        </w:rPr>
        <w:t>16.4</w:t>
      </w:r>
      <w:r>
        <w:rPr>
          <w:rFonts w:hint="eastAsia" w:ascii="宋体" w:hAnsi="宋体" w:eastAsia="宋体" w:cs="宋体"/>
          <w:highlight w:val="none"/>
        </w:rPr>
        <w:tab/>
      </w:r>
      <w:r>
        <w:rPr>
          <w:rFonts w:hint="eastAsia" w:ascii="宋体" w:hAnsi="宋体" w:eastAsia="宋体" w:cs="宋体"/>
          <w:highlight w:val="none"/>
        </w:rPr>
        <w:t>磋商程序和方法</w:t>
      </w:r>
    </w:p>
    <w:p w14:paraId="33051428">
      <w:pPr>
        <w:spacing w:line="360" w:lineRule="auto"/>
        <w:ind w:firstLine="420" w:firstLineChars="200"/>
        <w:rPr>
          <w:rFonts w:ascii="宋体" w:hAnsi="宋体" w:eastAsia="宋体" w:cs="宋体"/>
          <w:highlight w:val="none"/>
        </w:rPr>
      </w:pPr>
      <w:r>
        <w:rPr>
          <w:rFonts w:hint="eastAsia" w:ascii="宋体" w:hAnsi="宋体" w:eastAsia="宋体" w:cs="宋体"/>
          <w:highlight w:val="none"/>
        </w:rPr>
        <w:t>磋商小组按照第六章“磋商程序和方法”规定的方法、因素、标准和程序进行磋商。</w:t>
      </w:r>
    </w:p>
    <w:p w14:paraId="4758E73D">
      <w:pPr>
        <w:spacing w:line="360" w:lineRule="auto"/>
        <w:ind w:firstLine="420" w:firstLineChars="200"/>
        <w:rPr>
          <w:rFonts w:ascii="宋体" w:hAnsi="宋体" w:eastAsia="宋体" w:cs="宋体"/>
          <w:highlight w:val="none"/>
        </w:rPr>
      </w:pPr>
      <w:r>
        <w:rPr>
          <w:rFonts w:hint="eastAsia" w:ascii="宋体" w:hAnsi="宋体" w:eastAsia="宋体" w:cs="宋体"/>
          <w:highlight w:val="none"/>
        </w:rPr>
        <w:t>16.5</w:t>
      </w:r>
      <w:r>
        <w:rPr>
          <w:rFonts w:hint="eastAsia" w:ascii="宋体" w:hAnsi="宋体" w:eastAsia="宋体" w:cs="宋体"/>
          <w:highlight w:val="none"/>
        </w:rPr>
        <w:tab/>
      </w:r>
      <w:r>
        <w:rPr>
          <w:rFonts w:hint="eastAsia" w:ascii="宋体" w:hAnsi="宋体" w:eastAsia="宋体" w:cs="宋体"/>
          <w:highlight w:val="none"/>
        </w:rPr>
        <w:t>磋商文件</w:t>
      </w:r>
      <w:r>
        <w:rPr>
          <w:rFonts w:hint="eastAsia" w:ascii="宋体" w:hAnsi="宋体" w:eastAsia="宋体" w:cs="宋体"/>
          <w:b/>
          <w:bCs/>
          <w:highlight w:val="none"/>
          <w:u w:val="single"/>
        </w:rPr>
        <w:t>第六章“磋商程序和方法”前附表第2.1款实质性要求为磋商文件的实质性内容，未实质性响应磋商文件的磋商申请人的响应文件将按无效处理，该磋商申请人不得再继续参加磋商</w:t>
      </w:r>
      <w:r>
        <w:rPr>
          <w:rFonts w:hint="eastAsia" w:ascii="宋体" w:hAnsi="宋体" w:eastAsia="宋体" w:cs="宋体"/>
          <w:highlight w:val="none"/>
        </w:rPr>
        <w:t>。</w:t>
      </w:r>
    </w:p>
    <w:p w14:paraId="07C360A2">
      <w:pPr>
        <w:spacing w:line="360" w:lineRule="auto"/>
        <w:ind w:firstLine="420" w:firstLineChars="200"/>
        <w:rPr>
          <w:rFonts w:ascii="宋体" w:hAnsi="宋体" w:eastAsia="宋体" w:cs="宋体"/>
          <w:highlight w:val="none"/>
        </w:rPr>
      </w:pPr>
      <w:r>
        <w:rPr>
          <w:rFonts w:hint="eastAsia" w:ascii="宋体" w:hAnsi="宋体" w:eastAsia="宋体" w:cs="宋体"/>
          <w:highlight w:val="none"/>
        </w:rPr>
        <w:t>16.6</w:t>
      </w:r>
      <w:r>
        <w:rPr>
          <w:rFonts w:hint="eastAsia" w:ascii="宋体" w:hAnsi="宋体" w:eastAsia="宋体" w:cs="宋体"/>
          <w:highlight w:val="none"/>
        </w:rPr>
        <w:tab/>
      </w:r>
      <w:r>
        <w:rPr>
          <w:rFonts w:hint="eastAsia" w:ascii="宋体" w:hAnsi="宋体" w:eastAsia="宋体" w:cs="宋体"/>
          <w:highlight w:val="none"/>
        </w:rPr>
        <w:t>磋商小组在对响应文件的有效性、完整性和响应程度进行审查时，可以要求磋商申请人对响应文件中含义不明确、同类问题表述不一致或者有明显文字和计算错误的内容等作出必要的澄清、说明或者更正。磋商申请人的澄清、说明或者更正不得超出响应文件的范围或者改变响应文件的实质性内容。</w:t>
      </w:r>
    </w:p>
    <w:p w14:paraId="429D27BF">
      <w:pPr>
        <w:spacing w:line="360" w:lineRule="auto"/>
        <w:ind w:firstLine="420" w:firstLineChars="200"/>
        <w:rPr>
          <w:rFonts w:ascii="宋体" w:hAnsi="宋体" w:eastAsia="宋体" w:cs="宋体"/>
          <w:highlight w:val="none"/>
        </w:rPr>
      </w:pPr>
      <w:r>
        <w:rPr>
          <w:rFonts w:hint="eastAsia" w:ascii="宋体" w:hAnsi="宋体" w:eastAsia="宋体" w:cs="宋体"/>
          <w:highlight w:val="none"/>
        </w:rPr>
        <w:t>磋商小组要求磋商申请人澄清、说明或者更正响应文件应当以书面形式作出。磋商申请人的澄清、说明或者更正应当由法定代表人（负责人）或其授权代表签字或者加盖公章。由授权代表签字的，应当附法定代表人（负责人）授权书。磋商申请人为自然人的，应当由本人签字并附身份证明。</w:t>
      </w:r>
    </w:p>
    <w:p w14:paraId="27B6CDFC">
      <w:pPr>
        <w:pStyle w:val="48"/>
        <w:numPr>
          <w:ilvl w:val="1"/>
          <w:numId w:val="2"/>
        </w:numPr>
        <w:spacing w:line="360" w:lineRule="auto"/>
        <w:ind w:left="0" w:firstLine="643"/>
        <w:rPr>
          <w:rFonts w:ascii="宋体" w:hAnsi="宋体" w:eastAsia="宋体" w:cs="宋体"/>
          <w:b/>
          <w:sz w:val="32"/>
          <w:szCs w:val="32"/>
          <w:highlight w:val="none"/>
        </w:rPr>
      </w:pPr>
      <w:bookmarkStart w:id="105" w:name="_Toc7252753"/>
      <w:bookmarkStart w:id="106" w:name="_Toc329810207"/>
      <w:bookmarkStart w:id="107" w:name="_Toc383175296"/>
      <w:bookmarkStart w:id="108" w:name="_Toc86124067"/>
      <w:bookmarkStart w:id="109" w:name="_Toc383175072"/>
      <w:bookmarkStart w:id="110" w:name="_Toc383175494"/>
      <w:r>
        <w:rPr>
          <w:rFonts w:hint="eastAsia" w:ascii="宋体" w:hAnsi="宋体" w:eastAsia="宋体" w:cs="宋体"/>
          <w:b/>
          <w:sz w:val="32"/>
          <w:szCs w:val="32"/>
          <w:highlight w:val="none"/>
        </w:rPr>
        <w:t>磋商过程的保密</w:t>
      </w:r>
      <w:bookmarkEnd w:id="105"/>
      <w:bookmarkEnd w:id="106"/>
      <w:bookmarkEnd w:id="107"/>
      <w:bookmarkEnd w:id="108"/>
      <w:bookmarkEnd w:id="109"/>
      <w:bookmarkEnd w:id="110"/>
    </w:p>
    <w:p w14:paraId="5EBFF0E5">
      <w:pPr>
        <w:spacing w:line="360" w:lineRule="auto"/>
        <w:ind w:firstLine="420" w:firstLineChars="200"/>
        <w:rPr>
          <w:rFonts w:ascii="宋体" w:hAnsi="宋体" w:eastAsia="宋体" w:cs="宋体"/>
          <w:highlight w:val="none"/>
        </w:rPr>
      </w:pPr>
      <w:r>
        <w:rPr>
          <w:rFonts w:hint="eastAsia" w:ascii="宋体" w:hAnsi="宋体" w:eastAsia="宋体" w:cs="宋体"/>
          <w:highlight w:val="none"/>
        </w:rPr>
        <w:t>在磋商中，磋商的任何一方不得透露与磋商有关的其他磋商申请人的技术资料、价格和其他信息。磋商开始后，直到授予磋商申请人合同止，凡是属于审查、澄清、磋商和比较的有关资料以及成交建议等均不向磋商申请人或其他人员透露。</w:t>
      </w:r>
    </w:p>
    <w:p w14:paraId="7632CE58">
      <w:pPr>
        <w:pStyle w:val="48"/>
        <w:numPr>
          <w:ilvl w:val="1"/>
          <w:numId w:val="2"/>
        </w:numPr>
        <w:spacing w:line="360" w:lineRule="auto"/>
        <w:ind w:left="0" w:firstLine="643"/>
        <w:rPr>
          <w:rFonts w:ascii="宋体" w:hAnsi="宋体" w:eastAsia="宋体" w:cs="宋体"/>
          <w:b/>
          <w:sz w:val="32"/>
          <w:szCs w:val="32"/>
          <w:highlight w:val="none"/>
        </w:rPr>
      </w:pPr>
      <w:bookmarkStart w:id="111" w:name="_Toc7252754"/>
      <w:bookmarkStart w:id="112" w:name="_Toc383175495"/>
      <w:bookmarkStart w:id="113" w:name="_Toc86124068"/>
      <w:bookmarkStart w:id="114" w:name="_Toc329810208"/>
      <w:bookmarkStart w:id="115" w:name="_Toc378499713"/>
      <w:bookmarkStart w:id="116" w:name="_Toc383175073"/>
      <w:bookmarkStart w:id="117" w:name="_Toc383175297"/>
      <w:r>
        <w:rPr>
          <w:rFonts w:hint="eastAsia" w:ascii="宋体" w:hAnsi="宋体" w:eastAsia="宋体" w:cs="宋体"/>
          <w:b/>
          <w:sz w:val="32"/>
          <w:szCs w:val="32"/>
          <w:highlight w:val="none"/>
        </w:rPr>
        <w:t>出现下列情形之一的，将终止竞争性磋商采购活动，并发布项目终止公告并说明原因，重新开展采购活动：</w:t>
      </w:r>
      <w:bookmarkEnd w:id="111"/>
      <w:bookmarkEnd w:id="112"/>
      <w:bookmarkEnd w:id="113"/>
      <w:bookmarkEnd w:id="114"/>
      <w:bookmarkEnd w:id="115"/>
      <w:bookmarkEnd w:id="116"/>
      <w:bookmarkEnd w:id="117"/>
    </w:p>
    <w:p w14:paraId="22EAB58B">
      <w:pPr>
        <w:pStyle w:val="48"/>
        <w:numPr>
          <w:ilvl w:val="2"/>
          <w:numId w:val="5"/>
        </w:numPr>
        <w:spacing w:line="360" w:lineRule="auto"/>
        <w:ind w:left="0" w:firstLine="420"/>
        <w:rPr>
          <w:rFonts w:ascii="宋体" w:hAnsi="宋体" w:eastAsia="宋体" w:cs="宋体"/>
          <w:highlight w:val="none"/>
        </w:rPr>
      </w:pPr>
      <w:r>
        <w:rPr>
          <w:rFonts w:hint="eastAsia" w:ascii="宋体" w:hAnsi="宋体" w:eastAsia="宋体" w:cs="宋体"/>
          <w:highlight w:val="none"/>
        </w:rPr>
        <w:t>因情况变化，不再符合规定的竞争性磋商采购方式适用情形的；</w:t>
      </w:r>
    </w:p>
    <w:p w14:paraId="2EEAA899">
      <w:pPr>
        <w:pStyle w:val="48"/>
        <w:numPr>
          <w:ilvl w:val="2"/>
          <w:numId w:val="5"/>
        </w:numPr>
        <w:spacing w:line="360" w:lineRule="auto"/>
        <w:ind w:left="0" w:firstLine="420"/>
        <w:rPr>
          <w:rFonts w:ascii="宋体" w:hAnsi="宋体" w:eastAsia="宋体" w:cs="宋体"/>
          <w:highlight w:val="none"/>
        </w:rPr>
      </w:pPr>
      <w:r>
        <w:rPr>
          <w:rFonts w:hint="eastAsia" w:ascii="宋体" w:hAnsi="宋体" w:eastAsia="宋体" w:cs="宋体"/>
          <w:highlight w:val="none"/>
        </w:rPr>
        <w:t>出现影响采购公正的违法、违规行为的；</w:t>
      </w:r>
    </w:p>
    <w:p w14:paraId="21D6FAFD">
      <w:pPr>
        <w:pStyle w:val="48"/>
        <w:numPr>
          <w:ilvl w:val="2"/>
          <w:numId w:val="5"/>
        </w:numPr>
        <w:spacing w:line="360" w:lineRule="auto"/>
        <w:ind w:left="0" w:firstLine="420"/>
        <w:rPr>
          <w:rFonts w:ascii="宋体" w:hAnsi="宋体" w:eastAsia="宋体" w:cs="宋体"/>
          <w:highlight w:val="none"/>
        </w:rPr>
      </w:pPr>
      <w:r>
        <w:rPr>
          <w:rFonts w:hint="eastAsia" w:ascii="宋体" w:hAnsi="宋体" w:eastAsia="宋体" w:cs="宋体"/>
          <w:highlight w:val="none"/>
        </w:rPr>
        <w:t>在采购过程中符合竞争要求的供应商或者因实质性变更造成报价未超过采购预算或相应最高限价的供应商不符合规定的。</w:t>
      </w:r>
    </w:p>
    <w:p w14:paraId="22904D83">
      <w:pPr>
        <w:pStyle w:val="3"/>
        <w:spacing w:before="0" w:after="0" w:line="360" w:lineRule="auto"/>
        <w:jc w:val="center"/>
        <w:rPr>
          <w:rFonts w:ascii="宋体" w:hAnsi="宋体" w:eastAsia="宋体" w:cs="宋体"/>
          <w:highlight w:val="none"/>
        </w:rPr>
      </w:pPr>
      <w:bookmarkStart w:id="118" w:name="_Toc86124069"/>
      <w:bookmarkStart w:id="119" w:name="_Toc7252755"/>
      <w:bookmarkStart w:id="120" w:name="_Toc39092136"/>
      <w:r>
        <w:rPr>
          <w:rFonts w:hint="eastAsia" w:ascii="宋体" w:hAnsi="宋体" w:eastAsia="宋体" w:cs="宋体"/>
          <w:highlight w:val="none"/>
        </w:rPr>
        <w:t>六、成交结果</w:t>
      </w:r>
      <w:bookmarkEnd w:id="118"/>
      <w:bookmarkEnd w:id="119"/>
      <w:bookmarkEnd w:id="120"/>
    </w:p>
    <w:p w14:paraId="616284C0">
      <w:pPr>
        <w:pStyle w:val="48"/>
        <w:numPr>
          <w:ilvl w:val="1"/>
          <w:numId w:val="2"/>
        </w:numPr>
        <w:spacing w:line="360" w:lineRule="auto"/>
        <w:ind w:left="0" w:firstLine="643"/>
        <w:rPr>
          <w:rFonts w:ascii="宋体" w:hAnsi="宋体" w:eastAsia="宋体" w:cs="宋体"/>
          <w:b/>
          <w:sz w:val="32"/>
          <w:szCs w:val="32"/>
          <w:highlight w:val="none"/>
        </w:rPr>
      </w:pPr>
      <w:bookmarkStart w:id="121" w:name="_Toc383175075"/>
      <w:bookmarkStart w:id="122" w:name="_Toc329810210"/>
      <w:bookmarkStart w:id="123" w:name="_Toc7252756"/>
      <w:bookmarkStart w:id="124" w:name="_Toc383175299"/>
      <w:bookmarkStart w:id="125" w:name="_Toc383175497"/>
      <w:bookmarkStart w:id="126" w:name="_Toc86124070"/>
      <w:r>
        <w:rPr>
          <w:rFonts w:hint="eastAsia" w:ascii="宋体" w:hAnsi="宋体" w:eastAsia="宋体" w:cs="宋体"/>
          <w:b/>
          <w:sz w:val="32"/>
          <w:szCs w:val="32"/>
          <w:highlight w:val="none"/>
        </w:rPr>
        <w:t>成交人的确定</w:t>
      </w:r>
      <w:bookmarkEnd w:id="121"/>
      <w:bookmarkEnd w:id="122"/>
      <w:bookmarkEnd w:id="123"/>
      <w:bookmarkEnd w:id="124"/>
      <w:bookmarkEnd w:id="125"/>
      <w:bookmarkEnd w:id="126"/>
    </w:p>
    <w:p w14:paraId="13A00CF3">
      <w:pPr>
        <w:spacing w:line="360" w:lineRule="auto"/>
        <w:ind w:firstLine="420" w:firstLineChars="200"/>
        <w:rPr>
          <w:rFonts w:ascii="宋体" w:hAnsi="宋体" w:eastAsia="宋体" w:cs="宋体"/>
          <w:highlight w:val="none"/>
        </w:rPr>
      </w:pPr>
      <w:r>
        <w:rPr>
          <w:rFonts w:hint="eastAsia" w:ascii="宋体" w:hAnsi="宋体" w:eastAsia="宋体" w:cs="宋体"/>
          <w:highlight w:val="none"/>
        </w:rPr>
        <w:t>19.1</w:t>
      </w:r>
      <w:r>
        <w:rPr>
          <w:rFonts w:hint="eastAsia" w:ascii="宋体" w:hAnsi="宋体" w:eastAsia="宋体" w:cs="宋体"/>
          <w:highlight w:val="none"/>
        </w:rPr>
        <w:tab/>
      </w:r>
      <w:r>
        <w:rPr>
          <w:rFonts w:hint="eastAsia" w:ascii="宋体" w:hAnsi="宋体" w:eastAsia="宋体" w:cs="宋体"/>
          <w:highlight w:val="none"/>
        </w:rPr>
        <w:t>采购代理机构在评审结束后2个工作日内将评审报告送采购人确认。</w:t>
      </w:r>
    </w:p>
    <w:p w14:paraId="3BC2FB0A">
      <w:pPr>
        <w:spacing w:line="360" w:lineRule="auto"/>
        <w:ind w:firstLine="420" w:firstLineChars="200"/>
        <w:rPr>
          <w:rFonts w:ascii="宋体" w:hAnsi="宋体" w:eastAsia="宋体" w:cs="宋体"/>
          <w:highlight w:val="none"/>
        </w:rPr>
      </w:pPr>
      <w:r>
        <w:rPr>
          <w:rFonts w:hint="eastAsia" w:ascii="宋体" w:hAnsi="宋体" w:eastAsia="宋体" w:cs="宋体"/>
          <w:highlight w:val="none"/>
        </w:rPr>
        <w:t>19.2</w:t>
      </w:r>
      <w:r>
        <w:rPr>
          <w:rFonts w:hint="eastAsia" w:ascii="宋体" w:hAnsi="宋体" w:eastAsia="宋体" w:cs="宋体"/>
          <w:highlight w:val="none"/>
        </w:rPr>
        <w:tab/>
      </w:r>
      <w:r>
        <w:rPr>
          <w:rFonts w:hint="eastAsia" w:ascii="宋体" w:hAnsi="宋体" w:eastAsia="宋体" w:cs="宋体"/>
          <w:highlight w:val="none"/>
        </w:rPr>
        <w:t>采购人应当在收到评审报告后5个工作日内，从评审报告提出的成交候选人中，按照综合得分由高到低的原则确定成交磋商申请人。</w:t>
      </w:r>
    </w:p>
    <w:p w14:paraId="7D8AC0B6">
      <w:pPr>
        <w:pStyle w:val="48"/>
        <w:numPr>
          <w:ilvl w:val="1"/>
          <w:numId w:val="2"/>
        </w:numPr>
        <w:spacing w:line="360" w:lineRule="auto"/>
        <w:ind w:left="0" w:firstLine="643"/>
        <w:rPr>
          <w:rFonts w:ascii="宋体" w:hAnsi="宋体" w:eastAsia="宋体" w:cs="宋体"/>
          <w:b/>
          <w:sz w:val="32"/>
          <w:szCs w:val="32"/>
          <w:highlight w:val="none"/>
        </w:rPr>
      </w:pPr>
      <w:bookmarkStart w:id="127" w:name="_Toc383175300"/>
      <w:bookmarkStart w:id="128" w:name="_Toc7252757"/>
      <w:bookmarkStart w:id="129" w:name="_Toc383175076"/>
      <w:bookmarkStart w:id="130" w:name="_Toc383175498"/>
      <w:r>
        <w:rPr>
          <w:rFonts w:hint="eastAsia" w:ascii="宋体" w:hAnsi="宋体" w:eastAsia="宋体" w:cs="宋体"/>
          <w:b/>
          <w:sz w:val="32"/>
          <w:szCs w:val="32"/>
          <w:highlight w:val="none"/>
        </w:rPr>
        <w:t>成交通知书</w:t>
      </w:r>
      <w:bookmarkEnd w:id="54"/>
      <w:bookmarkEnd w:id="127"/>
      <w:bookmarkEnd w:id="128"/>
      <w:bookmarkEnd w:id="129"/>
      <w:bookmarkEnd w:id="130"/>
    </w:p>
    <w:p w14:paraId="7B033380">
      <w:pPr>
        <w:spacing w:line="360" w:lineRule="auto"/>
        <w:ind w:firstLine="420" w:firstLineChars="200"/>
        <w:jc w:val="left"/>
        <w:rPr>
          <w:rFonts w:ascii="宋体" w:hAnsi="宋体" w:eastAsia="宋体" w:cs="宋体"/>
          <w:highlight w:val="none"/>
        </w:rPr>
      </w:pPr>
      <w:bookmarkStart w:id="131" w:name="_Toc86124072"/>
      <w:bookmarkStart w:id="132" w:name="_Toc329810212"/>
      <w:r>
        <w:rPr>
          <w:rFonts w:hint="eastAsia" w:ascii="宋体" w:hAnsi="宋体" w:eastAsia="宋体" w:cs="宋体"/>
          <w:highlight w:val="none"/>
        </w:rPr>
        <w:t>20.1</w:t>
      </w:r>
      <w:r>
        <w:rPr>
          <w:rFonts w:hint="eastAsia" w:ascii="宋体" w:hAnsi="宋体" w:eastAsia="宋体" w:cs="宋体"/>
          <w:highlight w:val="none"/>
        </w:rPr>
        <w:tab/>
      </w:r>
      <w:r>
        <w:rPr>
          <w:rFonts w:hint="eastAsia" w:ascii="宋体" w:hAnsi="宋体" w:eastAsia="宋体" w:cs="宋体"/>
          <w:highlight w:val="none"/>
        </w:rPr>
        <w:t>采购代理机构将在成交人确定后2个工作日内，</w:t>
      </w:r>
      <w:r>
        <w:rPr>
          <w:rFonts w:hint="eastAsia" w:ascii="宋体" w:hAnsi="宋体" w:eastAsia="宋体" w:cs="宋体"/>
          <w:kern w:val="0"/>
          <w:highlight w:val="none"/>
        </w:rPr>
        <w:t>在</w:t>
      </w:r>
      <w:r>
        <w:rPr>
          <w:rFonts w:hint="eastAsia" w:ascii="宋体" w:hAnsi="宋体" w:eastAsia="宋体" w:cs="宋体"/>
          <w:kern w:val="0"/>
          <w:szCs w:val="21"/>
          <w:highlight w:val="none"/>
        </w:rPr>
        <w:t>云南省政府采购网、</w:t>
      </w:r>
      <w:r>
        <w:rPr>
          <w:highlight w:val="none"/>
        </w:rPr>
        <w:fldChar w:fldCharType="begin"/>
      </w:r>
      <w:r>
        <w:rPr>
          <w:highlight w:val="none"/>
        </w:rPr>
        <w:instrText xml:space="preserve"> HYPERLINK "http://www.cebpubservice.com/" </w:instrText>
      </w:r>
      <w:r>
        <w:rPr>
          <w:highlight w:val="none"/>
        </w:rPr>
        <w:fldChar w:fldCharType="separate"/>
      </w:r>
      <w:r>
        <w:rPr>
          <w:rFonts w:hint="eastAsia" w:ascii="宋体" w:hAnsi="宋体" w:eastAsia="宋体" w:cs="宋体"/>
          <w:kern w:val="0"/>
          <w:szCs w:val="21"/>
          <w:highlight w:val="none"/>
        </w:rPr>
        <w:t xml:space="preserve">中国招标投标公共服务平台 </w:t>
      </w:r>
      <w:r>
        <w:rPr>
          <w:rFonts w:hint="eastAsia" w:ascii="宋体" w:hAnsi="宋体" w:eastAsia="宋体" w:cs="宋体"/>
          <w:kern w:val="0"/>
          <w:szCs w:val="21"/>
          <w:highlight w:val="none"/>
        </w:rPr>
        <w:fldChar w:fldCharType="end"/>
      </w:r>
      <w:r>
        <w:rPr>
          <w:rFonts w:hint="eastAsia" w:ascii="宋体" w:hAnsi="宋体" w:eastAsia="宋体" w:cs="宋体"/>
          <w:kern w:val="0"/>
          <w:highlight w:val="none"/>
        </w:rPr>
        <w:t>上公告，</w:t>
      </w:r>
      <w:r>
        <w:rPr>
          <w:rFonts w:hint="eastAsia" w:ascii="宋体" w:hAnsi="宋体" w:eastAsia="宋体" w:cs="宋体"/>
          <w:highlight w:val="none"/>
        </w:rPr>
        <w:t>同时向成交人发出成交通知书。</w:t>
      </w:r>
    </w:p>
    <w:p w14:paraId="5C3F42F3">
      <w:pPr>
        <w:spacing w:line="360" w:lineRule="auto"/>
        <w:ind w:firstLine="420" w:firstLineChars="200"/>
        <w:rPr>
          <w:rFonts w:ascii="宋体" w:hAnsi="宋体" w:eastAsia="宋体" w:cs="宋体"/>
          <w:highlight w:val="none"/>
        </w:rPr>
      </w:pPr>
      <w:r>
        <w:rPr>
          <w:rFonts w:hint="eastAsia" w:ascii="宋体" w:hAnsi="宋体" w:eastAsia="宋体" w:cs="宋体"/>
          <w:highlight w:val="none"/>
        </w:rPr>
        <w:t>20.2</w:t>
      </w:r>
      <w:r>
        <w:rPr>
          <w:rFonts w:hint="eastAsia" w:ascii="宋体" w:hAnsi="宋体" w:eastAsia="宋体" w:cs="宋体"/>
          <w:highlight w:val="none"/>
        </w:rPr>
        <w:tab/>
      </w:r>
      <w:r>
        <w:rPr>
          <w:rFonts w:hint="eastAsia" w:ascii="宋体" w:hAnsi="宋体" w:eastAsia="宋体" w:cs="宋体"/>
          <w:highlight w:val="none"/>
        </w:rPr>
        <w:t>成交通知书是合同的一个组成部分。</w:t>
      </w:r>
    </w:p>
    <w:p w14:paraId="5867EF56">
      <w:pPr>
        <w:spacing w:line="360" w:lineRule="auto"/>
        <w:ind w:firstLine="420" w:firstLineChars="200"/>
        <w:rPr>
          <w:rFonts w:ascii="宋体" w:hAnsi="宋体" w:eastAsia="宋体" w:cs="宋体"/>
          <w:highlight w:val="none"/>
        </w:rPr>
      </w:pPr>
      <w:r>
        <w:rPr>
          <w:rFonts w:hint="eastAsia" w:ascii="宋体" w:hAnsi="宋体" w:eastAsia="宋体" w:cs="宋体"/>
          <w:highlight w:val="none"/>
        </w:rPr>
        <w:t>20.3</w:t>
      </w:r>
      <w:r>
        <w:rPr>
          <w:rFonts w:hint="eastAsia" w:ascii="宋体" w:hAnsi="宋体" w:eastAsia="宋体" w:cs="宋体"/>
          <w:highlight w:val="none"/>
        </w:rPr>
        <w:tab/>
      </w:r>
      <w:r>
        <w:rPr>
          <w:rFonts w:hint="eastAsia" w:ascii="宋体" w:hAnsi="宋体" w:eastAsia="宋体" w:cs="宋体"/>
          <w:highlight w:val="none"/>
        </w:rPr>
        <w:t>除不可抗力等因素外，成交通知书发出后，采购人改变成交结果，或者成交人拒绝签订政府采购合同的，应当承担相应的法律责任。</w:t>
      </w:r>
    </w:p>
    <w:p w14:paraId="220A04F6">
      <w:pPr>
        <w:spacing w:line="360" w:lineRule="auto"/>
        <w:ind w:firstLine="420" w:firstLineChars="200"/>
        <w:rPr>
          <w:rFonts w:ascii="宋体" w:hAnsi="宋体" w:eastAsia="宋体" w:cs="宋体"/>
          <w:highlight w:val="none"/>
        </w:rPr>
      </w:pPr>
      <w:r>
        <w:rPr>
          <w:rFonts w:hint="eastAsia" w:ascii="宋体" w:hAnsi="宋体" w:eastAsia="宋体" w:cs="宋体"/>
          <w:highlight w:val="none"/>
        </w:rPr>
        <w:t>20.4</w:t>
      </w:r>
      <w:r>
        <w:rPr>
          <w:rFonts w:hint="eastAsia" w:ascii="宋体" w:hAnsi="宋体" w:eastAsia="宋体" w:cs="宋体"/>
          <w:highlight w:val="none"/>
        </w:rPr>
        <w:tab/>
      </w:r>
      <w:r>
        <w:rPr>
          <w:rFonts w:hint="eastAsia" w:ascii="宋体" w:hAnsi="宋体" w:eastAsia="宋体" w:cs="宋体"/>
          <w:highlight w:val="none"/>
        </w:rPr>
        <w:t>采购代理机构无义务向未成交的磋商申请人解释未成交原因和退回响应文件。</w:t>
      </w:r>
    </w:p>
    <w:p w14:paraId="1D29D039">
      <w:pPr>
        <w:pStyle w:val="48"/>
        <w:numPr>
          <w:ilvl w:val="1"/>
          <w:numId w:val="2"/>
        </w:numPr>
        <w:spacing w:line="360" w:lineRule="auto"/>
        <w:ind w:left="0" w:firstLine="643"/>
        <w:rPr>
          <w:rFonts w:ascii="宋体" w:hAnsi="宋体" w:eastAsia="宋体" w:cs="宋体"/>
          <w:b/>
          <w:sz w:val="32"/>
          <w:szCs w:val="32"/>
          <w:highlight w:val="none"/>
        </w:rPr>
      </w:pPr>
      <w:bookmarkStart w:id="133" w:name="_Toc383175499"/>
      <w:bookmarkStart w:id="134" w:name="_Toc383175301"/>
      <w:bookmarkStart w:id="135" w:name="_Toc383175077"/>
      <w:bookmarkStart w:id="136" w:name="_Toc7252758"/>
      <w:r>
        <w:rPr>
          <w:rFonts w:hint="eastAsia" w:ascii="宋体" w:hAnsi="宋体" w:eastAsia="宋体" w:cs="宋体"/>
          <w:b/>
          <w:sz w:val="32"/>
          <w:szCs w:val="32"/>
          <w:highlight w:val="none"/>
        </w:rPr>
        <w:t>签订合同</w:t>
      </w:r>
      <w:bookmarkEnd w:id="131"/>
      <w:bookmarkEnd w:id="132"/>
      <w:bookmarkEnd w:id="133"/>
      <w:bookmarkEnd w:id="134"/>
      <w:bookmarkEnd w:id="135"/>
      <w:bookmarkEnd w:id="136"/>
    </w:p>
    <w:p w14:paraId="35B84858">
      <w:pPr>
        <w:pStyle w:val="48"/>
        <w:numPr>
          <w:ilvl w:val="1"/>
          <w:numId w:val="6"/>
        </w:numPr>
        <w:spacing w:line="360" w:lineRule="auto"/>
        <w:ind w:left="0" w:firstLine="420"/>
        <w:rPr>
          <w:rFonts w:ascii="宋体" w:hAnsi="宋体" w:eastAsia="宋体" w:cs="宋体"/>
          <w:highlight w:val="none"/>
        </w:rPr>
      </w:pPr>
      <w:bookmarkStart w:id="137" w:name="_Toc86124073"/>
      <w:bookmarkStart w:id="138" w:name="_Toc329810213"/>
      <w:r>
        <w:rPr>
          <w:rFonts w:hint="eastAsia" w:ascii="宋体" w:hAnsi="宋体" w:eastAsia="宋体" w:cs="宋体"/>
          <w:highlight w:val="none"/>
        </w:rPr>
        <w:t>采购人与成交人应当在成交通知书发出之日起30日内，按照竞争性磋商文件确定的合同文本以及采购标的、规格型号（服务范围）、采购金额、采购数量、技术和服务要求等事项签订政府采购合同。</w:t>
      </w:r>
    </w:p>
    <w:p w14:paraId="46D54A2B">
      <w:pPr>
        <w:pStyle w:val="48"/>
        <w:numPr>
          <w:ilvl w:val="1"/>
          <w:numId w:val="6"/>
        </w:numPr>
        <w:spacing w:line="360" w:lineRule="auto"/>
        <w:ind w:left="0" w:firstLine="420"/>
        <w:rPr>
          <w:rFonts w:ascii="宋体" w:hAnsi="宋体" w:eastAsia="宋体" w:cs="宋体"/>
          <w:highlight w:val="none"/>
        </w:rPr>
      </w:pPr>
      <w:r>
        <w:rPr>
          <w:rFonts w:hint="eastAsia" w:ascii="宋体" w:hAnsi="宋体" w:eastAsia="宋体" w:cs="宋体"/>
          <w:highlight w:val="none"/>
        </w:rPr>
        <w:t>成交人拒绝签订政府采购合同的，采购人可以按照《政府采购竞争性磋商采购方式管理暂行办法》规定的原则确定其他磋商申请人作为成交人并签订政府采购合同，也可以重新开展采购活动。拒绝签订政府采购合同的成交人不得参加对该项目重新开展的采购活动。</w:t>
      </w:r>
      <w:bookmarkEnd w:id="137"/>
      <w:bookmarkEnd w:id="138"/>
    </w:p>
    <w:p w14:paraId="5947D2D2">
      <w:pPr>
        <w:pStyle w:val="3"/>
        <w:spacing w:before="0" w:after="0" w:line="360" w:lineRule="auto"/>
        <w:jc w:val="center"/>
        <w:rPr>
          <w:rFonts w:ascii="宋体" w:hAnsi="宋体" w:eastAsia="宋体" w:cs="宋体"/>
          <w:highlight w:val="none"/>
        </w:rPr>
      </w:pPr>
      <w:bookmarkStart w:id="139" w:name="_Toc39092137"/>
      <w:bookmarkStart w:id="140" w:name="_Toc7252759"/>
      <w:bookmarkStart w:id="141" w:name="_Toc86124074"/>
      <w:r>
        <w:rPr>
          <w:rFonts w:hint="eastAsia" w:ascii="宋体" w:hAnsi="宋体" w:eastAsia="宋体" w:cs="宋体"/>
          <w:highlight w:val="none"/>
        </w:rPr>
        <w:t>七、其他事项</w:t>
      </w:r>
      <w:bookmarkEnd w:id="139"/>
      <w:bookmarkEnd w:id="140"/>
      <w:bookmarkEnd w:id="141"/>
    </w:p>
    <w:p w14:paraId="43EE78AB">
      <w:pPr>
        <w:pStyle w:val="48"/>
        <w:numPr>
          <w:ilvl w:val="1"/>
          <w:numId w:val="2"/>
        </w:numPr>
        <w:spacing w:line="360" w:lineRule="auto"/>
        <w:ind w:left="0" w:firstLine="643"/>
        <w:rPr>
          <w:rFonts w:ascii="宋体" w:hAnsi="宋体" w:eastAsia="宋体" w:cs="宋体"/>
          <w:b/>
          <w:sz w:val="32"/>
          <w:szCs w:val="32"/>
          <w:highlight w:val="none"/>
        </w:rPr>
      </w:pPr>
      <w:bookmarkStart w:id="142" w:name="_Toc383175080"/>
      <w:bookmarkStart w:id="143" w:name="_Toc383175304"/>
      <w:bookmarkStart w:id="144" w:name="_Toc329810215"/>
      <w:bookmarkStart w:id="145" w:name="_Toc7252760"/>
      <w:bookmarkStart w:id="146" w:name="_Toc383175502"/>
      <w:r>
        <w:rPr>
          <w:rFonts w:hint="eastAsia" w:ascii="宋体" w:hAnsi="宋体" w:eastAsia="宋体" w:cs="宋体"/>
          <w:b/>
          <w:sz w:val="32"/>
          <w:szCs w:val="32"/>
          <w:highlight w:val="none"/>
        </w:rPr>
        <w:t>质疑和投诉</w:t>
      </w:r>
      <w:bookmarkEnd w:id="142"/>
      <w:bookmarkEnd w:id="143"/>
      <w:bookmarkEnd w:id="144"/>
      <w:bookmarkEnd w:id="145"/>
      <w:bookmarkEnd w:id="146"/>
    </w:p>
    <w:p w14:paraId="7B74BB0F">
      <w:pPr>
        <w:spacing w:line="360" w:lineRule="auto"/>
        <w:ind w:firstLine="420" w:firstLineChars="200"/>
        <w:rPr>
          <w:rFonts w:ascii="宋体" w:hAnsi="宋体" w:eastAsia="宋体" w:cs="宋体"/>
          <w:highlight w:val="none"/>
        </w:rPr>
      </w:pPr>
      <w:r>
        <w:rPr>
          <w:rFonts w:hint="eastAsia" w:ascii="宋体" w:hAnsi="宋体" w:eastAsia="宋体" w:cs="宋体"/>
          <w:highlight w:val="none"/>
        </w:rPr>
        <w:t>22.1</w:t>
      </w:r>
      <w:r>
        <w:rPr>
          <w:rFonts w:hint="eastAsia" w:ascii="宋体" w:hAnsi="宋体" w:eastAsia="宋体" w:cs="宋体"/>
          <w:highlight w:val="none"/>
        </w:rPr>
        <w:tab/>
      </w:r>
      <w:r>
        <w:rPr>
          <w:rFonts w:hint="eastAsia" w:ascii="宋体" w:hAnsi="宋体" w:eastAsia="宋体" w:cs="宋体"/>
          <w:highlight w:val="none"/>
        </w:rPr>
        <w:t>磋商申请人认为磋商文件、磋商过程和成交结果使自己的合法权益受到损害的，应当在知道或者应知其权益受到损害之日起七个工作日内，以书面形式向下列部门或采购人提出质疑。质疑内容不得含有虚假、恶意成分。当事人对自己提出的主张，有责任提供证据，提出质疑时应同时提交相关证据材料和注明事实的确切来源。</w:t>
      </w:r>
    </w:p>
    <w:p w14:paraId="20761191">
      <w:pPr>
        <w:spacing w:line="360" w:lineRule="auto"/>
        <w:ind w:firstLine="420" w:firstLineChars="200"/>
        <w:rPr>
          <w:rFonts w:ascii="宋体" w:hAnsi="宋体" w:eastAsia="宋体" w:cs="宋体"/>
          <w:highlight w:val="none"/>
        </w:rPr>
      </w:pPr>
      <w:r>
        <w:rPr>
          <w:rFonts w:hint="eastAsia" w:ascii="宋体" w:hAnsi="宋体" w:eastAsia="宋体" w:cs="宋体"/>
          <w:highlight w:val="none"/>
        </w:rPr>
        <w:t>受理质疑部门：保山市天瑞建设工程招标咨询有限公司</w:t>
      </w:r>
    </w:p>
    <w:p w14:paraId="4FED1E82">
      <w:pPr>
        <w:spacing w:line="360" w:lineRule="auto"/>
        <w:ind w:firstLine="420" w:firstLineChars="200"/>
        <w:rPr>
          <w:rFonts w:ascii="宋体" w:hAnsi="宋体" w:eastAsia="宋体" w:cs="宋体"/>
          <w:highlight w:val="none"/>
        </w:rPr>
      </w:pPr>
      <w:r>
        <w:rPr>
          <w:rFonts w:hint="eastAsia" w:ascii="宋体" w:hAnsi="宋体" w:eastAsia="宋体" w:cs="宋体"/>
          <w:highlight w:val="none"/>
        </w:rPr>
        <w:t>联系人：杨女士、王先生</w:t>
      </w:r>
    </w:p>
    <w:p w14:paraId="5DC1EA94">
      <w:pPr>
        <w:spacing w:line="360" w:lineRule="auto"/>
        <w:ind w:firstLine="420" w:firstLineChars="200"/>
        <w:rPr>
          <w:rFonts w:ascii="宋体" w:hAnsi="宋体" w:eastAsia="宋体" w:cs="宋体"/>
          <w:highlight w:val="none"/>
        </w:rPr>
      </w:pPr>
      <w:r>
        <w:rPr>
          <w:rFonts w:hint="eastAsia" w:ascii="宋体" w:hAnsi="宋体" w:eastAsia="宋体" w:cs="宋体"/>
          <w:highlight w:val="none"/>
        </w:rPr>
        <w:t>电话：0875-2147689</w:t>
      </w:r>
    </w:p>
    <w:p w14:paraId="1B7B1174">
      <w:pPr>
        <w:spacing w:line="360" w:lineRule="auto"/>
        <w:ind w:firstLine="420" w:firstLineChars="200"/>
        <w:rPr>
          <w:rFonts w:ascii="宋体" w:hAnsi="宋体" w:eastAsia="宋体" w:cs="宋体"/>
          <w:highlight w:val="none"/>
        </w:rPr>
      </w:pPr>
      <w:r>
        <w:rPr>
          <w:rFonts w:hint="eastAsia" w:ascii="宋体" w:hAnsi="宋体" w:eastAsia="宋体" w:cs="宋体"/>
          <w:highlight w:val="none"/>
        </w:rPr>
        <w:t>传真：0875-2147689</w:t>
      </w:r>
    </w:p>
    <w:p w14:paraId="2E1690BA">
      <w:pPr>
        <w:spacing w:line="360" w:lineRule="auto"/>
        <w:ind w:firstLine="420" w:firstLineChars="200"/>
        <w:rPr>
          <w:rFonts w:ascii="宋体" w:hAnsi="宋体" w:eastAsia="宋体" w:cs="宋体"/>
          <w:highlight w:val="none"/>
        </w:rPr>
      </w:pPr>
      <w:r>
        <w:rPr>
          <w:rFonts w:hint="eastAsia" w:ascii="宋体" w:hAnsi="宋体" w:eastAsia="宋体" w:cs="宋体"/>
          <w:highlight w:val="none"/>
        </w:rPr>
        <w:t>22.2</w:t>
      </w:r>
      <w:r>
        <w:rPr>
          <w:rFonts w:hint="eastAsia" w:ascii="宋体" w:hAnsi="宋体" w:eastAsia="宋体" w:cs="宋体"/>
          <w:highlight w:val="none"/>
        </w:rPr>
        <w:tab/>
      </w:r>
      <w:r>
        <w:rPr>
          <w:rFonts w:hint="eastAsia" w:ascii="宋体" w:hAnsi="宋体" w:eastAsia="宋体" w:cs="宋体"/>
          <w:highlight w:val="none"/>
        </w:rPr>
        <w:t>磋商申请人提供的质疑书应符合中华人民共和国财政部第94号令的规定。磋商申请人提供的质疑书（如材料中有外文资料应同时附上中文译本）应当包括以下主要内容：</w:t>
      </w:r>
    </w:p>
    <w:p w14:paraId="1A54ED5A">
      <w:pPr>
        <w:pStyle w:val="48"/>
        <w:numPr>
          <w:ilvl w:val="0"/>
          <w:numId w:val="7"/>
        </w:numPr>
        <w:spacing w:line="360" w:lineRule="auto"/>
        <w:ind w:left="0" w:firstLine="420"/>
        <w:rPr>
          <w:rFonts w:ascii="宋体" w:hAnsi="宋体" w:eastAsia="宋体" w:cs="宋体"/>
          <w:highlight w:val="none"/>
        </w:rPr>
      </w:pPr>
      <w:r>
        <w:rPr>
          <w:rFonts w:hint="eastAsia" w:ascii="宋体" w:hAnsi="宋体" w:eastAsia="宋体" w:cs="宋体"/>
          <w:highlight w:val="none"/>
        </w:rPr>
        <w:t>磋商申请人的姓名或者名称、地址、邮编、联系人及联系电话；</w:t>
      </w:r>
    </w:p>
    <w:p w14:paraId="514BA855">
      <w:pPr>
        <w:pStyle w:val="48"/>
        <w:numPr>
          <w:ilvl w:val="0"/>
          <w:numId w:val="7"/>
        </w:numPr>
        <w:spacing w:line="360" w:lineRule="auto"/>
        <w:ind w:left="0" w:firstLine="420"/>
        <w:rPr>
          <w:rFonts w:ascii="宋体" w:hAnsi="宋体" w:eastAsia="宋体" w:cs="宋体"/>
          <w:highlight w:val="none"/>
        </w:rPr>
      </w:pPr>
      <w:r>
        <w:rPr>
          <w:rFonts w:hint="eastAsia" w:ascii="宋体" w:hAnsi="宋体" w:eastAsia="宋体" w:cs="宋体"/>
          <w:highlight w:val="none"/>
        </w:rPr>
        <w:t>质疑项目的名称、编号；</w:t>
      </w:r>
    </w:p>
    <w:p w14:paraId="0A04743C">
      <w:pPr>
        <w:pStyle w:val="48"/>
        <w:numPr>
          <w:ilvl w:val="0"/>
          <w:numId w:val="7"/>
        </w:numPr>
        <w:spacing w:line="360" w:lineRule="auto"/>
        <w:ind w:left="0" w:firstLine="420"/>
        <w:rPr>
          <w:rFonts w:ascii="宋体" w:hAnsi="宋体" w:eastAsia="宋体" w:cs="宋体"/>
          <w:highlight w:val="none"/>
        </w:rPr>
      </w:pPr>
      <w:r>
        <w:rPr>
          <w:rFonts w:hint="eastAsia" w:ascii="宋体" w:hAnsi="宋体" w:eastAsia="宋体" w:cs="宋体"/>
          <w:highlight w:val="none"/>
        </w:rPr>
        <w:t>具体、明确的质疑事项和与质疑事项相关的请求；</w:t>
      </w:r>
    </w:p>
    <w:p w14:paraId="65F2466A">
      <w:pPr>
        <w:pStyle w:val="48"/>
        <w:numPr>
          <w:ilvl w:val="0"/>
          <w:numId w:val="7"/>
        </w:numPr>
        <w:spacing w:line="360" w:lineRule="auto"/>
        <w:ind w:left="0" w:firstLine="420"/>
        <w:rPr>
          <w:rFonts w:ascii="宋体" w:hAnsi="宋体" w:eastAsia="宋体" w:cs="宋体"/>
          <w:highlight w:val="none"/>
        </w:rPr>
      </w:pPr>
      <w:r>
        <w:rPr>
          <w:rFonts w:hint="eastAsia" w:ascii="宋体" w:hAnsi="宋体" w:eastAsia="宋体" w:cs="宋体"/>
          <w:highlight w:val="none"/>
        </w:rPr>
        <w:t>事实依据；</w:t>
      </w:r>
    </w:p>
    <w:p w14:paraId="519DF94A">
      <w:pPr>
        <w:pStyle w:val="48"/>
        <w:numPr>
          <w:ilvl w:val="0"/>
          <w:numId w:val="7"/>
        </w:numPr>
        <w:spacing w:line="360" w:lineRule="auto"/>
        <w:ind w:left="0" w:firstLine="420"/>
        <w:rPr>
          <w:rFonts w:ascii="宋体" w:hAnsi="宋体" w:eastAsia="宋体" w:cs="宋体"/>
          <w:highlight w:val="none"/>
        </w:rPr>
      </w:pPr>
      <w:r>
        <w:rPr>
          <w:rFonts w:hint="eastAsia" w:ascii="宋体" w:hAnsi="宋体" w:eastAsia="宋体" w:cs="宋体"/>
          <w:highlight w:val="none"/>
        </w:rPr>
        <w:t>必要的法律依据；</w:t>
      </w:r>
    </w:p>
    <w:p w14:paraId="0AD22B72">
      <w:pPr>
        <w:pStyle w:val="48"/>
        <w:numPr>
          <w:ilvl w:val="0"/>
          <w:numId w:val="7"/>
        </w:numPr>
        <w:spacing w:line="360" w:lineRule="auto"/>
        <w:ind w:left="0" w:firstLine="420"/>
        <w:rPr>
          <w:rFonts w:ascii="宋体" w:hAnsi="宋体" w:eastAsia="宋体" w:cs="宋体"/>
          <w:highlight w:val="none"/>
        </w:rPr>
      </w:pPr>
      <w:r>
        <w:rPr>
          <w:rFonts w:hint="eastAsia" w:ascii="宋体" w:hAnsi="宋体" w:eastAsia="宋体" w:cs="宋体"/>
          <w:highlight w:val="none"/>
        </w:rPr>
        <w:t>提出质疑的日期。</w:t>
      </w:r>
    </w:p>
    <w:p w14:paraId="163AB348">
      <w:pPr>
        <w:spacing w:line="360" w:lineRule="auto"/>
        <w:ind w:firstLine="422" w:firstLineChars="200"/>
        <w:rPr>
          <w:rFonts w:ascii="宋体" w:hAnsi="宋体" w:eastAsia="宋体" w:cs="宋体"/>
          <w:b/>
          <w:bCs/>
          <w:highlight w:val="none"/>
          <w:u w:val="single"/>
        </w:rPr>
      </w:pPr>
      <w:r>
        <w:rPr>
          <w:rFonts w:hint="eastAsia" w:ascii="宋体" w:hAnsi="宋体" w:eastAsia="宋体" w:cs="宋体"/>
          <w:b/>
          <w:bCs/>
          <w:highlight w:val="none"/>
          <w:u w:val="single"/>
        </w:rPr>
        <w:t>质疑书实行实名制，并提交由法定代表人（负责人）或其授权代理人签字并加盖单位公章的原件。</w:t>
      </w:r>
    </w:p>
    <w:p w14:paraId="0814E52B">
      <w:pPr>
        <w:spacing w:line="360" w:lineRule="auto"/>
        <w:ind w:firstLine="420" w:firstLineChars="200"/>
        <w:rPr>
          <w:rFonts w:ascii="宋体" w:hAnsi="宋体" w:eastAsia="宋体" w:cs="宋体"/>
          <w:highlight w:val="none"/>
        </w:rPr>
      </w:pPr>
      <w:r>
        <w:rPr>
          <w:rFonts w:hint="eastAsia" w:ascii="宋体" w:hAnsi="宋体" w:eastAsia="宋体" w:cs="宋体"/>
          <w:highlight w:val="none"/>
        </w:rPr>
        <w:t>22.3</w:t>
      </w:r>
      <w:r>
        <w:rPr>
          <w:rFonts w:hint="eastAsia" w:ascii="宋体" w:hAnsi="宋体" w:eastAsia="宋体" w:cs="宋体"/>
          <w:highlight w:val="none"/>
        </w:rPr>
        <w:tab/>
      </w:r>
      <w:r>
        <w:rPr>
          <w:rFonts w:hint="eastAsia" w:ascii="宋体" w:hAnsi="宋体" w:eastAsia="宋体" w:cs="宋体"/>
          <w:highlight w:val="none"/>
        </w:rPr>
        <w:t>采购人、采购代理机构将在收到磋商申请人的书面质疑后七个工作日内作出书面答复，但答复的内容不涉及商业秘密。</w:t>
      </w:r>
    </w:p>
    <w:p w14:paraId="5CF48BDE">
      <w:pPr>
        <w:spacing w:line="360" w:lineRule="auto"/>
        <w:ind w:firstLine="420" w:firstLineChars="200"/>
        <w:rPr>
          <w:rFonts w:ascii="宋体" w:hAnsi="宋体" w:eastAsia="宋体" w:cs="宋体"/>
          <w:highlight w:val="none"/>
        </w:rPr>
      </w:pPr>
      <w:r>
        <w:rPr>
          <w:rFonts w:hint="eastAsia" w:ascii="宋体" w:hAnsi="宋体" w:eastAsia="宋体" w:cs="宋体"/>
          <w:highlight w:val="none"/>
        </w:rPr>
        <w:t>22.4</w:t>
      </w:r>
      <w:r>
        <w:rPr>
          <w:rFonts w:hint="eastAsia" w:ascii="宋体" w:hAnsi="宋体" w:eastAsia="宋体" w:cs="宋体"/>
          <w:highlight w:val="none"/>
        </w:rPr>
        <w:tab/>
      </w:r>
      <w:r>
        <w:rPr>
          <w:rFonts w:hint="eastAsia" w:ascii="宋体" w:hAnsi="宋体" w:eastAsia="宋体" w:cs="宋体"/>
          <w:highlight w:val="none"/>
        </w:rPr>
        <w:t>参与政府采购活动的磋商申请人对磋商过程或者结果提出质疑的，采购人或采购代理机构可以组织原磋商小组协助处理质疑事项，并依据磋商小组出具的意见进行答复。质疑答复导致成交结果改变的，采购人或采购代理机构应当将相关情况报市本级财政部门备案。</w:t>
      </w:r>
    </w:p>
    <w:p w14:paraId="449887F6">
      <w:pPr>
        <w:spacing w:line="360" w:lineRule="auto"/>
        <w:ind w:firstLine="420" w:firstLineChars="200"/>
        <w:rPr>
          <w:rFonts w:ascii="宋体" w:hAnsi="宋体" w:eastAsia="宋体" w:cs="宋体"/>
          <w:highlight w:val="none"/>
        </w:rPr>
      </w:pPr>
      <w:r>
        <w:rPr>
          <w:rFonts w:hint="eastAsia" w:ascii="宋体" w:hAnsi="宋体" w:eastAsia="宋体" w:cs="宋体"/>
          <w:highlight w:val="none"/>
        </w:rPr>
        <w:t>22.5</w:t>
      </w:r>
      <w:r>
        <w:rPr>
          <w:rFonts w:hint="eastAsia" w:ascii="宋体" w:hAnsi="宋体" w:eastAsia="宋体" w:cs="宋体"/>
          <w:highlight w:val="none"/>
        </w:rPr>
        <w:tab/>
      </w:r>
      <w:r>
        <w:rPr>
          <w:rFonts w:hint="eastAsia" w:ascii="宋体" w:hAnsi="宋体" w:eastAsia="宋体" w:cs="宋体"/>
          <w:highlight w:val="none"/>
        </w:rPr>
        <w:t>投诉人必须首先经过质疑程序，在对采购人、采购代理机构的答复不满意，或者采购人、采购代理机构未在规定的时间内作出答复的，可以在答复期满后十五个工作日内书面向保山市财政局政府采购科投诉。</w:t>
      </w:r>
    </w:p>
    <w:p w14:paraId="50583B44">
      <w:pPr>
        <w:pStyle w:val="48"/>
        <w:numPr>
          <w:ilvl w:val="1"/>
          <w:numId w:val="2"/>
        </w:numPr>
        <w:spacing w:line="360" w:lineRule="auto"/>
        <w:ind w:left="0" w:firstLine="643"/>
        <w:rPr>
          <w:rFonts w:ascii="宋体" w:hAnsi="宋体" w:eastAsia="宋体" w:cs="宋体"/>
          <w:b/>
          <w:sz w:val="32"/>
          <w:szCs w:val="32"/>
          <w:highlight w:val="none"/>
        </w:rPr>
      </w:pPr>
      <w:bookmarkStart w:id="147" w:name="_Toc329810216"/>
      <w:bookmarkStart w:id="148" w:name="_Toc383175503"/>
      <w:bookmarkStart w:id="149" w:name="_Toc7252761"/>
      <w:bookmarkStart w:id="150" w:name="_Toc383175305"/>
      <w:bookmarkStart w:id="151" w:name="_Toc383175081"/>
      <w:bookmarkStart w:id="152" w:name="_Toc86124075"/>
      <w:r>
        <w:rPr>
          <w:rFonts w:hint="eastAsia" w:ascii="宋体" w:hAnsi="宋体" w:eastAsia="宋体" w:cs="宋体"/>
          <w:b/>
          <w:sz w:val="32"/>
          <w:szCs w:val="32"/>
          <w:highlight w:val="none"/>
        </w:rPr>
        <w:t>采购代理服务费</w:t>
      </w:r>
      <w:bookmarkEnd w:id="147"/>
      <w:bookmarkEnd w:id="148"/>
      <w:bookmarkEnd w:id="149"/>
      <w:bookmarkEnd w:id="150"/>
      <w:bookmarkEnd w:id="151"/>
      <w:bookmarkEnd w:id="152"/>
    </w:p>
    <w:p w14:paraId="13B41304">
      <w:pPr>
        <w:spacing w:line="360" w:lineRule="auto"/>
        <w:ind w:firstLine="420" w:firstLineChars="200"/>
        <w:rPr>
          <w:rFonts w:ascii="宋体" w:hAnsi="宋体" w:eastAsia="宋体" w:cs="宋体"/>
          <w:highlight w:val="none"/>
        </w:rPr>
      </w:pPr>
      <w:r>
        <w:rPr>
          <w:rFonts w:hint="eastAsia" w:ascii="宋体" w:hAnsi="宋体" w:eastAsia="宋体" w:cs="宋体"/>
          <w:highlight w:val="none"/>
        </w:rPr>
        <w:t>23.1</w:t>
      </w:r>
      <w:r>
        <w:rPr>
          <w:rFonts w:hint="eastAsia" w:ascii="宋体" w:hAnsi="宋体" w:eastAsia="宋体" w:cs="宋体"/>
          <w:highlight w:val="none"/>
        </w:rPr>
        <w:tab/>
      </w:r>
      <w:r>
        <w:rPr>
          <w:rFonts w:hint="eastAsia" w:ascii="宋体" w:hAnsi="宋体" w:eastAsia="宋体" w:cs="宋体"/>
          <w:highlight w:val="none"/>
        </w:rPr>
        <w:t>采购代理服务费由采购代理机构向成交人收取，收取标准详见“</w:t>
      </w:r>
      <w:r>
        <w:rPr>
          <w:rFonts w:hint="eastAsia" w:ascii="宋体" w:hAnsi="宋体" w:eastAsia="宋体" w:cs="宋体"/>
          <w:b/>
          <w:bCs/>
          <w:highlight w:val="none"/>
        </w:rPr>
        <w:t>磋商申请人须知前附表</w:t>
      </w:r>
      <w:r>
        <w:rPr>
          <w:rFonts w:hint="eastAsia" w:ascii="宋体" w:hAnsi="宋体" w:eastAsia="宋体" w:cs="宋体"/>
          <w:highlight w:val="none"/>
        </w:rPr>
        <w:t>”。</w:t>
      </w:r>
    </w:p>
    <w:p w14:paraId="4585AB98">
      <w:pPr>
        <w:spacing w:line="360" w:lineRule="auto"/>
        <w:ind w:firstLine="420" w:firstLineChars="200"/>
        <w:rPr>
          <w:rFonts w:ascii="宋体" w:hAnsi="宋体" w:eastAsia="宋体" w:cs="宋体"/>
          <w:highlight w:val="none"/>
        </w:rPr>
      </w:pPr>
      <w:r>
        <w:rPr>
          <w:rFonts w:hint="eastAsia" w:ascii="宋体" w:hAnsi="宋体" w:eastAsia="宋体" w:cs="宋体"/>
          <w:highlight w:val="none"/>
        </w:rPr>
        <w:t>23.2</w:t>
      </w:r>
      <w:r>
        <w:rPr>
          <w:rFonts w:hint="eastAsia" w:ascii="宋体" w:hAnsi="宋体" w:eastAsia="宋体" w:cs="宋体"/>
          <w:highlight w:val="none"/>
        </w:rPr>
        <w:tab/>
      </w:r>
      <w:r>
        <w:rPr>
          <w:rFonts w:hint="eastAsia" w:ascii="宋体" w:hAnsi="宋体" w:eastAsia="宋体" w:cs="宋体"/>
          <w:highlight w:val="none"/>
        </w:rPr>
        <w:t>成交人应在接受“</w:t>
      </w:r>
      <w:r>
        <w:rPr>
          <w:rFonts w:hint="eastAsia" w:ascii="宋体" w:hAnsi="宋体" w:eastAsia="宋体" w:cs="宋体"/>
          <w:b/>
          <w:bCs/>
          <w:highlight w:val="none"/>
        </w:rPr>
        <w:t>成交通知书</w:t>
      </w:r>
      <w:r>
        <w:rPr>
          <w:rFonts w:hint="eastAsia" w:ascii="宋体" w:hAnsi="宋体" w:eastAsia="宋体" w:cs="宋体"/>
          <w:highlight w:val="none"/>
        </w:rPr>
        <w:t>”时向采购代理机构一次付清代理服务费。</w:t>
      </w:r>
    </w:p>
    <w:p w14:paraId="4FD50252">
      <w:pPr>
        <w:pStyle w:val="48"/>
        <w:numPr>
          <w:ilvl w:val="1"/>
          <w:numId w:val="2"/>
        </w:numPr>
        <w:spacing w:line="360" w:lineRule="auto"/>
        <w:ind w:left="0" w:firstLine="643"/>
        <w:rPr>
          <w:rFonts w:ascii="宋体" w:hAnsi="宋体" w:eastAsia="宋体" w:cs="宋体"/>
          <w:b/>
          <w:sz w:val="32"/>
          <w:szCs w:val="32"/>
          <w:highlight w:val="none"/>
        </w:rPr>
      </w:pPr>
      <w:bookmarkStart w:id="153" w:name="_Toc383175306"/>
      <w:bookmarkStart w:id="154" w:name="_Toc7252762"/>
      <w:bookmarkStart w:id="155" w:name="_Toc383175082"/>
      <w:bookmarkStart w:id="156" w:name="_Toc383175504"/>
      <w:bookmarkStart w:id="157" w:name="_Toc329810217"/>
      <w:r>
        <w:rPr>
          <w:rFonts w:hint="eastAsia" w:ascii="宋体" w:hAnsi="宋体" w:eastAsia="宋体" w:cs="宋体"/>
          <w:b/>
          <w:sz w:val="32"/>
          <w:szCs w:val="32"/>
          <w:highlight w:val="none"/>
        </w:rPr>
        <w:t>磋商文件编制依据</w:t>
      </w:r>
      <w:bookmarkEnd w:id="153"/>
      <w:bookmarkEnd w:id="154"/>
      <w:bookmarkEnd w:id="155"/>
      <w:bookmarkEnd w:id="156"/>
      <w:bookmarkEnd w:id="157"/>
    </w:p>
    <w:p w14:paraId="39C7DFD9">
      <w:pPr>
        <w:spacing w:line="360" w:lineRule="auto"/>
        <w:ind w:firstLine="420" w:firstLineChars="200"/>
        <w:rPr>
          <w:rFonts w:ascii="宋体" w:hAnsi="宋体" w:eastAsia="宋体" w:cs="宋体"/>
          <w:highlight w:val="none"/>
        </w:rPr>
      </w:pPr>
      <w:r>
        <w:rPr>
          <w:rFonts w:hint="eastAsia" w:ascii="宋体" w:hAnsi="宋体" w:eastAsia="宋体" w:cs="宋体"/>
          <w:highlight w:val="none"/>
        </w:rPr>
        <w:t>本磋商文件是根据《中华人民共和国政府采购法》及相关法律法规编制。</w:t>
      </w:r>
    </w:p>
    <w:p w14:paraId="4E3B11B1">
      <w:pPr>
        <w:pStyle w:val="48"/>
        <w:numPr>
          <w:ilvl w:val="1"/>
          <w:numId w:val="2"/>
        </w:numPr>
        <w:spacing w:line="360" w:lineRule="auto"/>
        <w:ind w:left="0" w:firstLine="643"/>
        <w:rPr>
          <w:rFonts w:ascii="宋体" w:hAnsi="宋体" w:eastAsia="宋体" w:cs="宋体"/>
          <w:b/>
          <w:sz w:val="32"/>
          <w:szCs w:val="32"/>
          <w:highlight w:val="none"/>
        </w:rPr>
      </w:pPr>
      <w:bookmarkStart w:id="158" w:name="_Toc383175083"/>
      <w:bookmarkStart w:id="159" w:name="_Toc7252763"/>
      <w:bookmarkStart w:id="160" w:name="_Toc383175505"/>
      <w:bookmarkStart w:id="161" w:name="_Toc383175307"/>
      <w:bookmarkStart w:id="162" w:name="_Toc86124077"/>
      <w:bookmarkStart w:id="163" w:name="_Toc329810218"/>
      <w:r>
        <w:rPr>
          <w:rFonts w:hint="eastAsia" w:ascii="宋体" w:hAnsi="宋体" w:eastAsia="宋体" w:cs="宋体"/>
          <w:b/>
          <w:sz w:val="32"/>
          <w:szCs w:val="32"/>
          <w:highlight w:val="none"/>
        </w:rPr>
        <w:t>需要补充的其他内容</w:t>
      </w:r>
      <w:bookmarkEnd w:id="158"/>
      <w:bookmarkEnd w:id="159"/>
      <w:bookmarkEnd w:id="160"/>
      <w:bookmarkEnd w:id="161"/>
      <w:bookmarkEnd w:id="162"/>
      <w:bookmarkEnd w:id="163"/>
    </w:p>
    <w:p w14:paraId="4FA94AB1">
      <w:pPr>
        <w:spacing w:line="360" w:lineRule="auto"/>
        <w:ind w:firstLine="420" w:firstLineChars="200"/>
        <w:rPr>
          <w:rFonts w:ascii="宋体" w:hAnsi="宋体" w:eastAsia="宋体" w:cs="宋体"/>
          <w:highlight w:val="none"/>
        </w:rPr>
      </w:pPr>
      <w:r>
        <w:rPr>
          <w:rFonts w:hint="eastAsia" w:ascii="宋体" w:hAnsi="宋体" w:eastAsia="宋体" w:cs="宋体"/>
          <w:highlight w:val="none"/>
        </w:rPr>
        <w:t>25.1需要补充的其他内容：见“</w:t>
      </w:r>
      <w:r>
        <w:rPr>
          <w:rFonts w:hint="eastAsia" w:ascii="宋体" w:hAnsi="宋体" w:eastAsia="宋体" w:cs="宋体"/>
          <w:b/>
          <w:bCs/>
          <w:highlight w:val="none"/>
        </w:rPr>
        <w:t>磋商申请人须知前附表</w:t>
      </w:r>
      <w:r>
        <w:rPr>
          <w:rFonts w:hint="eastAsia" w:ascii="宋体" w:hAnsi="宋体" w:eastAsia="宋体" w:cs="宋体"/>
          <w:highlight w:val="none"/>
        </w:rPr>
        <w:t>”。</w:t>
      </w:r>
    </w:p>
    <w:p w14:paraId="2D52A0CB">
      <w:pPr>
        <w:pStyle w:val="48"/>
        <w:numPr>
          <w:ilvl w:val="1"/>
          <w:numId w:val="2"/>
        </w:numPr>
        <w:spacing w:line="360" w:lineRule="auto"/>
        <w:ind w:left="0" w:firstLine="643"/>
        <w:rPr>
          <w:rFonts w:ascii="宋体" w:hAnsi="宋体" w:eastAsia="宋体" w:cs="宋体"/>
          <w:b/>
          <w:sz w:val="32"/>
          <w:szCs w:val="32"/>
          <w:highlight w:val="none"/>
        </w:rPr>
      </w:pPr>
      <w:bookmarkStart w:id="164" w:name="_Toc7252765"/>
      <w:r>
        <w:rPr>
          <w:rFonts w:hint="eastAsia" w:ascii="宋体" w:hAnsi="宋体" w:eastAsia="宋体" w:cs="宋体"/>
          <w:b/>
          <w:sz w:val="32"/>
          <w:szCs w:val="32"/>
          <w:highlight w:val="none"/>
        </w:rPr>
        <w:t>特殊事项处理法律依据：</w:t>
      </w:r>
      <w:bookmarkEnd w:id="164"/>
    </w:p>
    <w:p w14:paraId="7EB5CBF2">
      <w:pPr>
        <w:spacing w:line="360" w:lineRule="auto"/>
        <w:ind w:firstLine="420" w:firstLineChars="200"/>
        <w:rPr>
          <w:rFonts w:ascii="宋体" w:hAnsi="宋体" w:eastAsia="宋体" w:cs="宋体"/>
          <w:highlight w:val="none"/>
        </w:rPr>
      </w:pPr>
      <w:r>
        <w:rPr>
          <w:rFonts w:hint="eastAsia" w:ascii="宋体" w:hAnsi="宋体" w:eastAsia="宋体" w:cs="宋体"/>
          <w:highlight w:val="none"/>
        </w:rPr>
        <w:t>《中华人民共和国政府采购法》《中华人民共和国政府采购法实施条例》《财政部令第87号、第94号、第101号、第102号》《政府采购竞争性磋商采购方式管理暂行办法》《云南省政府集中采购目录及标准（2024年版）》的相关规定及相关法规性文件。</w:t>
      </w:r>
    </w:p>
    <w:p w14:paraId="1E75E62D">
      <w:pPr>
        <w:widowControl/>
        <w:jc w:val="left"/>
        <w:rPr>
          <w:rFonts w:ascii="宋体" w:hAnsi="宋体" w:eastAsia="宋体" w:cs="宋体"/>
          <w:highlight w:val="none"/>
        </w:rPr>
      </w:pPr>
      <w:r>
        <w:rPr>
          <w:rFonts w:hint="eastAsia" w:ascii="宋体" w:hAnsi="宋体" w:eastAsia="宋体" w:cs="宋体"/>
          <w:highlight w:val="none"/>
        </w:rPr>
        <w:br w:type="page"/>
      </w:r>
    </w:p>
    <w:p w14:paraId="60E893AC">
      <w:pPr>
        <w:pStyle w:val="2"/>
        <w:spacing w:line="360" w:lineRule="auto"/>
        <w:jc w:val="center"/>
        <w:rPr>
          <w:rFonts w:ascii="宋体" w:hAnsi="宋体" w:eastAsia="宋体" w:cs="宋体"/>
          <w:color w:val="auto"/>
          <w:sz w:val="32"/>
          <w:szCs w:val="32"/>
          <w:highlight w:val="none"/>
        </w:rPr>
      </w:pPr>
      <w:bookmarkStart w:id="165" w:name="_Toc7252767"/>
      <w:bookmarkStart w:id="166" w:name="_Toc39092138"/>
      <w:r>
        <w:rPr>
          <w:rFonts w:hint="eastAsia" w:ascii="宋体" w:hAnsi="宋体" w:eastAsia="宋体" w:cs="宋体"/>
          <w:color w:val="auto"/>
          <w:sz w:val="32"/>
          <w:szCs w:val="32"/>
          <w:highlight w:val="none"/>
        </w:rPr>
        <w:t>第三章  合同书样式</w:t>
      </w:r>
      <w:bookmarkEnd w:id="165"/>
      <w:r>
        <w:rPr>
          <w:rFonts w:hint="eastAsia" w:ascii="宋体" w:hAnsi="宋体" w:eastAsia="宋体" w:cs="宋体"/>
          <w:color w:val="auto"/>
          <w:sz w:val="32"/>
          <w:szCs w:val="32"/>
          <w:highlight w:val="none"/>
        </w:rPr>
        <w:t>（参考文本）</w:t>
      </w:r>
      <w:bookmarkEnd w:id="166"/>
    </w:p>
    <w:p w14:paraId="2AD249FA">
      <w:pPr>
        <w:rPr>
          <w:rFonts w:ascii="宋体" w:hAnsi="宋体" w:eastAsia="宋体" w:cs="宋体"/>
          <w:highlight w:val="none"/>
        </w:rPr>
      </w:pPr>
    </w:p>
    <w:p w14:paraId="23C8D034">
      <w:pPr>
        <w:jc w:val="center"/>
        <w:rPr>
          <w:rFonts w:ascii="宋体" w:hAnsi="宋体" w:eastAsia="宋体" w:cs="宋体"/>
          <w:b/>
          <w:bCs/>
          <w:sz w:val="24"/>
          <w:highlight w:val="none"/>
        </w:rPr>
      </w:pPr>
      <w:r>
        <w:rPr>
          <w:rFonts w:hint="eastAsia" w:ascii="宋体" w:hAnsi="宋体" w:eastAsia="宋体" w:cs="宋体"/>
          <w:sz w:val="24"/>
          <w:highlight w:val="none"/>
        </w:rPr>
        <w:t>（通用合同，仅供参考，具体内容和格式由使用单位及成交单位共同协商拟定）</w:t>
      </w:r>
    </w:p>
    <w:p w14:paraId="78414659">
      <w:pPr>
        <w:keepNext/>
        <w:jc w:val="center"/>
        <w:rPr>
          <w:rFonts w:ascii="宋体" w:hAnsi="宋体" w:eastAsia="宋体" w:cs="宋体"/>
          <w:b/>
          <w:bCs/>
          <w:kern w:val="0"/>
          <w:sz w:val="24"/>
          <w:highlight w:val="none"/>
        </w:rPr>
      </w:pPr>
    </w:p>
    <w:p w14:paraId="4552841E">
      <w:pPr>
        <w:pStyle w:val="3"/>
        <w:spacing w:line="360" w:lineRule="auto"/>
        <w:jc w:val="center"/>
        <w:rPr>
          <w:rFonts w:ascii="宋体" w:hAnsi="宋体" w:eastAsia="宋体" w:cs="宋体"/>
          <w:bCs w:val="0"/>
          <w:sz w:val="44"/>
          <w:szCs w:val="44"/>
          <w:highlight w:val="none"/>
        </w:rPr>
      </w:pPr>
    </w:p>
    <w:tbl>
      <w:tblPr>
        <w:tblStyle w:val="27"/>
        <w:tblW w:w="9750" w:type="dxa"/>
        <w:jc w:val="center"/>
        <w:tblCellSpacing w:w="0" w:type="dxa"/>
        <w:tblLayout w:type="fixed"/>
        <w:tblCellMar>
          <w:top w:w="0" w:type="dxa"/>
          <w:left w:w="0" w:type="dxa"/>
          <w:bottom w:w="0" w:type="dxa"/>
          <w:right w:w="0" w:type="dxa"/>
        </w:tblCellMar>
      </w:tblPr>
      <w:tblGrid>
        <w:gridCol w:w="9750"/>
      </w:tblGrid>
      <w:tr w14:paraId="3DBFD280">
        <w:tblPrEx>
          <w:tblCellMar>
            <w:top w:w="0" w:type="dxa"/>
            <w:left w:w="0" w:type="dxa"/>
            <w:bottom w:w="0" w:type="dxa"/>
            <w:right w:w="0" w:type="dxa"/>
          </w:tblCellMar>
        </w:tblPrEx>
        <w:trPr>
          <w:tblCellSpacing w:w="0" w:type="dxa"/>
          <w:jc w:val="center"/>
        </w:trPr>
        <w:tc>
          <w:tcPr>
            <w:tcW w:w="9750" w:type="dxa"/>
            <w:vAlign w:val="center"/>
          </w:tcPr>
          <w:tbl>
            <w:tblPr>
              <w:tblStyle w:val="27"/>
              <w:tblW w:w="9750" w:type="dxa"/>
              <w:tblCellSpacing w:w="0" w:type="dxa"/>
              <w:tblInd w:w="0" w:type="dxa"/>
              <w:tblLayout w:type="fixed"/>
              <w:tblCellMar>
                <w:top w:w="0" w:type="dxa"/>
                <w:left w:w="0" w:type="dxa"/>
                <w:bottom w:w="0" w:type="dxa"/>
                <w:right w:w="0" w:type="dxa"/>
              </w:tblCellMar>
            </w:tblPr>
            <w:tblGrid>
              <w:gridCol w:w="1306"/>
              <w:gridCol w:w="1281"/>
              <w:gridCol w:w="1590"/>
              <w:gridCol w:w="996"/>
              <w:gridCol w:w="1138"/>
              <w:gridCol w:w="1305"/>
              <w:gridCol w:w="2134"/>
            </w:tblGrid>
            <w:tr w14:paraId="167EDC4D">
              <w:tblPrEx>
                <w:tblCellMar>
                  <w:top w:w="0" w:type="dxa"/>
                  <w:left w:w="0" w:type="dxa"/>
                  <w:bottom w:w="0" w:type="dxa"/>
                  <w:right w:w="0" w:type="dxa"/>
                </w:tblCellMar>
              </w:tblPrEx>
              <w:trPr>
                <w:tblCellSpacing w:w="0" w:type="dxa"/>
              </w:trPr>
              <w:tc>
                <w:tcPr>
                  <w:tcW w:w="1306" w:type="dxa"/>
                  <w:vAlign w:val="center"/>
                </w:tcPr>
                <w:p w14:paraId="10A84B2D">
                  <w:pPr>
                    <w:widowControl/>
                    <w:jc w:val="right"/>
                    <w:rPr>
                      <w:rFonts w:ascii="宋体" w:hAnsi="宋体" w:eastAsia="宋体" w:cs="宋体"/>
                      <w:sz w:val="24"/>
                      <w:szCs w:val="24"/>
                      <w:highlight w:val="none"/>
                    </w:rPr>
                  </w:pPr>
                  <w:r>
                    <w:rPr>
                      <w:rFonts w:hint="eastAsia" w:ascii="宋体" w:hAnsi="宋体" w:eastAsia="宋体" w:cs="宋体"/>
                      <w:sz w:val="24"/>
                      <w:szCs w:val="24"/>
                      <w:highlight w:val="none"/>
                    </w:rPr>
                    <w:t>合同编号：</w:t>
                  </w:r>
                </w:p>
              </w:tc>
              <w:tc>
                <w:tcPr>
                  <w:tcW w:w="1281" w:type="dxa"/>
                  <w:vAlign w:val="center"/>
                </w:tcPr>
                <w:p w14:paraId="38947D53">
                  <w:pPr>
                    <w:widowControl/>
                    <w:jc w:val="left"/>
                    <w:rPr>
                      <w:rFonts w:ascii="宋体" w:hAnsi="宋体" w:eastAsia="宋体" w:cs="宋体"/>
                      <w:sz w:val="24"/>
                      <w:szCs w:val="24"/>
                      <w:highlight w:val="none"/>
                    </w:rPr>
                  </w:pPr>
                </w:p>
              </w:tc>
              <w:tc>
                <w:tcPr>
                  <w:tcW w:w="1590" w:type="dxa"/>
                  <w:vAlign w:val="center"/>
                </w:tcPr>
                <w:p w14:paraId="326585A7">
                  <w:pPr>
                    <w:widowControl/>
                    <w:jc w:val="right"/>
                    <w:rPr>
                      <w:rFonts w:ascii="宋体" w:hAnsi="宋体" w:eastAsia="宋体" w:cs="宋体"/>
                      <w:sz w:val="24"/>
                      <w:szCs w:val="24"/>
                      <w:highlight w:val="none"/>
                    </w:rPr>
                  </w:pPr>
                  <w:r>
                    <w:rPr>
                      <w:rFonts w:hint="eastAsia" w:ascii="宋体" w:hAnsi="宋体" w:eastAsia="宋体" w:cs="宋体"/>
                      <w:sz w:val="24"/>
                      <w:szCs w:val="24"/>
                      <w:highlight w:val="none"/>
                    </w:rPr>
                    <w:t>合同自编号：</w:t>
                  </w:r>
                </w:p>
              </w:tc>
              <w:tc>
                <w:tcPr>
                  <w:tcW w:w="996" w:type="dxa"/>
                  <w:vAlign w:val="center"/>
                </w:tcPr>
                <w:p w14:paraId="5EE9DE59">
                  <w:pPr>
                    <w:widowControl/>
                    <w:jc w:val="left"/>
                    <w:rPr>
                      <w:rFonts w:ascii="宋体" w:hAnsi="宋体" w:eastAsia="宋体" w:cs="宋体"/>
                      <w:sz w:val="24"/>
                      <w:szCs w:val="24"/>
                      <w:highlight w:val="none"/>
                    </w:rPr>
                  </w:pPr>
                </w:p>
              </w:tc>
              <w:tc>
                <w:tcPr>
                  <w:tcW w:w="1138" w:type="dxa"/>
                  <w:vAlign w:val="center"/>
                </w:tcPr>
                <w:p w14:paraId="6E1B8125">
                  <w:pPr>
                    <w:widowControl/>
                    <w:jc w:val="left"/>
                    <w:rPr>
                      <w:rFonts w:ascii="宋体" w:hAnsi="宋体" w:eastAsia="宋体" w:cs="宋体"/>
                      <w:sz w:val="24"/>
                      <w:szCs w:val="24"/>
                      <w:highlight w:val="none"/>
                    </w:rPr>
                  </w:pPr>
                </w:p>
              </w:tc>
              <w:tc>
                <w:tcPr>
                  <w:tcW w:w="1305" w:type="dxa"/>
                  <w:vAlign w:val="center"/>
                </w:tcPr>
                <w:p w14:paraId="28A19CD9">
                  <w:pPr>
                    <w:widowControl/>
                    <w:spacing w:before="100" w:beforeAutospacing="1" w:after="100" w:afterAutospacing="1"/>
                    <w:jc w:val="left"/>
                    <w:rPr>
                      <w:rFonts w:ascii="宋体" w:hAnsi="宋体" w:eastAsia="宋体" w:cs="宋体"/>
                      <w:sz w:val="24"/>
                      <w:szCs w:val="24"/>
                      <w:highlight w:val="none"/>
                    </w:rPr>
                  </w:pPr>
                  <w:r>
                    <w:rPr>
                      <w:rFonts w:hint="eastAsia" w:ascii="宋体" w:hAnsi="宋体" w:eastAsia="宋体" w:cs="宋体"/>
                      <w:sz w:val="24"/>
                      <w:szCs w:val="24"/>
                      <w:highlight w:val="none"/>
                    </w:rPr>
                    <w:t xml:space="preserve">项目编号： </w:t>
                  </w:r>
                </w:p>
              </w:tc>
              <w:tc>
                <w:tcPr>
                  <w:tcW w:w="2134" w:type="dxa"/>
                  <w:vAlign w:val="center"/>
                </w:tcPr>
                <w:p w14:paraId="10C76429">
                  <w:pPr>
                    <w:widowControl/>
                    <w:jc w:val="left"/>
                    <w:rPr>
                      <w:rFonts w:ascii="宋体" w:hAnsi="宋体" w:eastAsia="宋体" w:cs="宋体"/>
                      <w:sz w:val="24"/>
                      <w:szCs w:val="24"/>
                      <w:highlight w:val="none"/>
                    </w:rPr>
                  </w:pPr>
                </w:p>
              </w:tc>
            </w:tr>
          </w:tbl>
          <w:p w14:paraId="387F4EE6">
            <w:pPr>
              <w:widowControl/>
              <w:spacing w:after="240"/>
              <w:jc w:val="left"/>
              <w:rPr>
                <w:rFonts w:ascii="宋体" w:hAnsi="宋体" w:eastAsia="宋体" w:cs="宋体"/>
                <w:sz w:val="24"/>
                <w:szCs w:val="24"/>
                <w:highlight w:val="none"/>
              </w:rPr>
            </w:pPr>
          </w:p>
          <w:p w14:paraId="3F04997F">
            <w:pPr>
              <w:pStyle w:val="26"/>
              <w:ind w:left="560" w:firstLine="480"/>
              <w:rPr>
                <w:rFonts w:ascii="宋体" w:hAnsi="宋体" w:eastAsia="宋体" w:cs="宋体"/>
                <w:highlight w:val="none"/>
              </w:rPr>
            </w:pPr>
          </w:p>
        </w:tc>
      </w:tr>
      <w:tr w14:paraId="4B474C42">
        <w:tblPrEx>
          <w:tblCellMar>
            <w:top w:w="0" w:type="dxa"/>
            <w:left w:w="0" w:type="dxa"/>
            <w:bottom w:w="0" w:type="dxa"/>
            <w:right w:w="0" w:type="dxa"/>
          </w:tblCellMar>
        </w:tblPrEx>
        <w:trPr>
          <w:trHeight w:val="1319" w:hRule="atLeast"/>
          <w:tblCellSpacing w:w="0" w:type="dxa"/>
          <w:jc w:val="center"/>
        </w:trPr>
        <w:tc>
          <w:tcPr>
            <w:tcW w:w="9750" w:type="dxa"/>
            <w:vAlign w:val="center"/>
          </w:tcPr>
          <w:p w14:paraId="6F8485A3">
            <w:pPr>
              <w:widowControl/>
              <w:spacing w:after="240"/>
              <w:jc w:val="left"/>
              <w:rPr>
                <w:rFonts w:ascii="宋体" w:hAnsi="宋体" w:eastAsia="宋体" w:cs="宋体"/>
                <w:sz w:val="24"/>
                <w:szCs w:val="24"/>
                <w:highlight w:val="none"/>
              </w:rPr>
            </w:pPr>
            <w:r>
              <w:rPr>
                <w:rFonts w:hint="eastAsia" w:ascii="宋体" w:hAnsi="宋体" w:eastAsia="宋体" w:cs="宋体"/>
                <w:sz w:val="24"/>
                <w:szCs w:val="24"/>
                <w:highlight w:val="none"/>
              </w:rPr>
              <w:t>●本合同须加盖甲乙双方骑缝章有效</w:t>
            </w:r>
          </w:p>
          <w:p w14:paraId="30CEE369">
            <w:pPr>
              <w:pStyle w:val="26"/>
              <w:ind w:left="560" w:firstLine="480"/>
              <w:rPr>
                <w:rFonts w:ascii="宋体" w:hAnsi="宋体" w:eastAsia="宋体" w:cs="宋体"/>
                <w:highlight w:val="none"/>
              </w:rPr>
            </w:pPr>
          </w:p>
          <w:p w14:paraId="58659184">
            <w:pPr>
              <w:pStyle w:val="26"/>
              <w:ind w:left="560" w:firstLine="480"/>
              <w:rPr>
                <w:rFonts w:ascii="宋体" w:hAnsi="宋体" w:eastAsia="宋体" w:cs="宋体"/>
                <w:highlight w:val="none"/>
              </w:rPr>
            </w:pPr>
          </w:p>
        </w:tc>
      </w:tr>
      <w:tr w14:paraId="5E6C89DC">
        <w:tblPrEx>
          <w:tblCellMar>
            <w:top w:w="0" w:type="dxa"/>
            <w:left w:w="0" w:type="dxa"/>
            <w:bottom w:w="0" w:type="dxa"/>
            <w:right w:w="0" w:type="dxa"/>
          </w:tblCellMar>
        </w:tblPrEx>
        <w:trPr>
          <w:tblCellSpacing w:w="0" w:type="dxa"/>
          <w:jc w:val="center"/>
        </w:trPr>
        <w:tc>
          <w:tcPr>
            <w:tcW w:w="9750" w:type="dxa"/>
            <w:vAlign w:val="center"/>
          </w:tcPr>
          <w:p w14:paraId="073F7727">
            <w:pPr>
              <w:widowControl/>
              <w:spacing w:after="240"/>
              <w:jc w:val="center"/>
              <w:rPr>
                <w:rFonts w:ascii="宋体" w:hAnsi="宋体" w:eastAsia="宋体" w:cs="宋体"/>
                <w:sz w:val="24"/>
                <w:szCs w:val="24"/>
                <w:highlight w:val="none"/>
              </w:rPr>
            </w:pPr>
            <w:r>
              <w:rPr>
                <w:rFonts w:hint="eastAsia" w:ascii="宋体" w:hAnsi="宋体" w:eastAsia="宋体" w:cs="宋体"/>
                <w:sz w:val="39"/>
                <w:szCs w:val="39"/>
                <w:highlight w:val="none"/>
              </w:rPr>
              <w:t>云南省政府采购</w:t>
            </w:r>
          </w:p>
        </w:tc>
      </w:tr>
      <w:tr w14:paraId="696CC4B1">
        <w:tblPrEx>
          <w:tblCellMar>
            <w:top w:w="0" w:type="dxa"/>
            <w:left w:w="0" w:type="dxa"/>
            <w:bottom w:w="0" w:type="dxa"/>
            <w:right w:w="0" w:type="dxa"/>
          </w:tblCellMar>
        </w:tblPrEx>
        <w:trPr>
          <w:tblCellSpacing w:w="0" w:type="dxa"/>
          <w:jc w:val="center"/>
        </w:trPr>
        <w:tc>
          <w:tcPr>
            <w:tcW w:w="9750" w:type="dxa"/>
            <w:vAlign w:val="center"/>
          </w:tcPr>
          <w:p w14:paraId="0F1DF438">
            <w:pPr>
              <w:widowControl/>
              <w:spacing w:after="240"/>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（委托采购） </w:t>
            </w:r>
          </w:p>
          <w:p w14:paraId="4228BD4E">
            <w:pPr>
              <w:pStyle w:val="26"/>
              <w:ind w:left="560" w:firstLine="480"/>
              <w:rPr>
                <w:rFonts w:ascii="宋体" w:hAnsi="宋体" w:eastAsia="宋体" w:cs="宋体"/>
                <w:highlight w:val="none"/>
              </w:rPr>
            </w:pPr>
          </w:p>
          <w:p w14:paraId="71FAFE7A">
            <w:pPr>
              <w:pStyle w:val="26"/>
              <w:ind w:left="560" w:firstLine="480"/>
              <w:rPr>
                <w:rFonts w:ascii="宋体" w:hAnsi="宋体" w:eastAsia="宋体" w:cs="宋体"/>
                <w:highlight w:val="none"/>
              </w:rPr>
            </w:pPr>
          </w:p>
        </w:tc>
      </w:tr>
      <w:tr w14:paraId="593D81EB">
        <w:tblPrEx>
          <w:tblCellMar>
            <w:top w:w="0" w:type="dxa"/>
            <w:left w:w="0" w:type="dxa"/>
            <w:bottom w:w="0" w:type="dxa"/>
            <w:right w:w="0" w:type="dxa"/>
          </w:tblCellMar>
        </w:tblPrEx>
        <w:trPr>
          <w:tblCellSpacing w:w="0" w:type="dxa"/>
          <w:jc w:val="center"/>
        </w:trPr>
        <w:tc>
          <w:tcPr>
            <w:tcW w:w="9750" w:type="dxa"/>
            <w:vAlign w:val="center"/>
          </w:tcPr>
          <w:p w14:paraId="035E94CD">
            <w:pPr>
              <w:widowControl/>
              <w:spacing w:after="240"/>
              <w:jc w:val="center"/>
              <w:rPr>
                <w:rFonts w:ascii="宋体" w:hAnsi="宋体" w:eastAsia="宋体" w:cs="宋体"/>
                <w:sz w:val="24"/>
                <w:szCs w:val="24"/>
                <w:highlight w:val="none"/>
              </w:rPr>
            </w:pPr>
            <w:r>
              <w:rPr>
                <w:rFonts w:hint="eastAsia" w:ascii="宋体" w:hAnsi="宋体" w:eastAsia="宋体" w:cs="宋体"/>
                <w:sz w:val="63"/>
                <w:szCs w:val="63"/>
                <w:highlight w:val="none"/>
              </w:rPr>
              <w:t>合</w:t>
            </w:r>
          </w:p>
        </w:tc>
      </w:tr>
      <w:tr w14:paraId="2FB2549C">
        <w:tblPrEx>
          <w:tblCellMar>
            <w:top w:w="0" w:type="dxa"/>
            <w:left w:w="0" w:type="dxa"/>
            <w:bottom w:w="0" w:type="dxa"/>
            <w:right w:w="0" w:type="dxa"/>
          </w:tblCellMar>
        </w:tblPrEx>
        <w:trPr>
          <w:tblCellSpacing w:w="0" w:type="dxa"/>
          <w:jc w:val="center"/>
        </w:trPr>
        <w:tc>
          <w:tcPr>
            <w:tcW w:w="9750" w:type="dxa"/>
            <w:vAlign w:val="center"/>
          </w:tcPr>
          <w:p w14:paraId="65A85E84">
            <w:pPr>
              <w:widowControl/>
              <w:spacing w:after="240"/>
              <w:jc w:val="center"/>
              <w:rPr>
                <w:rFonts w:ascii="宋体" w:hAnsi="宋体" w:eastAsia="宋体" w:cs="宋体"/>
                <w:sz w:val="24"/>
                <w:szCs w:val="24"/>
                <w:highlight w:val="none"/>
              </w:rPr>
            </w:pPr>
            <w:r>
              <w:rPr>
                <w:rFonts w:hint="eastAsia" w:ascii="宋体" w:hAnsi="宋体" w:eastAsia="宋体" w:cs="宋体"/>
                <w:sz w:val="63"/>
                <w:szCs w:val="63"/>
                <w:highlight w:val="none"/>
              </w:rPr>
              <w:t>同</w:t>
            </w:r>
          </w:p>
        </w:tc>
      </w:tr>
      <w:tr w14:paraId="5177A6B8">
        <w:tblPrEx>
          <w:tblCellMar>
            <w:top w:w="0" w:type="dxa"/>
            <w:left w:w="0" w:type="dxa"/>
            <w:bottom w:w="0" w:type="dxa"/>
            <w:right w:w="0" w:type="dxa"/>
          </w:tblCellMar>
        </w:tblPrEx>
        <w:trPr>
          <w:tblCellSpacing w:w="0" w:type="dxa"/>
          <w:jc w:val="center"/>
        </w:trPr>
        <w:tc>
          <w:tcPr>
            <w:tcW w:w="9750" w:type="dxa"/>
            <w:vAlign w:val="center"/>
          </w:tcPr>
          <w:p w14:paraId="24E1C12D">
            <w:pPr>
              <w:widowControl/>
              <w:spacing w:after="240"/>
              <w:jc w:val="center"/>
              <w:rPr>
                <w:rFonts w:ascii="宋体" w:hAnsi="宋体" w:eastAsia="宋体" w:cs="宋体"/>
                <w:sz w:val="63"/>
                <w:szCs w:val="63"/>
                <w:highlight w:val="none"/>
              </w:rPr>
            </w:pPr>
            <w:r>
              <w:rPr>
                <w:rFonts w:hint="eastAsia" w:ascii="宋体" w:hAnsi="宋体" w:eastAsia="宋体" w:cs="宋体"/>
                <w:sz w:val="63"/>
                <w:szCs w:val="63"/>
                <w:highlight w:val="none"/>
              </w:rPr>
              <w:t>书</w:t>
            </w:r>
          </w:p>
          <w:p w14:paraId="06F68739">
            <w:pPr>
              <w:pStyle w:val="26"/>
              <w:ind w:left="560" w:firstLine="480"/>
              <w:rPr>
                <w:rFonts w:ascii="宋体" w:hAnsi="宋体" w:eastAsia="宋体" w:cs="宋体"/>
                <w:highlight w:val="none"/>
              </w:rPr>
            </w:pPr>
          </w:p>
          <w:p w14:paraId="69C79667">
            <w:pPr>
              <w:pStyle w:val="26"/>
              <w:ind w:left="560" w:firstLine="480"/>
              <w:rPr>
                <w:rFonts w:ascii="宋体" w:hAnsi="宋体" w:eastAsia="宋体" w:cs="宋体"/>
                <w:highlight w:val="none"/>
              </w:rPr>
            </w:pPr>
          </w:p>
          <w:p w14:paraId="02B92B4D">
            <w:pPr>
              <w:widowControl/>
              <w:spacing w:after="240"/>
              <w:jc w:val="center"/>
              <w:rPr>
                <w:rFonts w:ascii="宋体" w:hAnsi="宋体" w:eastAsia="宋体" w:cs="宋体"/>
                <w:sz w:val="24"/>
                <w:szCs w:val="24"/>
                <w:highlight w:val="none"/>
              </w:rPr>
            </w:pPr>
          </w:p>
          <w:p w14:paraId="612B1C31">
            <w:pPr>
              <w:pStyle w:val="26"/>
              <w:ind w:left="560" w:firstLine="480"/>
              <w:rPr>
                <w:rFonts w:ascii="宋体" w:hAnsi="宋体" w:eastAsia="宋体" w:cs="宋体"/>
                <w:highlight w:val="none"/>
              </w:rPr>
            </w:pPr>
          </w:p>
        </w:tc>
      </w:tr>
      <w:tr w14:paraId="14FF82B4">
        <w:tblPrEx>
          <w:tblCellMar>
            <w:top w:w="0" w:type="dxa"/>
            <w:left w:w="0" w:type="dxa"/>
            <w:bottom w:w="0" w:type="dxa"/>
            <w:right w:w="0" w:type="dxa"/>
          </w:tblCellMar>
        </w:tblPrEx>
        <w:trPr>
          <w:tblCellSpacing w:w="0" w:type="dxa"/>
          <w:jc w:val="center"/>
        </w:trPr>
        <w:tc>
          <w:tcPr>
            <w:tcW w:w="9750" w:type="dxa"/>
            <w:vAlign w:val="center"/>
          </w:tcPr>
          <w:p w14:paraId="176B432E">
            <w:pPr>
              <w:widowControl/>
              <w:spacing w:after="240"/>
              <w:jc w:val="center"/>
              <w:rPr>
                <w:rFonts w:ascii="宋体" w:hAnsi="宋体" w:eastAsia="宋体" w:cs="宋体"/>
                <w:sz w:val="24"/>
                <w:szCs w:val="24"/>
                <w:highlight w:val="none"/>
              </w:rPr>
            </w:pPr>
            <w:r>
              <w:rPr>
                <w:rFonts w:hint="eastAsia" w:ascii="宋体" w:hAnsi="宋体" w:eastAsia="宋体" w:cs="宋体"/>
                <w:b/>
                <w:bCs/>
                <w:sz w:val="27"/>
                <w:highlight w:val="none"/>
              </w:rPr>
              <w:t>签订地点：    </w:t>
            </w:r>
          </w:p>
        </w:tc>
      </w:tr>
      <w:tr w14:paraId="0AD7C77F">
        <w:tblPrEx>
          <w:tblCellMar>
            <w:top w:w="0" w:type="dxa"/>
            <w:left w:w="0" w:type="dxa"/>
            <w:bottom w:w="0" w:type="dxa"/>
            <w:right w:w="0" w:type="dxa"/>
          </w:tblCellMar>
        </w:tblPrEx>
        <w:trPr>
          <w:tblCellSpacing w:w="0" w:type="dxa"/>
          <w:jc w:val="center"/>
        </w:trPr>
        <w:tc>
          <w:tcPr>
            <w:tcW w:w="9750" w:type="dxa"/>
            <w:vAlign w:val="center"/>
          </w:tcPr>
          <w:p w14:paraId="278DB71C">
            <w:pPr>
              <w:widowControl/>
              <w:spacing w:after="240"/>
              <w:jc w:val="center"/>
              <w:rPr>
                <w:rFonts w:ascii="宋体" w:hAnsi="宋体" w:eastAsia="宋体" w:cs="宋体"/>
                <w:sz w:val="24"/>
                <w:szCs w:val="24"/>
                <w:highlight w:val="none"/>
              </w:rPr>
            </w:pPr>
          </w:p>
        </w:tc>
      </w:tr>
      <w:tr w14:paraId="4B45EC8D">
        <w:tblPrEx>
          <w:tblCellMar>
            <w:top w:w="0" w:type="dxa"/>
            <w:left w:w="0" w:type="dxa"/>
            <w:bottom w:w="0" w:type="dxa"/>
            <w:right w:w="0" w:type="dxa"/>
          </w:tblCellMar>
        </w:tblPrEx>
        <w:trPr>
          <w:trHeight w:val="910" w:hRule="atLeast"/>
          <w:tblCellSpacing w:w="0" w:type="dxa"/>
          <w:jc w:val="center"/>
        </w:trPr>
        <w:tc>
          <w:tcPr>
            <w:tcW w:w="9750" w:type="dxa"/>
            <w:vAlign w:val="center"/>
          </w:tcPr>
          <w:p w14:paraId="11F9206E">
            <w:pPr>
              <w:widowControl/>
              <w:spacing w:before="100" w:beforeAutospacing="1" w:after="100" w:afterAutospacing="1"/>
              <w:jc w:val="center"/>
              <w:rPr>
                <w:rFonts w:ascii="宋体" w:hAnsi="宋体" w:eastAsia="宋体" w:cs="宋体"/>
                <w:sz w:val="24"/>
                <w:szCs w:val="24"/>
                <w:highlight w:val="none"/>
              </w:rPr>
            </w:pPr>
            <w:r>
              <w:rPr>
                <w:rFonts w:hint="eastAsia" w:ascii="宋体" w:hAnsi="宋体" w:eastAsia="宋体" w:cs="宋体"/>
                <w:b/>
                <w:bCs/>
                <w:sz w:val="27"/>
                <w:highlight w:val="none"/>
              </w:rPr>
              <w:t>云南省签订合同制</w:t>
            </w:r>
          </w:p>
        </w:tc>
      </w:tr>
    </w:tbl>
    <w:p w14:paraId="06AA3D2F">
      <w:pPr>
        <w:spacing w:line="720" w:lineRule="auto"/>
        <w:jc w:val="center"/>
        <w:rPr>
          <w:rFonts w:ascii="宋体" w:hAnsi="宋体" w:eastAsia="宋体" w:cs="宋体"/>
          <w:b/>
          <w:sz w:val="32"/>
          <w:szCs w:val="32"/>
          <w:highlight w:val="none"/>
        </w:rPr>
      </w:pPr>
      <w:r>
        <w:rPr>
          <w:rFonts w:hint="eastAsia" w:ascii="宋体" w:hAnsi="宋体" w:eastAsia="宋体" w:cs="宋体"/>
          <w:b/>
          <w:sz w:val="30"/>
          <w:szCs w:val="30"/>
          <w:highlight w:val="none"/>
        </w:rPr>
        <w:t>政府采购合同书</w:t>
      </w:r>
      <w:r>
        <w:rPr>
          <w:rFonts w:hint="eastAsia" w:ascii="宋体" w:hAnsi="宋体" w:eastAsia="宋体" w:cs="宋体"/>
          <w:b/>
          <w:sz w:val="32"/>
          <w:szCs w:val="32"/>
          <w:highlight w:val="none"/>
        </w:rPr>
        <w:t>（格式）</w:t>
      </w:r>
    </w:p>
    <w:p w14:paraId="4807B192">
      <w:pPr>
        <w:snapToGrid w:val="0"/>
        <w:spacing w:line="400" w:lineRule="exact"/>
        <w:ind w:right="480" w:firstLine="5040" w:firstLineChars="2400"/>
        <w:rPr>
          <w:rFonts w:ascii="宋体" w:hAnsi="宋体" w:eastAsia="宋体" w:cs="宋体"/>
          <w:szCs w:val="21"/>
          <w:highlight w:val="none"/>
        </w:rPr>
      </w:pPr>
    </w:p>
    <w:p w14:paraId="5859C77A">
      <w:pPr>
        <w:spacing w:line="520" w:lineRule="exact"/>
        <w:rPr>
          <w:rFonts w:ascii="宋体" w:hAnsi="宋体" w:eastAsia="宋体" w:cs="宋体"/>
          <w:sz w:val="24"/>
          <w:szCs w:val="24"/>
          <w:highlight w:val="none"/>
        </w:rPr>
      </w:pPr>
      <w:r>
        <w:rPr>
          <w:rFonts w:hint="eastAsia" w:ascii="宋体" w:hAnsi="宋体" w:eastAsia="宋体" w:cs="宋体"/>
          <w:sz w:val="24"/>
          <w:szCs w:val="24"/>
          <w:highlight w:val="none"/>
        </w:rPr>
        <w:t>项目名称：</w:t>
      </w:r>
    </w:p>
    <w:p w14:paraId="0F910693">
      <w:pPr>
        <w:spacing w:line="520" w:lineRule="exact"/>
        <w:rPr>
          <w:rFonts w:ascii="宋体" w:hAnsi="宋体" w:eastAsia="宋体" w:cs="宋体"/>
          <w:sz w:val="24"/>
          <w:szCs w:val="24"/>
          <w:highlight w:val="none"/>
        </w:rPr>
      </w:pPr>
      <w:r>
        <w:rPr>
          <w:rFonts w:hint="eastAsia" w:ascii="宋体" w:hAnsi="宋体" w:eastAsia="宋体" w:cs="宋体"/>
          <w:sz w:val="24"/>
          <w:szCs w:val="24"/>
          <w:highlight w:val="none"/>
        </w:rPr>
        <w:t>项目编号：</w:t>
      </w:r>
    </w:p>
    <w:p w14:paraId="3B8FF37F">
      <w:pPr>
        <w:spacing w:line="520" w:lineRule="exact"/>
        <w:rPr>
          <w:rFonts w:ascii="宋体" w:hAnsi="宋体" w:eastAsia="宋体" w:cs="宋体"/>
          <w:sz w:val="24"/>
          <w:szCs w:val="24"/>
          <w:highlight w:val="none"/>
        </w:rPr>
      </w:pPr>
      <w:r>
        <w:rPr>
          <w:rFonts w:hint="eastAsia" w:ascii="宋体" w:hAnsi="宋体" w:eastAsia="宋体" w:cs="宋体"/>
          <w:sz w:val="24"/>
          <w:szCs w:val="24"/>
          <w:highlight w:val="none"/>
        </w:rPr>
        <w:t>分标号（有分标时填写）：</w:t>
      </w:r>
    </w:p>
    <w:p w14:paraId="5D4DEA60">
      <w:pPr>
        <w:spacing w:line="520" w:lineRule="exact"/>
        <w:rPr>
          <w:rFonts w:ascii="宋体" w:hAnsi="宋体" w:eastAsia="宋体" w:cs="宋体"/>
          <w:sz w:val="24"/>
          <w:szCs w:val="24"/>
          <w:highlight w:val="none"/>
        </w:rPr>
      </w:pPr>
    </w:p>
    <w:p w14:paraId="4CC8367E">
      <w:pPr>
        <w:spacing w:line="520" w:lineRule="exact"/>
        <w:rPr>
          <w:rFonts w:ascii="宋体" w:hAnsi="宋体" w:eastAsia="宋体" w:cs="宋体"/>
          <w:sz w:val="24"/>
          <w:szCs w:val="24"/>
          <w:highlight w:val="none"/>
        </w:rPr>
      </w:pPr>
      <w:r>
        <w:rPr>
          <w:rFonts w:hint="eastAsia" w:ascii="宋体" w:hAnsi="宋体" w:eastAsia="宋体" w:cs="宋体"/>
          <w:sz w:val="24"/>
          <w:szCs w:val="24"/>
          <w:highlight w:val="none"/>
        </w:rPr>
        <w:t>甲方（买方）：</w:t>
      </w:r>
    </w:p>
    <w:p w14:paraId="54C72BD7">
      <w:pPr>
        <w:spacing w:line="520" w:lineRule="exact"/>
        <w:rPr>
          <w:rFonts w:ascii="宋体" w:hAnsi="宋体" w:eastAsia="宋体" w:cs="宋体"/>
          <w:sz w:val="24"/>
          <w:szCs w:val="24"/>
          <w:highlight w:val="none"/>
        </w:rPr>
      </w:pPr>
      <w:r>
        <w:rPr>
          <w:rFonts w:hint="eastAsia" w:ascii="宋体" w:hAnsi="宋体" w:eastAsia="宋体" w:cs="宋体"/>
          <w:sz w:val="24"/>
          <w:szCs w:val="24"/>
          <w:highlight w:val="none"/>
        </w:rPr>
        <w:t>乙方（卖方）：</w:t>
      </w:r>
    </w:p>
    <w:p w14:paraId="3360FB4C">
      <w:pPr>
        <w:spacing w:line="520" w:lineRule="exact"/>
        <w:rPr>
          <w:rFonts w:ascii="宋体" w:hAnsi="宋体" w:eastAsia="宋体" w:cs="宋体"/>
          <w:b/>
          <w:sz w:val="24"/>
          <w:szCs w:val="24"/>
          <w:highlight w:val="none"/>
        </w:rPr>
      </w:pPr>
    </w:p>
    <w:p w14:paraId="545BAC50">
      <w:pPr>
        <w:spacing w:line="520" w:lineRule="exact"/>
        <w:ind w:firstLine="480" w:firstLineChars="200"/>
        <w:rPr>
          <w:rFonts w:ascii="宋体" w:hAnsi="宋体" w:eastAsia="宋体" w:cs="宋体"/>
          <w:b/>
          <w:sz w:val="24"/>
          <w:szCs w:val="24"/>
          <w:highlight w:val="none"/>
        </w:rPr>
      </w:pPr>
      <w:r>
        <w:rPr>
          <w:rFonts w:hint="eastAsia" w:ascii="宋体" w:hAnsi="宋体" w:eastAsia="宋体" w:cs="宋体"/>
          <w:sz w:val="24"/>
          <w:szCs w:val="24"/>
          <w:highlight w:val="none"/>
        </w:rPr>
        <w:t>根据  年  月  日</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政府采购项目的采购结果，甲方接受乙方对本项目的投标文件，甲、乙双方同意签署本合同（以下简称合同）。</w:t>
      </w:r>
    </w:p>
    <w:p w14:paraId="1B35B7AD">
      <w:pPr>
        <w:spacing w:line="520" w:lineRule="exact"/>
        <w:rPr>
          <w:rFonts w:ascii="宋体" w:hAnsi="宋体" w:eastAsia="宋体" w:cs="宋体"/>
          <w:b/>
          <w:sz w:val="24"/>
          <w:szCs w:val="24"/>
          <w:highlight w:val="none"/>
        </w:rPr>
      </w:pPr>
    </w:p>
    <w:p w14:paraId="6E990363">
      <w:pPr>
        <w:spacing w:line="520" w:lineRule="exact"/>
        <w:rPr>
          <w:rFonts w:ascii="宋体" w:hAnsi="宋体" w:eastAsia="宋体" w:cs="宋体"/>
          <w:b/>
          <w:bCs/>
          <w:sz w:val="24"/>
          <w:szCs w:val="24"/>
          <w:highlight w:val="none"/>
        </w:rPr>
      </w:pPr>
      <w:r>
        <w:rPr>
          <w:rFonts w:hint="eastAsia" w:ascii="宋体" w:hAnsi="宋体" w:eastAsia="宋体" w:cs="宋体"/>
          <w:b/>
          <w:bCs/>
          <w:sz w:val="24"/>
          <w:szCs w:val="24"/>
          <w:highlight w:val="none"/>
        </w:rPr>
        <w:t>1.  采购内容</w:t>
      </w:r>
    </w:p>
    <w:p w14:paraId="3F1DD655">
      <w:pPr>
        <w:tabs>
          <w:tab w:val="left" w:pos="5220"/>
        </w:tabs>
        <w:spacing w:line="520" w:lineRule="exact"/>
        <w:ind w:firstLine="480" w:firstLineChars="200"/>
        <w:rPr>
          <w:rFonts w:ascii="宋体" w:hAnsi="宋体" w:eastAsia="宋体" w:cs="宋体"/>
          <w:sz w:val="24"/>
          <w:szCs w:val="24"/>
          <w:highlight w:val="none"/>
          <w:u w:val="single"/>
        </w:rPr>
      </w:pPr>
      <w:r>
        <w:rPr>
          <w:rFonts w:hint="eastAsia" w:ascii="宋体" w:hAnsi="宋体" w:eastAsia="宋体" w:cs="宋体"/>
          <w:sz w:val="24"/>
          <w:szCs w:val="24"/>
          <w:highlight w:val="none"/>
        </w:rPr>
        <w:t>1.1 服务名称：</w:t>
      </w:r>
    </w:p>
    <w:p w14:paraId="20DA301D">
      <w:pPr>
        <w:tabs>
          <w:tab w:val="left" w:pos="5220"/>
        </w:tabs>
        <w:spacing w:line="520" w:lineRule="exact"/>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1.2采购内容：</w:t>
      </w:r>
    </w:p>
    <w:p w14:paraId="3A3E0532">
      <w:pPr>
        <w:tabs>
          <w:tab w:val="left" w:pos="5145"/>
        </w:tabs>
        <w:spacing w:line="520" w:lineRule="exact"/>
        <w:rPr>
          <w:rFonts w:ascii="宋体" w:hAnsi="宋体" w:eastAsia="宋体" w:cs="宋体"/>
          <w:b/>
          <w:bCs/>
          <w:sz w:val="24"/>
          <w:szCs w:val="24"/>
          <w:highlight w:val="none"/>
        </w:rPr>
      </w:pPr>
      <w:r>
        <w:rPr>
          <w:rFonts w:hint="eastAsia" w:ascii="宋体" w:hAnsi="宋体" w:eastAsia="宋体" w:cs="宋体"/>
          <w:b/>
          <w:bCs/>
          <w:sz w:val="24"/>
          <w:szCs w:val="24"/>
          <w:highlight w:val="none"/>
        </w:rPr>
        <w:t>2.  合同金额</w:t>
      </w:r>
    </w:p>
    <w:p w14:paraId="4D18459F">
      <w:pPr>
        <w:tabs>
          <w:tab w:val="left" w:pos="5250"/>
          <w:tab w:val="left" w:pos="5940"/>
        </w:tabs>
        <w:spacing w:line="520" w:lineRule="exact"/>
        <w:ind w:firstLine="470" w:firstLineChars="196"/>
        <w:rPr>
          <w:rFonts w:ascii="宋体" w:hAnsi="宋体" w:eastAsia="宋体" w:cs="宋体"/>
          <w:bCs/>
          <w:sz w:val="24"/>
          <w:szCs w:val="24"/>
          <w:highlight w:val="none"/>
        </w:rPr>
      </w:pPr>
      <w:r>
        <w:rPr>
          <w:rFonts w:hint="eastAsia" w:ascii="宋体" w:hAnsi="宋体" w:eastAsia="宋体" w:cs="宋体"/>
          <w:bCs/>
          <w:sz w:val="24"/>
          <w:szCs w:val="24"/>
          <w:highlight w:val="none"/>
        </w:rPr>
        <w:t>2.1 本合同金额为人民币（大写）：</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元（￥</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元）。</w:t>
      </w:r>
    </w:p>
    <w:p w14:paraId="544D7388">
      <w:pPr>
        <w:tabs>
          <w:tab w:val="left" w:pos="5250"/>
          <w:tab w:val="left" w:pos="5940"/>
        </w:tabs>
        <w:spacing w:line="520" w:lineRule="exact"/>
        <w:ind w:firstLine="470" w:firstLineChars="196"/>
        <w:rPr>
          <w:rFonts w:ascii="宋体" w:hAnsi="宋体" w:eastAsia="宋体" w:cs="宋体"/>
          <w:bCs/>
          <w:sz w:val="24"/>
          <w:szCs w:val="24"/>
          <w:highlight w:val="none"/>
        </w:rPr>
      </w:pPr>
      <w:r>
        <w:rPr>
          <w:rFonts w:hint="eastAsia" w:ascii="宋体" w:hAnsi="宋体" w:eastAsia="宋体" w:cs="宋体"/>
          <w:bCs/>
          <w:sz w:val="24"/>
          <w:szCs w:val="24"/>
          <w:highlight w:val="none"/>
        </w:rPr>
        <w:t>2.2合同金额明细表</w:t>
      </w:r>
    </w:p>
    <w:p w14:paraId="06594B5C">
      <w:pPr>
        <w:pStyle w:val="41"/>
        <w:spacing w:line="520" w:lineRule="exact"/>
        <w:rPr>
          <w:rFonts w:ascii="宋体" w:hAnsi="宋体" w:cs="宋体"/>
          <w:sz w:val="24"/>
          <w:szCs w:val="24"/>
          <w:highlight w:val="none"/>
        </w:rPr>
      </w:pPr>
    </w:p>
    <w:p w14:paraId="5E824821">
      <w:pPr>
        <w:pStyle w:val="41"/>
        <w:spacing w:line="520" w:lineRule="exact"/>
        <w:rPr>
          <w:rFonts w:ascii="宋体" w:hAnsi="宋体" w:cs="宋体"/>
          <w:sz w:val="24"/>
          <w:szCs w:val="24"/>
          <w:highlight w:val="none"/>
        </w:rPr>
      </w:pPr>
    </w:p>
    <w:p w14:paraId="688E128F">
      <w:pPr>
        <w:pStyle w:val="41"/>
        <w:spacing w:line="520" w:lineRule="exact"/>
        <w:rPr>
          <w:rFonts w:ascii="宋体" w:hAnsi="宋体" w:cs="宋体"/>
          <w:sz w:val="24"/>
          <w:szCs w:val="24"/>
          <w:highlight w:val="none"/>
        </w:rPr>
      </w:pPr>
    </w:p>
    <w:p w14:paraId="671D8F1D">
      <w:pPr>
        <w:tabs>
          <w:tab w:val="left" w:pos="5940"/>
        </w:tabs>
        <w:spacing w:line="520" w:lineRule="exact"/>
        <w:rPr>
          <w:rFonts w:ascii="宋体" w:hAnsi="宋体" w:eastAsia="宋体" w:cs="宋体"/>
          <w:b/>
          <w:bCs/>
          <w:sz w:val="24"/>
          <w:szCs w:val="24"/>
          <w:highlight w:val="none"/>
        </w:rPr>
      </w:pPr>
      <w:r>
        <w:rPr>
          <w:rFonts w:hint="eastAsia" w:ascii="宋体" w:hAnsi="宋体" w:eastAsia="宋体" w:cs="宋体"/>
          <w:b/>
          <w:bCs/>
          <w:sz w:val="24"/>
          <w:szCs w:val="24"/>
          <w:highlight w:val="none"/>
        </w:rPr>
        <w:t>3.  项目完成期限要求</w:t>
      </w:r>
    </w:p>
    <w:p w14:paraId="505E7BBD">
      <w:pPr>
        <w:tabs>
          <w:tab w:val="left" w:pos="5220"/>
        </w:tabs>
        <w:spacing w:line="520" w:lineRule="exact"/>
        <w:ind w:firstLine="360"/>
        <w:rPr>
          <w:rFonts w:ascii="宋体" w:hAnsi="宋体" w:eastAsia="宋体" w:cs="宋体"/>
          <w:bCs/>
          <w:sz w:val="24"/>
          <w:szCs w:val="24"/>
          <w:highlight w:val="none"/>
          <w:u w:val="single"/>
        </w:rPr>
      </w:pPr>
      <w:r>
        <w:rPr>
          <w:rFonts w:hint="eastAsia" w:ascii="宋体" w:hAnsi="宋体" w:eastAsia="宋体" w:cs="宋体"/>
          <w:bCs/>
          <w:sz w:val="24"/>
          <w:szCs w:val="24"/>
          <w:highlight w:val="none"/>
        </w:rPr>
        <w:t>3.1 项目完成期限（合同履行期限）：</w:t>
      </w:r>
    </w:p>
    <w:p w14:paraId="44BA4C27">
      <w:pPr>
        <w:spacing w:line="520" w:lineRule="exact"/>
        <w:ind w:firstLine="360"/>
        <w:rPr>
          <w:rFonts w:ascii="宋体" w:hAnsi="宋体" w:eastAsia="宋体" w:cs="宋体"/>
          <w:bCs/>
          <w:sz w:val="24"/>
          <w:szCs w:val="24"/>
          <w:highlight w:val="none"/>
        </w:rPr>
      </w:pPr>
      <w:r>
        <w:rPr>
          <w:rFonts w:hint="eastAsia" w:ascii="宋体" w:hAnsi="宋体" w:eastAsia="宋体" w:cs="宋体"/>
          <w:bCs/>
          <w:sz w:val="24"/>
          <w:szCs w:val="24"/>
          <w:highlight w:val="none"/>
        </w:rPr>
        <w:t>3.2 项目实施地点：</w:t>
      </w:r>
    </w:p>
    <w:p w14:paraId="1D70FA26">
      <w:pPr>
        <w:spacing w:line="520" w:lineRule="exact"/>
        <w:ind w:firstLine="360"/>
        <w:rPr>
          <w:rFonts w:ascii="宋体" w:hAnsi="宋体" w:eastAsia="宋体" w:cs="宋体"/>
          <w:b/>
          <w:sz w:val="24"/>
          <w:szCs w:val="24"/>
          <w:highlight w:val="none"/>
        </w:rPr>
      </w:pPr>
      <w:r>
        <w:rPr>
          <w:rFonts w:hint="eastAsia" w:ascii="宋体" w:hAnsi="宋体" w:eastAsia="宋体" w:cs="宋体"/>
          <w:bCs/>
          <w:sz w:val="24"/>
          <w:szCs w:val="24"/>
          <w:highlight w:val="none"/>
        </w:rPr>
        <w:t>3.3</w:t>
      </w:r>
      <w:r>
        <w:rPr>
          <w:rFonts w:hint="eastAsia" w:ascii="宋体" w:hAnsi="宋体" w:eastAsia="宋体" w:cs="宋体"/>
          <w:sz w:val="24"/>
          <w:szCs w:val="24"/>
          <w:highlight w:val="none"/>
        </w:rPr>
        <w:t>乙方必须按投标文件承诺的技术标准、性能要求、质量标准等向甲方提供符合采购要求及验收要求的服务成果。</w:t>
      </w:r>
    </w:p>
    <w:p w14:paraId="56E5AAF6">
      <w:pPr>
        <w:spacing w:line="520" w:lineRule="exact"/>
        <w:ind w:left="410" w:hanging="410" w:hangingChars="170"/>
        <w:rPr>
          <w:rFonts w:ascii="宋体" w:hAnsi="宋体" w:eastAsia="宋体" w:cs="宋体"/>
          <w:b/>
          <w:sz w:val="24"/>
          <w:szCs w:val="24"/>
          <w:highlight w:val="none"/>
        </w:rPr>
      </w:pPr>
      <w:r>
        <w:rPr>
          <w:rFonts w:hint="eastAsia" w:ascii="宋体" w:hAnsi="宋体" w:eastAsia="宋体" w:cs="宋体"/>
          <w:b/>
          <w:bCs/>
          <w:sz w:val="24"/>
          <w:szCs w:val="24"/>
          <w:highlight w:val="none"/>
        </w:rPr>
        <w:t>4.  履约保证金</w:t>
      </w:r>
    </w:p>
    <w:p w14:paraId="59E01D5F">
      <w:pPr>
        <w:spacing w:line="520" w:lineRule="exact"/>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乙方在签订后向甲方提供合同总金额</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%的履约保证金。</w:t>
      </w:r>
    </w:p>
    <w:p w14:paraId="5CAB890C">
      <w:pPr>
        <w:spacing w:line="520" w:lineRule="exact"/>
        <w:ind w:left="412" w:hanging="412" w:hangingChars="171"/>
        <w:rPr>
          <w:rFonts w:ascii="宋体" w:hAnsi="宋体" w:eastAsia="宋体" w:cs="宋体"/>
          <w:b/>
          <w:sz w:val="24"/>
          <w:szCs w:val="24"/>
          <w:highlight w:val="none"/>
        </w:rPr>
      </w:pPr>
      <w:r>
        <w:rPr>
          <w:rFonts w:hint="eastAsia" w:ascii="宋体" w:hAnsi="宋体" w:eastAsia="宋体" w:cs="宋体"/>
          <w:b/>
          <w:bCs/>
          <w:sz w:val="24"/>
          <w:szCs w:val="24"/>
          <w:highlight w:val="none"/>
        </w:rPr>
        <w:t>5.  产权</w:t>
      </w:r>
    </w:p>
    <w:p w14:paraId="1394C3B7">
      <w:pPr>
        <w:spacing w:line="520" w:lineRule="exact"/>
        <w:ind w:firstLine="480" w:firstLineChars="200"/>
        <w:rPr>
          <w:rFonts w:ascii="宋体" w:hAnsi="宋体" w:eastAsia="宋体" w:cs="宋体"/>
          <w:b/>
          <w:sz w:val="24"/>
          <w:szCs w:val="24"/>
          <w:highlight w:val="none"/>
        </w:rPr>
      </w:pPr>
      <w:r>
        <w:rPr>
          <w:rFonts w:hint="eastAsia" w:ascii="宋体" w:hAnsi="宋体" w:eastAsia="宋体" w:cs="宋体"/>
          <w:sz w:val="24"/>
          <w:szCs w:val="24"/>
          <w:highlight w:val="none"/>
        </w:rPr>
        <w:t>5.1 乙方应保证所提供的服务或其任何一部分均不会侵犯任何第三方的专利权、商标权或著作权</w:t>
      </w:r>
      <w:r>
        <w:rPr>
          <w:rFonts w:hint="eastAsia" w:ascii="宋体" w:hAnsi="宋体" w:eastAsia="宋体" w:cs="宋体"/>
          <w:bCs/>
          <w:sz w:val="24"/>
          <w:szCs w:val="24"/>
          <w:highlight w:val="none"/>
        </w:rPr>
        <w:t>。</w:t>
      </w:r>
    </w:p>
    <w:p w14:paraId="6366B0A3">
      <w:pPr>
        <w:spacing w:line="520" w:lineRule="exact"/>
        <w:ind w:firstLine="480" w:firstLineChars="200"/>
        <w:rPr>
          <w:rFonts w:ascii="宋体" w:hAnsi="宋体" w:eastAsia="宋体" w:cs="宋体"/>
          <w:b/>
          <w:sz w:val="24"/>
          <w:szCs w:val="24"/>
          <w:highlight w:val="none"/>
        </w:rPr>
      </w:pPr>
      <w:r>
        <w:rPr>
          <w:rFonts w:hint="eastAsia" w:ascii="宋体" w:hAnsi="宋体" w:eastAsia="宋体" w:cs="宋体"/>
          <w:sz w:val="24"/>
          <w:szCs w:val="24"/>
          <w:highlight w:val="none"/>
        </w:rPr>
        <w:t>5.2 乙方保证所交付服务的所有权完全属于乙方且无任何抵押、查封等产权瑕疵。如乙方所交付服务有产权瑕疵的，视为乙方违约，按照本合同第10.3项的约定处理。但在已经全部支付完合同款后才发现有产权瑕疵的，乙方除了支付违约金还应负担甲方由此产生的一切损失。</w:t>
      </w:r>
    </w:p>
    <w:p w14:paraId="4EE44F24">
      <w:pPr>
        <w:spacing w:line="520" w:lineRule="exact"/>
        <w:rPr>
          <w:rFonts w:ascii="宋体" w:hAnsi="宋体" w:eastAsia="宋体" w:cs="宋体"/>
          <w:b/>
          <w:sz w:val="24"/>
          <w:szCs w:val="24"/>
          <w:highlight w:val="none"/>
        </w:rPr>
      </w:pPr>
      <w:r>
        <w:rPr>
          <w:rFonts w:hint="eastAsia" w:ascii="宋体" w:hAnsi="宋体" w:eastAsia="宋体" w:cs="宋体"/>
          <w:b/>
          <w:bCs/>
          <w:sz w:val="24"/>
          <w:szCs w:val="24"/>
          <w:highlight w:val="none"/>
        </w:rPr>
        <w:t>6.  技术资料</w:t>
      </w:r>
    </w:p>
    <w:p w14:paraId="573C473C">
      <w:pPr>
        <w:spacing w:line="520" w:lineRule="exact"/>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6.1 甲方向乙方提供服务的有关技术资料。</w:t>
      </w:r>
    </w:p>
    <w:p w14:paraId="2D10001C">
      <w:pPr>
        <w:spacing w:line="520" w:lineRule="exact"/>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6.2 乙方应在采购文件规定的时间向甲方提供使用服务的有关技术资料。</w:t>
      </w:r>
    </w:p>
    <w:p w14:paraId="4D4A580D">
      <w:pPr>
        <w:spacing w:line="520" w:lineRule="exact"/>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6.3 没有甲方事先书面同意，乙方不得将甲方提供的有关合同或任何合同条文、规格、计划、图纸、样品或资料提供给与履行本合同无关的其他任何人。即使向与履行本合同有关的人员提供，也应注意保密并限于履行合同的必需范围。</w:t>
      </w:r>
    </w:p>
    <w:p w14:paraId="57C7CDB5">
      <w:pPr>
        <w:spacing w:line="520" w:lineRule="exact"/>
        <w:rPr>
          <w:rFonts w:ascii="宋体" w:hAnsi="宋体" w:eastAsia="宋体" w:cs="宋体"/>
          <w:b/>
          <w:bCs/>
          <w:sz w:val="24"/>
          <w:szCs w:val="24"/>
          <w:highlight w:val="none"/>
        </w:rPr>
      </w:pPr>
      <w:r>
        <w:rPr>
          <w:rFonts w:hint="eastAsia" w:ascii="宋体" w:hAnsi="宋体" w:eastAsia="宋体" w:cs="宋体"/>
          <w:b/>
          <w:bCs/>
          <w:sz w:val="24"/>
          <w:szCs w:val="24"/>
          <w:highlight w:val="none"/>
        </w:rPr>
        <w:t>7.  验收</w:t>
      </w:r>
    </w:p>
    <w:p w14:paraId="2AB6B841">
      <w:pPr>
        <w:tabs>
          <w:tab w:val="left" w:pos="0"/>
        </w:tabs>
        <w:spacing w:line="520" w:lineRule="exact"/>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7.1 乙方应对提交的服务成果作出全面检查和整理，并列出清单，作为甲方验收和使用的技术条件依据，清单应随提交的服务成果交给甲方。</w:t>
      </w:r>
    </w:p>
    <w:p w14:paraId="0A9D6BEC">
      <w:pPr>
        <w:tabs>
          <w:tab w:val="left" w:pos="0"/>
        </w:tabs>
        <w:spacing w:line="520" w:lineRule="exact"/>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7.2 乙方在指定地点提交服务成果后，甲方应在  个工作日内依据采购文件、乙方的竞标文件等组织验收，验收完毕后作出书面验收报告。验收时乙方必须在现场。</w:t>
      </w:r>
    </w:p>
    <w:p w14:paraId="1A1263B3">
      <w:pPr>
        <w:tabs>
          <w:tab w:val="left" w:pos="0"/>
        </w:tabs>
        <w:spacing w:line="520" w:lineRule="exact"/>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7.3 对复杂的服务，甲方可请国家认可的专业机构参与验收，并由其出具验收报告，相关费用由甲方承担。</w:t>
      </w:r>
    </w:p>
    <w:p w14:paraId="7E4CBFD6">
      <w:pPr>
        <w:spacing w:line="520" w:lineRule="exact"/>
        <w:rPr>
          <w:rFonts w:ascii="宋体" w:hAnsi="宋体" w:eastAsia="宋体" w:cs="宋体"/>
          <w:b/>
          <w:bCs/>
          <w:sz w:val="24"/>
          <w:szCs w:val="24"/>
          <w:highlight w:val="none"/>
        </w:rPr>
      </w:pPr>
      <w:r>
        <w:rPr>
          <w:rFonts w:hint="eastAsia" w:ascii="宋体" w:hAnsi="宋体" w:eastAsia="宋体" w:cs="宋体"/>
          <w:b/>
          <w:bCs/>
          <w:sz w:val="24"/>
          <w:szCs w:val="24"/>
          <w:highlight w:val="none"/>
        </w:rPr>
        <w:t>8.  合同款支付</w:t>
      </w:r>
    </w:p>
    <w:p w14:paraId="4770ACCD">
      <w:pPr>
        <w:tabs>
          <w:tab w:val="left" w:pos="5145"/>
          <w:tab w:val="left" w:pos="5355"/>
          <w:tab w:val="left" w:pos="6195"/>
        </w:tabs>
        <w:spacing w:line="520" w:lineRule="exact"/>
        <w:ind w:firstLine="480" w:firstLineChars="200"/>
        <w:rPr>
          <w:rFonts w:ascii="宋体" w:hAnsi="宋体" w:eastAsia="宋体" w:cs="宋体"/>
          <w:bCs/>
          <w:sz w:val="24"/>
          <w:szCs w:val="24"/>
          <w:highlight w:val="none"/>
          <w:u w:val="single"/>
        </w:rPr>
      </w:pPr>
      <w:r>
        <w:rPr>
          <w:rFonts w:hint="eastAsia" w:ascii="宋体" w:hAnsi="宋体" w:eastAsia="宋体" w:cs="宋体"/>
          <w:bCs/>
          <w:sz w:val="24"/>
          <w:szCs w:val="24"/>
          <w:highlight w:val="none"/>
        </w:rPr>
        <w:t>8.1 付款方式：    。</w:t>
      </w:r>
    </w:p>
    <w:p w14:paraId="3C6A7B6E">
      <w:pPr>
        <w:tabs>
          <w:tab w:val="left" w:pos="5145"/>
          <w:tab w:val="left" w:pos="5355"/>
          <w:tab w:val="left" w:pos="6195"/>
        </w:tabs>
        <w:spacing w:line="520" w:lineRule="exact"/>
        <w:ind w:firstLine="480" w:firstLineChars="200"/>
        <w:rPr>
          <w:rFonts w:ascii="宋体" w:hAnsi="宋体" w:eastAsia="宋体" w:cs="宋体"/>
          <w:bCs/>
          <w:sz w:val="24"/>
          <w:szCs w:val="24"/>
          <w:highlight w:val="none"/>
          <w:u w:val="single"/>
        </w:rPr>
      </w:pPr>
      <w:r>
        <w:rPr>
          <w:rFonts w:hint="eastAsia" w:ascii="宋体" w:hAnsi="宋体" w:eastAsia="宋体" w:cs="宋体"/>
          <w:sz w:val="24"/>
          <w:szCs w:val="24"/>
          <w:highlight w:val="none"/>
        </w:rPr>
        <w:t>8.2 付款流程：甲方在上述规定时间内向财政部门提交付款申请，财政部门受理后则视为甲方已向乙方进行支付合同款项。</w:t>
      </w:r>
    </w:p>
    <w:p w14:paraId="2A8707CE">
      <w:pPr>
        <w:tabs>
          <w:tab w:val="left" w:pos="5145"/>
          <w:tab w:val="left" w:pos="5355"/>
          <w:tab w:val="left" w:pos="6195"/>
        </w:tabs>
        <w:spacing w:line="520" w:lineRule="exact"/>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8.3 政府采购过程中，如采购人、供应商或采购代理机构存在违法行为，政府采购监督管理部门可视情况书面通知采购人暂停采购活动，并延期支付合同款。</w:t>
      </w:r>
    </w:p>
    <w:p w14:paraId="66AFF739">
      <w:pPr>
        <w:spacing w:line="520" w:lineRule="exact"/>
        <w:rPr>
          <w:rFonts w:ascii="宋体" w:hAnsi="宋体" w:eastAsia="宋体" w:cs="宋体"/>
          <w:b/>
          <w:bCs/>
          <w:sz w:val="24"/>
          <w:szCs w:val="24"/>
          <w:highlight w:val="none"/>
        </w:rPr>
      </w:pPr>
      <w:r>
        <w:rPr>
          <w:rFonts w:hint="eastAsia" w:ascii="宋体" w:hAnsi="宋体" w:eastAsia="宋体" w:cs="宋体"/>
          <w:b/>
          <w:bCs/>
          <w:sz w:val="24"/>
          <w:szCs w:val="24"/>
          <w:highlight w:val="none"/>
        </w:rPr>
        <w:t>9.  售后运维服务要求</w:t>
      </w:r>
    </w:p>
    <w:p w14:paraId="6227D292">
      <w:pPr>
        <w:spacing w:line="520" w:lineRule="exact"/>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9.1 乙方提供服务的质量保证期为：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（自提交服务验收合格之日起计）</w:t>
      </w:r>
    </w:p>
    <w:p w14:paraId="14DD0E82">
      <w:pPr>
        <w:spacing w:line="520" w:lineRule="exact"/>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9.2在本合同第9.1项约定的质量保证期内，乙方应对服务出现的问题负责处理解决并承担一切费用。</w:t>
      </w:r>
    </w:p>
    <w:p w14:paraId="1323B43F">
      <w:pPr>
        <w:tabs>
          <w:tab w:val="left" w:pos="5250"/>
        </w:tabs>
        <w:spacing w:line="520" w:lineRule="exact"/>
        <w:ind w:firstLine="480" w:firstLineChars="200"/>
        <w:rPr>
          <w:rFonts w:ascii="宋体" w:hAnsi="宋体" w:eastAsia="宋体" w:cs="宋体"/>
          <w:sz w:val="24"/>
          <w:szCs w:val="24"/>
          <w:highlight w:val="none"/>
          <w:u w:val="single"/>
        </w:rPr>
      </w:pPr>
      <w:r>
        <w:rPr>
          <w:rFonts w:hint="eastAsia" w:ascii="宋体" w:hAnsi="宋体" w:eastAsia="宋体" w:cs="宋体"/>
          <w:sz w:val="24"/>
          <w:szCs w:val="24"/>
          <w:highlight w:val="none"/>
        </w:rPr>
        <w:t>9.3 其他售后运维服务要求：</w:t>
      </w:r>
      <w:r>
        <w:rPr>
          <w:rFonts w:hint="eastAsia" w:ascii="宋体" w:hAnsi="宋体" w:eastAsia="宋体" w:cs="宋体"/>
          <w:sz w:val="24"/>
          <w:szCs w:val="24"/>
          <w:highlight w:val="none"/>
          <w:u w:val="single"/>
        </w:rPr>
        <w:t xml:space="preserve">                         。</w:t>
      </w:r>
    </w:p>
    <w:p w14:paraId="2551D979">
      <w:pPr>
        <w:spacing w:line="520" w:lineRule="exact"/>
        <w:rPr>
          <w:rFonts w:ascii="宋体" w:hAnsi="宋体" w:eastAsia="宋体" w:cs="宋体"/>
          <w:b/>
          <w:bCs/>
          <w:sz w:val="24"/>
          <w:szCs w:val="24"/>
          <w:highlight w:val="none"/>
        </w:rPr>
      </w:pPr>
      <w:r>
        <w:rPr>
          <w:rFonts w:hint="eastAsia" w:ascii="宋体" w:hAnsi="宋体" w:eastAsia="宋体" w:cs="宋体"/>
          <w:b/>
          <w:bCs/>
          <w:sz w:val="24"/>
          <w:szCs w:val="24"/>
          <w:highlight w:val="none"/>
        </w:rPr>
        <w:t>10.  违约责任</w:t>
      </w:r>
    </w:p>
    <w:p w14:paraId="2CB7A72E">
      <w:pPr>
        <w:spacing w:line="520" w:lineRule="exact"/>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10.1 甲方无正当理由拒收服务的，甲方向乙方偿付拒收服务费总值的违约金。</w:t>
      </w:r>
    </w:p>
    <w:p w14:paraId="301B48D8">
      <w:pPr>
        <w:spacing w:line="520" w:lineRule="exact"/>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10.2 甲方无故逾期验收或办理合同款支付手续的，甲方应按逾期付款总额每日向乙方支付违约金。</w:t>
      </w:r>
    </w:p>
    <w:p w14:paraId="5D0C6ECC">
      <w:pPr>
        <w:spacing w:line="520" w:lineRule="exact"/>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10.3 乙方逾期交付服务的，乙方应按逾期提供服务总额每日向甲方支付违约金，由甲方从待付服务费中扣除。逾期超过约定日期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个工作日不能提供服务的，甲方可解除本合同。乙方因逾期提供服务或因其他违约行为导致甲方解除合同的，乙方应向甲方支付合同总值的违约金，如造成甲方损失超过违约金的，超出部分由乙方继续承担赔偿责任。</w:t>
      </w:r>
    </w:p>
    <w:p w14:paraId="50CC5AE8">
      <w:pPr>
        <w:spacing w:line="520" w:lineRule="exact"/>
        <w:rPr>
          <w:rFonts w:ascii="宋体" w:hAnsi="宋体" w:eastAsia="宋体" w:cs="宋体"/>
          <w:b/>
          <w:bCs/>
          <w:sz w:val="24"/>
          <w:szCs w:val="24"/>
          <w:highlight w:val="none"/>
        </w:rPr>
      </w:pPr>
      <w:r>
        <w:rPr>
          <w:rFonts w:hint="eastAsia" w:ascii="宋体" w:hAnsi="宋体" w:eastAsia="宋体" w:cs="宋体"/>
          <w:b/>
          <w:bCs/>
          <w:sz w:val="24"/>
          <w:szCs w:val="24"/>
          <w:highlight w:val="none"/>
        </w:rPr>
        <w:t>11.  不可抗力事件处理</w:t>
      </w:r>
    </w:p>
    <w:p w14:paraId="3DB95054">
      <w:pPr>
        <w:spacing w:line="520" w:lineRule="exact"/>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11.1 在合同有效期内，任何一方因不可抗力事件导致不能履行合同，则合同履行期可延长，其延长期与不可抗力影响期相同。</w:t>
      </w:r>
    </w:p>
    <w:p w14:paraId="5842FEE8">
      <w:pPr>
        <w:spacing w:line="520" w:lineRule="exact"/>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11.2 不可抗力事件发生后，应立即通知对方，并寄送有关权威机构出具的证明。</w:t>
      </w:r>
    </w:p>
    <w:p w14:paraId="6E38DEDA">
      <w:pPr>
        <w:spacing w:line="520" w:lineRule="exact"/>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11.3 不可抗力事件延续120天以上，双方应通过友好协商，确定是否继续履行合同。</w:t>
      </w:r>
    </w:p>
    <w:p w14:paraId="524D4A9D">
      <w:pPr>
        <w:spacing w:line="520" w:lineRule="exact"/>
        <w:rPr>
          <w:rFonts w:ascii="宋体" w:hAnsi="宋体" w:eastAsia="宋体" w:cs="宋体"/>
          <w:b/>
          <w:bCs/>
          <w:sz w:val="24"/>
          <w:szCs w:val="24"/>
          <w:highlight w:val="none"/>
        </w:rPr>
      </w:pPr>
      <w:r>
        <w:rPr>
          <w:rFonts w:hint="eastAsia" w:ascii="宋体" w:hAnsi="宋体" w:eastAsia="宋体" w:cs="宋体"/>
          <w:b/>
          <w:bCs/>
          <w:sz w:val="24"/>
          <w:szCs w:val="24"/>
          <w:highlight w:val="none"/>
        </w:rPr>
        <w:t>12.  诉讼</w:t>
      </w:r>
    </w:p>
    <w:p w14:paraId="11F064B7">
      <w:pPr>
        <w:tabs>
          <w:tab w:val="left" w:pos="0"/>
        </w:tabs>
        <w:spacing w:line="520" w:lineRule="exact"/>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12.1 双方在执行合同中所发生的一切争议，应通过协商解决。如协商不成，可向合同签订的法院起诉，合同签订地在此约定为保山市隆阳区。</w:t>
      </w:r>
    </w:p>
    <w:p w14:paraId="0D1E0D1A">
      <w:pPr>
        <w:spacing w:line="520" w:lineRule="exact"/>
        <w:rPr>
          <w:rFonts w:ascii="宋体" w:hAnsi="宋体" w:eastAsia="宋体" w:cs="宋体"/>
          <w:b/>
          <w:bCs/>
          <w:sz w:val="24"/>
          <w:szCs w:val="24"/>
          <w:highlight w:val="none"/>
        </w:rPr>
      </w:pPr>
      <w:r>
        <w:rPr>
          <w:rFonts w:hint="eastAsia" w:ascii="宋体" w:hAnsi="宋体" w:eastAsia="宋体" w:cs="宋体"/>
          <w:b/>
          <w:bCs/>
          <w:sz w:val="24"/>
          <w:szCs w:val="24"/>
          <w:highlight w:val="none"/>
        </w:rPr>
        <w:t>13.  合同生效及其他</w:t>
      </w:r>
    </w:p>
    <w:p w14:paraId="78117866">
      <w:pPr>
        <w:spacing w:line="520" w:lineRule="exact"/>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13.1 合同经双方法定代表人或授权委托代理人签字并加盖单位公章后生效。</w:t>
      </w:r>
    </w:p>
    <w:p w14:paraId="2098AE05">
      <w:pPr>
        <w:spacing w:line="520" w:lineRule="exact"/>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13.2 合同执行中涉及采购资金和采购内容修改或补充的，须经本级财政部门审批，并签订书面补充协议报政府采购监督管理部门备案，方可作为主合同不可分割的一部分。</w:t>
      </w:r>
    </w:p>
    <w:p w14:paraId="51DFC60D">
      <w:pPr>
        <w:spacing w:line="520" w:lineRule="exact"/>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13.3 下述合同附件为本合同不可分割的部分并与本合同具有同等效力：</w:t>
      </w:r>
    </w:p>
    <w:p w14:paraId="198E36B7">
      <w:pPr>
        <w:spacing w:line="520" w:lineRule="exact"/>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（1）中标通知书；</w:t>
      </w:r>
    </w:p>
    <w:p w14:paraId="7CF2226E">
      <w:pPr>
        <w:spacing w:line="520" w:lineRule="exact"/>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（2）采购需求；</w:t>
      </w:r>
    </w:p>
    <w:p w14:paraId="7C040622">
      <w:pPr>
        <w:spacing w:line="520" w:lineRule="exact"/>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（3）文件的澄清和修改；</w:t>
      </w:r>
    </w:p>
    <w:p w14:paraId="03CC0446">
      <w:pPr>
        <w:spacing w:line="520" w:lineRule="exact"/>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（4）投标文件；</w:t>
      </w:r>
    </w:p>
    <w:p w14:paraId="16660AE9">
      <w:pPr>
        <w:spacing w:line="520" w:lineRule="exact"/>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（5）相关技术资料表、商务条款偏离表；</w:t>
      </w:r>
    </w:p>
    <w:p w14:paraId="79EE389B">
      <w:pPr>
        <w:spacing w:line="520" w:lineRule="exact"/>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（6）中标人澄清函（如有）；</w:t>
      </w:r>
    </w:p>
    <w:p w14:paraId="27ED783B">
      <w:pPr>
        <w:spacing w:line="520" w:lineRule="exact"/>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（7）其他与本合同相关的资料。</w:t>
      </w:r>
    </w:p>
    <w:p w14:paraId="54C36736">
      <w:pPr>
        <w:spacing w:line="520" w:lineRule="exact"/>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13.4 本合同未尽事宜，遵照《中华人民共和国民法典》有关条文执行。</w:t>
      </w:r>
    </w:p>
    <w:p w14:paraId="26CB14FC">
      <w:pPr>
        <w:spacing w:line="520" w:lineRule="exact"/>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13.5本合同一式陆份，具有同等法律效力，甲方肆份，乙方贰份，政府采购监督管理部门一份，由采购人自合同签订之日起三个工作日内报本级政府采购监督管理部门备案。</w:t>
      </w:r>
    </w:p>
    <w:p w14:paraId="51D3001F">
      <w:pPr>
        <w:spacing w:line="520" w:lineRule="exact"/>
        <w:ind w:firstLine="360"/>
        <w:rPr>
          <w:rFonts w:ascii="宋体" w:hAnsi="宋体" w:eastAsia="宋体" w:cs="宋体"/>
          <w:sz w:val="24"/>
          <w:szCs w:val="24"/>
          <w:highlight w:val="none"/>
        </w:rPr>
      </w:pPr>
    </w:p>
    <w:p w14:paraId="6D5FC63E">
      <w:pPr>
        <w:spacing w:line="520" w:lineRule="exact"/>
        <w:rPr>
          <w:rFonts w:ascii="宋体" w:hAnsi="宋体" w:eastAsia="宋体" w:cs="宋体"/>
          <w:b/>
          <w:sz w:val="24"/>
          <w:szCs w:val="24"/>
          <w:highlight w:val="none"/>
        </w:rPr>
      </w:pPr>
      <w:r>
        <w:rPr>
          <w:rFonts w:hint="eastAsia" w:ascii="宋体" w:hAnsi="宋体" w:eastAsia="宋体" w:cs="宋体"/>
          <w:b/>
          <w:sz w:val="24"/>
          <w:szCs w:val="24"/>
          <w:highlight w:val="none"/>
        </w:rPr>
        <w:t>注：1、本合同书仅供签订正式合同时参考使用，正式合同书应包括此参考格式之内容。</w:t>
      </w:r>
    </w:p>
    <w:p w14:paraId="4F91DA2D">
      <w:pPr>
        <w:spacing w:line="520" w:lineRule="exact"/>
        <w:ind w:firstLine="480"/>
        <w:rPr>
          <w:rFonts w:ascii="宋体" w:hAnsi="宋体" w:eastAsia="宋体" w:cs="宋体"/>
          <w:sz w:val="24"/>
          <w:szCs w:val="24"/>
          <w:highlight w:val="none"/>
        </w:rPr>
      </w:pPr>
      <w:r>
        <w:rPr>
          <w:rFonts w:hint="eastAsia" w:ascii="宋体" w:hAnsi="宋体" w:eastAsia="宋体" w:cs="宋体"/>
          <w:b/>
          <w:sz w:val="24"/>
          <w:szCs w:val="24"/>
          <w:highlight w:val="none"/>
        </w:rPr>
        <w:t>2、合同签订双方可根据项目的具体要求进行修订，但合同条款不得与采购文件和中标人递交的投标文件有实质性偏离。</w:t>
      </w:r>
      <w:r>
        <w:rPr>
          <w:rFonts w:hint="eastAsia" w:ascii="宋体" w:hAnsi="宋体" w:eastAsia="宋体" w:cs="宋体"/>
          <w:sz w:val="24"/>
          <w:szCs w:val="24"/>
          <w:highlight w:val="none"/>
        </w:rPr>
        <w:br w:type="page"/>
      </w:r>
    </w:p>
    <w:p w14:paraId="3B941352">
      <w:pPr>
        <w:spacing w:line="520" w:lineRule="exact"/>
        <w:ind w:firstLine="480"/>
        <w:rPr>
          <w:rFonts w:ascii="宋体" w:hAnsi="宋体" w:eastAsia="宋体" w:cs="宋体"/>
          <w:szCs w:val="21"/>
          <w:highlight w:val="none"/>
        </w:rPr>
      </w:pPr>
    </w:p>
    <w:tbl>
      <w:tblPr>
        <w:tblStyle w:val="27"/>
        <w:tblW w:w="9704" w:type="dxa"/>
        <w:jc w:val="center"/>
        <w:tblCellSpacing w:w="0" w:type="dxa"/>
        <w:tblLayout w:type="fixed"/>
        <w:tblCellMar>
          <w:top w:w="0" w:type="dxa"/>
          <w:left w:w="0" w:type="dxa"/>
          <w:bottom w:w="0" w:type="dxa"/>
          <w:right w:w="0" w:type="dxa"/>
        </w:tblCellMar>
      </w:tblPr>
      <w:tblGrid>
        <w:gridCol w:w="1650"/>
        <w:gridCol w:w="8054"/>
      </w:tblGrid>
      <w:tr w14:paraId="1F65B373">
        <w:tblPrEx>
          <w:tblCellMar>
            <w:top w:w="0" w:type="dxa"/>
            <w:left w:w="0" w:type="dxa"/>
            <w:bottom w:w="0" w:type="dxa"/>
            <w:right w:w="0" w:type="dxa"/>
          </w:tblCellMar>
        </w:tblPrEx>
        <w:trPr>
          <w:tblCellSpacing w:w="0" w:type="dxa"/>
          <w:jc w:val="center"/>
        </w:trPr>
        <w:tc>
          <w:tcPr>
            <w:tcW w:w="9704" w:type="dxa"/>
            <w:gridSpan w:val="2"/>
            <w:vAlign w:val="center"/>
          </w:tcPr>
          <w:p w14:paraId="62A8FBB4">
            <w:pPr>
              <w:widowControl/>
              <w:spacing w:after="240"/>
              <w:jc w:val="left"/>
              <w:rPr>
                <w:rFonts w:ascii="宋体" w:hAnsi="宋体" w:eastAsia="宋体" w:cs="宋体"/>
                <w:sz w:val="24"/>
                <w:szCs w:val="24"/>
                <w:highlight w:val="none"/>
              </w:rPr>
            </w:pPr>
          </w:p>
          <w:p w14:paraId="22F7C725">
            <w:pPr>
              <w:widowControl/>
              <w:spacing w:after="240"/>
              <w:jc w:val="left"/>
              <w:rPr>
                <w:rFonts w:ascii="宋体" w:hAnsi="宋体" w:eastAsia="宋体" w:cs="宋体"/>
                <w:sz w:val="24"/>
                <w:szCs w:val="24"/>
                <w:highlight w:val="none"/>
              </w:rPr>
            </w:pPr>
            <w:r>
              <w:rPr>
                <w:rFonts w:hint="eastAsia" w:ascii="宋体" w:hAnsi="宋体" w:eastAsia="宋体" w:cs="宋体"/>
                <w:sz w:val="24"/>
                <w:szCs w:val="24"/>
                <w:highlight w:val="none"/>
              </w:rPr>
              <w:t>甲方（采购人公章）名 称：保山市人民医院</w:t>
            </w:r>
          </w:p>
        </w:tc>
      </w:tr>
      <w:tr w14:paraId="324EBC6D">
        <w:tblPrEx>
          <w:tblCellMar>
            <w:top w:w="0" w:type="dxa"/>
            <w:left w:w="0" w:type="dxa"/>
            <w:bottom w:w="0" w:type="dxa"/>
            <w:right w:w="0" w:type="dxa"/>
          </w:tblCellMar>
        </w:tblPrEx>
        <w:trPr>
          <w:tblCellSpacing w:w="0" w:type="dxa"/>
          <w:jc w:val="center"/>
        </w:trPr>
        <w:tc>
          <w:tcPr>
            <w:tcW w:w="1650" w:type="dxa"/>
            <w:vAlign w:val="center"/>
          </w:tcPr>
          <w:p w14:paraId="0A0AE728">
            <w:pPr>
              <w:widowControl/>
              <w:jc w:val="left"/>
              <w:rPr>
                <w:rFonts w:ascii="宋体" w:hAnsi="宋体" w:eastAsia="宋体" w:cs="宋体"/>
                <w:sz w:val="24"/>
                <w:szCs w:val="24"/>
                <w:highlight w:val="none"/>
              </w:rPr>
            </w:pPr>
          </w:p>
        </w:tc>
        <w:tc>
          <w:tcPr>
            <w:tcW w:w="8054" w:type="dxa"/>
            <w:vAlign w:val="center"/>
          </w:tcPr>
          <w:p w14:paraId="4CB2E1D2">
            <w:pPr>
              <w:widowControl/>
              <w:spacing w:after="240"/>
              <w:jc w:val="left"/>
              <w:rPr>
                <w:rFonts w:ascii="宋体" w:hAnsi="宋体" w:eastAsia="宋体" w:cs="宋体"/>
                <w:sz w:val="24"/>
                <w:szCs w:val="24"/>
                <w:highlight w:val="none"/>
              </w:rPr>
            </w:pPr>
            <w:r>
              <w:rPr>
                <w:rFonts w:hint="eastAsia" w:ascii="宋体" w:hAnsi="宋体" w:eastAsia="宋体" w:cs="宋体"/>
                <w:sz w:val="24"/>
                <w:szCs w:val="24"/>
                <w:highlight w:val="none"/>
              </w:rPr>
              <w:t>地 址：</w:t>
            </w:r>
          </w:p>
        </w:tc>
      </w:tr>
      <w:tr w14:paraId="2B60D832">
        <w:tblPrEx>
          <w:tblCellMar>
            <w:top w:w="0" w:type="dxa"/>
            <w:left w:w="0" w:type="dxa"/>
            <w:bottom w:w="0" w:type="dxa"/>
            <w:right w:w="0" w:type="dxa"/>
          </w:tblCellMar>
        </w:tblPrEx>
        <w:trPr>
          <w:tblCellSpacing w:w="0" w:type="dxa"/>
          <w:jc w:val="center"/>
        </w:trPr>
        <w:tc>
          <w:tcPr>
            <w:tcW w:w="1650" w:type="dxa"/>
            <w:vAlign w:val="center"/>
          </w:tcPr>
          <w:p w14:paraId="11B981DC">
            <w:pPr>
              <w:widowControl/>
              <w:jc w:val="left"/>
              <w:rPr>
                <w:rFonts w:ascii="宋体" w:hAnsi="宋体" w:eastAsia="宋体" w:cs="宋体"/>
                <w:sz w:val="24"/>
                <w:szCs w:val="24"/>
                <w:highlight w:val="none"/>
              </w:rPr>
            </w:pPr>
          </w:p>
        </w:tc>
        <w:tc>
          <w:tcPr>
            <w:tcW w:w="8054" w:type="dxa"/>
            <w:vAlign w:val="center"/>
          </w:tcPr>
          <w:p w14:paraId="5BEE3596">
            <w:pPr>
              <w:widowControl/>
              <w:spacing w:after="240"/>
              <w:jc w:val="left"/>
              <w:rPr>
                <w:rFonts w:ascii="宋体" w:hAnsi="宋体" w:eastAsia="宋体" w:cs="宋体"/>
                <w:sz w:val="24"/>
                <w:szCs w:val="24"/>
                <w:highlight w:val="none"/>
              </w:rPr>
            </w:pPr>
            <w:r>
              <w:rPr>
                <w:rFonts w:hint="eastAsia" w:ascii="宋体" w:hAnsi="宋体" w:eastAsia="宋体" w:cs="宋体"/>
                <w:sz w:val="24"/>
                <w:szCs w:val="24"/>
                <w:highlight w:val="none"/>
              </w:rPr>
              <w:t>邮 编：</w:t>
            </w:r>
          </w:p>
        </w:tc>
      </w:tr>
      <w:tr w14:paraId="64C816F2">
        <w:tblPrEx>
          <w:tblCellMar>
            <w:top w:w="0" w:type="dxa"/>
            <w:left w:w="0" w:type="dxa"/>
            <w:bottom w:w="0" w:type="dxa"/>
            <w:right w:w="0" w:type="dxa"/>
          </w:tblCellMar>
        </w:tblPrEx>
        <w:trPr>
          <w:tblCellSpacing w:w="0" w:type="dxa"/>
          <w:jc w:val="center"/>
        </w:trPr>
        <w:tc>
          <w:tcPr>
            <w:tcW w:w="1650" w:type="dxa"/>
            <w:vAlign w:val="center"/>
          </w:tcPr>
          <w:p w14:paraId="3BAFDBA1">
            <w:pPr>
              <w:widowControl/>
              <w:jc w:val="left"/>
              <w:rPr>
                <w:rFonts w:ascii="宋体" w:hAnsi="宋体" w:eastAsia="宋体" w:cs="宋体"/>
                <w:sz w:val="24"/>
                <w:szCs w:val="24"/>
                <w:highlight w:val="none"/>
              </w:rPr>
            </w:pPr>
          </w:p>
        </w:tc>
        <w:tc>
          <w:tcPr>
            <w:tcW w:w="8054" w:type="dxa"/>
            <w:vAlign w:val="center"/>
          </w:tcPr>
          <w:p w14:paraId="725115AA">
            <w:pPr>
              <w:widowControl/>
              <w:spacing w:after="240"/>
              <w:jc w:val="left"/>
              <w:rPr>
                <w:rFonts w:ascii="宋体" w:hAnsi="宋体" w:eastAsia="宋体" w:cs="宋体"/>
                <w:sz w:val="24"/>
                <w:szCs w:val="24"/>
                <w:highlight w:val="none"/>
              </w:rPr>
            </w:pPr>
            <w:r>
              <w:rPr>
                <w:rFonts w:hint="eastAsia" w:ascii="宋体" w:hAnsi="宋体" w:eastAsia="宋体" w:cs="宋体"/>
                <w:sz w:val="24"/>
                <w:szCs w:val="24"/>
                <w:highlight w:val="none"/>
              </w:rPr>
              <w:t>法定代表人（负责人）或委托代理人：</w:t>
            </w:r>
          </w:p>
        </w:tc>
      </w:tr>
      <w:tr w14:paraId="0C13E45D">
        <w:tblPrEx>
          <w:tblCellMar>
            <w:top w:w="0" w:type="dxa"/>
            <w:left w:w="0" w:type="dxa"/>
            <w:bottom w:w="0" w:type="dxa"/>
            <w:right w:w="0" w:type="dxa"/>
          </w:tblCellMar>
        </w:tblPrEx>
        <w:trPr>
          <w:tblCellSpacing w:w="0" w:type="dxa"/>
          <w:jc w:val="center"/>
        </w:trPr>
        <w:tc>
          <w:tcPr>
            <w:tcW w:w="1650" w:type="dxa"/>
            <w:vAlign w:val="center"/>
          </w:tcPr>
          <w:p w14:paraId="4220258D">
            <w:pPr>
              <w:widowControl/>
              <w:jc w:val="left"/>
              <w:rPr>
                <w:rFonts w:ascii="宋体" w:hAnsi="宋体" w:eastAsia="宋体" w:cs="宋体"/>
                <w:sz w:val="24"/>
                <w:szCs w:val="24"/>
                <w:highlight w:val="none"/>
              </w:rPr>
            </w:pPr>
          </w:p>
        </w:tc>
        <w:tc>
          <w:tcPr>
            <w:tcW w:w="8054" w:type="dxa"/>
            <w:vAlign w:val="center"/>
          </w:tcPr>
          <w:p w14:paraId="00C29764">
            <w:pPr>
              <w:widowControl/>
              <w:spacing w:after="240"/>
              <w:jc w:val="left"/>
              <w:rPr>
                <w:rFonts w:ascii="宋体" w:hAnsi="宋体" w:eastAsia="宋体" w:cs="宋体"/>
                <w:sz w:val="24"/>
                <w:szCs w:val="24"/>
                <w:highlight w:val="none"/>
              </w:rPr>
            </w:pPr>
            <w:r>
              <w:rPr>
                <w:rFonts w:hint="eastAsia" w:ascii="宋体" w:hAnsi="宋体" w:eastAsia="宋体" w:cs="宋体"/>
                <w:sz w:val="24"/>
                <w:szCs w:val="24"/>
                <w:highlight w:val="none"/>
              </w:rPr>
              <w:t>联系人：</w:t>
            </w:r>
          </w:p>
        </w:tc>
      </w:tr>
      <w:tr w14:paraId="39EB9FD3">
        <w:tblPrEx>
          <w:tblCellMar>
            <w:top w:w="0" w:type="dxa"/>
            <w:left w:w="0" w:type="dxa"/>
            <w:bottom w:w="0" w:type="dxa"/>
            <w:right w:w="0" w:type="dxa"/>
          </w:tblCellMar>
        </w:tblPrEx>
        <w:trPr>
          <w:tblCellSpacing w:w="0" w:type="dxa"/>
          <w:jc w:val="center"/>
        </w:trPr>
        <w:tc>
          <w:tcPr>
            <w:tcW w:w="1650" w:type="dxa"/>
            <w:vAlign w:val="center"/>
          </w:tcPr>
          <w:p w14:paraId="29EFEB21">
            <w:pPr>
              <w:widowControl/>
              <w:jc w:val="left"/>
              <w:rPr>
                <w:rFonts w:ascii="宋体" w:hAnsi="宋体" w:eastAsia="宋体" w:cs="宋体"/>
                <w:sz w:val="24"/>
                <w:szCs w:val="24"/>
                <w:highlight w:val="none"/>
              </w:rPr>
            </w:pPr>
          </w:p>
        </w:tc>
        <w:tc>
          <w:tcPr>
            <w:tcW w:w="8054" w:type="dxa"/>
            <w:vAlign w:val="center"/>
          </w:tcPr>
          <w:p w14:paraId="2AA7BA71">
            <w:pPr>
              <w:widowControl/>
              <w:spacing w:after="240"/>
              <w:jc w:val="left"/>
              <w:rPr>
                <w:rFonts w:ascii="宋体" w:hAnsi="宋体" w:eastAsia="宋体" w:cs="宋体"/>
                <w:sz w:val="24"/>
                <w:szCs w:val="24"/>
                <w:highlight w:val="none"/>
              </w:rPr>
            </w:pPr>
            <w:r>
              <w:rPr>
                <w:rFonts w:hint="eastAsia" w:ascii="宋体" w:hAnsi="宋体" w:eastAsia="宋体" w:cs="宋体"/>
                <w:sz w:val="24"/>
                <w:szCs w:val="24"/>
                <w:highlight w:val="none"/>
              </w:rPr>
              <w:t>电 话：</w:t>
            </w:r>
          </w:p>
        </w:tc>
      </w:tr>
      <w:tr w14:paraId="1EF92D5B">
        <w:tblPrEx>
          <w:tblCellMar>
            <w:top w:w="0" w:type="dxa"/>
            <w:left w:w="0" w:type="dxa"/>
            <w:bottom w:w="0" w:type="dxa"/>
            <w:right w:w="0" w:type="dxa"/>
          </w:tblCellMar>
        </w:tblPrEx>
        <w:trPr>
          <w:trHeight w:val="673" w:hRule="atLeast"/>
          <w:tblCellSpacing w:w="0" w:type="dxa"/>
          <w:jc w:val="center"/>
        </w:trPr>
        <w:tc>
          <w:tcPr>
            <w:tcW w:w="1650" w:type="dxa"/>
            <w:vAlign w:val="center"/>
          </w:tcPr>
          <w:p w14:paraId="0B7403AA">
            <w:pPr>
              <w:widowControl/>
              <w:jc w:val="left"/>
              <w:rPr>
                <w:rFonts w:ascii="宋体" w:hAnsi="宋体" w:eastAsia="宋体" w:cs="宋体"/>
                <w:sz w:val="24"/>
                <w:szCs w:val="24"/>
                <w:highlight w:val="none"/>
              </w:rPr>
            </w:pPr>
          </w:p>
        </w:tc>
        <w:tc>
          <w:tcPr>
            <w:tcW w:w="8054" w:type="dxa"/>
            <w:vAlign w:val="center"/>
          </w:tcPr>
          <w:p w14:paraId="2BEC3264">
            <w:pPr>
              <w:widowControl/>
              <w:spacing w:after="240"/>
              <w:jc w:val="left"/>
              <w:rPr>
                <w:rFonts w:ascii="宋体" w:hAnsi="宋体" w:eastAsia="宋体" w:cs="宋体"/>
                <w:sz w:val="24"/>
                <w:szCs w:val="24"/>
                <w:highlight w:val="none"/>
              </w:rPr>
            </w:pPr>
            <w:r>
              <w:rPr>
                <w:rFonts w:hint="eastAsia" w:ascii="宋体" w:hAnsi="宋体" w:eastAsia="宋体" w:cs="宋体"/>
                <w:sz w:val="24"/>
                <w:szCs w:val="24"/>
                <w:highlight w:val="none"/>
              </w:rPr>
              <w:t>签订日期：</w:t>
            </w:r>
          </w:p>
        </w:tc>
      </w:tr>
      <w:tr w14:paraId="1A42E554">
        <w:tblPrEx>
          <w:tblCellMar>
            <w:top w:w="0" w:type="dxa"/>
            <w:left w:w="0" w:type="dxa"/>
            <w:bottom w:w="0" w:type="dxa"/>
            <w:right w:w="0" w:type="dxa"/>
          </w:tblCellMar>
        </w:tblPrEx>
        <w:trPr>
          <w:tblCellSpacing w:w="0" w:type="dxa"/>
          <w:jc w:val="center"/>
        </w:trPr>
        <w:tc>
          <w:tcPr>
            <w:tcW w:w="9704" w:type="dxa"/>
            <w:gridSpan w:val="2"/>
            <w:vAlign w:val="center"/>
          </w:tcPr>
          <w:p w14:paraId="7602131E">
            <w:pPr>
              <w:widowControl/>
              <w:spacing w:after="240"/>
              <w:jc w:val="left"/>
              <w:rPr>
                <w:rFonts w:ascii="宋体" w:hAnsi="宋体" w:eastAsia="宋体" w:cs="宋体"/>
                <w:sz w:val="24"/>
                <w:szCs w:val="24"/>
                <w:highlight w:val="none"/>
              </w:rPr>
            </w:pPr>
            <w:r>
              <w:rPr>
                <w:rFonts w:hint="eastAsia" w:ascii="宋体" w:hAnsi="宋体" w:eastAsia="宋体" w:cs="宋体"/>
                <w:sz w:val="24"/>
                <w:szCs w:val="24"/>
                <w:highlight w:val="none"/>
              </w:rPr>
              <w:t xml:space="preserve">乙方（中标人公章）名 称： </w:t>
            </w:r>
          </w:p>
        </w:tc>
      </w:tr>
      <w:tr w14:paraId="380FACDA">
        <w:tblPrEx>
          <w:tblCellMar>
            <w:top w:w="0" w:type="dxa"/>
            <w:left w:w="0" w:type="dxa"/>
            <w:bottom w:w="0" w:type="dxa"/>
            <w:right w:w="0" w:type="dxa"/>
          </w:tblCellMar>
        </w:tblPrEx>
        <w:trPr>
          <w:tblCellSpacing w:w="0" w:type="dxa"/>
          <w:jc w:val="center"/>
        </w:trPr>
        <w:tc>
          <w:tcPr>
            <w:tcW w:w="1650" w:type="dxa"/>
            <w:vAlign w:val="center"/>
          </w:tcPr>
          <w:p w14:paraId="4550F238">
            <w:pPr>
              <w:widowControl/>
              <w:jc w:val="left"/>
              <w:rPr>
                <w:rFonts w:ascii="宋体" w:hAnsi="宋体" w:eastAsia="宋体" w:cs="宋体"/>
                <w:sz w:val="24"/>
                <w:szCs w:val="24"/>
                <w:highlight w:val="none"/>
              </w:rPr>
            </w:pPr>
          </w:p>
        </w:tc>
        <w:tc>
          <w:tcPr>
            <w:tcW w:w="8054" w:type="dxa"/>
            <w:vAlign w:val="center"/>
          </w:tcPr>
          <w:p w14:paraId="56EFBCDC">
            <w:pPr>
              <w:widowControl/>
              <w:spacing w:after="240"/>
              <w:jc w:val="left"/>
              <w:rPr>
                <w:rFonts w:ascii="宋体" w:hAnsi="宋体" w:eastAsia="宋体" w:cs="宋体"/>
                <w:sz w:val="24"/>
                <w:szCs w:val="24"/>
                <w:highlight w:val="none"/>
              </w:rPr>
            </w:pPr>
            <w:r>
              <w:rPr>
                <w:rFonts w:hint="eastAsia" w:ascii="宋体" w:hAnsi="宋体" w:eastAsia="宋体" w:cs="宋体"/>
                <w:sz w:val="24"/>
                <w:szCs w:val="24"/>
                <w:highlight w:val="none"/>
              </w:rPr>
              <w:t>地 址：</w:t>
            </w:r>
          </w:p>
        </w:tc>
      </w:tr>
      <w:tr w14:paraId="347DDA40">
        <w:tblPrEx>
          <w:tblCellMar>
            <w:top w:w="0" w:type="dxa"/>
            <w:left w:w="0" w:type="dxa"/>
            <w:bottom w:w="0" w:type="dxa"/>
            <w:right w:w="0" w:type="dxa"/>
          </w:tblCellMar>
        </w:tblPrEx>
        <w:trPr>
          <w:tblCellSpacing w:w="0" w:type="dxa"/>
          <w:jc w:val="center"/>
        </w:trPr>
        <w:tc>
          <w:tcPr>
            <w:tcW w:w="1650" w:type="dxa"/>
            <w:vAlign w:val="center"/>
          </w:tcPr>
          <w:p w14:paraId="16AED904">
            <w:pPr>
              <w:widowControl/>
              <w:jc w:val="left"/>
              <w:rPr>
                <w:rFonts w:ascii="宋体" w:hAnsi="宋体" w:eastAsia="宋体" w:cs="宋体"/>
                <w:sz w:val="24"/>
                <w:szCs w:val="24"/>
                <w:highlight w:val="none"/>
              </w:rPr>
            </w:pPr>
          </w:p>
        </w:tc>
        <w:tc>
          <w:tcPr>
            <w:tcW w:w="8054" w:type="dxa"/>
            <w:vAlign w:val="center"/>
          </w:tcPr>
          <w:p w14:paraId="56136050">
            <w:pPr>
              <w:widowControl/>
              <w:spacing w:after="240"/>
              <w:jc w:val="left"/>
              <w:rPr>
                <w:rFonts w:ascii="宋体" w:hAnsi="宋体" w:eastAsia="宋体" w:cs="宋体"/>
                <w:sz w:val="24"/>
                <w:szCs w:val="24"/>
                <w:highlight w:val="none"/>
              </w:rPr>
            </w:pPr>
            <w:r>
              <w:rPr>
                <w:rFonts w:hint="eastAsia" w:ascii="宋体" w:hAnsi="宋体" w:eastAsia="宋体" w:cs="宋体"/>
                <w:sz w:val="24"/>
                <w:szCs w:val="24"/>
                <w:highlight w:val="none"/>
              </w:rPr>
              <w:t>邮 编：</w:t>
            </w:r>
          </w:p>
        </w:tc>
      </w:tr>
      <w:tr w14:paraId="685F7C44">
        <w:tblPrEx>
          <w:tblCellMar>
            <w:top w:w="0" w:type="dxa"/>
            <w:left w:w="0" w:type="dxa"/>
            <w:bottom w:w="0" w:type="dxa"/>
            <w:right w:w="0" w:type="dxa"/>
          </w:tblCellMar>
        </w:tblPrEx>
        <w:trPr>
          <w:tblCellSpacing w:w="0" w:type="dxa"/>
          <w:jc w:val="center"/>
        </w:trPr>
        <w:tc>
          <w:tcPr>
            <w:tcW w:w="1650" w:type="dxa"/>
            <w:vAlign w:val="center"/>
          </w:tcPr>
          <w:p w14:paraId="082C5B8D">
            <w:pPr>
              <w:widowControl/>
              <w:jc w:val="left"/>
              <w:rPr>
                <w:rFonts w:ascii="宋体" w:hAnsi="宋体" w:eastAsia="宋体" w:cs="宋体"/>
                <w:sz w:val="24"/>
                <w:szCs w:val="24"/>
                <w:highlight w:val="none"/>
              </w:rPr>
            </w:pPr>
          </w:p>
        </w:tc>
        <w:tc>
          <w:tcPr>
            <w:tcW w:w="8054" w:type="dxa"/>
            <w:vAlign w:val="center"/>
          </w:tcPr>
          <w:p w14:paraId="5475F63F">
            <w:pPr>
              <w:widowControl/>
              <w:spacing w:after="240"/>
              <w:jc w:val="left"/>
              <w:rPr>
                <w:rFonts w:ascii="宋体" w:hAnsi="宋体" w:eastAsia="宋体" w:cs="宋体"/>
                <w:sz w:val="24"/>
                <w:szCs w:val="24"/>
                <w:highlight w:val="none"/>
              </w:rPr>
            </w:pPr>
            <w:r>
              <w:rPr>
                <w:rFonts w:hint="eastAsia" w:ascii="宋体" w:hAnsi="宋体" w:eastAsia="宋体" w:cs="宋体"/>
                <w:sz w:val="24"/>
                <w:szCs w:val="24"/>
                <w:highlight w:val="none"/>
              </w:rPr>
              <w:t>法定代表人（负责人）或委托代理人：</w:t>
            </w:r>
          </w:p>
        </w:tc>
      </w:tr>
      <w:tr w14:paraId="02051B9E">
        <w:tblPrEx>
          <w:tblCellMar>
            <w:top w:w="0" w:type="dxa"/>
            <w:left w:w="0" w:type="dxa"/>
            <w:bottom w:w="0" w:type="dxa"/>
            <w:right w:w="0" w:type="dxa"/>
          </w:tblCellMar>
        </w:tblPrEx>
        <w:trPr>
          <w:tblCellSpacing w:w="0" w:type="dxa"/>
          <w:jc w:val="center"/>
        </w:trPr>
        <w:tc>
          <w:tcPr>
            <w:tcW w:w="1650" w:type="dxa"/>
            <w:vAlign w:val="center"/>
          </w:tcPr>
          <w:p w14:paraId="4A67A253">
            <w:pPr>
              <w:widowControl/>
              <w:jc w:val="left"/>
              <w:rPr>
                <w:rFonts w:ascii="宋体" w:hAnsi="宋体" w:eastAsia="宋体" w:cs="宋体"/>
                <w:sz w:val="24"/>
                <w:szCs w:val="24"/>
                <w:highlight w:val="none"/>
              </w:rPr>
            </w:pPr>
          </w:p>
        </w:tc>
        <w:tc>
          <w:tcPr>
            <w:tcW w:w="8054" w:type="dxa"/>
            <w:vAlign w:val="center"/>
          </w:tcPr>
          <w:p w14:paraId="2DF33DA2">
            <w:pPr>
              <w:widowControl/>
              <w:spacing w:after="240"/>
              <w:jc w:val="left"/>
              <w:rPr>
                <w:rFonts w:ascii="宋体" w:hAnsi="宋体" w:eastAsia="宋体" w:cs="宋体"/>
                <w:sz w:val="24"/>
                <w:szCs w:val="24"/>
                <w:highlight w:val="none"/>
              </w:rPr>
            </w:pPr>
            <w:r>
              <w:rPr>
                <w:rFonts w:hint="eastAsia" w:ascii="宋体" w:hAnsi="宋体" w:eastAsia="宋体" w:cs="宋体"/>
                <w:sz w:val="24"/>
                <w:szCs w:val="24"/>
                <w:highlight w:val="none"/>
              </w:rPr>
              <w:t>项目负责人：</w:t>
            </w:r>
          </w:p>
          <w:p w14:paraId="739C7A89">
            <w:pPr>
              <w:widowControl/>
              <w:spacing w:after="240"/>
              <w:jc w:val="left"/>
              <w:rPr>
                <w:rFonts w:ascii="宋体" w:hAnsi="宋体" w:eastAsia="宋体" w:cs="宋体"/>
                <w:sz w:val="24"/>
                <w:szCs w:val="24"/>
                <w:highlight w:val="none"/>
              </w:rPr>
            </w:pPr>
            <w:r>
              <w:rPr>
                <w:rFonts w:hint="eastAsia" w:ascii="宋体" w:hAnsi="宋体" w:eastAsia="宋体" w:cs="宋体"/>
                <w:sz w:val="24"/>
                <w:szCs w:val="24"/>
                <w:highlight w:val="none"/>
              </w:rPr>
              <w:t>经办人：</w:t>
            </w:r>
          </w:p>
        </w:tc>
      </w:tr>
      <w:tr w14:paraId="703BFC98">
        <w:tblPrEx>
          <w:tblCellMar>
            <w:top w:w="0" w:type="dxa"/>
            <w:left w:w="0" w:type="dxa"/>
            <w:bottom w:w="0" w:type="dxa"/>
            <w:right w:w="0" w:type="dxa"/>
          </w:tblCellMar>
        </w:tblPrEx>
        <w:trPr>
          <w:tblCellSpacing w:w="0" w:type="dxa"/>
          <w:jc w:val="center"/>
        </w:trPr>
        <w:tc>
          <w:tcPr>
            <w:tcW w:w="1650" w:type="dxa"/>
            <w:vAlign w:val="center"/>
          </w:tcPr>
          <w:p w14:paraId="22C4EBB7">
            <w:pPr>
              <w:widowControl/>
              <w:jc w:val="left"/>
              <w:rPr>
                <w:rFonts w:ascii="宋体" w:hAnsi="宋体" w:eastAsia="宋体" w:cs="宋体"/>
                <w:sz w:val="24"/>
                <w:szCs w:val="24"/>
                <w:highlight w:val="none"/>
              </w:rPr>
            </w:pPr>
          </w:p>
        </w:tc>
        <w:tc>
          <w:tcPr>
            <w:tcW w:w="8054" w:type="dxa"/>
            <w:vAlign w:val="center"/>
          </w:tcPr>
          <w:p w14:paraId="339D3666">
            <w:pPr>
              <w:widowControl/>
              <w:spacing w:after="240"/>
              <w:jc w:val="left"/>
              <w:rPr>
                <w:rFonts w:ascii="宋体" w:hAnsi="宋体" w:eastAsia="宋体" w:cs="宋体"/>
                <w:sz w:val="24"/>
                <w:szCs w:val="24"/>
                <w:highlight w:val="none"/>
              </w:rPr>
            </w:pPr>
            <w:r>
              <w:rPr>
                <w:rFonts w:hint="eastAsia" w:ascii="宋体" w:hAnsi="宋体" w:eastAsia="宋体" w:cs="宋体"/>
                <w:sz w:val="24"/>
                <w:szCs w:val="24"/>
                <w:highlight w:val="none"/>
              </w:rPr>
              <w:t>电 话：</w:t>
            </w:r>
          </w:p>
        </w:tc>
      </w:tr>
      <w:tr w14:paraId="1550841B">
        <w:tblPrEx>
          <w:tblCellMar>
            <w:top w:w="0" w:type="dxa"/>
            <w:left w:w="0" w:type="dxa"/>
            <w:bottom w:w="0" w:type="dxa"/>
            <w:right w:w="0" w:type="dxa"/>
          </w:tblCellMar>
        </w:tblPrEx>
        <w:trPr>
          <w:tblCellSpacing w:w="0" w:type="dxa"/>
          <w:jc w:val="center"/>
        </w:trPr>
        <w:tc>
          <w:tcPr>
            <w:tcW w:w="1650" w:type="dxa"/>
            <w:vAlign w:val="center"/>
          </w:tcPr>
          <w:p w14:paraId="10A8A90F">
            <w:pPr>
              <w:widowControl/>
              <w:jc w:val="left"/>
              <w:rPr>
                <w:rFonts w:ascii="宋体" w:hAnsi="宋体" w:eastAsia="宋体" w:cs="宋体"/>
                <w:sz w:val="24"/>
                <w:szCs w:val="24"/>
                <w:highlight w:val="none"/>
              </w:rPr>
            </w:pPr>
          </w:p>
        </w:tc>
        <w:tc>
          <w:tcPr>
            <w:tcW w:w="8054" w:type="dxa"/>
            <w:vAlign w:val="center"/>
          </w:tcPr>
          <w:p w14:paraId="6F7C962E">
            <w:pPr>
              <w:widowControl/>
              <w:spacing w:after="240"/>
              <w:jc w:val="left"/>
              <w:rPr>
                <w:rFonts w:ascii="宋体" w:hAnsi="宋体" w:eastAsia="宋体" w:cs="宋体"/>
                <w:sz w:val="24"/>
                <w:szCs w:val="24"/>
                <w:highlight w:val="none"/>
              </w:rPr>
            </w:pPr>
            <w:r>
              <w:rPr>
                <w:rFonts w:hint="eastAsia" w:ascii="宋体" w:hAnsi="宋体" w:eastAsia="宋体" w:cs="宋体"/>
                <w:sz w:val="24"/>
                <w:szCs w:val="24"/>
                <w:highlight w:val="none"/>
              </w:rPr>
              <w:t>签订日期：</w:t>
            </w:r>
          </w:p>
        </w:tc>
      </w:tr>
    </w:tbl>
    <w:p w14:paraId="2332A987">
      <w:pPr>
        <w:spacing w:line="520" w:lineRule="exact"/>
        <w:ind w:firstLine="480"/>
        <w:rPr>
          <w:rFonts w:ascii="宋体" w:hAnsi="宋体" w:eastAsia="宋体" w:cs="宋体"/>
          <w:highlight w:val="none"/>
        </w:rPr>
      </w:pPr>
    </w:p>
    <w:p w14:paraId="7FA4D1A3">
      <w:pPr>
        <w:adjustRightInd w:val="0"/>
        <w:snapToGrid w:val="0"/>
        <w:spacing w:line="360" w:lineRule="auto"/>
        <w:jc w:val="left"/>
        <w:rPr>
          <w:rFonts w:ascii="宋体" w:hAnsi="宋体" w:eastAsia="宋体" w:cs="宋体"/>
          <w:szCs w:val="21"/>
          <w:highlight w:val="none"/>
        </w:rPr>
      </w:pPr>
    </w:p>
    <w:p w14:paraId="2EC3039A">
      <w:pPr>
        <w:spacing w:line="560" w:lineRule="exact"/>
        <w:ind w:firstLine="480" w:firstLineChars="200"/>
        <w:jc w:val="left"/>
        <w:rPr>
          <w:rFonts w:ascii="宋体" w:hAnsi="宋体" w:eastAsia="宋体" w:cs="宋体"/>
          <w:sz w:val="24"/>
          <w:szCs w:val="24"/>
          <w:highlight w:val="none"/>
        </w:rPr>
      </w:pPr>
    </w:p>
    <w:p w14:paraId="15F68F2D">
      <w:pPr>
        <w:spacing w:line="560" w:lineRule="exact"/>
        <w:ind w:firstLine="480" w:firstLineChars="200"/>
        <w:rPr>
          <w:rFonts w:ascii="宋体" w:hAnsi="宋体" w:eastAsia="宋体" w:cs="宋体"/>
          <w:sz w:val="24"/>
          <w:szCs w:val="24"/>
          <w:highlight w:val="none"/>
        </w:rPr>
      </w:pPr>
    </w:p>
    <w:p w14:paraId="006466DD">
      <w:pPr>
        <w:widowControl/>
        <w:jc w:val="left"/>
        <w:rPr>
          <w:rFonts w:ascii="宋体" w:hAnsi="宋体" w:eastAsia="宋体" w:cs="宋体"/>
          <w:sz w:val="24"/>
          <w:szCs w:val="24"/>
          <w:highlight w:val="none"/>
        </w:rPr>
      </w:pPr>
      <w:r>
        <w:rPr>
          <w:rFonts w:hint="eastAsia" w:ascii="宋体" w:hAnsi="宋体" w:eastAsia="宋体" w:cs="宋体"/>
          <w:highlight w:val="none"/>
        </w:rPr>
        <w:br w:type="page"/>
      </w:r>
    </w:p>
    <w:p w14:paraId="299186D9">
      <w:pPr>
        <w:spacing w:line="360" w:lineRule="auto"/>
        <w:ind w:firstLine="420" w:firstLineChars="200"/>
        <w:rPr>
          <w:rFonts w:ascii="宋体" w:hAnsi="宋体" w:eastAsia="宋体" w:cs="宋体"/>
          <w:highlight w:val="none"/>
        </w:rPr>
      </w:pPr>
    </w:p>
    <w:p w14:paraId="27FBB112">
      <w:pPr>
        <w:spacing w:line="360" w:lineRule="auto"/>
        <w:ind w:firstLine="420" w:firstLineChars="200"/>
        <w:rPr>
          <w:rFonts w:ascii="宋体" w:hAnsi="宋体" w:eastAsia="宋体" w:cs="宋体"/>
          <w:highlight w:val="none"/>
        </w:rPr>
      </w:pPr>
    </w:p>
    <w:p w14:paraId="19B84EB8">
      <w:pPr>
        <w:spacing w:line="360" w:lineRule="auto"/>
        <w:ind w:firstLine="420" w:firstLineChars="200"/>
        <w:rPr>
          <w:rFonts w:ascii="宋体" w:hAnsi="宋体" w:eastAsia="宋体" w:cs="宋体"/>
          <w:highlight w:val="none"/>
        </w:rPr>
      </w:pPr>
    </w:p>
    <w:p w14:paraId="3DD54C68">
      <w:pPr>
        <w:spacing w:line="360" w:lineRule="auto"/>
        <w:ind w:firstLine="420" w:firstLineChars="200"/>
        <w:rPr>
          <w:rFonts w:ascii="宋体" w:hAnsi="宋体" w:eastAsia="宋体" w:cs="宋体"/>
          <w:highlight w:val="none"/>
        </w:rPr>
      </w:pPr>
    </w:p>
    <w:p w14:paraId="26FDB754">
      <w:pPr>
        <w:spacing w:line="360" w:lineRule="auto"/>
        <w:ind w:firstLine="420" w:firstLineChars="200"/>
        <w:rPr>
          <w:rFonts w:ascii="宋体" w:hAnsi="宋体" w:eastAsia="宋体" w:cs="宋体"/>
          <w:highlight w:val="none"/>
        </w:rPr>
      </w:pPr>
    </w:p>
    <w:p w14:paraId="08B900A3">
      <w:pPr>
        <w:spacing w:line="360" w:lineRule="auto"/>
        <w:ind w:firstLine="420" w:firstLineChars="200"/>
        <w:rPr>
          <w:rFonts w:ascii="宋体" w:hAnsi="宋体" w:eastAsia="宋体" w:cs="宋体"/>
          <w:highlight w:val="none"/>
        </w:rPr>
      </w:pPr>
    </w:p>
    <w:p w14:paraId="297B92CE">
      <w:pPr>
        <w:spacing w:line="360" w:lineRule="auto"/>
        <w:ind w:firstLine="420" w:firstLineChars="200"/>
        <w:rPr>
          <w:rFonts w:ascii="宋体" w:hAnsi="宋体" w:eastAsia="宋体" w:cs="宋体"/>
          <w:highlight w:val="none"/>
        </w:rPr>
      </w:pPr>
    </w:p>
    <w:p w14:paraId="3C1411D0">
      <w:pPr>
        <w:spacing w:line="360" w:lineRule="auto"/>
        <w:ind w:firstLine="420" w:firstLineChars="200"/>
        <w:rPr>
          <w:rFonts w:ascii="宋体" w:hAnsi="宋体" w:eastAsia="宋体" w:cs="宋体"/>
          <w:highlight w:val="none"/>
        </w:rPr>
      </w:pPr>
    </w:p>
    <w:p w14:paraId="195D7EAE">
      <w:pPr>
        <w:spacing w:line="360" w:lineRule="auto"/>
        <w:ind w:firstLine="420" w:firstLineChars="200"/>
        <w:rPr>
          <w:rFonts w:ascii="宋体" w:hAnsi="宋体" w:eastAsia="宋体" w:cs="宋体"/>
          <w:highlight w:val="none"/>
        </w:rPr>
      </w:pPr>
    </w:p>
    <w:p w14:paraId="5210F30F">
      <w:pPr>
        <w:spacing w:line="360" w:lineRule="auto"/>
        <w:ind w:firstLine="420" w:firstLineChars="200"/>
        <w:rPr>
          <w:rFonts w:ascii="宋体" w:hAnsi="宋体" w:eastAsia="宋体" w:cs="宋体"/>
          <w:highlight w:val="none"/>
        </w:rPr>
      </w:pPr>
    </w:p>
    <w:p w14:paraId="0BF98A75">
      <w:pPr>
        <w:pStyle w:val="2"/>
        <w:spacing w:line="360" w:lineRule="auto"/>
        <w:jc w:val="center"/>
        <w:rPr>
          <w:rFonts w:ascii="宋体" w:hAnsi="宋体" w:eastAsia="宋体" w:cs="宋体"/>
          <w:color w:val="auto"/>
          <w:sz w:val="32"/>
          <w:szCs w:val="32"/>
          <w:highlight w:val="none"/>
        </w:rPr>
      </w:pPr>
      <w:bookmarkStart w:id="167" w:name="_Toc39092139"/>
      <w:r>
        <w:rPr>
          <w:rFonts w:hint="eastAsia" w:ascii="宋体" w:hAnsi="宋体" w:eastAsia="宋体" w:cs="宋体"/>
          <w:color w:val="auto"/>
          <w:sz w:val="32"/>
          <w:szCs w:val="32"/>
          <w:highlight w:val="none"/>
        </w:rPr>
        <w:t>第四章  响应文件格式</w:t>
      </w:r>
      <w:bookmarkEnd w:id="167"/>
    </w:p>
    <w:p w14:paraId="24927237">
      <w:pPr>
        <w:widowControl/>
        <w:jc w:val="left"/>
        <w:rPr>
          <w:rFonts w:ascii="宋体" w:hAnsi="宋体" w:eastAsia="宋体" w:cs="宋体"/>
          <w:highlight w:val="none"/>
        </w:rPr>
      </w:pPr>
      <w:r>
        <w:rPr>
          <w:rFonts w:hint="eastAsia" w:ascii="宋体" w:hAnsi="宋体" w:eastAsia="宋体" w:cs="宋体"/>
          <w:highlight w:val="none"/>
        </w:rPr>
        <w:br w:type="page"/>
      </w:r>
    </w:p>
    <w:p w14:paraId="081C3CA9">
      <w:pPr>
        <w:spacing w:line="360" w:lineRule="auto"/>
        <w:rPr>
          <w:rFonts w:ascii="宋体" w:hAnsi="宋体" w:eastAsia="宋体" w:cs="宋体"/>
          <w:b/>
          <w:bCs/>
          <w:sz w:val="28"/>
          <w:szCs w:val="28"/>
          <w:highlight w:val="none"/>
        </w:rPr>
      </w:pPr>
      <w:r>
        <w:rPr>
          <w:rFonts w:hint="eastAsia" w:ascii="宋体" w:hAnsi="宋体" w:eastAsia="宋体" w:cs="宋体"/>
          <w:b/>
          <w:bCs/>
          <w:sz w:val="28"/>
          <w:szCs w:val="28"/>
          <w:highlight w:val="none"/>
        </w:rPr>
        <w:t>磋商响应文件封面格式</w:t>
      </w:r>
    </w:p>
    <w:p w14:paraId="685FDDAC">
      <w:pPr>
        <w:spacing w:line="360" w:lineRule="auto"/>
        <w:jc w:val="center"/>
        <w:rPr>
          <w:rFonts w:ascii="宋体" w:hAnsi="宋体" w:eastAsia="宋体" w:cs="宋体"/>
          <w:b/>
          <w:bCs/>
          <w:sz w:val="48"/>
          <w:szCs w:val="48"/>
          <w:highlight w:val="none"/>
        </w:rPr>
      </w:pPr>
    </w:p>
    <w:p w14:paraId="5CE1F35B">
      <w:pPr>
        <w:spacing w:line="360" w:lineRule="auto"/>
        <w:jc w:val="center"/>
        <w:rPr>
          <w:rFonts w:hint="eastAsia" w:ascii="宋体" w:hAnsi="宋体" w:eastAsia="宋体" w:cs="宋体"/>
          <w:b/>
          <w:bCs/>
          <w:sz w:val="68"/>
          <w:szCs w:val="68"/>
          <w:highlight w:val="none"/>
        </w:rPr>
      </w:pPr>
      <w:r>
        <w:rPr>
          <w:rFonts w:hint="eastAsia" w:ascii="宋体" w:hAnsi="宋体" w:eastAsia="宋体" w:cs="宋体"/>
          <w:b/>
          <w:bCs/>
          <w:sz w:val="68"/>
          <w:szCs w:val="68"/>
          <w:highlight w:val="none"/>
        </w:rPr>
        <w:t>昌宁县医共体总医院慢病管理</w:t>
      </w:r>
    </w:p>
    <w:p w14:paraId="0B7C19B3">
      <w:pPr>
        <w:spacing w:line="360" w:lineRule="auto"/>
        <w:jc w:val="center"/>
        <w:rPr>
          <w:rFonts w:ascii="宋体" w:hAnsi="宋体" w:eastAsia="宋体" w:cs="宋体"/>
          <w:b/>
          <w:bCs/>
          <w:sz w:val="44"/>
          <w:szCs w:val="40"/>
          <w:highlight w:val="none"/>
        </w:rPr>
      </w:pPr>
      <w:r>
        <w:rPr>
          <w:rFonts w:hint="eastAsia" w:ascii="宋体" w:hAnsi="宋体" w:eastAsia="宋体" w:cs="宋体"/>
          <w:b/>
          <w:bCs/>
          <w:sz w:val="68"/>
          <w:szCs w:val="68"/>
          <w:highlight w:val="none"/>
        </w:rPr>
        <w:t>信息系统采购项目</w:t>
      </w:r>
    </w:p>
    <w:p w14:paraId="018D89F6">
      <w:pPr>
        <w:spacing w:line="360" w:lineRule="auto"/>
        <w:jc w:val="center"/>
        <w:rPr>
          <w:rFonts w:ascii="宋体" w:hAnsi="宋体" w:eastAsia="宋体" w:cs="宋体"/>
          <w:sz w:val="24"/>
          <w:szCs w:val="24"/>
          <w:highlight w:val="none"/>
        </w:rPr>
      </w:pPr>
    </w:p>
    <w:p w14:paraId="613FA941">
      <w:pPr>
        <w:pStyle w:val="41"/>
        <w:rPr>
          <w:rFonts w:ascii="宋体" w:hAnsi="宋体" w:cs="宋体"/>
          <w:sz w:val="24"/>
          <w:szCs w:val="24"/>
          <w:highlight w:val="none"/>
        </w:rPr>
      </w:pPr>
    </w:p>
    <w:p w14:paraId="4DA7144B">
      <w:pPr>
        <w:pStyle w:val="15"/>
        <w:spacing w:line="360" w:lineRule="auto"/>
        <w:jc w:val="center"/>
        <w:rPr>
          <w:rFonts w:hAnsi="宋体"/>
          <w:b/>
          <w:bCs/>
          <w:sz w:val="84"/>
          <w:szCs w:val="84"/>
          <w:highlight w:val="none"/>
        </w:rPr>
      </w:pPr>
    </w:p>
    <w:p w14:paraId="68267038">
      <w:pPr>
        <w:pStyle w:val="15"/>
        <w:spacing w:line="360" w:lineRule="auto"/>
        <w:jc w:val="center"/>
        <w:rPr>
          <w:rFonts w:hAnsi="宋体"/>
          <w:b/>
          <w:bCs/>
          <w:sz w:val="84"/>
          <w:szCs w:val="84"/>
          <w:highlight w:val="none"/>
        </w:rPr>
      </w:pPr>
      <w:r>
        <w:rPr>
          <w:rFonts w:hint="eastAsia" w:hAnsi="宋体"/>
          <w:b/>
          <w:bCs/>
          <w:sz w:val="84"/>
          <w:szCs w:val="84"/>
          <w:highlight w:val="none"/>
        </w:rPr>
        <w:t>竞争性磋商响应文件</w:t>
      </w:r>
    </w:p>
    <w:p w14:paraId="7FA49D1A">
      <w:pPr>
        <w:spacing w:line="360" w:lineRule="auto"/>
        <w:jc w:val="center"/>
        <w:rPr>
          <w:rFonts w:ascii="宋体" w:hAnsi="宋体" w:eastAsia="宋体" w:cs="宋体"/>
          <w:b/>
          <w:bCs/>
          <w:sz w:val="24"/>
          <w:szCs w:val="24"/>
          <w:highlight w:val="none"/>
        </w:rPr>
      </w:pPr>
    </w:p>
    <w:p w14:paraId="153B0C41">
      <w:pPr>
        <w:pStyle w:val="15"/>
        <w:spacing w:line="360" w:lineRule="auto"/>
        <w:ind w:firstLine="3058" w:firstLineChars="1088"/>
        <w:rPr>
          <w:rFonts w:hAnsi="宋体"/>
          <w:b/>
          <w:bCs/>
          <w:sz w:val="28"/>
          <w:szCs w:val="28"/>
          <w:highlight w:val="none"/>
        </w:rPr>
      </w:pPr>
    </w:p>
    <w:p w14:paraId="5C044B53">
      <w:pPr>
        <w:pStyle w:val="15"/>
        <w:spacing w:line="360" w:lineRule="auto"/>
        <w:ind w:firstLine="3058" w:firstLineChars="1088"/>
        <w:rPr>
          <w:rFonts w:hAnsi="宋体"/>
          <w:b/>
          <w:bCs/>
          <w:sz w:val="28"/>
          <w:szCs w:val="28"/>
          <w:highlight w:val="none"/>
          <w:u w:val="single"/>
        </w:rPr>
      </w:pPr>
      <w:r>
        <w:rPr>
          <w:rFonts w:hint="eastAsia" w:hAnsi="宋体"/>
          <w:b/>
          <w:bCs/>
          <w:sz w:val="28"/>
          <w:szCs w:val="28"/>
          <w:highlight w:val="none"/>
        </w:rPr>
        <w:t>项目编号：</w:t>
      </w:r>
      <w:r>
        <w:rPr>
          <w:rFonts w:hint="eastAsia" w:hAnsi="宋体"/>
          <w:b/>
          <w:bCs/>
          <w:sz w:val="28"/>
          <w:szCs w:val="28"/>
          <w:highlight w:val="none"/>
          <w:u w:val="single"/>
        </w:rPr>
        <w:t xml:space="preserve">              </w:t>
      </w:r>
    </w:p>
    <w:p w14:paraId="3B73B1A0">
      <w:pPr>
        <w:spacing w:line="360" w:lineRule="auto"/>
        <w:jc w:val="center"/>
        <w:rPr>
          <w:rFonts w:ascii="宋体" w:hAnsi="宋体" w:eastAsia="宋体" w:cs="宋体"/>
          <w:sz w:val="24"/>
          <w:szCs w:val="24"/>
          <w:highlight w:val="none"/>
        </w:rPr>
      </w:pPr>
    </w:p>
    <w:p w14:paraId="779C7F8D">
      <w:pPr>
        <w:spacing w:line="360" w:lineRule="auto"/>
        <w:jc w:val="center"/>
        <w:rPr>
          <w:rFonts w:ascii="宋体" w:hAnsi="宋体" w:eastAsia="宋体" w:cs="宋体"/>
          <w:sz w:val="24"/>
          <w:szCs w:val="24"/>
          <w:highlight w:val="none"/>
        </w:rPr>
      </w:pPr>
    </w:p>
    <w:p w14:paraId="4BCB871D">
      <w:pPr>
        <w:spacing w:line="360" w:lineRule="auto"/>
        <w:jc w:val="center"/>
        <w:rPr>
          <w:rFonts w:ascii="宋体" w:hAnsi="宋体" w:eastAsia="宋体" w:cs="宋体"/>
          <w:sz w:val="24"/>
          <w:szCs w:val="24"/>
          <w:highlight w:val="none"/>
        </w:rPr>
      </w:pPr>
    </w:p>
    <w:p w14:paraId="1D8E17DB">
      <w:pPr>
        <w:pStyle w:val="41"/>
        <w:rPr>
          <w:rFonts w:ascii="宋体" w:hAnsi="宋体" w:cs="宋体"/>
          <w:highlight w:val="none"/>
        </w:rPr>
      </w:pPr>
    </w:p>
    <w:p w14:paraId="50C00924">
      <w:pPr>
        <w:spacing w:line="360" w:lineRule="auto"/>
        <w:jc w:val="center"/>
        <w:rPr>
          <w:rFonts w:ascii="宋体" w:hAnsi="宋体" w:eastAsia="宋体" w:cs="宋体"/>
          <w:sz w:val="24"/>
          <w:szCs w:val="24"/>
          <w:highlight w:val="none"/>
        </w:rPr>
      </w:pPr>
    </w:p>
    <w:p w14:paraId="3EA80785">
      <w:pPr>
        <w:spacing w:line="360" w:lineRule="auto"/>
        <w:jc w:val="center"/>
        <w:rPr>
          <w:rFonts w:ascii="宋体" w:hAnsi="宋体" w:eastAsia="宋体" w:cs="宋体"/>
          <w:sz w:val="24"/>
          <w:szCs w:val="24"/>
          <w:highlight w:val="none"/>
        </w:rPr>
      </w:pPr>
    </w:p>
    <w:p w14:paraId="5685481A">
      <w:pPr>
        <w:spacing w:line="360" w:lineRule="auto"/>
        <w:jc w:val="center"/>
        <w:rPr>
          <w:rFonts w:ascii="宋体" w:hAnsi="宋体" w:eastAsia="宋体" w:cs="宋体"/>
          <w:sz w:val="24"/>
          <w:szCs w:val="24"/>
          <w:highlight w:val="none"/>
        </w:rPr>
      </w:pPr>
      <w:r>
        <w:rPr>
          <w:rFonts w:hint="eastAsia" w:ascii="宋体" w:hAnsi="宋体" w:eastAsia="宋体" w:cs="宋体"/>
          <w:sz w:val="24"/>
          <w:szCs w:val="24"/>
          <w:highlight w:val="none"/>
        </w:rPr>
        <w:t>磋商申请人：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（盖单位公章）</w:t>
      </w:r>
    </w:p>
    <w:p w14:paraId="61F0EF0B">
      <w:pPr>
        <w:spacing w:line="360" w:lineRule="auto"/>
        <w:jc w:val="center"/>
        <w:rPr>
          <w:rFonts w:ascii="宋体" w:hAnsi="宋体" w:eastAsia="宋体" w:cs="宋体"/>
          <w:sz w:val="24"/>
          <w:szCs w:val="24"/>
          <w:highlight w:val="none"/>
        </w:rPr>
      </w:pPr>
      <w:r>
        <w:rPr>
          <w:rFonts w:hint="eastAsia" w:ascii="宋体" w:hAnsi="宋体" w:eastAsia="宋体" w:cs="宋体"/>
          <w:sz w:val="24"/>
          <w:szCs w:val="24"/>
          <w:highlight w:val="none"/>
        </w:rPr>
        <w:t>法定代表人（负责人）或其委托代理人：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（签字或盖个人印章）</w:t>
      </w:r>
    </w:p>
    <w:p w14:paraId="36C8BF38">
      <w:pPr>
        <w:spacing w:line="360" w:lineRule="auto"/>
        <w:ind w:firstLine="1980" w:firstLineChars="825"/>
        <w:jc w:val="center"/>
        <w:rPr>
          <w:rFonts w:ascii="宋体" w:hAnsi="宋体" w:eastAsia="宋体" w:cs="宋体"/>
          <w:sz w:val="24"/>
          <w:szCs w:val="24"/>
          <w:highlight w:val="none"/>
        </w:rPr>
      </w:pPr>
    </w:p>
    <w:p w14:paraId="3A73A038">
      <w:pPr>
        <w:spacing w:line="360" w:lineRule="auto"/>
        <w:jc w:val="center"/>
        <w:rPr>
          <w:rFonts w:ascii="宋体" w:hAnsi="宋体" w:eastAsia="宋体" w:cs="宋体"/>
          <w:sz w:val="24"/>
          <w:szCs w:val="24"/>
          <w:highlight w:val="none"/>
        </w:rPr>
      </w:pPr>
      <w:r>
        <w:rPr>
          <w:rFonts w:hint="eastAsia" w:ascii="宋体" w:hAnsi="宋体" w:eastAsia="宋体" w:cs="宋体"/>
          <w:sz w:val="24"/>
          <w:szCs w:val="24"/>
          <w:highlight w:val="none"/>
        </w:rPr>
        <w:t>日期：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日</w:t>
      </w:r>
    </w:p>
    <w:p w14:paraId="1462D984">
      <w:pPr>
        <w:spacing w:line="360" w:lineRule="auto"/>
        <w:jc w:val="center"/>
        <w:rPr>
          <w:rFonts w:ascii="宋体" w:hAnsi="宋体" w:eastAsia="宋体" w:cs="宋体"/>
          <w:sz w:val="24"/>
          <w:szCs w:val="24"/>
          <w:highlight w:val="none"/>
        </w:rPr>
      </w:pPr>
    </w:p>
    <w:p w14:paraId="64B893E7">
      <w:pPr>
        <w:widowControl/>
        <w:jc w:val="left"/>
        <w:rPr>
          <w:rFonts w:ascii="宋体" w:hAnsi="宋体" w:eastAsia="宋体" w:cs="宋体"/>
          <w:highlight w:val="none"/>
        </w:rPr>
      </w:pPr>
      <w:r>
        <w:rPr>
          <w:rFonts w:hint="eastAsia" w:ascii="宋体" w:hAnsi="宋体" w:eastAsia="宋体" w:cs="宋体"/>
          <w:highlight w:val="none"/>
        </w:rPr>
        <w:br w:type="page"/>
      </w:r>
    </w:p>
    <w:p w14:paraId="267C8095">
      <w:pPr>
        <w:spacing w:line="360" w:lineRule="auto"/>
        <w:ind w:firstLine="643" w:firstLineChars="200"/>
        <w:jc w:val="center"/>
        <w:rPr>
          <w:rFonts w:ascii="宋体" w:hAnsi="宋体" w:eastAsia="宋体" w:cs="宋体"/>
          <w:b/>
          <w:bCs/>
          <w:sz w:val="32"/>
          <w:szCs w:val="36"/>
          <w:highlight w:val="none"/>
        </w:rPr>
      </w:pPr>
      <w:r>
        <w:rPr>
          <w:rFonts w:hint="eastAsia" w:ascii="宋体" w:hAnsi="宋体" w:eastAsia="宋体" w:cs="宋体"/>
          <w:b/>
          <w:bCs/>
          <w:sz w:val="32"/>
          <w:szCs w:val="36"/>
          <w:highlight w:val="none"/>
        </w:rPr>
        <w:t>目 录</w:t>
      </w:r>
    </w:p>
    <w:p w14:paraId="704E1379">
      <w:pPr>
        <w:spacing w:line="360" w:lineRule="auto"/>
        <w:ind w:firstLine="420" w:firstLineChars="200"/>
        <w:rPr>
          <w:rFonts w:ascii="宋体" w:hAnsi="宋体" w:eastAsia="宋体" w:cs="宋体"/>
          <w:highlight w:val="none"/>
        </w:rPr>
      </w:pPr>
    </w:p>
    <w:p w14:paraId="21544E39">
      <w:pPr>
        <w:spacing w:line="360" w:lineRule="auto"/>
        <w:ind w:firstLine="420" w:firstLineChars="200"/>
        <w:rPr>
          <w:rFonts w:ascii="宋体" w:hAnsi="宋体" w:eastAsia="宋体" w:cs="宋体"/>
          <w:highlight w:val="none"/>
        </w:rPr>
      </w:pPr>
    </w:p>
    <w:p w14:paraId="55596761">
      <w:pPr>
        <w:spacing w:line="360" w:lineRule="auto"/>
        <w:ind w:firstLine="422" w:firstLineChars="200"/>
        <w:rPr>
          <w:rFonts w:ascii="宋体" w:hAnsi="宋体" w:eastAsia="宋体" w:cs="宋体"/>
          <w:b/>
          <w:bCs/>
          <w:highlight w:val="none"/>
        </w:rPr>
      </w:pPr>
    </w:p>
    <w:p w14:paraId="5F240264">
      <w:pPr>
        <w:spacing w:line="360" w:lineRule="auto"/>
        <w:ind w:firstLine="422" w:firstLineChars="200"/>
        <w:rPr>
          <w:rFonts w:ascii="宋体" w:hAnsi="宋体" w:eastAsia="宋体" w:cs="宋体"/>
          <w:highlight w:val="none"/>
        </w:rPr>
      </w:pPr>
      <w:r>
        <w:rPr>
          <w:rFonts w:hint="eastAsia" w:ascii="宋体" w:hAnsi="宋体" w:eastAsia="宋体" w:cs="宋体"/>
          <w:b/>
          <w:bCs/>
          <w:highlight w:val="none"/>
        </w:rPr>
        <w:t>注：1.请自行编制磋商响应文件目录，并按要求进行装订，并标注页码。</w:t>
      </w:r>
    </w:p>
    <w:p w14:paraId="04E9B47C">
      <w:pPr>
        <w:spacing w:line="360" w:lineRule="auto"/>
        <w:ind w:firstLine="843" w:firstLineChars="400"/>
        <w:jc w:val="left"/>
        <w:rPr>
          <w:rFonts w:ascii="宋体" w:hAnsi="宋体" w:eastAsia="宋体" w:cs="宋体"/>
          <w:b/>
          <w:bCs/>
          <w:highlight w:val="none"/>
        </w:rPr>
      </w:pPr>
      <w:r>
        <w:rPr>
          <w:rFonts w:hint="eastAsia" w:ascii="宋体" w:hAnsi="宋体" w:eastAsia="宋体" w:cs="宋体"/>
          <w:b/>
          <w:bCs/>
          <w:highlight w:val="none"/>
        </w:rPr>
        <w:t>2.磋商申请人应在磋商响应文件提交截止时间前将电子竞争性磋商响应文件通过云南省政府采购电子交易平台（www.zcygov.cn）上传指定的采购项目的磋商响应文件，以保证正常进行磋商程序。</w:t>
      </w:r>
    </w:p>
    <w:p w14:paraId="510928F7">
      <w:pPr>
        <w:spacing w:line="360" w:lineRule="auto"/>
        <w:ind w:firstLine="843" w:firstLineChars="400"/>
        <w:jc w:val="left"/>
        <w:rPr>
          <w:rFonts w:ascii="宋体" w:hAnsi="宋体" w:eastAsia="宋体" w:cs="宋体"/>
          <w:b/>
          <w:bCs/>
          <w:highlight w:val="none"/>
        </w:rPr>
      </w:pPr>
      <w:r>
        <w:rPr>
          <w:rFonts w:hint="eastAsia" w:ascii="宋体" w:hAnsi="宋体" w:eastAsia="宋体" w:cs="宋体"/>
          <w:b/>
          <w:bCs/>
          <w:highlight w:val="none"/>
        </w:rPr>
        <w:t>3.建议在云南省政府采购电子交易平台上传电子磋商响应文件时，将完整电子磋商响应文件上传到商务技术部分，以避免出现遗漏情况。</w:t>
      </w:r>
    </w:p>
    <w:p w14:paraId="24F3A4C2">
      <w:pPr>
        <w:widowControl/>
        <w:jc w:val="left"/>
        <w:rPr>
          <w:rFonts w:ascii="宋体" w:hAnsi="宋体" w:eastAsia="宋体" w:cs="宋体"/>
          <w:b/>
          <w:bCs/>
          <w:highlight w:val="none"/>
        </w:rPr>
      </w:pPr>
      <w:r>
        <w:rPr>
          <w:rFonts w:hint="eastAsia" w:ascii="宋体" w:hAnsi="宋体" w:eastAsia="宋体" w:cs="宋体"/>
          <w:b/>
          <w:bCs/>
          <w:highlight w:val="none"/>
        </w:rPr>
        <w:br w:type="page"/>
      </w:r>
    </w:p>
    <w:p w14:paraId="4C488EB7">
      <w:pPr>
        <w:spacing w:line="360" w:lineRule="auto"/>
        <w:jc w:val="center"/>
        <w:rPr>
          <w:rFonts w:ascii="宋体" w:hAnsi="宋体" w:eastAsia="宋体" w:cs="宋体"/>
          <w:b/>
          <w:sz w:val="28"/>
          <w:szCs w:val="28"/>
          <w:highlight w:val="none"/>
        </w:rPr>
      </w:pPr>
      <w:r>
        <w:rPr>
          <w:rFonts w:hint="eastAsia" w:ascii="宋体" w:hAnsi="宋体" w:eastAsia="宋体" w:cs="宋体"/>
          <w:b/>
          <w:bCs/>
          <w:sz w:val="28"/>
          <w:szCs w:val="28"/>
          <w:highlight w:val="none"/>
        </w:rPr>
        <w:t>第一部分 资格审查部分</w:t>
      </w:r>
    </w:p>
    <w:p w14:paraId="0B3F7CE7">
      <w:pPr>
        <w:spacing w:line="360" w:lineRule="auto"/>
        <w:jc w:val="center"/>
        <w:rPr>
          <w:rFonts w:ascii="宋体" w:hAnsi="宋体" w:eastAsia="宋体" w:cs="宋体"/>
          <w:b/>
          <w:sz w:val="28"/>
          <w:szCs w:val="28"/>
          <w:highlight w:val="none"/>
        </w:rPr>
      </w:pPr>
      <w:r>
        <w:rPr>
          <w:rFonts w:hint="eastAsia" w:ascii="宋体" w:hAnsi="宋体" w:eastAsia="宋体" w:cs="宋体"/>
          <w:b/>
          <w:sz w:val="28"/>
          <w:szCs w:val="28"/>
          <w:highlight w:val="none"/>
        </w:rPr>
        <w:t>格式1：资格审查申请函</w:t>
      </w:r>
    </w:p>
    <w:p w14:paraId="3B35217C">
      <w:pPr>
        <w:spacing w:line="360" w:lineRule="auto"/>
        <w:ind w:firstLine="420" w:firstLineChars="200"/>
        <w:jc w:val="left"/>
        <w:rPr>
          <w:rFonts w:ascii="宋体" w:hAnsi="宋体" w:eastAsia="宋体" w:cs="宋体"/>
          <w:highlight w:val="none"/>
        </w:rPr>
      </w:pPr>
    </w:p>
    <w:p w14:paraId="5B21370B">
      <w:pPr>
        <w:spacing w:line="360" w:lineRule="auto"/>
        <w:ind w:firstLine="420" w:firstLineChars="200"/>
        <w:jc w:val="left"/>
        <w:rPr>
          <w:rFonts w:ascii="宋体" w:hAnsi="宋体" w:eastAsia="宋体" w:cs="宋体"/>
          <w:highlight w:val="none"/>
        </w:rPr>
      </w:pPr>
      <w:r>
        <w:rPr>
          <w:rFonts w:hint="eastAsia" w:ascii="宋体" w:hAnsi="宋体" w:eastAsia="宋体" w:cs="宋体"/>
          <w:highlight w:val="none"/>
        </w:rPr>
        <w:t>致：</w:t>
      </w:r>
      <w:r>
        <w:rPr>
          <w:rFonts w:hint="eastAsia" w:ascii="宋体" w:hAnsi="宋体" w:eastAsia="宋体" w:cs="宋体"/>
          <w:highlight w:val="none"/>
          <w:u w:val="single"/>
        </w:rPr>
        <w:t xml:space="preserve">               （采购人名称）</w:t>
      </w:r>
    </w:p>
    <w:p w14:paraId="6F12787B">
      <w:pPr>
        <w:spacing w:line="360" w:lineRule="auto"/>
        <w:ind w:firstLine="420" w:firstLineChars="200"/>
        <w:jc w:val="left"/>
        <w:rPr>
          <w:rFonts w:ascii="宋体" w:hAnsi="宋体" w:eastAsia="宋体" w:cs="宋体"/>
          <w:highlight w:val="none"/>
        </w:rPr>
      </w:pPr>
      <w:r>
        <w:rPr>
          <w:rFonts w:hint="eastAsia" w:ascii="宋体" w:hAnsi="宋体" w:eastAsia="宋体" w:cs="宋体"/>
          <w:highlight w:val="none"/>
        </w:rPr>
        <w:t>我方仔细研究了</w:t>
      </w:r>
      <w:r>
        <w:rPr>
          <w:rFonts w:hint="eastAsia" w:ascii="宋体" w:hAnsi="宋体" w:eastAsia="宋体" w:cs="宋体"/>
          <w:highlight w:val="none"/>
          <w:u w:val="single"/>
        </w:rPr>
        <w:t xml:space="preserve">（项目名称）   </w:t>
      </w:r>
      <w:r>
        <w:rPr>
          <w:rFonts w:hint="eastAsia" w:ascii="宋体" w:hAnsi="宋体" w:eastAsia="宋体" w:cs="宋体"/>
          <w:highlight w:val="none"/>
        </w:rPr>
        <w:t>（项目编号：</w:t>
      </w:r>
      <w:r>
        <w:rPr>
          <w:rFonts w:hint="eastAsia" w:ascii="宋体" w:hAnsi="宋体" w:eastAsia="宋体" w:cs="宋体"/>
          <w:highlight w:val="none"/>
          <w:u w:val="single"/>
        </w:rPr>
        <w:t xml:space="preserve">        </w:t>
      </w:r>
      <w:r>
        <w:rPr>
          <w:rFonts w:hint="eastAsia" w:ascii="宋体" w:hAnsi="宋体" w:eastAsia="宋体" w:cs="宋体"/>
          <w:highlight w:val="none"/>
        </w:rPr>
        <w:t>）项目竞争性磋商文件的全部内容，我方正式授权下述签字人</w:t>
      </w:r>
      <w:r>
        <w:rPr>
          <w:rFonts w:hint="eastAsia" w:ascii="宋体" w:hAnsi="宋体" w:eastAsia="宋体" w:cs="宋体"/>
          <w:highlight w:val="none"/>
          <w:u w:val="single"/>
        </w:rPr>
        <w:t xml:space="preserve">   （姓名和职务）     </w:t>
      </w:r>
      <w:r>
        <w:rPr>
          <w:rFonts w:hint="eastAsia" w:ascii="宋体" w:hAnsi="宋体" w:eastAsia="宋体" w:cs="宋体"/>
          <w:highlight w:val="none"/>
        </w:rPr>
        <w:t>全权代表</w:t>
      </w:r>
      <w:r>
        <w:rPr>
          <w:rFonts w:hint="eastAsia" w:ascii="宋体" w:hAnsi="宋体" w:eastAsia="宋体" w:cs="宋体"/>
          <w:highlight w:val="none"/>
          <w:u w:val="single"/>
        </w:rPr>
        <w:t xml:space="preserve">  （磋商申请人全称）   </w:t>
      </w:r>
      <w:r>
        <w:rPr>
          <w:rFonts w:hint="eastAsia" w:ascii="宋体" w:hAnsi="宋体" w:eastAsia="宋体" w:cs="宋体"/>
          <w:highlight w:val="none"/>
        </w:rPr>
        <w:t>参加磋商，并提交磋商响应文件电子文件1份，若有幸成交，向贵单位提供纸质磋商响应文件。</w:t>
      </w:r>
    </w:p>
    <w:p w14:paraId="2589F54F">
      <w:pPr>
        <w:spacing w:line="360" w:lineRule="auto"/>
        <w:ind w:firstLine="420" w:firstLineChars="200"/>
        <w:jc w:val="left"/>
        <w:rPr>
          <w:rFonts w:ascii="宋体" w:hAnsi="宋体" w:eastAsia="宋体" w:cs="宋体"/>
          <w:highlight w:val="none"/>
        </w:rPr>
      </w:pPr>
      <w:r>
        <w:rPr>
          <w:rFonts w:hint="eastAsia" w:ascii="宋体" w:hAnsi="宋体" w:eastAsia="宋体" w:cs="宋体"/>
          <w:highlight w:val="none"/>
        </w:rPr>
        <w:t>据此申请书，签字人兹宣布同意如下：</w:t>
      </w:r>
    </w:p>
    <w:p w14:paraId="5BD501F7">
      <w:pPr>
        <w:spacing w:line="360" w:lineRule="auto"/>
        <w:ind w:firstLine="420" w:firstLineChars="200"/>
        <w:jc w:val="left"/>
        <w:rPr>
          <w:rFonts w:ascii="宋体" w:hAnsi="宋体" w:eastAsia="宋体" w:cs="宋体"/>
          <w:highlight w:val="none"/>
        </w:rPr>
      </w:pPr>
      <w:r>
        <w:rPr>
          <w:rFonts w:hint="eastAsia" w:ascii="宋体" w:hAnsi="宋体" w:eastAsia="宋体" w:cs="宋体"/>
          <w:highlight w:val="none"/>
        </w:rPr>
        <w:t>1.我方同意将按竞争性磋商文件的规定履行合同责任和义务。</w:t>
      </w:r>
    </w:p>
    <w:p w14:paraId="747F5D35">
      <w:pPr>
        <w:spacing w:line="360" w:lineRule="auto"/>
        <w:ind w:firstLine="420" w:firstLineChars="200"/>
        <w:jc w:val="left"/>
        <w:rPr>
          <w:rFonts w:ascii="宋体" w:hAnsi="宋体" w:eastAsia="宋体" w:cs="宋体"/>
          <w:highlight w:val="none"/>
        </w:rPr>
      </w:pPr>
      <w:r>
        <w:rPr>
          <w:rFonts w:hint="eastAsia" w:ascii="宋体" w:hAnsi="宋体" w:eastAsia="宋体" w:cs="宋体"/>
          <w:highlight w:val="none"/>
        </w:rPr>
        <w:t>2.我方已详细审查全部竞争性磋商文件，包括修改文件以及全部参考资料和所有附件。我们完全理解并认为该磋商文件公平公正，不存在倾向性，且同意放弃对这方面有不明及误解的权利。</w:t>
      </w:r>
    </w:p>
    <w:p w14:paraId="7E94264E">
      <w:pPr>
        <w:spacing w:line="360" w:lineRule="auto"/>
        <w:ind w:firstLine="420" w:firstLineChars="200"/>
        <w:jc w:val="left"/>
        <w:rPr>
          <w:rFonts w:ascii="宋体" w:hAnsi="宋体" w:eastAsia="宋体" w:cs="宋体"/>
          <w:highlight w:val="none"/>
        </w:rPr>
      </w:pPr>
      <w:r>
        <w:rPr>
          <w:rFonts w:hint="eastAsia" w:ascii="宋体" w:hAnsi="宋体" w:eastAsia="宋体" w:cs="宋体"/>
          <w:highlight w:val="none"/>
        </w:rPr>
        <w:t>3.本磋商自响应文件开启之日起有效期为90天。</w:t>
      </w:r>
    </w:p>
    <w:p w14:paraId="49C09886">
      <w:pPr>
        <w:spacing w:line="360" w:lineRule="auto"/>
        <w:ind w:firstLine="420" w:firstLineChars="200"/>
        <w:jc w:val="left"/>
        <w:rPr>
          <w:rFonts w:ascii="宋体" w:hAnsi="宋体" w:eastAsia="宋体" w:cs="宋体"/>
          <w:highlight w:val="none"/>
        </w:rPr>
      </w:pPr>
      <w:r>
        <w:rPr>
          <w:rFonts w:hint="eastAsia" w:ascii="宋体" w:hAnsi="宋体" w:eastAsia="宋体" w:cs="宋体"/>
          <w:highlight w:val="none"/>
        </w:rPr>
        <w:t>4.我方同意磋商申请人须知中关于没收保证金的规定。</w:t>
      </w:r>
    </w:p>
    <w:p w14:paraId="2761FCE6">
      <w:pPr>
        <w:spacing w:line="360" w:lineRule="auto"/>
        <w:ind w:firstLine="420" w:firstLineChars="200"/>
        <w:jc w:val="left"/>
        <w:rPr>
          <w:rFonts w:ascii="宋体" w:hAnsi="宋体" w:eastAsia="宋体" w:cs="宋体"/>
          <w:highlight w:val="none"/>
        </w:rPr>
      </w:pPr>
      <w:r>
        <w:rPr>
          <w:rFonts w:hint="eastAsia" w:ascii="宋体" w:hAnsi="宋体" w:eastAsia="宋体" w:cs="宋体"/>
          <w:highlight w:val="none"/>
        </w:rPr>
        <w:t>5.同意应贵方要求提供与本次磋商有关的任何数据和资料，并保证数据和资料的完整性和真实性。</w:t>
      </w:r>
    </w:p>
    <w:p w14:paraId="347B41B9">
      <w:pPr>
        <w:spacing w:line="360" w:lineRule="auto"/>
        <w:ind w:firstLine="420" w:firstLineChars="200"/>
        <w:jc w:val="left"/>
        <w:rPr>
          <w:rFonts w:ascii="宋体" w:hAnsi="宋体" w:eastAsia="宋体" w:cs="宋体"/>
          <w:highlight w:val="none"/>
        </w:rPr>
      </w:pPr>
      <w:r>
        <w:rPr>
          <w:rFonts w:hint="eastAsia" w:ascii="宋体" w:hAnsi="宋体" w:eastAsia="宋体" w:cs="宋体"/>
          <w:highlight w:val="none"/>
        </w:rPr>
        <w:t>6.同意因资格条件不符合资格要求不得再参与磋商的规定。</w:t>
      </w:r>
    </w:p>
    <w:p w14:paraId="7234EE26">
      <w:pPr>
        <w:keepNext/>
        <w:spacing w:line="360" w:lineRule="auto"/>
        <w:ind w:firstLine="420" w:firstLineChars="200"/>
        <w:jc w:val="left"/>
        <w:rPr>
          <w:rFonts w:ascii="宋体" w:hAnsi="宋体" w:eastAsia="宋体" w:cs="宋体"/>
          <w:highlight w:val="none"/>
        </w:rPr>
      </w:pPr>
    </w:p>
    <w:p w14:paraId="44732E7D">
      <w:pPr>
        <w:keepNext/>
        <w:spacing w:line="360" w:lineRule="auto"/>
        <w:ind w:firstLine="420" w:firstLineChars="200"/>
        <w:jc w:val="left"/>
        <w:rPr>
          <w:rFonts w:ascii="宋体" w:hAnsi="宋体" w:eastAsia="宋体" w:cs="宋体"/>
          <w:highlight w:val="none"/>
        </w:rPr>
      </w:pPr>
    </w:p>
    <w:p w14:paraId="13DA73E3">
      <w:pPr>
        <w:spacing w:line="360" w:lineRule="auto"/>
        <w:ind w:firstLine="420" w:firstLineChars="200"/>
        <w:jc w:val="left"/>
        <w:rPr>
          <w:rFonts w:ascii="宋体" w:hAnsi="宋体" w:eastAsia="宋体" w:cs="宋体"/>
          <w:highlight w:val="none"/>
        </w:rPr>
      </w:pPr>
      <w:r>
        <w:rPr>
          <w:rFonts w:hint="eastAsia" w:ascii="宋体" w:hAnsi="宋体" w:eastAsia="宋体" w:cs="宋体"/>
          <w:highlight w:val="none"/>
        </w:rPr>
        <w:t>与本次磋商有关的正式通讯地址为：</w:t>
      </w:r>
    </w:p>
    <w:p w14:paraId="634B9E8E">
      <w:pPr>
        <w:spacing w:line="360" w:lineRule="auto"/>
        <w:ind w:firstLine="420" w:firstLineChars="200"/>
        <w:jc w:val="left"/>
        <w:rPr>
          <w:rFonts w:ascii="宋体" w:hAnsi="宋体" w:eastAsia="宋体" w:cs="宋体"/>
          <w:highlight w:val="none"/>
        </w:rPr>
      </w:pPr>
      <w:r>
        <w:rPr>
          <w:rFonts w:hint="eastAsia" w:ascii="宋体" w:hAnsi="宋体" w:eastAsia="宋体" w:cs="宋体"/>
          <w:highlight w:val="none"/>
        </w:rPr>
        <w:t>地    址：</w:t>
      </w:r>
      <w:r>
        <w:rPr>
          <w:rFonts w:hint="eastAsia" w:ascii="宋体" w:hAnsi="宋体" w:eastAsia="宋体" w:cs="宋体"/>
          <w:highlight w:val="none"/>
          <w:u w:val="single"/>
        </w:rPr>
        <w:t xml:space="preserve">                  </w:t>
      </w:r>
      <w:r>
        <w:rPr>
          <w:rFonts w:hint="eastAsia" w:ascii="宋体" w:hAnsi="宋体" w:eastAsia="宋体" w:cs="宋体"/>
          <w:highlight w:val="none"/>
        </w:rPr>
        <w:t xml:space="preserve">           邮政编码：</w:t>
      </w:r>
      <w:r>
        <w:rPr>
          <w:rFonts w:hint="eastAsia" w:ascii="宋体" w:hAnsi="宋体" w:eastAsia="宋体" w:cs="宋体"/>
          <w:highlight w:val="none"/>
          <w:u w:val="single"/>
        </w:rPr>
        <w:t xml:space="preserve">                </w:t>
      </w:r>
    </w:p>
    <w:p w14:paraId="04B78F9B">
      <w:pPr>
        <w:spacing w:line="360" w:lineRule="auto"/>
        <w:ind w:firstLine="420" w:firstLineChars="200"/>
        <w:jc w:val="left"/>
        <w:rPr>
          <w:rFonts w:ascii="宋体" w:hAnsi="宋体" w:eastAsia="宋体" w:cs="宋体"/>
          <w:highlight w:val="none"/>
        </w:rPr>
      </w:pPr>
      <w:r>
        <w:rPr>
          <w:rFonts w:hint="eastAsia" w:ascii="宋体" w:hAnsi="宋体" w:eastAsia="宋体" w:cs="宋体"/>
          <w:highlight w:val="none"/>
        </w:rPr>
        <w:t>电    话：</w:t>
      </w:r>
      <w:r>
        <w:rPr>
          <w:rFonts w:hint="eastAsia" w:ascii="宋体" w:hAnsi="宋体" w:eastAsia="宋体" w:cs="宋体"/>
          <w:highlight w:val="none"/>
          <w:u w:val="single"/>
        </w:rPr>
        <w:t xml:space="preserve">                  </w:t>
      </w:r>
      <w:r>
        <w:rPr>
          <w:rFonts w:hint="eastAsia" w:ascii="宋体" w:hAnsi="宋体" w:eastAsia="宋体" w:cs="宋体"/>
          <w:highlight w:val="none"/>
        </w:rPr>
        <w:t xml:space="preserve">           传    真：</w:t>
      </w:r>
      <w:r>
        <w:rPr>
          <w:rFonts w:hint="eastAsia" w:ascii="宋体" w:hAnsi="宋体" w:eastAsia="宋体" w:cs="宋体"/>
          <w:highlight w:val="none"/>
          <w:u w:val="single"/>
        </w:rPr>
        <w:t>　　　　　　　　</w:t>
      </w:r>
    </w:p>
    <w:p w14:paraId="0CB654BA">
      <w:pPr>
        <w:spacing w:line="360" w:lineRule="auto"/>
        <w:ind w:firstLine="420" w:firstLineChars="200"/>
        <w:jc w:val="left"/>
        <w:rPr>
          <w:rFonts w:ascii="宋体" w:hAnsi="宋体" w:eastAsia="宋体" w:cs="宋体"/>
          <w:highlight w:val="none"/>
          <w:u w:val="single"/>
        </w:rPr>
      </w:pPr>
      <w:r>
        <w:rPr>
          <w:rFonts w:hint="eastAsia" w:ascii="宋体" w:hAnsi="宋体" w:eastAsia="宋体" w:cs="宋体"/>
          <w:highlight w:val="none"/>
        </w:rPr>
        <w:t>开户名称：</w:t>
      </w:r>
      <w:r>
        <w:rPr>
          <w:rFonts w:hint="eastAsia" w:ascii="宋体" w:hAnsi="宋体" w:eastAsia="宋体" w:cs="宋体"/>
          <w:highlight w:val="none"/>
          <w:u w:val="single"/>
        </w:rPr>
        <w:t xml:space="preserve">                                                    </w:t>
      </w:r>
    </w:p>
    <w:p w14:paraId="37F7C657">
      <w:pPr>
        <w:spacing w:line="360" w:lineRule="auto"/>
        <w:ind w:firstLine="420" w:firstLineChars="200"/>
        <w:jc w:val="left"/>
        <w:rPr>
          <w:rFonts w:ascii="宋体" w:hAnsi="宋体" w:eastAsia="宋体" w:cs="宋体"/>
          <w:highlight w:val="none"/>
          <w:u w:val="single"/>
        </w:rPr>
      </w:pPr>
      <w:r>
        <w:rPr>
          <w:rFonts w:hint="eastAsia" w:ascii="宋体" w:hAnsi="宋体" w:eastAsia="宋体" w:cs="宋体"/>
          <w:highlight w:val="none"/>
        </w:rPr>
        <w:t>开户银行：</w:t>
      </w:r>
      <w:r>
        <w:rPr>
          <w:rFonts w:hint="eastAsia" w:ascii="宋体" w:hAnsi="宋体" w:eastAsia="宋体" w:cs="宋体"/>
          <w:highlight w:val="none"/>
          <w:u w:val="single"/>
        </w:rPr>
        <w:t xml:space="preserve">                                                    </w:t>
      </w:r>
    </w:p>
    <w:p w14:paraId="6B7FADAF">
      <w:pPr>
        <w:spacing w:line="360" w:lineRule="auto"/>
        <w:ind w:firstLine="420" w:firstLineChars="200"/>
        <w:jc w:val="left"/>
        <w:rPr>
          <w:rFonts w:ascii="宋体" w:hAnsi="宋体" w:eastAsia="宋体" w:cs="宋体"/>
          <w:highlight w:val="none"/>
          <w:u w:val="single"/>
        </w:rPr>
      </w:pPr>
      <w:r>
        <w:rPr>
          <w:rFonts w:hint="eastAsia" w:ascii="宋体" w:hAnsi="宋体" w:eastAsia="宋体" w:cs="宋体"/>
          <w:highlight w:val="none"/>
        </w:rPr>
        <w:t>账    号：</w:t>
      </w:r>
      <w:r>
        <w:rPr>
          <w:rFonts w:hint="eastAsia" w:ascii="宋体" w:hAnsi="宋体" w:eastAsia="宋体" w:cs="宋体"/>
          <w:highlight w:val="none"/>
          <w:u w:val="single"/>
        </w:rPr>
        <w:t xml:space="preserve">                                                    </w:t>
      </w:r>
    </w:p>
    <w:p w14:paraId="2FFE23CF">
      <w:pPr>
        <w:spacing w:line="360" w:lineRule="auto"/>
        <w:ind w:firstLine="420" w:firstLineChars="200"/>
        <w:jc w:val="left"/>
        <w:rPr>
          <w:rFonts w:ascii="宋体" w:hAnsi="宋体" w:eastAsia="宋体" w:cs="宋体"/>
          <w:highlight w:val="none"/>
        </w:rPr>
      </w:pPr>
      <w:r>
        <w:rPr>
          <w:rFonts w:hint="eastAsia" w:ascii="宋体" w:hAnsi="宋体" w:eastAsia="宋体" w:cs="宋体"/>
          <w:highlight w:val="none"/>
        </w:rPr>
        <w:t>磋商申请人：</w:t>
      </w:r>
      <w:r>
        <w:rPr>
          <w:rFonts w:hint="eastAsia" w:ascii="宋体" w:hAnsi="宋体" w:eastAsia="宋体" w:cs="宋体"/>
          <w:highlight w:val="none"/>
          <w:u w:val="single"/>
        </w:rPr>
        <w:t xml:space="preserve">              （全称）                     </w:t>
      </w:r>
      <w:r>
        <w:rPr>
          <w:rFonts w:hint="eastAsia" w:ascii="宋体" w:hAnsi="宋体" w:eastAsia="宋体" w:cs="宋体"/>
          <w:highlight w:val="none"/>
        </w:rPr>
        <w:t>（盖单位公章）</w:t>
      </w:r>
    </w:p>
    <w:p w14:paraId="232FF513">
      <w:pPr>
        <w:spacing w:line="360" w:lineRule="auto"/>
        <w:ind w:firstLine="420" w:firstLineChars="200"/>
        <w:jc w:val="left"/>
        <w:rPr>
          <w:rFonts w:ascii="宋体" w:hAnsi="宋体" w:eastAsia="宋体" w:cs="宋体"/>
          <w:highlight w:val="none"/>
        </w:rPr>
      </w:pPr>
      <w:r>
        <w:rPr>
          <w:rFonts w:hint="eastAsia" w:ascii="宋体" w:hAnsi="宋体" w:eastAsia="宋体" w:cs="宋体"/>
          <w:highlight w:val="none"/>
        </w:rPr>
        <w:t>法定代表人（负责人）或其委托代理人：</w:t>
      </w:r>
      <w:r>
        <w:rPr>
          <w:rFonts w:hint="eastAsia" w:ascii="宋体" w:hAnsi="宋体" w:eastAsia="宋体" w:cs="宋体"/>
          <w:highlight w:val="none"/>
          <w:u w:val="single"/>
        </w:rPr>
        <w:t xml:space="preserve">                             </w:t>
      </w:r>
      <w:r>
        <w:rPr>
          <w:rFonts w:hint="eastAsia" w:ascii="宋体" w:hAnsi="宋体" w:eastAsia="宋体" w:cs="宋体"/>
          <w:highlight w:val="none"/>
        </w:rPr>
        <w:t>（签字或盖个人印章）</w:t>
      </w:r>
    </w:p>
    <w:p w14:paraId="3E438C3F">
      <w:pPr>
        <w:spacing w:line="360" w:lineRule="auto"/>
        <w:ind w:firstLine="420" w:firstLineChars="200"/>
        <w:jc w:val="left"/>
        <w:rPr>
          <w:rFonts w:ascii="宋体" w:hAnsi="宋体" w:eastAsia="宋体" w:cs="宋体"/>
          <w:highlight w:val="none"/>
        </w:rPr>
      </w:pPr>
      <w:r>
        <w:rPr>
          <w:rFonts w:hint="eastAsia" w:ascii="宋体" w:hAnsi="宋体" w:eastAsia="宋体" w:cs="宋体"/>
          <w:highlight w:val="none"/>
        </w:rPr>
        <w:t>日期：</w:t>
      </w:r>
      <w:r>
        <w:rPr>
          <w:rFonts w:hint="eastAsia" w:ascii="宋体" w:hAnsi="宋体" w:eastAsia="宋体" w:cs="宋体"/>
          <w:highlight w:val="none"/>
          <w:u w:val="single"/>
        </w:rPr>
        <w:t xml:space="preserve">            </w:t>
      </w:r>
      <w:r>
        <w:rPr>
          <w:rFonts w:hint="eastAsia" w:ascii="宋体" w:hAnsi="宋体" w:eastAsia="宋体" w:cs="宋体"/>
          <w:highlight w:val="none"/>
        </w:rPr>
        <w:t>年</w:t>
      </w:r>
      <w:r>
        <w:rPr>
          <w:rFonts w:hint="eastAsia" w:ascii="宋体" w:hAnsi="宋体" w:eastAsia="宋体" w:cs="宋体"/>
          <w:highlight w:val="none"/>
          <w:u w:val="single"/>
        </w:rPr>
        <w:t xml:space="preserve">       </w:t>
      </w:r>
      <w:r>
        <w:rPr>
          <w:rFonts w:hint="eastAsia" w:ascii="宋体" w:hAnsi="宋体" w:eastAsia="宋体" w:cs="宋体"/>
          <w:highlight w:val="none"/>
        </w:rPr>
        <w:t>月</w:t>
      </w:r>
      <w:r>
        <w:rPr>
          <w:rFonts w:hint="eastAsia" w:ascii="宋体" w:hAnsi="宋体" w:eastAsia="宋体" w:cs="宋体"/>
          <w:highlight w:val="none"/>
          <w:u w:val="single"/>
        </w:rPr>
        <w:t xml:space="preserve">       </w:t>
      </w:r>
      <w:r>
        <w:rPr>
          <w:rFonts w:hint="eastAsia" w:ascii="宋体" w:hAnsi="宋体" w:eastAsia="宋体" w:cs="宋体"/>
          <w:highlight w:val="none"/>
        </w:rPr>
        <w:t>日</w:t>
      </w:r>
    </w:p>
    <w:p w14:paraId="472DDD14">
      <w:pPr>
        <w:keepNext/>
        <w:jc w:val="left"/>
        <w:rPr>
          <w:rFonts w:ascii="宋体" w:hAnsi="宋体" w:eastAsia="宋体" w:cs="宋体"/>
          <w:highlight w:val="none"/>
        </w:rPr>
      </w:pPr>
    </w:p>
    <w:p w14:paraId="1A497F57">
      <w:pPr>
        <w:keepNext/>
        <w:jc w:val="center"/>
        <w:rPr>
          <w:rFonts w:ascii="宋体" w:hAnsi="宋体" w:eastAsia="宋体" w:cs="宋体"/>
          <w:b/>
          <w:bCs/>
          <w:sz w:val="28"/>
          <w:szCs w:val="28"/>
          <w:highlight w:val="none"/>
        </w:rPr>
      </w:pPr>
      <w:r>
        <w:rPr>
          <w:rFonts w:hint="eastAsia" w:ascii="宋体" w:hAnsi="宋体" w:eastAsia="宋体" w:cs="宋体"/>
          <w:b/>
          <w:highlight w:val="none"/>
        </w:rPr>
        <w:br w:type="page"/>
      </w:r>
      <w:bookmarkStart w:id="168" w:name="_Toc7252771"/>
      <w:r>
        <w:rPr>
          <w:rFonts w:hint="eastAsia" w:ascii="宋体" w:hAnsi="宋体" w:eastAsia="宋体" w:cs="宋体"/>
          <w:b/>
          <w:bCs/>
          <w:sz w:val="28"/>
          <w:szCs w:val="28"/>
          <w:highlight w:val="none"/>
        </w:rPr>
        <w:t>格式2</w:t>
      </w:r>
      <w:bookmarkEnd w:id="168"/>
      <w:r>
        <w:rPr>
          <w:rFonts w:hint="eastAsia" w:ascii="宋体" w:hAnsi="宋体" w:eastAsia="宋体" w:cs="宋体"/>
          <w:b/>
          <w:bCs/>
          <w:sz w:val="28"/>
          <w:szCs w:val="28"/>
          <w:highlight w:val="none"/>
        </w:rPr>
        <w:t xml:space="preserve">： </w:t>
      </w:r>
      <w:bookmarkStart w:id="169" w:name="_Toc21569"/>
      <w:r>
        <w:rPr>
          <w:rFonts w:hint="eastAsia" w:ascii="宋体" w:hAnsi="宋体" w:eastAsia="宋体" w:cs="宋体"/>
          <w:b/>
          <w:bCs/>
          <w:sz w:val="28"/>
          <w:szCs w:val="28"/>
          <w:highlight w:val="none"/>
        </w:rPr>
        <w:t>磋商申请人应具有独立承担民事责任的能力</w:t>
      </w:r>
      <w:bookmarkEnd w:id="169"/>
    </w:p>
    <w:p w14:paraId="24CE3070">
      <w:pPr>
        <w:keepNext/>
        <w:spacing w:line="360" w:lineRule="auto"/>
        <w:jc w:val="center"/>
        <w:rPr>
          <w:rFonts w:ascii="宋体" w:hAnsi="宋体" w:eastAsia="宋体" w:cs="宋体"/>
          <w:b/>
          <w:bCs/>
          <w:sz w:val="28"/>
          <w:szCs w:val="28"/>
          <w:highlight w:val="none"/>
        </w:rPr>
      </w:pPr>
      <w:r>
        <w:rPr>
          <w:rFonts w:hint="eastAsia" w:ascii="宋体" w:hAnsi="宋体" w:eastAsia="宋体" w:cs="宋体"/>
          <w:b/>
          <w:bCs/>
          <w:sz w:val="28"/>
          <w:szCs w:val="28"/>
          <w:highlight w:val="none"/>
        </w:rPr>
        <w:t>格式－2.1提供有效营业执照等能证明具有独立承担民事责任能力材料：</w:t>
      </w:r>
    </w:p>
    <w:p w14:paraId="259AA35E">
      <w:pPr>
        <w:spacing w:line="460" w:lineRule="exact"/>
        <w:jc w:val="center"/>
        <w:rPr>
          <w:rFonts w:ascii="宋体" w:hAnsi="宋体" w:eastAsia="宋体" w:cs="宋体"/>
          <w:sz w:val="24"/>
          <w:szCs w:val="24"/>
          <w:highlight w:val="none"/>
        </w:rPr>
      </w:pPr>
    </w:p>
    <w:p w14:paraId="26530446">
      <w:pPr>
        <w:spacing w:line="460" w:lineRule="exact"/>
        <w:ind w:firstLine="420" w:firstLineChars="200"/>
        <w:jc w:val="left"/>
        <w:rPr>
          <w:rFonts w:ascii="宋体" w:hAnsi="宋体" w:eastAsia="宋体" w:cs="宋体"/>
          <w:sz w:val="24"/>
          <w:szCs w:val="24"/>
          <w:highlight w:val="none"/>
        </w:rPr>
      </w:pPr>
      <w:r>
        <w:rPr>
          <w:rFonts w:hint="eastAsia" w:ascii="宋体" w:hAnsi="宋体" w:eastAsia="宋体" w:cs="宋体"/>
          <w:szCs w:val="21"/>
          <w:highlight w:val="none"/>
        </w:rPr>
        <w:t>磋商申请人有效的《营业执照》或《统一社会信用代码证》或其他法人组织机构证书或其他组织证件或自然人身份证件等能证明具有独立承担民事责任能力的材料。</w:t>
      </w:r>
    </w:p>
    <w:p w14:paraId="751309ED">
      <w:pPr>
        <w:spacing w:line="420" w:lineRule="exact"/>
        <w:jc w:val="left"/>
        <w:rPr>
          <w:rFonts w:ascii="宋体" w:hAnsi="宋体" w:eastAsia="宋体" w:cs="宋体"/>
          <w:b/>
          <w:highlight w:val="none"/>
        </w:rPr>
      </w:pPr>
    </w:p>
    <w:p w14:paraId="39489AC5">
      <w:pPr>
        <w:spacing w:line="420" w:lineRule="exact"/>
        <w:jc w:val="left"/>
        <w:rPr>
          <w:rFonts w:ascii="宋体" w:hAnsi="宋体" w:eastAsia="宋体" w:cs="宋体"/>
          <w:szCs w:val="21"/>
          <w:highlight w:val="none"/>
        </w:rPr>
      </w:pPr>
    </w:p>
    <w:p w14:paraId="13F43B7D">
      <w:pPr>
        <w:keepNext/>
        <w:spacing w:line="360" w:lineRule="auto"/>
        <w:jc w:val="center"/>
        <w:rPr>
          <w:rFonts w:ascii="宋体" w:hAnsi="宋体" w:eastAsia="宋体" w:cs="宋体"/>
          <w:b/>
          <w:bCs/>
          <w:sz w:val="28"/>
          <w:szCs w:val="28"/>
          <w:highlight w:val="none"/>
        </w:rPr>
      </w:pPr>
      <w:r>
        <w:rPr>
          <w:rFonts w:hint="eastAsia" w:ascii="宋体" w:hAnsi="宋体" w:eastAsia="宋体" w:cs="宋体"/>
          <w:b/>
          <w:szCs w:val="21"/>
          <w:highlight w:val="none"/>
        </w:rPr>
        <w:br w:type="page"/>
      </w:r>
      <w:r>
        <w:rPr>
          <w:rFonts w:hint="eastAsia" w:ascii="宋体" w:hAnsi="宋体" w:eastAsia="宋体" w:cs="宋体"/>
          <w:b/>
          <w:bCs/>
          <w:sz w:val="28"/>
          <w:szCs w:val="28"/>
          <w:highlight w:val="none"/>
        </w:rPr>
        <w:t>格式2-2：法定代表人（负责人）身份证明书</w:t>
      </w:r>
    </w:p>
    <w:p w14:paraId="3FC8AAA6">
      <w:pPr>
        <w:spacing w:line="360" w:lineRule="auto"/>
        <w:ind w:firstLine="602" w:firstLineChars="200"/>
        <w:rPr>
          <w:rFonts w:ascii="宋体" w:hAnsi="宋体" w:eastAsia="宋体" w:cs="宋体"/>
          <w:b/>
          <w:bCs/>
          <w:sz w:val="30"/>
          <w:szCs w:val="30"/>
          <w:highlight w:val="none"/>
        </w:rPr>
      </w:pPr>
    </w:p>
    <w:p w14:paraId="5774E351">
      <w:pPr>
        <w:spacing w:line="360" w:lineRule="auto"/>
        <w:ind w:firstLine="420" w:firstLineChars="200"/>
        <w:rPr>
          <w:rFonts w:ascii="宋体" w:hAnsi="宋体" w:eastAsia="宋体" w:cs="宋体"/>
          <w:highlight w:val="none"/>
        </w:rPr>
      </w:pPr>
      <w:r>
        <w:rPr>
          <w:rFonts w:hint="eastAsia" w:ascii="宋体" w:hAnsi="宋体" w:eastAsia="宋体" w:cs="宋体"/>
          <w:highlight w:val="none"/>
        </w:rPr>
        <w:t>磋商申请人名称：</w:t>
      </w:r>
      <w:r>
        <w:rPr>
          <w:rFonts w:hint="eastAsia" w:ascii="宋体" w:hAnsi="宋体" w:eastAsia="宋体" w:cs="宋体"/>
          <w:highlight w:val="none"/>
          <w:u w:val="single"/>
        </w:rPr>
        <w:t xml:space="preserve">                        </w:t>
      </w:r>
    </w:p>
    <w:p w14:paraId="48145ECA">
      <w:pPr>
        <w:spacing w:line="360" w:lineRule="auto"/>
        <w:ind w:firstLine="420" w:firstLineChars="200"/>
        <w:rPr>
          <w:rFonts w:ascii="宋体" w:hAnsi="宋体" w:eastAsia="宋体" w:cs="宋体"/>
          <w:highlight w:val="none"/>
        </w:rPr>
      </w:pPr>
      <w:r>
        <w:rPr>
          <w:rFonts w:hint="eastAsia" w:ascii="宋体" w:hAnsi="宋体" w:eastAsia="宋体" w:cs="宋体"/>
          <w:highlight w:val="none"/>
        </w:rPr>
        <w:t>单位性质：</w:t>
      </w:r>
      <w:r>
        <w:rPr>
          <w:rFonts w:hint="eastAsia" w:ascii="宋体" w:hAnsi="宋体" w:eastAsia="宋体" w:cs="宋体"/>
          <w:highlight w:val="none"/>
          <w:u w:val="single"/>
        </w:rPr>
        <w:t xml:space="preserve">                          </w:t>
      </w:r>
    </w:p>
    <w:p w14:paraId="5985D7BE">
      <w:pPr>
        <w:spacing w:line="360" w:lineRule="auto"/>
        <w:ind w:firstLine="420" w:firstLineChars="200"/>
        <w:rPr>
          <w:rFonts w:ascii="宋体" w:hAnsi="宋体" w:eastAsia="宋体" w:cs="宋体"/>
          <w:highlight w:val="none"/>
        </w:rPr>
      </w:pPr>
      <w:r>
        <w:rPr>
          <w:rFonts w:hint="eastAsia" w:ascii="宋体" w:hAnsi="宋体" w:eastAsia="宋体" w:cs="宋体"/>
          <w:highlight w:val="none"/>
        </w:rPr>
        <w:t>成立时间：</w:t>
      </w:r>
      <w:r>
        <w:rPr>
          <w:rFonts w:hint="eastAsia" w:ascii="宋体" w:hAnsi="宋体" w:eastAsia="宋体" w:cs="宋体"/>
          <w:highlight w:val="none"/>
          <w:u w:val="single"/>
        </w:rPr>
        <w:t xml:space="preserve">        </w:t>
      </w:r>
      <w:r>
        <w:rPr>
          <w:rFonts w:hint="eastAsia" w:ascii="宋体" w:hAnsi="宋体" w:eastAsia="宋体" w:cs="宋体"/>
          <w:highlight w:val="none"/>
        </w:rPr>
        <w:t>年</w:t>
      </w:r>
      <w:r>
        <w:rPr>
          <w:rFonts w:hint="eastAsia" w:ascii="宋体" w:hAnsi="宋体" w:eastAsia="宋体" w:cs="宋体"/>
          <w:highlight w:val="none"/>
          <w:u w:val="single"/>
        </w:rPr>
        <w:t xml:space="preserve">       </w:t>
      </w:r>
      <w:r>
        <w:rPr>
          <w:rFonts w:hint="eastAsia" w:ascii="宋体" w:hAnsi="宋体" w:eastAsia="宋体" w:cs="宋体"/>
          <w:highlight w:val="none"/>
        </w:rPr>
        <w:t>月</w:t>
      </w:r>
      <w:r>
        <w:rPr>
          <w:rFonts w:hint="eastAsia" w:ascii="宋体" w:hAnsi="宋体" w:eastAsia="宋体" w:cs="宋体"/>
          <w:highlight w:val="none"/>
          <w:u w:val="single"/>
        </w:rPr>
        <w:t xml:space="preserve">       </w:t>
      </w:r>
      <w:r>
        <w:rPr>
          <w:rFonts w:hint="eastAsia" w:ascii="宋体" w:hAnsi="宋体" w:eastAsia="宋体" w:cs="宋体"/>
          <w:highlight w:val="none"/>
        </w:rPr>
        <w:t>日</w:t>
      </w:r>
    </w:p>
    <w:p w14:paraId="59D0A741">
      <w:pPr>
        <w:spacing w:line="360" w:lineRule="auto"/>
        <w:ind w:firstLine="420" w:firstLineChars="200"/>
        <w:rPr>
          <w:rFonts w:ascii="宋体" w:hAnsi="宋体" w:eastAsia="宋体" w:cs="宋体"/>
          <w:highlight w:val="none"/>
        </w:rPr>
      </w:pPr>
      <w:r>
        <w:rPr>
          <w:rFonts w:hint="eastAsia" w:ascii="宋体" w:hAnsi="宋体" w:eastAsia="宋体" w:cs="宋体"/>
          <w:highlight w:val="none"/>
        </w:rPr>
        <w:t>经营期限：</w:t>
      </w:r>
      <w:r>
        <w:rPr>
          <w:rFonts w:hint="eastAsia" w:ascii="宋体" w:hAnsi="宋体" w:eastAsia="宋体" w:cs="宋体"/>
          <w:highlight w:val="none"/>
          <w:u w:val="single"/>
        </w:rPr>
        <w:t xml:space="preserve">                          </w:t>
      </w:r>
    </w:p>
    <w:p w14:paraId="1D71C32C">
      <w:pPr>
        <w:spacing w:line="360" w:lineRule="auto"/>
        <w:ind w:firstLine="420" w:firstLineChars="200"/>
        <w:rPr>
          <w:rFonts w:ascii="宋体" w:hAnsi="宋体" w:eastAsia="宋体" w:cs="宋体"/>
          <w:highlight w:val="none"/>
        </w:rPr>
      </w:pPr>
      <w:r>
        <w:rPr>
          <w:rFonts w:hint="eastAsia" w:ascii="宋体" w:hAnsi="宋体" w:eastAsia="宋体" w:cs="宋体"/>
          <w:highlight w:val="none"/>
        </w:rPr>
        <w:t>姓名：</w:t>
      </w:r>
      <w:r>
        <w:rPr>
          <w:rFonts w:hint="eastAsia" w:ascii="宋体" w:hAnsi="宋体" w:eastAsia="宋体" w:cs="宋体"/>
          <w:highlight w:val="none"/>
          <w:u w:val="single"/>
        </w:rPr>
        <w:t xml:space="preserve">            </w:t>
      </w:r>
      <w:r>
        <w:rPr>
          <w:rFonts w:hint="eastAsia" w:ascii="宋体" w:hAnsi="宋体" w:eastAsia="宋体" w:cs="宋体"/>
          <w:highlight w:val="none"/>
        </w:rPr>
        <w:t>性别：</w:t>
      </w:r>
      <w:r>
        <w:rPr>
          <w:rFonts w:hint="eastAsia" w:ascii="宋体" w:hAnsi="宋体" w:eastAsia="宋体" w:cs="宋体"/>
          <w:highlight w:val="none"/>
          <w:u w:val="single"/>
        </w:rPr>
        <w:t xml:space="preserve">            </w:t>
      </w:r>
      <w:r>
        <w:rPr>
          <w:rFonts w:hint="eastAsia" w:ascii="宋体" w:hAnsi="宋体" w:eastAsia="宋体" w:cs="宋体"/>
          <w:highlight w:val="none"/>
        </w:rPr>
        <w:t>年龄：</w:t>
      </w:r>
      <w:r>
        <w:rPr>
          <w:rFonts w:hint="eastAsia" w:ascii="宋体" w:hAnsi="宋体" w:eastAsia="宋体" w:cs="宋体"/>
          <w:highlight w:val="none"/>
          <w:u w:val="single"/>
        </w:rPr>
        <w:t xml:space="preserve">            </w:t>
      </w:r>
      <w:r>
        <w:rPr>
          <w:rFonts w:hint="eastAsia" w:ascii="宋体" w:hAnsi="宋体" w:eastAsia="宋体" w:cs="宋体"/>
          <w:highlight w:val="none"/>
        </w:rPr>
        <w:t>职务：</w:t>
      </w:r>
      <w:r>
        <w:rPr>
          <w:rFonts w:hint="eastAsia" w:ascii="宋体" w:hAnsi="宋体" w:eastAsia="宋体" w:cs="宋体"/>
          <w:highlight w:val="none"/>
          <w:u w:val="single"/>
        </w:rPr>
        <w:t xml:space="preserve">            </w:t>
      </w:r>
    </w:p>
    <w:p w14:paraId="1B2CE868">
      <w:pPr>
        <w:spacing w:line="360" w:lineRule="auto"/>
        <w:ind w:firstLine="420" w:firstLineChars="200"/>
        <w:rPr>
          <w:rFonts w:ascii="宋体" w:hAnsi="宋体" w:eastAsia="宋体" w:cs="宋体"/>
          <w:highlight w:val="none"/>
        </w:rPr>
      </w:pPr>
      <w:r>
        <w:rPr>
          <w:rFonts w:hint="eastAsia" w:ascii="宋体" w:hAnsi="宋体" w:eastAsia="宋体" w:cs="宋体"/>
          <w:highlight w:val="none"/>
        </w:rPr>
        <w:t>系</w:t>
      </w:r>
      <w:r>
        <w:rPr>
          <w:rFonts w:hint="eastAsia" w:ascii="宋体" w:hAnsi="宋体" w:eastAsia="宋体" w:cs="宋体"/>
          <w:highlight w:val="none"/>
          <w:u w:val="single"/>
        </w:rPr>
        <w:t xml:space="preserve">                        </w:t>
      </w:r>
      <w:r>
        <w:rPr>
          <w:rFonts w:hint="eastAsia" w:ascii="宋体" w:hAnsi="宋体" w:eastAsia="宋体" w:cs="宋体"/>
          <w:highlight w:val="none"/>
        </w:rPr>
        <w:t>（磋商申请人名称）的法定代表人（负责人）。</w:t>
      </w:r>
    </w:p>
    <w:p w14:paraId="71373486">
      <w:pPr>
        <w:spacing w:line="360" w:lineRule="auto"/>
        <w:ind w:firstLine="420" w:firstLineChars="200"/>
        <w:rPr>
          <w:rFonts w:ascii="宋体" w:hAnsi="宋体" w:eastAsia="宋体" w:cs="宋体"/>
          <w:highlight w:val="none"/>
        </w:rPr>
      </w:pPr>
    </w:p>
    <w:p w14:paraId="78140465">
      <w:pPr>
        <w:spacing w:line="360" w:lineRule="auto"/>
        <w:ind w:firstLine="840" w:firstLineChars="400"/>
        <w:rPr>
          <w:rFonts w:ascii="宋体" w:hAnsi="宋体" w:eastAsia="宋体" w:cs="宋体"/>
          <w:highlight w:val="none"/>
        </w:rPr>
      </w:pPr>
      <w:r>
        <w:rPr>
          <w:rFonts w:hint="eastAsia" w:ascii="宋体" w:hAnsi="宋体" w:eastAsia="宋体" w:cs="宋体"/>
          <w:highlight w:val="none"/>
        </w:rPr>
        <w:t>特此证明。</w:t>
      </w:r>
    </w:p>
    <w:p w14:paraId="66D0413E">
      <w:pPr>
        <w:spacing w:line="360" w:lineRule="auto"/>
        <w:ind w:firstLine="482" w:firstLineChars="200"/>
        <w:rPr>
          <w:rFonts w:ascii="宋体" w:hAnsi="宋体" w:eastAsia="宋体" w:cs="宋体"/>
          <w:b/>
          <w:bCs/>
          <w:sz w:val="24"/>
          <w:szCs w:val="24"/>
          <w:highlight w:val="none"/>
        </w:rPr>
      </w:pPr>
    </w:p>
    <w:p w14:paraId="26EFB6A8">
      <w:pPr>
        <w:spacing w:line="360" w:lineRule="auto"/>
        <w:ind w:firstLine="422" w:firstLineChars="200"/>
        <w:rPr>
          <w:rFonts w:ascii="宋体" w:hAnsi="宋体" w:eastAsia="宋体" w:cs="宋体"/>
          <w:highlight w:val="none"/>
        </w:rPr>
      </w:pPr>
      <w:r>
        <w:rPr>
          <w:rFonts w:hint="eastAsia" w:ascii="宋体" w:hAnsi="宋体" w:eastAsia="宋体" w:cs="宋体"/>
          <w:b/>
          <w:bCs/>
          <w:highlight w:val="none"/>
        </w:rPr>
        <w:t>注：后附法定代表人（负责人）身份证复印件。</w:t>
      </w:r>
    </w:p>
    <w:p w14:paraId="26B00953">
      <w:pPr>
        <w:spacing w:line="360" w:lineRule="auto"/>
        <w:ind w:firstLine="420" w:firstLineChars="200"/>
        <w:rPr>
          <w:rFonts w:ascii="宋体" w:hAnsi="宋体" w:eastAsia="宋体" w:cs="宋体"/>
          <w:highlight w:val="none"/>
        </w:rPr>
      </w:pPr>
    </w:p>
    <w:p w14:paraId="5221D29D">
      <w:pPr>
        <w:spacing w:line="360" w:lineRule="auto"/>
        <w:ind w:left="3780" w:leftChars="1800" w:firstLine="420" w:firstLineChars="200"/>
        <w:rPr>
          <w:rFonts w:ascii="宋体" w:hAnsi="宋体" w:eastAsia="宋体" w:cs="宋体"/>
          <w:highlight w:val="none"/>
        </w:rPr>
      </w:pPr>
      <w:r>
        <w:rPr>
          <w:rFonts w:hint="eastAsia" w:ascii="宋体" w:hAnsi="宋体" w:eastAsia="宋体" w:cs="宋体"/>
          <w:highlight w:val="none"/>
        </w:rPr>
        <w:t>磋商申请人：</w:t>
      </w:r>
      <w:r>
        <w:rPr>
          <w:rFonts w:hint="eastAsia" w:ascii="宋体" w:hAnsi="宋体" w:eastAsia="宋体" w:cs="宋体"/>
          <w:highlight w:val="none"/>
          <w:u w:val="single"/>
        </w:rPr>
        <w:t xml:space="preserve">       （全称）         </w:t>
      </w:r>
      <w:r>
        <w:rPr>
          <w:rFonts w:hint="eastAsia" w:ascii="宋体" w:hAnsi="宋体" w:eastAsia="宋体" w:cs="宋体"/>
          <w:highlight w:val="none"/>
        </w:rPr>
        <w:t>（加盖单位公章）</w:t>
      </w:r>
    </w:p>
    <w:p w14:paraId="5F5700B2">
      <w:pPr>
        <w:spacing w:line="360" w:lineRule="auto"/>
        <w:ind w:left="3780" w:leftChars="1800" w:firstLine="1050" w:firstLineChars="500"/>
        <w:rPr>
          <w:rFonts w:ascii="宋体" w:hAnsi="宋体" w:eastAsia="宋体" w:cs="宋体"/>
          <w:highlight w:val="none"/>
        </w:rPr>
      </w:pPr>
      <w:r>
        <w:rPr>
          <w:rFonts w:hint="eastAsia" w:ascii="宋体" w:hAnsi="宋体" w:eastAsia="宋体" w:cs="宋体"/>
          <w:highlight w:val="none"/>
          <w:u w:val="single"/>
        </w:rPr>
        <w:t xml:space="preserve">         </w:t>
      </w:r>
      <w:r>
        <w:rPr>
          <w:rFonts w:hint="eastAsia" w:ascii="宋体" w:hAnsi="宋体" w:eastAsia="宋体" w:cs="宋体"/>
          <w:highlight w:val="none"/>
        </w:rPr>
        <w:t>年</w:t>
      </w:r>
      <w:r>
        <w:rPr>
          <w:rFonts w:hint="eastAsia" w:ascii="宋体" w:hAnsi="宋体" w:eastAsia="宋体" w:cs="宋体"/>
          <w:highlight w:val="none"/>
          <w:u w:val="single"/>
        </w:rPr>
        <w:t xml:space="preserve">       </w:t>
      </w:r>
      <w:r>
        <w:rPr>
          <w:rFonts w:hint="eastAsia" w:ascii="宋体" w:hAnsi="宋体" w:eastAsia="宋体" w:cs="宋体"/>
          <w:highlight w:val="none"/>
        </w:rPr>
        <w:t>月</w:t>
      </w:r>
      <w:r>
        <w:rPr>
          <w:rFonts w:hint="eastAsia" w:ascii="宋体" w:hAnsi="宋体" w:eastAsia="宋体" w:cs="宋体"/>
          <w:highlight w:val="none"/>
          <w:u w:val="single"/>
        </w:rPr>
        <w:t xml:space="preserve">        </w:t>
      </w:r>
      <w:r>
        <w:rPr>
          <w:rFonts w:hint="eastAsia" w:ascii="宋体" w:hAnsi="宋体" w:eastAsia="宋体" w:cs="宋体"/>
          <w:highlight w:val="none"/>
        </w:rPr>
        <w:t>日</w:t>
      </w:r>
    </w:p>
    <w:p w14:paraId="65902397">
      <w:pPr>
        <w:pStyle w:val="42"/>
        <w:ind w:left="840" w:hanging="420"/>
        <w:rPr>
          <w:rFonts w:ascii="宋体" w:hAnsi="宋体" w:cs="宋体"/>
          <w:highlight w:val="none"/>
        </w:rPr>
      </w:pPr>
    </w:p>
    <w:p w14:paraId="115D7B81">
      <w:pPr>
        <w:pStyle w:val="43"/>
        <w:rPr>
          <w:rFonts w:ascii="宋体" w:hAnsi="宋体" w:cs="宋体"/>
          <w:highlight w:val="none"/>
        </w:rPr>
      </w:pPr>
    </w:p>
    <w:p w14:paraId="1DAEA5B7">
      <w:pPr>
        <w:spacing w:line="360" w:lineRule="auto"/>
        <w:ind w:firstLine="420" w:firstLineChars="200"/>
        <w:rPr>
          <w:rFonts w:ascii="宋体" w:hAnsi="宋体" w:eastAsia="宋体" w:cs="宋体"/>
          <w:highlight w:val="none"/>
        </w:rPr>
      </w:pPr>
    </w:p>
    <w:p w14:paraId="65388F92">
      <w:pPr>
        <w:widowControl/>
        <w:jc w:val="left"/>
        <w:rPr>
          <w:rFonts w:ascii="宋体" w:hAnsi="宋体" w:eastAsia="宋体" w:cs="宋体"/>
          <w:highlight w:val="none"/>
        </w:rPr>
      </w:pPr>
      <w:r>
        <w:rPr>
          <w:rFonts w:hint="eastAsia" w:ascii="宋体" w:hAnsi="宋体" w:eastAsia="宋体" w:cs="宋体"/>
          <w:highlight w:val="none"/>
        </w:rPr>
        <w:br w:type="page"/>
      </w:r>
    </w:p>
    <w:p w14:paraId="051580BD">
      <w:pPr>
        <w:spacing w:line="360" w:lineRule="auto"/>
        <w:jc w:val="center"/>
        <w:rPr>
          <w:rFonts w:ascii="宋体" w:hAnsi="宋体" w:eastAsia="宋体" w:cs="宋体"/>
          <w:b/>
          <w:bCs/>
          <w:sz w:val="28"/>
          <w:szCs w:val="28"/>
          <w:highlight w:val="none"/>
        </w:rPr>
      </w:pPr>
      <w:r>
        <w:rPr>
          <w:rFonts w:hint="eastAsia" w:ascii="宋体" w:hAnsi="宋体" w:eastAsia="宋体" w:cs="宋体"/>
          <w:b/>
          <w:bCs/>
          <w:sz w:val="28"/>
          <w:szCs w:val="28"/>
          <w:highlight w:val="none"/>
        </w:rPr>
        <w:t>格式2-3：法定代表人（负责人）授权委托书</w:t>
      </w:r>
    </w:p>
    <w:p w14:paraId="5F0C1D0D">
      <w:pPr>
        <w:spacing w:line="360" w:lineRule="auto"/>
        <w:ind w:firstLine="420" w:firstLineChars="200"/>
        <w:rPr>
          <w:rFonts w:ascii="宋体" w:hAnsi="宋体" w:eastAsia="宋体" w:cs="宋体"/>
          <w:highlight w:val="none"/>
        </w:rPr>
      </w:pPr>
    </w:p>
    <w:p w14:paraId="54C5B1A7">
      <w:pPr>
        <w:spacing w:line="360" w:lineRule="auto"/>
        <w:ind w:firstLine="420" w:firstLineChars="200"/>
        <w:rPr>
          <w:rFonts w:ascii="宋体" w:hAnsi="宋体" w:eastAsia="宋体" w:cs="宋体"/>
          <w:highlight w:val="none"/>
        </w:rPr>
      </w:pPr>
    </w:p>
    <w:p w14:paraId="49210D65">
      <w:pPr>
        <w:spacing w:line="360" w:lineRule="auto"/>
        <w:ind w:firstLine="420" w:firstLineChars="200"/>
        <w:rPr>
          <w:rFonts w:ascii="宋体" w:hAnsi="宋体" w:eastAsia="宋体" w:cs="宋体"/>
          <w:highlight w:val="none"/>
        </w:rPr>
      </w:pPr>
      <w:r>
        <w:rPr>
          <w:rFonts w:hint="eastAsia" w:ascii="宋体" w:hAnsi="宋体" w:eastAsia="宋体" w:cs="宋体"/>
          <w:highlight w:val="none"/>
        </w:rPr>
        <w:t>本授权书声明：</w:t>
      </w:r>
      <w:r>
        <w:rPr>
          <w:rFonts w:hint="eastAsia" w:ascii="宋体" w:hAnsi="宋体" w:eastAsia="宋体" w:cs="宋体"/>
          <w:highlight w:val="none"/>
          <w:u w:val="single"/>
        </w:rPr>
        <w:t xml:space="preserve">       （磋商申请人全称）     </w:t>
      </w:r>
      <w:r>
        <w:rPr>
          <w:rFonts w:hint="eastAsia" w:ascii="宋体" w:hAnsi="宋体" w:eastAsia="宋体" w:cs="宋体"/>
          <w:highlight w:val="none"/>
        </w:rPr>
        <w:t>的法定代表人（负责人）代表本公司授权</w:t>
      </w:r>
      <w:r>
        <w:rPr>
          <w:rFonts w:hint="eastAsia" w:ascii="宋体" w:hAnsi="宋体" w:eastAsia="宋体" w:cs="宋体"/>
          <w:highlight w:val="none"/>
          <w:u w:val="single"/>
        </w:rPr>
        <w:t xml:space="preserve">   （委托代理人姓名）   </w:t>
      </w:r>
      <w:r>
        <w:rPr>
          <w:rFonts w:hint="eastAsia" w:ascii="宋体" w:hAnsi="宋体" w:eastAsia="宋体" w:cs="宋体"/>
          <w:highlight w:val="none"/>
        </w:rPr>
        <w:t>为本公司（单位）合法代理人，以本单位名义出席参加贵方组织的</w:t>
      </w:r>
      <w:r>
        <w:rPr>
          <w:rFonts w:hint="eastAsia" w:ascii="宋体" w:hAnsi="宋体" w:eastAsia="宋体" w:cs="宋体"/>
          <w:highlight w:val="none"/>
          <w:u w:val="single"/>
        </w:rPr>
        <w:t xml:space="preserve">     （项目名称、项目编号）      </w:t>
      </w:r>
      <w:r>
        <w:rPr>
          <w:rFonts w:hint="eastAsia" w:ascii="宋体" w:hAnsi="宋体" w:eastAsia="宋体" w:cs="宋体"/>
          <w:highlight w:val="none"/>
        </w:rPr>
        <w:t>项目的磋商。代理人在本项目磋商过程中所签署的一切文件和处理与之有关的一切事务，我方均予以承认。</w:t>
      </w:r>
    </w:p>
    <w:p w14:paraId="68469DD7">
      <w:pPr>
        <w:spacing w:line="360" w:lineRule="auto"/>
        <w:ind w:firstLine="420" w:firstLineChars="200"/>
        <w:rPr>
          <w:rFonts w:ascii="宋体" w:hAnsi="宋体" w:eastAsia="宋体" w:cs="宋体"/>
          <w:highlight w:val="none"/>
        </w:rPr>
      </w:pPr>
      <w:r>
        <w:rPr>
          <w:rFonts w:hint="eastAsia" w:ascii="宋体" w:hAnsi="宋体" w:eastAsia="宋体" w:cs="宋体"/>
          <w:highlight w:val="none"/>
        </w:rPr>
        <w:t>代理人无转委托权。</w:t>
      </w:r>
    </w:p>
    <w:p w14:paraId="6272660A">
      <w:pPr>
        <w:spacing w:line="360" w:lineRule="auto"/>
        <w:ind w:firstLine="420" w:firstLineChars="200"/>
        <w:rPr>
          <w:rFonts w:ascii="宋体" w:hAnsi="宋体" w:eastAsia="宋体" w:cs="宋体"/>
          <w:highlight w:val="none"/>
        </w:rPr>
      </w:pPr>
    </w:p>
    <w:p w14:paraId="16B97E10">
      <w:pPr>
        <w:spacing w:line="360" w:lineRule="auto"/>
        <w:ind w:firstLine="420" w:firstLineChars="200"/>
        <w:rPr>
          <w:rFonts w:ascii="宋体" w:hAnsi="宋体" w:eastAsia="宋体" w:cs="宋体"/>
          <w:highlight w:val="none"/>
        </w:rPr>
      </w:pPr>
      <w:r>
        <w:rPr>
          <w:rFonts w:hint="eastAsia" w:ascii="宋体" w:hAnsi="宋体" w:eastAsia="宋体" w:cs="宋体"/>
          <w:highlight w:val="none"/>
        </w:rPr>
        <w:t>磋商申请人：</w:t>
      </w:r>
      <w:r>
        <w:rPr>
          <w:rFonts w:hint="eastAsia" w:ascii="宋体" w:hAnsi="宋体" w:eastAsia="宋体" w:cs="宋体"/>
          <w:highlight w:val="none"/>
          <w:u w:val="single"/>
        </w:rPr>
        <w:t xml:space="preserve">        （全称）      </w:t>
      </w:r>
      <w:r>
        <w:rPr>
          <w:rFonts w:hint="eastAsia" w:ascii="宋体" w:hAnsi="宋体" w:eastAsia="宋体" w:cs="宋体"/>
          <w:highlight w:val="none"/>
        </w:rPr>
        <w:t>（加盖单位公章）</w:t>
      </w:r>
    </w:p>
    <w:p w14:paraId="2839B095">
      <w:pPr>
        <w:spacing w:line="360" w:lineRule="auto"/>
        <w:ind w:firstLine="420" w:firstLineChars="200"/>
        <w:rPr>
          <w:rFonts w:ascii="宋体" w:hAnsi="宋体" w:eastAsia="宋体" w:cs="宋体"/>
          <w:highlight w:val="none"/>
        </w:rPr>
      </w:pPr>
      <w:r>
        <w:rPr>
          <w:rFonts w:hint="eastAsia" w:ascii="宋体" w:hAnsi="宋体" w:eastAsia="宋体" w:cs="宋体"/>
          <w:highlight w:val="none"/>
        </w:rPr>
        <w:t>法定代表人（负责人）：</w:t>
      </w:r>
      <w:r>
        <w:rPr>
          <w:rFonts w:hint="eastAsia" w:ascii="宋体" w:hAnsi="宋体" w:eastAsia="宋体" w:cs="宋体"/>
          <w:highlight w:val="none"/>
          <w:u w:val="single"/>
        </w:rPr>
        <w:t xml:space="preserve">                      </w:t>
      </w:r>
      <w:r>
        <w:rPr>
          <w:rFonts w:hint="eastAsia" w:ascii="宋体" w:hAnsi="宋体" w:eastAsia="宋体" w:cs="宋体"/>
          <w:highlight w:val="none"/>
        </w:rPr>
        <w:t>（签字或加盖个人印章）</w:t>
      </w:r>
    </w:p>
    <w:p w14:paraId="0A805753">
      <w:pPr>
        <w:spacing w:line="360" w:lineRule="auto"/>
        <w:ind w:firstLine="420" w:firstLineChars="200"/>
        <w:rPr>
          <w:rFonts w:ascii="宋体" w:hAnsi="宋体" w:eastAsia="宋体" w:cs="宋体"/>
          <w:highlight w:val="none"/>
        </w:rPr>
      </w:pPr>
    </w:p>
    <w:p w14:paraId="6608DB12">
      <w:pPr>
        <w:spacing w:line="360" w:lineRule="auto"/>
        <w:ind w:firstLine="420" w:firstLineChars="200"/>
        <w:rPr>
          <w:rFonts w:ascii="宋体" w:hAnsi="宋体" w:eastAsia="宋体" w:cs="宋体"/>
          <w:highlight w:val="none"/>
        </w:rPr>
      </w:pPr>
      <w:r>
        <w:rPr>
          <w:rFonts w:hint="eastAsia" w:ascii="宋体" w:hAnsi="宋体" w:eastAsia="宋体" w:cs="宋体"/>
          <w:highlight w:val="none"/>
        </w:rPr>
        <w:t>委托代理人相关信息</w:t>
      </w:r>
    </w:p>
    <w:p w14:paraId="5F679B24">
      <w:pPr>
        <w:spacing w:line="360" w:lineRule="auto"/>
        <w:ind w:firstLine="420" w:firstLineChars="200"/>
        <w:rPr>
          <w:rFonts w:ascii="宋体" w:hAnsi="宋体" w:eastAsia="宋体" w:cs="宋体"/>
          <w:highlight w:val="none"/>
        </w:rPr>
      </w:pPr>
      <w:r>
        <w:rPr>
          <w:rFonts w:hint="eastAsia" w:ascii="宋体" w:hAnsi="宋体" w:eastAsia="宋体" w:cs="宋体"/>
          <w:highlight w:val="none"/>
        </w:rPr>
        <w:t>姓      名：</w:t>
      </w:r>
      <w:r>
        <w:rPr>
          <w:rFonts w:hint="eastAsia" w:ascii="宋体" w:hAnsi="宋体" w:eastAsia="宋体" w:cs="宋体"/>
          <w:highlight w:val="none"/>
          <w:u w:val="single"/>
        </w:rPr>
        <w:t xml:space="preserve">                             </w:t>
      </w:r>
      <w:r>
        <w:rPr>
          <w:rFonts w:hint="eastAsia" w:ascii="宋体" w:hAnsi="宋体" w:eastAsia="宋体" w:cs="宋体"/>
          <w:highlight w:val="none"/>
        </w:rPr>
        <w:t>（签字或加盖个人印章）</w:t>
      </w:r>
    </w:p>
    <w:p w14:paraId="7994724B">
      <w:pPr>
        <w:spacing w:line="360" w:lineRule="auto"/>
        <w:ind w:firstLine="420" w:firstLineChars="200"/>
        <w:rPr>
          <w:rFonts w:ascii="宋体" w:hAnsi="宋体" w:eastAsia="宋体" w:cs="宋体"/>
          <w:highlight w:val="none"/>
        </w:rPr>
      </w:pPr>
      <w:r>
        <w:rPr>
          <w:rFonts w:hint="eastAsia" w:ascii="宋体" w:hAnsi="宋体" w:eastAsia="宋体" w:cs="宋体"/>
          <w:highlight w:val="none"/>
        </w:rPr>
        <w:t>职      务：</w:t>
      </w:r>
      <w:r>
        <w:rPr>
          <w:rFonts w:hint="eastAsia" w:ascii="宋体" w:hAnsi="宋体" w:eastAsia="宋体" w:cs="宋体"/>
          <w:highlight w:val="none"/>
          <w:u w:val="single"/>
        </w:rPr>
        <w:t xml:space="preserve">                             </w:t>
      </w:r>
    </w:p>
    <w:p w14:paraId="0565610E">
      <w:pPr>
        <w:spacing w:line="360" w:lineRule="auto"/>
        <w:ind w:firstLine="420" w:firstLineChars="200"/>
        <w:rPr>
          <w:rFonts w:ascii="宋体" w:hAnsi="宋体" w:eastAsia="宋体" w:cs="宋体"/>
          <w:highlight w:val="none"/>
        </w:rPr>
      </w:pPr>
      <w:r>
        <w:rPr>
          <w:rFonts w:hint="eastAsia" w:ascii="宋体" w:hAnsi="宋体" w:eastAsia="宋体" w:cs="宋体"/>
          <w:highlight w:val="none"/>
        </w:rPr>
        <w:t>代理人身份证号码：</w:t>
      </w:r>
      <w:r>
        <w:rPr>
          <w:rFonts w:hint="eastAsia" w:ascii="宋体" w:hAnsi="宋体" w:eastAsia="宋体" w:cs="宋体"/>
          <w:highlight w:val="none"/>
          <w:u w:val="single"/>
        </w:rPr>
        <w:t xml:space="preserve">                       </w:t>
      </w:r>
    </w:p>
    <w:p w14:paraId="7AACC9F9">
      <w:pPr>
        <w:spacing w:line="360" w:lineRule="auto"/>
        <w:ind w:firstLine="420" w:firstLineChars="200"/>
        <w:rPr>
          <w:rFonts w:ascii="宋体" w:hAnsi="宋体" w:eastAsia="宋体" w:cs="宋体"/>
          <w:highlight w:val="none"/>
          <w:u w:val="single"/>
        </w:rPr>
      </w:pPr>
      <w:r>
        <w:rPr>
          <w:rFonts w:hint="eastAsia" w:ascii="宋体" w:hAnsi="宋体" w:eastAsia="宋体" w:cs="宋体"/>
          <w:highlight w:val="none"/>
        </w:rPr>
        <w:t>委托代理人详细地址：</w:t>
      </w:r>
      <w:r>
        <w:rPr>
          <w:rFonts w:hint="eastAsia" w:ascii="宋体" w:hAnsi="宋体" w:eastAsia="宋体" w:cs="宋体"/>
          <w:highlight w:val="none"/>
          <w:u w:val="single"/>
        </w:rPr>
        <w:t xml:space="preserve">                             </w:t>
      </w:r>
    </w:p>
    <w:p w14:paraId="67DBD0BE">
      <w:pPr>
        <w:spacing w:line="360" w:lineRule="auto"/>
        <w:ind w:firstLine="420" w:firstLineChars="200"/>
        <w:rPr>
          <w:rFonts w:ascii="宋体" w:hAnsi="宋体" w:eastAsia="宋体" w:cs="宋体"/>
          <w:highlight w:val="none"/>
        </w:rPr>
      </w:pPr>
      <w:r>
        <w:rPr>
          <w:rFonts w:hint="eastAsia" w:ascii="宋体" w:hAnsi="宋体" w:eastAsia="宋体" w:cs="宋体"/>
          <w:highlight w:val="none"/>
        </w:rPr>
        <w:t>电      话：</w:t>
      </w:r>
      <w:r>
        <w:rPr>
          <w:rFonts w:hint="eastAsia" w:ascii="宋体" w:hAnsi="宋体" w:eastAsia="宋体" w:cs="宋体"/>
          <w:highlight w:val="none"/>
          <w:u w:val="single"/>
        </w:rPr>
        <w:t xml:space="preserve">                             </w:t>
      </w:r>
    </w:p>
    <w:p w14:paraId="307F15AC">
      <w:pPr>
        <w:spacing w:line="360" w:lineRule="auto"/>
        <w:ind w:firstLine="420" w:firstLineChars="200"/>
        <w:rPr>
          <w:rFonts w:ascii="宋体" w:hAnsi="宋体" w:eastAsia="宋体" w:cs="宋体"/>
          <w:highlight w:val="none"/>
          <w:u w:val="single"/>
        </w:rPr>
      </w:pPr>
    </w:p>
    <w:p w14:paraId="350E23A0">
      <w:pPr>
        <w:spacing w:line="360" w:lineRule="auto"/>
        <w:ind w:firstLine="420" w:firstLineChars="200"/>
        <w:rPr>
          <w:rFonts w:ascii="宋体" w:hAnsi="宋体" w:eastAsia="宋体" w:cs="宋体"/>
          <w:highlight w:val="none"/>
        </w:rPr>
      </w:pPr>
      <w:r>
        <w:rPr>
          <w:rFonts w:hint="eastAsia" w:ascii="宋体" w:hAnsi="宋体" w:eastAsia="宋体" w:cs="宋体"/>
          <w:highlight w:val="none"/>
        </w:rPr>
        <w:t>日      期：</w:t>
      </w:r>
      <w:r>
        <w:rPr>
          <w:rFonts w:hint="eastAsia" w:ascii="宋体" w:hAnsi="宋体" w:eastAsia="宋体" w:cs="宋体"/>
          <w:highlight w:val="none"/>
          <w:u w:val="single"/>
        </w:rPr>
        <w:t xml:space="preserve">          </w:t>
      </w:r>
      <w:r>
        <w:rPr>
          <w:rFonts w:hint="eastAsia" w:ascii="宋体" w:hAnsi="宋体" w:eastAsia="宋体" w:cs="宋体"/>
          <w:highlight w:val="none"/>
        </w:rPr>
        <w:t>年</w:t>
      </w:r>
      <w:r>
        <w:rPr>
          <w:rFonts w:hint="eastAsia" w:ascii="宋体" w:hAnsi="宋体" w:eastAsia="宋体" w:cs="宋体"/>
          <w:highlight w:val="none"/>
          <w:u w:val="single"/>
        </w:rPr>
        <w:t xml:space="preserve">       </w:t>
      </w:r>
      <w:r>
        <w:rPr>
          <w:rFonts w:hint="eastAsia" w:ascii="宋体" w:hAnsi="宋体" w:eastAsia="宋体" w:cs="宋体"/>
          <w:highlight w:val="none"/>
        </w:rPr>
        <w:t>月</w:t>
      </w:r>
      <w:r>
        <w:rPr>
          <w:rFonts w:hint="eastAsia" w:ascii="宋体" w:hAnsi="宋体" w:eastAsia="宋体" w:cs="宋体"/>
          <w:highlight w:val="none"/>
          <w:u w:val="single"/>
        </w:rPr>
        <w:t xml:space="preserve">        </w:t>
      </w:r>
      <w:r>
        <w:rPr>
          <w:rFonts w:hint="eastAsia" w:ascii="宋体" w:hAnsi="宋体" w:eastAsia="宋体" w:cs="宋体"/>
          <w:highlight w:val="none"/>
        </w:rPr>
        <w:t>日</w:t>
      </w:r>
    </w:p>
    <w:p w14:paraId="3CF32250">
      <w:pPr>
        <w:spacing w:line="360" w:lineRule="auto"/>
        <w:ind w:firstLine="420" w:firstLineChars="200"/>
        <w:rPr>
          <w:rFonts w:ascii="宋体" w:hAnsi="宋体" w:eastAsia="宋体" w:cs="宋体"/>
          <w:highlight w:val="none"/>
        </w:rPr>
      </w:pPr>
    </w:p>
    <w:p w14:paraId="26441B71">
      <w:pPr>
        <w:spacing w:line="360" w:lineRule="auto"/>
        <w:ind w:firstLine="420" w:firstLineChars="200"/>
        <w:rPr>
          <w:rFonts w:ascii="宋体" w:hAnsi="宋体" w:eastAsia="宋体" w:cs="宋体"/>
          <w:highlight w:val="none"/>
        </w:rPr>
      </w:pPr>
    </w:p>
    <w:p w14:paraId="00EC8714">
      <w:pPr>
        <w:spacing w:line="360" w:lineRule="auto"/>
        <w:ind w:firstLine="422" w:firstLineChars="200"/>
        <w:rPr>
          <w:rFonts w:ascii="宋体" w:hAnsi="宋体" w:eastAsia="宋体" w:cs="宋体"/>
          <w:b/>
          <w:szCs w:val="21"/>
          <w:highlight w:val="none"/>
        </w:rPr>
      </w:pPr>
      <w:r>
        <w:rPr>
          <w:rFonts w:hint="eastAsia" w:ascii="宋体" w:hAnsi="宋体" w:eastAsia="宋体" w:cs="宋体"/>
          <w:b/>
          <w:szCs w:val="21"/>
          <w:highlight w:val="none"/>
        </w:rPr>
        <w:t>后附被授权人身份证复印件及近期三个月内社保证明（成立未满3个月的单位无需提供授权人的社保证明）。</w:t>
      </w:r>
    </w:p>
    <w:p w14:paraId="709DA885">
      <w:pPr>
        <w:pStyle w:val="42"/>
        <w:ind w:left="842" w:hanging="422"/>
        <w:rPr>
          <w:rFonts w:ascii="宋体" w:hAnsi="宋体" w:cs="宋体"/>
          <w:b/>
          <w:szCs w:val="21"/>
          <w:highlight w:val="none"/>
        </w:rPr>
      </w:pPr>
    </w:p>
    <w:p w14:paraId="14037054">
      <w:pPr>
        <w:pStyle w:val="43"/>
        <w:rPr>
          <w:rFonts w:ascii="宋体" w:hAnsi="宋体" w:cs="宋体"/>
          <w:b/>
          <w:szCs w:val="21"/>
          <w:highlight w:val="none"/>
        </w:rPr>
      </w:pPr>
    </w:p>
    <w:p w14:paraId="5DDF4AB8">
      <w:pPr>
        <w:pStyle w:val="42"/>
        <w:ind w:left="840" w:hanging="420"/>
        <w:rPr>
          <w:rFonts w:ascii="宋体" w:hAnsi="宋体" w:cs="宋体"/>
          <w:highlight w:val="none"/>
        </w:rPr>
      </w:pPr>
    </w:p>
    <w:p w14:paraId="0BC929AB">
      <w:pPr>
        <w:keepNext/>
        <w:spacing w:line="360" w:lineRule="auto"/>
        <w:ind w:firstLine="422" w:firstLineChars="200"/>
        <w:rPr>
          <w:rFonts w:ascii="宋体" w:hAnsi="宋体" w:eastAsia="宋体" w:cs="宋体"/>
          <w:b/>
          <w:szCs w:val="21"/>
          <w:highlight w:val="none"/>
        </w:rPr>
      </w:pPr>
    </w:p>
    <w:p w14:paraId="61B9B742">
      <w:pPr>
        <w:widowControl/>
        <w:jc w:val="left"/>
        <w:rPr>
          <w:rFonts w:ascii="宋体" w:hAnsi="宋体" w:eastAsia="宋体" w:cs="宋体"/>
          <w:b/>
          <w:bCs/>
          <w:szCs w:val="21"/>
          <w:highlight w:val="none"/>
        </w:rPr>
      </w:pPr>
    </w:p>
    <w:p w14:paraId="29408A4A">
      <w:pPr>
        <w:spacing w:line="460" w:lineRule="exact"/>
        <w:jc w:val="center"/>
        <w:rPr>
          <w:rFonts w:ascii="宋体" w:hAnsi="宋体" w:eastAsia="宋体" w:cs="宋体"/>
          <w:b/>
          <w:bCs/>
          <w:sz w:val="30"/>
          <w:highlight w:val="none"/>
        </w:rPr>
      </w:pPr>
      <w:r>
        <w:rPr>
          <w:rFonts w:hint="eastAsia" w:ascii="宋体" w:hAnsi="宋体" w:eastAsia="宋体" w:cs="宋体"/>
          <w:b/>
          <w:sz w:val="24"/>
          <w:szCs w:val="24"/>
          <w:highlight w:val="none"/>
        </w:rPr>
        <w:br w:type="page"/>
      </w:r>
      <w:r>
        <w:rPr>
          <w:rFonts w:hint="eastAsia" w:ascii="宋体" w:hAnsi="宋体" w:eastAsia="宋体" w:cs="宋体"/>
          <w:b/>
          <w:bCs/>
          <w:sz w:val="28"/>
          <w:szCs w:val="28"/>
          <w:highlight w:val="none"/>
        </w:rPr>
        <w:t>格式2-4：</w:t>
      </w:r>
      <w:r>
        <w:rPr>
          <w:rFonts w:hint="eastAsia" w:ascii="宋体" w:hAnsi="宋体" w:eastAsia="宋体" w:cs="宋体"/>
          <w:b/>
          <w:bCs/>
          <w:sz w:val="30"/>
          <w:highlight w:val="none"/>
        </w:rPr>
        <w:t>磋商申请人若不属于联合体的请按以下格式填写</w:t>
      </w:r>
    </w:p>
    <w:p w14:paraId="2035B8DA">
      <w:pPr>
        <w:spacing w:line="480" w:lineRule="exact"/>
        <w:jc w:val="center"/>
        <w:rPr>
          <w:rFonts w:ascii="宋体" w:hAnsi="宋体" w:eastAsia="宋体" w:cs="宋体"/>
          <w:b/>
          <w:bCs/>
          <w:sz w:val="30"/>
          <w:highlight w:val="none"/>
        </w:rPr>
      </w:pPr>
    </w:p>
    <w:p w14:paraId="1B2839F1">
      <w:pPr>
        <w:spacing w:line="480" w:lineRule="exact"/>
        <w:jc w:val="center"/>
        <w:rPr>
          <w:rFonts w:ascii="宋体" w:hAnsi="宋体" w:eastAsia="宋体" w:cs="宋体"/>
          <w:b/>
          <w:bCs/>
          <w:sz w:val="30"/>
          <w:highlight w:val="none"/>
        </w:rPr>
      </w:pPr>
      <w:r>
        <w:rPr>
          <w:rFonts w:hint="eastAsia" w:ascii="宋体" w:hAnsi="宋体" w:eastAsia="宋体" w:cs="宋体"/>
          <w:b/>
          <w:bCs/>
          <w:sz w:val="30"/>
          <w:highlight w:val="none"/>
        </w:rPr>
        <w:t xml:space="preserve">声明书 </w:t>
      </w:r>
    </w:p>
    <w:p w14:paraId="792C611B">
      <w:pPr>
        <w:spacing w:line="480" w:lineRule="exact"/>
        <w:rPr>
          <w:rFonts w:ascii="宋体" w:hAnsi="宋体" w:eastAsia="宋体" w:cs="宋体"/>
          <w:b/>
          <w:bCs/>
          <w:sz w:val="24"/>
          <w:szCs w:val="24"/>
          <w:highlight w:val="none"/>
        </w:rPr>
      </w:pPr>
    </w:p>
    <w:p w14:paraId="64B1855C">
      <w:pPr>
        <w:spacing w:line="480" w:lineRule="exact"/>
        <w:rPr>
          <w:rFonts w:ascii="宋体" w:hAnsi="宋体" w:eastAsia="宋体" w:cs="宋体"/>
          <w:b/>
          <w:szCs w:val="21"/>
          <w:highlight w:val="none"/>
          <w:u w:val="single"/>
        </w:rPr>
      </w:pPr>
      <w:r>
        <w:rPr>
          <w:rFonts w:hint="eastAsia" w:ascii="宋体" w:hAnsi="宋体" w:eastAsia="宋体" w:cs="宋体"/>
          <w:b/>
          <w:bCs/>
          <w:sz w:val="24"/>
          <w:szCs w:val="24"/>
          <w:highlight w:val="none"/>
        </w:rPr>
        <w:t xml:space="preserve"> </w:t>
      </w:r>
      <w:r>
        <w:rPr>
          <w:rFonts w:hint="eastAsia" w:ascii="宋体" w:hAnsi="宋体" w:eastAsia="宋体" w:cs="宋体"/>
          <w:b/>
          <w:szCs w:val="21"/>
          <w:highlight w:val="none"/>
        </w:rPr>
        <w:t>致：</w:t>
      </w:r>
      <w:r>
        <w:rPr>
          <w:rFonts w:hint="eastAsia" w:ascii="宋体" w:hAnsi="宋体" w:eastAsia="宋体" w:cs="宋体"/>
          <w:b/>
          <w:szCs w:val="21"/>
          <w:highlight w:val="none"/>
          <w:u w:val="single"/>
        </w:rPr>
        <w:t xml:space="preserve">    （采购人名称）       </w:t>
      </w:r>
    </w:p>
    <w:p w14:paraId="73619269">
      <w:pPr>
        <w:spacing w:line="500" w:lineRule="exact"/>
        <w:rPr>
          <w:rFonts w:ascii="宋体" w:hAnsi="宋体" w:eastAsia="宋体" w:cs="宋体"/>
          <w:b/>
          <w:szCs w:val="21"/>
          <w:highlight w:val="none"/>
        </w:rPr>
      </w:pPr>
    </w:p>
    <w:p w14:paraId="53E8942D">
      <w:pPr>
        <w:spacing w:line="500" w:lineRule="exact"/>
        <w:jc w:val="left"/>
        <w:rPr>
          <w:rFonts w:ascii="宋体" w:hAnsi="宋体" w:eastAsia="宋体" w:cs="宋体"/>
          <w:szCs w:val="21"/>
          <w:highlight w:val="none"/>
        </w:rPr>
      </w:pPr>
      <w:r>
        <w:rPr>
          <w:rFonts w:hint="eastAsia" w:ascii="宋体" w:hAnsi="宋体" w:eastAsia="宋体" w:cs="宋体"/>
          <w:szCs w:val="21"/>
          <w:highlight w:val="none"/>
        </w:rPr>
        <w:t xml:space="preserve">    在审阅了贵方</w:t>
      </w:r>
      <w:r>
        <w:rPr>
          <w:rFonts w:hint="eastAsia" w:ascii="宋体" w:hAnsi="宋体" w:eastAsia="宋体" w:cs="宋体"/>
          <w:szCs w:val="21"/>
          <w:highlight w:val="none"/>
          <w:u w:val="single"/>
        </w:rPr>
        <w:t xml:space="preserve">   </w:t>
      </w:r>
      <w:r>
        <w:rPr>
          <w:rFonts w:hint="eastAsia" w:ascii="宋体" w:hAnsi="宋体" w:eastAsia="宋体" w:cs="宋体"/>
          <w:highlight w:val="none"/>
          <w:u w:val="single"/>
        </w:rPr>
        <w:t xml:space="preserve">  （项目名称、项目编号）   </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竞争性磋商文件包括确已收到第</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号补充文件（若有，若无补充文件，请填写“/”），我方被授权签字人在此申明我方就本项目采购为独立参与磋商，我方不属于</w:t>
      </w:r>
      <w:r>
        <w:rPr>
          <w:rFonts w:hint="eastAsia" w:ascii="宋体" w:hAnsi="宋体" w:eastAsia="宋体" w:cs="宋体"/>
          <w:b/>
          <w:szCs w:val="21"/>
          <w:highlight w:val="none"/>
        </w:rPr>
        <w:t>联合体，</w:t>
      </w:r>
      <w:r>
        <w:rPr>
          <w:rFonts w:hint="eastAsia" w:ascii="宋体" w:hAnsi="宋体" w:eastAsia="宋体" w:cs="宋体"/>
          <w:szCs w:val="21"/>
          <w:highlight w:val="none"/>
        </w:rPr>
        <w:t>我方不属于</w:t>
      </w:r>
      <w:r>
        <w:rPr>
          <w:rFonts w:hint="eastAsia" w:ascii="宋体" w:hAnsi="宋体" w:eastAsia="宋体" w:cs="宋体"/>
          <w:b/>
          <w:szCs w:val="21"/>
          <w:highlight w:val="none"/>
        </w:rPr>
        <w:t>联合体，与其他磋商申请人不存在单位负责人为同一人或者存在直接控股、管理关系的情况。</w:t>
      </w:r>
    </w:p>
    <w:p w14:paraId="32A1426B">
      <w:pPr>
        <w:spacing w:line="500" w:lineRule="exact"/>
        <w:ind w:firstLine="420" w:firstLineChars="200"/>
        <w:jc w:val="left"/>
        <w:rPr>
          <w:rFonts w:ascii="宋体" w:hAnsi="宋体" w:eastAsia="宋体" w:cs="宋体"/>
          <w:szCs w:val="21"/>
          <w:highlight w:val="none"/>
        </w:rPr>
      </w:pPr>
    </w:p>
    <w:p w14:paraId="46F2B22E">
      <w:pPr>
        <w:spacing w:line="460" w:lineRule="exact"/>
        <w:ind w:firstLine="279" w:firstLineChars="133"/>
        <w:rPr>
          <w:rFonts w:ascii="宋体" w:hAnsi="宋体" w:eastAsia="宋体" w:cs="宋体"/>
          <w:szCs w:val="21"/>
          <w:highlight w:val="none"/>
        </w:rPr>
      </w:pPr>
      <w:r>
        <w:rPr>
          <w:rFonts w:hint="eastAsia" w:ascii="宋体" w:hAnsi="宋体" w:eastAsia="宋体" w:cs="宋体"/>
          <w:szCs w:val="21"/>
          <w:highlight w:val="none"/>
        </w:rPr>
        <w:t>磋商申请人：</w:t>
      </w:r>
      <w:r>
        <w:rPr>
          <w:rFonts w:hint="eastAsia" w:ascii="宋体" w:hAnsi="宋体" w:eastAsia="宋体" w:cs="宋体"/>
          <w:szCs w:val="21"/>
          <w:highlight w:val="none"/>
          <w:u w:val="single"/>
        </w:rPr>
        <w:t xml:space="preserve">        （全称）      </w:t>
      </w:r>
      <w:r>
        <w:rPr>
          <w:rFonts w:hint="eastAsia" w:ascii="宋体" w:hAnsi="宋体" w:eastAsia="宋体" w:cs="宋体"/>
          <w:szCs w:val="21"/>
          <w:highlight w:val="none"/>
        </w:rPr>
        <w:t>（加盖单位公章）</w:t>
      </w:r>
    </w:p>
    <w:p w14:paraId="6F10074A">
      <w:pPr>
        <w:spacing w:line="460" w:lineRule="exact"/>
        <w:ind w:firstLine="279" w:firstLineChars="133"/>
        <w:rPr>
          <w:rFonts w:ascii="宋体" w:hAnsi="宋体" w:eastAsia="宋体" w:cs="宋体"/>
          <w:szCs w:val="21"/>
          <w:highlight w:val="none"/>
        </w:rPr>
      </w:pPr>
      <w:r>
        <w:rPr>
          <w:rFonts w:hint="eastAsia" w:ascii="宋体" w:hAnsi="宋体" w:eastAsia="宋体" w:cs="宋体"/>
          <w:szCs w:val="21"/>
          <w:highlight w:val="none"/>
        </w:rPr>
        <w:t>法定代表人（负责人）或委托代理人：</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（签字或加盖个人印章）</w:t>
      </w:r>
    </w:p>
    <w:p w14:paraId="43232C64">
      <w:pPr>
        <w:spacing w:line="460" w:lineRule="exact"/>
        <w:ind w:firstLine="279" w:firstLineChars="133"/>
        <w:rPr>
          <w:rFonts w:ascii="宋体" w:hAnsi="宋体" w:eastAsia="宋体" w:cs="宋体"/>
          <w:szCs w:val="21"/>
          <w:highlight w:val="none"/>
        </w:rPr>
      </w:pPr>
      <w:r>
        <w:rPr>
          <w:rFonts w:hint="eastAsia" w:ascii="宋体" w:hAnsi="宋体" w:eastAsia="宋体" w:cs="宋体"/>
          <w:szCs w:val="21"/>
          <w:highlight w:val="none"/>
        </w:rPr>
        <w:t>日期：</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年</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月</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日</w:t>
      </w:r>
    </w:p>
    <w:p w14:paraId="7149E9DF">
      <w:pPr>
        <w:spacing w:line="500" w:lineRule="exact"/>
        <w:jc w:val="left"/>
        <w:rPr>
          <w:rFonts w:ascii="宋体" w:hAnsi="宋体" w:eastAsia="宋体" w:cs="宋体"/>
          <w:szCs w:val="21"/>
          <w:highlight w:val="none"/>
        </w:rPr>
      </w:pPr>
    </w:p>
    <w:p w14:paraId="7A80679A">
      <w:pPr>
        <w:rPr>
          <w:rFonts w:ascii="宋体" w:hAnsi="宋体" w:eastAsia="宋体" w:cs="宋体"/>
          <w:szCs w:val="21"/>
          <w:highlight w:val="none"/>
        </w:rPr>
      </w:pPr>
      <w:r>
        <w:rPr>
          <w:rFonts w:hint="eastAsia" w:ascii="宋体" w:hAnsi="宋体" w:eastAsia="宋体" w:cs="宋体"/>
          <w:szCs w:val="21"/>
          <w:highlight w:val="none"/>
        </w:rPr>
        <w:br w:type="page"/>
      </w:r>
    </w:p>
    <w:p w14:paraId="4B3F6EAF">
      <w:pPr>
        <w:keepNext/>
        <w:jc w:val="center"/>
        <w:rPr>
          <w:rFonts w:ascii="宋体" w:hAnsi="宋体" w:eastAsia="宋体" w:cs="宋体"/>
          <w:b/>
          <w:bCs/>
          <w:sz w:val="28"/>
          <w:szCs w:val="28"/>
          <w:highlight w:val="none"/>
        </w:rPr>
      </w:pPr>
      <w:bookmarkStart w:id="170" w:name="_Toc25357"/>
      <w:r>
        <w:rPr>
          <w:rFonts w:hint="eastAsia" w:ascii="宋体" w:hAnsi="宋体" w:eastAsia="宋体" w:cs="宋体"/>
          <w:b/>
          <w:bCs/>
          <w:sz w:val="28"/>
          <w:szCs w:val="28"/>
          <w:highlight w:val="none"/>
        </w:rPr>
        <w:t>格式3：具有良好的商业信誉和健全的财务会计制度</w:t>
      </w:r>
      <w:bookmarkEnd w:id="170"/>
    </w:p>
    <w:p w14:paraId="1EA44DBB">
      <w:pPr>
        <w:spacing w:line="460" w:lineRule="exact"/>
        <w:jc w:val="left"/>
        <w:rPr>
          <w:rFonts w:ascii="宋体" w:hAnsi="宋体" w:eastAsia="宋体" w:cs="宋体"/>
          <w:b/>
          <w:bCs/>
          <w:sz w:val="28"/>
          <w:szCs w:val="28"/>
          <w:highlight w:val="none"/>
        </w:rPr>
      </w:pPr>
      <w:r>
        <w:rPr>
          <w:rFonts w:hint="eastAsia" w:ascii="宋体" w:hAnsi="宋体" w:eastAsia="宋体" w:cs="宋体"/>
          <w:b/>
          <w:bCs/>
          <w:sz w:val="28"/>
          <w:szCs w:val="28"/>
          <w:highlight w:val="none"/>
        </w:rPr>
        <w:t>格式3-1：具有良好的商业信誉。</w:t>
      </w:r>
    </w:p>
    <w:p w14:paraId="2A2C169D">
      <w:pPr>
        <w:spacing w:line="460" w:lineRule="exact"/>
        <w:jc w:val="left"/>
        <w:rPr>
          <w:rFonts w:ascii="宋体" w:hAnsi="宋体" w:eastAsia="宋体" w:cs="宋体"/>
          <w:sz w:val="24"/>
          <w:szCs w:val="24"/>
          <w:highlight w:val="none"/>
        </w:rPr>
      </w:pPr>
    </w:p>
    <w:p w14:paraId="7CF6E7D3">
      <w:pPr>
        <w:spacing w:line="460" w:lineRule="exact"/>
        <w:jc w:val="left"/>
        <w:rPr>
          <w:rFonts w:ascii="宋体" w:hAnsi="宋体" w:eastAsia="宋体" w:cs="宋体"/>
          <w:sz w:val="24"/>
          <w:szCs w:val="24"/>
          <w:highlight w:val="none"/>
        </w:rPr>
      </w:pPr>
    </w:p>
    <w:p w14:paraId="14E077C3">
      <w:pPr>
        <w:spacing w:line="460" w:lineRule="exact"/>
        <w:ind w:firstLine="420" w:firstLineChars="200"/>
        <w:jc w:val="left"/>
        <w:rPr>
          <w:rFonts w:ascii="宋体" w:hAnsi="宋体" w:eastAsia="宋体" w:cs="宋体"/>
          <w:szCs w:val="21"/>
          <w:highlight w:val="none"/>
        </w:rPr>
      </w:pPr>
      <w:r>
        <w:rPr>
          <w:rFonts w:hint="eastAsia" w:ascii="宋体" w:hAnsi="宋体" w:eastAsia="宋体" w:cs="宋体"/>
          <w:szCs w:val="21"/>
          <w:highlight w:val="none"/>
        </w:rPr>
        <w:t>请提供具有良好的商业信誉的声明函。</w:t>
      </w:r>
    </w:p>
    <w:p w14:paraId="665C0BCB">
      <w:pPr>
        <w:spacing w:line="460" w:lineRule="exact"/>
        <w:jc w:val="left"/>
        <w:rPr>
          <w:rFonts w:ascii="宋体" w:hAnsi="宋体" w:eastAsia="宋体" w:cs="宋体"/>
          <w:szCs w:val="21"/>
          <w:highlight w:val="none"/>
        </w:rPr>
      </w:pPr>
    </w:p>
    <w:p w14:paraId="5A2308BE">
      <w:pPr>
        <w:spacing w:line="460" w:lineRule="exact"/>
        <w:jc w:val="left"/>
        <w:rPr>
          <w:rFonts w:ascii="宋体" w:hAnsi="宋体" w:eastAsia="宋体" w:cs="宋体"/>
          <w:szCs w:val="21"/>
          <w:highlight w:val="none"/>
        </w:rPr>
      </w:pPr>
    </w:p>
    <w:p w14:paraId="25C0E75A">
      <w:pPr>
        <w:spacing w:line="460" w:lineRule="exact"/>
        <w:ind w:firstLine="1200" w:firstLineChars="500"/>
        <w:jc w:val="left"/>
        <w:rPr>
          <w:rFonts w:ascii="宋体" w:hAnsi="宋体" w:eastAsia="宋体" w:cs="宋体"/>
          <w:sz w:val="24"/>
          <w:szCs w:val="24"/>
          <w:highlight w:val="none"/>
        </w:rPr>
      </w:pPr>
      <w:r>
        <w:rPr>
          <w:rFonts w:hint="eastAsia" w:ascii="宋体" w:hAnsi="宋体" w:eastAsia="宋体" w:cs="宋体"/>
          <w:sz w:val="24"/>
          <w:szCs w:val="24"/>
          <w:highlight w:val="none"/>
        </w:rPr>
        <w:t>格式自拟</w:t>
      </w:r>
    </w:p>
    <w:p w14:paraId="20A20F84">
      <w:pPr>
        <w:pStyle w:val="13"/>
        <w:ind w:firstLine="480"/>
        <w:rPr>
          <w:rFonts w:ascii="宋体" w:hAnsi="宋体" w:eastAsia="宋体" w:cs="宋体"/>
          <w:szCs w:val="24"/>
          <w:highlight w:val="none"/>
        </w:rPr>
      </w:pPr>
    </w:p>
    <w:p w14:paraId="19829913">
      <w:pPr>
        <w:pStyle w:val="38"/>
        <w:ind w:firstLine="464"/>
        <w:rPr>
          <w:rFonts w:hAnsi="宋体" w:eastAsia="宋体" w:cs="宋体"/>
          <w:sz w:val="24"/>
          <w:szCs w:val="24"/>
          <w:highlight w:val="none"/>
        </w:rPr>
      </w:pPr>
    </w:p>
    <w:p w14:paraId="44323103">
      <w:pPr>
        <w:pStyle w:val="38"/>
        <w:ind w:firstLine="464"/>
        <w:rPr>
          <w:rFonts w:hAnsi="宋体" w:eastAsia="宋体" w:cs="宋体"/>
          <w:sz w:val="24"/>
          <w:szCs w:val="24"/>
          <w:highlight w:val="none"/>
        </w:rPr>
      </w:pPr>
    </w:p>
    <w:p w14:paraId="5B7A2462">
      <w:pPr>
        <w:pStyle w:val="38"/>
        <w:ind w:firstLine="464"/>
        <w:rPr>
          <w:rFonts w:hAnsi="宋体" w:eastAsia="宋体" w:cs="宋体"/>
          <w:sz w:val="24"/>
          <w:szCs w:val="24"/>
          <w:highlight w:val="none"/>
        </w:rPr>
      </w:pPr>
    </w:p>
    <w:p w14:paraId="61CF20C5">
      <w:pPr>
        <w:pStyle w:val="38"/>
        <w:ind w:firstLine="464"/>
        <w:rPr>
          <w:rFonts w:hAnsi="宋体" w:eastAsia="宋体" w:cs="宋体"/>
          <w:sz w:val="24"/>
          <w:szCs w:val="24"/>
          <w:highlight w:val="none"/>
        </w:rPr>
      </w:pPr>
    </w:p>
    <w:p w14:paraId="3E8D05C4">
      <w:pPr>
        <w:pStyle w:val="38"/>
        <w:ind w:firstLine="464"/>
        <w:rPr>
          <w:rFonts w:hAnsi="宋体" w:eastAsia="宋体" w:cs="宋体"/>
          <w:sz w:val="24"/>
          <w:szCs w:val="24"/>
          <w:highlight w:val="none"/>
        </w:rPr>
      </w:pPr>
    </w:p>
    <w:p w14:paraId="0FE62205">
      <w:pPr>
        <w:pStyle w:val="38"/>
        <w:ind w:firstLine="464"/>
        <w:rPr>
          <w:rFonts w:hAnsi="宋体" w:eastAsia="宋体" w:cs="宋体"/>
          <w:sz w:val="24"/>
          <w:szCs w:val="24"/>
          <w:highlight w:val="none"/>
        </w:rPr>
      </w:pPr>
    </w:p>
    <w:p w14:paraId="7FF65335">
      <w:pPr>
        <w:pStyle w:val="38"/>
        <w:ind w:firstLine="464"/>
        <w:rPr>
          <w:rFonts w:hAnsi="宋体" w:eastAsia="宋体" w:cs="宋体"/>
          <w:sz w:val="24"/>
          <w:szCs w:val="24"/>
          <w:highlight w:val="none"/>
        </w:rPr>
      </w:pPr>
    </w:p>
    <w:p w14:paraId="2C9169D4">
      <w:pPr>
        <w:pStyle w:val="38"/>
        <w:ind w:firstLine="464"/>
        <w:rPr>
          <w:rFonts w:hAnsi="宋体" w:eastAsia="宋体" w:cs="宋体"/>
          <w:sz w:val="24"/>
          <w:szCs w:val="24"/>
          <w:highlight w:val="none"/>
        </w:rPr>
      </w:pPr>
    </w:p>
    <w:p w14:paraId="25B75C35">
      <w:pPr>
        <w:pStyle w:val="38"/>
        <w:ind w:firstLine="464"/>
        <w:rPr>
          <w:rFonts w:hAnsi="宋体" w:eastAsia="宋体" w:cs="宋体"/>
          <w:sz w:val="24"/>
          <w:szCs w:val="24"/>
          <w:highlight w:val="none"/>
        </w:rPr>
      </w:pPr>
    </w:p>
    <w:p w14:paraId="70F59EDA">
      <w:pPr>
        <w:pStyle w:val="38"/>
        <w:ind w:firstLine="464"/>
        <w:rPr>
          <w:rFonts w:hAnsi="宋体" w:eastAsia="宋体" w:cs="宋体"/>
          <w:sz w:val="24"/>
          <w:szCs w:val="24"/>
          <w:highlight w:val="none"/>
        </w:rPr>
      </w:pPr>
    </w:p>
    <w:p w14:paraId="599C29EF">
      <w:pPr>
        <w:spacing w:line="360" w:lineRule="auto"/>
        <w:ind w:left="3780" w:leftChars="1800" w:firstLine="420" w:firstLineChars="200"/>
        <w:rPr>
          <w:rFonts w:ascii="宋体" w:hAnsi="宋体" w:eastAsia="宋体" w:cs="宋体"/>
          <w:highlight w:val="none"/>
        </w:rPr>
      </w:pPr>
      <w:r>
        <w:rPr>
          <w:rFonts w:hint="eastAsia" w:ascii="宋体" w:hAnsi="宋体" w:eastAsia="宋体" w:cs="宋体"/>
          <w:highlight w:val="none"/>
        </w:rPr>
        <w:t>磋商申请人：</w:t>
      </w:r>
      <w:r>
        <w:rPr>
          <w:rFonts w:hint="eastAsia" w:ascii="宋体" w:hAnsi="宋体" w:eastAsia="宋体" w:cs="宋体"/>
          <w:highlight w:val="none"/>
          <w:u w:val="single"/>
        </w:rPr>
        <w:t xml:space="preserve">      </w:t>
      </w:r>
      <w:r>
        <w:rPr>
          <w:rFonts w:hint="eastAsia" w:ascii="宋体" w:hAnsi="宋体" w:eastAsia="宋体" w:cs="宋体"/>
          <w:szCs w:val="21"/>
          <w:highlight w:val="none"/>
          <w:u w:val="single"/>
        </w:rPr>
        <w:t>（全称）</w:t>
      </w:r>
      <w:r>
        <w:rPr>
          <w:rFonts w:hint="eastAsia" w:ascii="宋体" w:hAnsi="宋体" w:eastAsia="宋体" w:cs="宋体"/>
          <w:highlight w:val="none"/>
          <w:u w:val="single"/>
        </w:rPr>
        <w:t xml:space="preserve">          </w:t>
      </w:r>
      <w:r>
        <w:rPr>
          <w:rFonts w:hint="eastAsia" w:ascii="宋体" w:hAnsi="宋体" w:eastAsia="宋体" w:cs="宋体"/>
          <w:highlight w:val="none"/>
        </w:rPr>
        <w:t>（加盖单位公章）</w:t>
      </w:r>
    </w:p>
    <w:p w14:paraId="61872EAF">
      <w:pPr>
        <w:spacing w:line="360" w:lineRule="auto"/>
        <w:ind w:left="3780" w:leftChars="1800" w:firstLine="1050" w:firstLineChars="500"/>
        <w:rPr>
          <w:rFonts w:ascii="宋体" w:hAnsi="宋体" w:eastAsia="宋体" w:cs="宋体"/>
          <w:highlight w:val="none"/>
        </w:rPr>
      </w:pPr>
      <w:r>
        <w:rPr>
          <w:rFonts w:hint="eastAsia" w:ascii="宋体" w:hAnsi="宋体" w:eastAsia="宋体" w:cs="宋体"/>
          <w:highlight w:val="none"/>
          <w:u w:val="single"/>
        </w:rPr>
        <w:t xml:space="preserve">         </w:t>
      </w:r>
      <w:r>
        <w:rPr>
          <w:rFonts w:hint="eastAsia" w:ascii="宋体" w:hAnsi="宋体" w:eastAsia="宋体" w:cs="宋体"/>
          <w:highlight w:val="none"/>
        </w:rPr>
        <w:t>年</w:t>
      </w:r>
      <w:r>
        <w:rPr>
          <w:rFonts w:hint="eastAsia" w:ascii="宋体" w:hAnsi="宋体" w:eastAsia="宋体" w:cs="宋体"/>
          <w:highlight w:val="none"/>
          <w:u w:val="single"/>
        </w:rPr>
        <w:t xml:space="preserve">       </w:t>
      </w:r>
      <w:r>
        <w:rPr>
          <w:rFonts w:hint="eastAsia" w:ascii="宋体" w:hAnsi="宋体" w:eastAsia="宋体" w:cs="宋体"/>
          <w:highlight w:val="none"/>
        </w:rPr>
        <w:t>月</w:t>
      </w:r>
      <w:r>
        <w:rPr>
          <w:rFonts w:hint="eastAsia" w:ascii="宋体" w:hAnsi="宋体" w:eastAsia="宋体" w:cs="宋体"/>
          <w:highlight w:val="none"/>
          <w:u w:val="single"/>
        </w:rPr>
        <w:t xml:space="preserve">        </w:t>
      </w:r>
      <w:r>
        <w:rPr>
          <w:rFonts w:hint="eastAsia" w:ascii="宋体" w:hAnsi="宋体" w:eastAsia="宋体" w:cs="宋体"/>
          <w:highlight w:val="none"/>
        </w:rPr>
        <w:t>日</w:t>
      </w:r>
    </w:p>
    <w:p w14:paraId="146BB5AD">
      <w:pPr>
        <w:spacing w:line="460" w:lineRule="exact"/>
        <w:jc w:val="left"/>
        <w:rPr>
          <w:rFonts w:ascii="宋体" w:hAnsi="宋体" w:eastAsia="宋体" w:cs="宋体"/>
          <w:b/>
          <w:highlight w:val="none"/>
        </w:rPr>
      </w:pPr>
    </w:p>
    <w:p w14:paraId="7FBA52A0">
      <w:pPr>
        <w:spacing w:line="460" w:lineRule="exact"/>
        <w:jc w:val="left"/>
        <w:rPr>
          <w:rFonts w:ascii="宋体" w:hAnsi="宋体" w:eastAsia="宋体" w:cs="宋体"/>
          <w:szCs w:val="21"/>
          <w:highlight w:val="none"/>
        </w:rPr>
      </w:pPr>
    </w:p>
    <w:p w14:paraId="6A4F12B4">
      <w:pPr>
        <w:spacing w:line="460" w:lineRule="exact"/>
        <w:jc w:val="left"/>
        <w:rPr>
          <w:rFonts w:ascii="宋体" w:hAnsi="宋体" w:eastAsia="宋体" w:cs="宋体"/>
          <w:szCs w:val="21"/>
          <w:highlight w:val="none"/>
        </w:rPr>
      </w:pPr>
    </w:p>
    <w:p w14:paraId="215F04A7">
      <w:pPr>
        <w:spacing w:line="460" w:lineRule="exact"/>
        <w:jc w:val="left"/>
        <w:rPr>
          <w:rFonts w:ascii="宋体" w:hAnsi="宋体" w:eastAsia="宋体" w:cs="宋体"/>
          <w:szCs w:val="21"/>
          <w:highlight w:val="none"/>
        </w:rPr>
      </w:pPr>
    </w:p>
    <w:p w14:paraId="3FED4BFC">
      <w:pPr>
        <w:widowControl/>
        <w:jc w:val="left"/>
        <w:rPr>
          <w:rFonts w:ascii="宋体" w:hAnsi="宋体" w:eastAsia="宋体" w:cs="宋体"/>
          <w:sz w:val="24"/>
          <w:szCs w:val="24"/>
          <w:highlight w:val="none"/>
        </w:rPr>
      </w:pPr>
      <w:r>
        <w:rPr>
          <w:rFonts w:hint="eastAsia" w:ascii="宋体" w:hAnsi="宋体" w:eastAsia="宋体" w:cs="宋体"/>
          <w:sz w:val="24"/>
          <w:szCs w:val="24"/>
          <w:highlight w:val="none"/>
        </w:rPr>
        <w:br w:type="page"/>
      </w:r>
    </w:p>
    <w:p w14:paraId="748DDE2E">
      <w:pPr>
        <w:spacing w:line="460" w:lineRule="exact"/>
        <w:jc w:val="left"/>
        <w:rPr>
          <w:rFonts w:ascii="宋体" w:hAnsi="宋体" w:eastAsia="宋体" w:cs="宋体"/>
          <w:b/>
          <w:bCs/>
          <w:sz w:val="22"/>
          <w:highlight w:val="none"/>
        </w:rPr>
      </w:pPr>
      <w:r>
        <w:rPr>
          <w:rFonts w:hint="eastAsia" w:ascii="宋体" w:hAnsi="宋体" w:eastAsia="宋体" w:cs="宋体"/>
          <w:b/>
          <w:bCs/>
          <w:sz w:val="28"/>
          <w:szCs w:val="28"/>
          <w:highlight w:val="none"/>
        </w:rPr>
        <w:t>格式3-2：提供磋商申请人2024年度至今任一年度经审计的财务报告；磋商申请人（含成立未满3个月的单位）不能提供2024年度至今任一年度经审计的财务报告的，也可以提供自磋商响应文件提交截止时间前三个月内银行出具的资信证明或担保机构出具的投标担保函等能证明具有健全的财务会计制度的证明材料。</w:t>
      </w:r>
    </w:p>
    <w:p w14:paraId="536D233C">
      <w:pPr>
        <w:spacing w:line="560" w:lineRule="exact"/>
        <w:ind w:firstLine="456" w:firstLineChars="200"/>
        <w:rPr>
          <w:rFonts w:ascii="宋体" w:hAnsi="宋体" w:eastAsia="宋体" w:cs="宋体"/>
          <w:spacing w:val="-6"/>
          <w:sz w:val="24"/>
          <w:szCs w:val="24"/>
          <w:highlight w:val="none"/>
        </w:rPr>
      </w:pPr>
    </w:p>
    <w:p w14:paraId="32157F3F">
      <w:pPr>
        <w:spacing w:line="560" w:lineRule="exact"/>
        <w:ind w:firstLine="456" w:firstLineChars="200"/>
        <w:rPr>
          <w:rFonts w:ascii="宋体" w:hAnsi="宋体" w:eastAsia="宋体" w:cs="宋体"/>
          <w:spacing w:val="-6"/>
          <w:sz w:val="24"/>
          <w:szCs w:val="24"/>
          <w:highlight w:val="none"/>
        </w:rPr>
      </w:pPr>
    </w:p>
    <w:p w14:paraId="0A106CC8">
      <w:pPr>
        <w:spacing w:line="560" w:lineRule="exact"/>
        <w:ind w:firstLine="456" w:firstLineChars="200"/>
        <w:rPr>
          <w:rFonts w:ascii="宋体" w:hAnsi="宋体" w:eastAsia="宋体" w:cs="宋体"/>
          <w:spacing w:val="-6"/>
          <w:sz w:val="24"/>
          <w:szCs w:val="24"/>
          <w:highlight w:val="none"/>
        </w:rPr>
      </w:pPr>
    </w:p>
    <w:p w14:paraId="584FCCE1">
      <w:pPr>
        <w:spacing w:line="560" w:lineRule="exact"/>
        <w:ind w:firstLine="456" w:firstLineChars="200"/>
        <w:rPr>
          <w:rFonts w:ascii="宋体" w:hAnsi="宋体" w:eastAsia="宋体" w:cs="宋体"/>
          <w:spacing w:val="-6"/>
          <w:sz w:val="24"/>
          <w:szCs w:val="24"/>
          <w:highlight w:val="none"/>
        </w:rPr>
      </w:pPr>
    </w:p>
    <w:p w14:paraId="296734BF">
      <w:pPr>
        <w:spacing w:line="560" w:lineRule="exact"/>
        <w:ind w:firstLine="456" w:firstLineChars="200"/>
        <w:rPr>
          <w:rFonts w:ascii="宋体" w:hAnsi="宋体" w:eastAsia="宋体" w:cs="宋体"/>
          <w:spacing w:val="-6"/>
          <w:sz w:val="24"/>
          <w:szCs w:val="24"/>
          <w:highlight w:val="none"/>
        </w:rPr>
      </w:pPr>
    </w:p>
    <w:p w14:paraId="554A46B8">
      <w:pPr>
        <w:pStyle w:val="5"/>
        <w:tabs>
          <w:tab w:val="left" w:pos="432"/>
        </w:tabs>
        <w:spacing w:before="0" w:after="0" w:line="480" w:lineRule="exact"/>
        <w:jc w:val="center"/>
        <w:rPr>
          <w:rFonts w:ascii="宋体" w:hAnsi="宋体" w:eastAsia="宋体" w:cs="宋体"/>
          <w:b w:val="0"/>
          <w:sz w:val="28"/>
          <w:szCs w:val="28"/>
          <w:highlight w:val="none"/>
        </w:rPr>
      </w:pPr>
      <w:r>
        <w:rPr>
          <w:rFonts w:hint="eastAsia" w:ascii="宋体" w:hAnsi="宋体" w:eastAsia="宋体" w:cs="宋体"/>
          <w:sz w:val="28"/>
          <w:szCs w:val="28"/>
          <w:highlight w:val="none"/>
        </w:rPr>
        <w:br w:type="page"/>
      </w:r>
      <w:bookmarkStart w:id="171" w:name="_Toc119421999"/>
      <w:bookmarkStart w:id="172" w:name="_Toc29168"/>
      <w:r>
        <w:rPr>
          <w:rFonts w:hint="eastAsia" w:ascii="宋体" w:hAnsi="宋体" w:eastAsia="宋体" w:cs="宋体"/>
          <w:sz w:val="28"/>
          <w:szCs w:val="28"/>
          <w:highlight w:val="none"/>
        </w:rPr>
        <w:t>格式4：具备履行合同所必需的设备和专业技术能力</w:t>
      </w:r>
      <w:bookmarkEnd w:id="171"/>
      <w:bookmarkEnd w:id="172"/>
    </w:p>
    <w:p w14:paraId="37AEC567">
      <w:pPr>
        <w:jc w:val="left"/>
        <w:rPr>
          <w:rFonts w:ascii="宋体" w:hAnsi="宋体" w:eastAsia="宋体" w:cs="宋体"/>
          <w:b/>
          <w:sz w:val="24"/>
          <w:szCs w:val="24"/>
          <w:highlight w:val="none"/>
        </w:rPr>
      </w:pPr>
    </w:p>
    <w:p w14:paraId="4C01C530">
      <w:pPr>
        <w:spacing w:line="360" w:lineRule="auto"/>
        <w:ind w:firstLine="420" w:firstLineChars="200"/>
        <w:jc w:val="left"/>
        <w:rPr>
          <w:rFonts w:ascii="宋体" w:hAnsi="宋体" w:eastAsia="宋体" w:cs="宋体"/>
          <w:szCs w:val="21"/>
          <w:highlight w:val="none"/>
        </w:rPr>
      </w:pPr>
      <w:r>
        <w:rPr>
          <w:rFonts w:hint="eastAsia" w:ascii="宋体" w:hAnsi="宋体" w:eastAsia="宋体" w:cs="宋体"/>
          <w:szCs w:val="21"/>
          <w:highlight w:val="none"/>
        </w:rPr>
        <w:t>提供磋商申请人能证明其具备履行合同所必需的设备和专业技术能力的书面声明函或证明材料（格式自拟，加盖单位公章确认）；</w:t>
      </w:r>
    </w:p>
    <w:p w14:paraId="04406831">
      <w:pPr>
        <w:pStyle w:val="41"/>
        <w:rPr>
          <w:rFonts w:ascii="宋体" w:hAnsi="宋体" w:cs="宋体"/>
          <w:szCs w:val="21"/>
          <w:highlight w:val="none"/>
        </w:rPr>
      </w:pPr>
    </w:p>
    <w:p w14:paraId="21C0A561">
      <w:pPr>
        <w:pStyle w:val="41"/>
        <w:rPr>
          <w:rFonts w:ascii="宋体" w:hAnsi="宋体" w:cs="宋体"/>
          <w:szCs w:val="21"/>
          <w:highlight w:val="none"/>
        </w:rPr>
      </w:pPr>
    </w:p>
    <w:p w14:paraId="0344382B">
      <w:pPr>
        <w:pStyle w:val="41"/>
        <w:rPr>
          <w:rFonts w:ascii="宋体" w:hAnsi="宋体" w:cs="宋体"/>
          <w:szCs w:val="21"/>
          <w:highlight w:val="none"/>
        </w:rPr>
      </w:pPr>
    </w:p>
    <w:p w14:paraId="65F4B0E2">
      <w:pPr>
        <w:pStyle w:val="12"/>
        <w:rPr>
          <w:rFonts w:ascii="宋体" w:hAnsi="宋体" w:eastAsia="宋体" w:cs="宋体"/>
          <w:szCs w:val="21"/>
          <w:highlight w:val="none"/>
        </w:rPr>
      </w:pPr>
    </w:p>
    <w:p w14:paraId="701C20A6">
      <w:pPr>
        <w:pStyle w:val="22"/>
        <w:rPr>
          <w:rFonts w:hAnsi="宋体"/>
          <w:szCs w:val="21"/>
          <w:highlight w:val="none"/>
        </w:rPr>
        <w:sectPr>
          <w:footerReference r:id="rId6" w:type="default"/>
          <w:pgSz w:w="11906" w:h="16838"/>
          <w:pgMar w:top="936" w:right="1134" w:bottom="1089" w:left="1134" w:header="851" w:footer="992" w:gutter="0"/>
          <w:cols w:space="425" w:num="1"/>
          <w:docGrid w:type="lines" w:linePitch="312" w:charSpace="0"/>
        </w:sectPr>
      </w:pPr>
    </w:p>
    <w:p w14:paraId="20DCF56A">
      <w:pPr>
        <w:pStyle w:val="5"/>
        <w:tabs>
          <w:tab w:val="left" w:pos="432"/>
        </w:tabs>
        <w:spacing w:before="0" w:after="0" w:line="480" w:lineRule="exact"/>
        <w:jc w:val="center"/>
        <w:rPr>
          <w:rFonts w:ascii="宋体" w:hAnsi="宋体" w:eastAsia="宋体" w:cs="宋体"/>
          <w:b w:val="0"/>
          <w:sz w:val="28"/>
          <w:szCs w:val="28"/>
          <w:highlight w:val="none"/>
        </w:rPr>
      </w:pPr>
      <w:bookmarkStart w:id="173" w:name="_Toc119421998"/>
      <w:bookmarkStart w:id="174" w:name="_Toc3902"/>
      <w:r>
        <w:rPr>
          <w:rFonts w:hint="eastAsia" w:ascii="宋体" w:hAnsi="宋体" w:eastAsia="宋体" w:cs="宋体"/>
          <w:sz w:val="28"/>
          <w:szCs w:val="28"/>
          <w:highlight w:val="none"/>
        </w:rPr>
        <w:t>格式5：有依法缴纳税收和社会保障资金的良好记录</w:t>
      </w:r>
      <w:bookmarkEnd w:id="173"/>
      <w:bookmarkEnd w:id="174"/>
    </w:p>
    <w:p w14:paraId="577D1EE6">
      <w:pPr>
        <w:spacing w:line="360" w:lineRule="auto"/>
        <w:ind w:firstLine="480" w:firstLineChars="200"/>
        <w:jc w:val="left"/>
        <w:rPr>
          <w:rFonts w:ascii="宋体" w:hAnsi="宋体" w:eastAsia="宋体" w:cs="宋体"/>
          <w:sz w:val="24"/>
          <w:szCs w:val="24"/>
          <w:highlight w:val="none"/>
        </w:rPr>
      </w:pPr>
    </w:p>
    <w:p w14:paraId="185D7EF2">
      <w:pPr>
        <w:spacing w:line="360" w:lineRule="auto"/>
        <w:ind w:firstLine="420" w:firstLineChars="200"/>
        <w:jc w:val="left"/>
        <w:rPr>
          <w:rFonts w:ascii="宋体" w:hAnsi="宋体" w:eastAsia="宋体" w:cs="宋体"/>
          <w:szCs w:val="21"/>
          <w:highlight w:val="none"/>
        </w:rPr>
      </w:pPr>
      <w:r>
        <w:rPr>
          <w:rFonts w:hint="eastAsia" w:ascii="宋体" w:hAnsi="宋体" w:eastAsia="宋体" w:cs="宋体"/>
          <w:szCs w:val="21"/>
          <w:highlight w:val="none"/>
        </w:rPr>
        <w:t>提供磋商申请人2025年05月至今期间（税款所属时期）任意1个月的税务局税收通用缴款书原件扫描件或银行电子缴税（费）凭证原件扫描件或税务局出具纳税情况的相关证明原件的扫描件；磋商申请人2025年05月至今期间（费款所属时期）任意1个月的社会保险费缴款书原件扫描件或银行电子缴税（费）凭证原件扫描件或社保管理部门出具的有效的缴款证明原件的扫描件。</w:t>
      </w:r>
    </w:p>
    <w:p w14:paraId="406F010E">
      <w:pPr>
        <w:spacing w:line="360" w:lineRule="auto"/>
        <w:ind w:firstLine="422" w:firstLineChars="200"/>
        <w:jc w:val="left"/>
        <w:rPr>
          <w:rFonts w:ascii="宋体" w:hAnsi="宋体" w:eastAsia="宋体" w:cs="宋体"/>
          <w:b/>
          <w:szCs w:val="21"/>
          <w:highlight w:val="none"/>
        </w:rPr>
      </w:pPr>
      <w:r>
        <w:rPr>
          <w:rFonts w:hint="eastAsia" w:ascii="宋体" w:hAnsi="宋体" w:eastAsia="宋体" w:cs="宋体"/>
          <w:b/>
          <w:bCs/>
          <w:szCs w:val="21"/>
          <w:highlight w:val="none"/>
        </w:rPr>
        <w:t>注：成立未满3个月的单位须提供成立以来的税收和社会保障资金缴纳凭证或相关情况说明；依法免税或不需要缴纳社会保障资金的磋商申请人，应提供相应文件证明其依法免税或不需要缴纳社会保障资金。</w:t>
      </w:r>
    </w:p>
    <w:p w14:paraId="3EFCBBBE">
      <w:pPr>
        <w:ind w:firstLine="422" w:firstLineChars="200"/>
        <w:jc w:val="left"/>
        <w:rPr>
          <w:rFonts w:ascii="宋体" w:hAnsi="宋体" w:eastAsia="宋体" w:cs="宋体"/>
          <w:b/>
          <w:szCs w:val="21"/>
          <w:highlight w:val="none"/>
        </w:rPr>
      </w:pPr>
    </w:p>
    <w:p w14:paraId="13BC9B69">
      <w:pPr>
        <w:ind w:firstLine="420" w:firstLineChars="200"/>
        <w:jc w:val="left"/>
        <w:rPr>
          <w:rFonts w:ascii="宋体" w:hAnsi="宋体" w:eastAsia="宋体" w:cs="宋体"/>
          <w:szCs w:val="28"/>
          <w:highlight w:val="none"/>
        </w:rPr>
      </w:pPr>
    </w:p>
    <w:p w14:paraId="640ED5B7">
      <w:pPr>
        <w:pStyle w:val="22"/>
        <w:rPr>
          <w:rFonts w:hAnsi="宋体"/>
          <w:szCs w:val="21"/>
          <w:highlight w:val="none"/>
        </w:rPr>
      </w:pPr>
      <w:r>
        <w:rPr>
          <w:rFonts w:hint="eastAsia" w:hAnsi="宋体"/>
          <w:sz w:val="28"/>
          <w:szCs w:val="28"/>
          <w:highlight w:val="none"/>
        </w:rPr>
        <w:br w:type="page"/>
      </w:r>
    </w:p>
    <w:p w14:paraId="4D9A8351">
      <w:pPr>
        <w:pStyle w:val="5"/>
        <w:tabs>
          <w:tab w:val="left" w:pos="432"/>
        </w:tabs>
        <w:spacing w:before="0" w:after="0" w:line="480" w:lineRule="exact"/>
        <w:jc w:val="center"/>
        <w:rPr>
          <w:rFonts w:ascii="宋体" w:hAnsi="宋体" w:eastAsia="宋体" w:cs="宋体"/>
          <w:b w:val="0"/>
          <w:sz w:val="28"/>
          <w:szCs w:val="28"/>
          <w:highlight w:val="none"/>
        </w:rPr>
      </w:pPr>
      <w:bookmarkStart w:id="175" w:name="_Toc5886"/>
      <w:bookmarkStart w:id="176" w:name="_Toc119422000"/>
      <w:r>
        <w:rPr>
          <w:rFonts w:hint="eastAsia" w:ascii="宋体" w:hAnsi="宋体" w:eastAsia="宋体" w:cs="宋体"/>
          <w:sz w:val="28"/>
          <w:szCs w:val="28"/>
          <w:highlight w:val="none"/>
        </w:rPr>
        <w:t>格式6：无重大违法声明</w:t>
      </w:r>
      <w:bookmarkEnd w:id="175"/>
      <w:bookmarkEnd w:id="176"/>
    </w:p>
    <w:p w14:paraId="02938F5F">
      <w:pPr>
        <w:spacing w:line="360" w:lineRule="auto"/>
        <w:ind w:firstLine="210" w:firstLineChars="100"/>
        <w:jc w:val="left"/>
        <w:rPr>
          <w:rFonts w:ascii="宋体" w:hAnsi="宋体" w:eastAsia="宋体" w:cs="宋体"/>
          <w:szCs w:val="21"/>
          <w:highlight w:val="none"/>
        </w:rPr>
      </w:pPr>
    </w:p>
    <w:p w14:paraId="34050B60">
      <w:pPr>
        <w:spacing w:line="360" w:lineRule="auto"/>
        <w:ind w:firstLine="210" w:firstLineChars="100"/>
        <w:jc w:val="left"/>
        <w:rPr>
          <w:rFonts w:ascii="宋体" w:hAnsi="宋体" w:eastAsia="宋体" w:cs="宋体"/>
          <w:szCs w:val="21"/>
          <w:highlight w:val="none"/>
        </w:rPr>
      </w:pPr>
      <w:r>
        <w:rPr>
          <w:rFonts w:hint="eastAsia" w:ascii="宋体" w:hAnsi="宋体" w:eastAsia="宋体" w:cs="宋体"/>
          <w:szCs w:val="21"/>
          <w:highlight w:val="none"/>
        </w:rPr>
        <w:t xml:space="preserve"> 提供参加采购活动前3年内在经营活动中没有重大违法记录的书面声明（重大违法记录是指：因违法经营受到刑事处罚或者责令停产停业、吊销许可证或者执照、较大数额罚款等行政处罚）。格式自拟（加盖单位公章确认）。</w:t>
      </w:r>
    </w:p>
    <w:p w14:paraId="678D4FA5">
      <w:pPr>
        <w:ind w:firstLine="240" w:firstLineChars="100"/>
        <w:jc w:val="left"/>
        <w:rPr>
          <w:rFonts w:ascii="宋体" w:hAnsi="宋体" w:eastAsia="宋体" w:cs="宋体"/>
          <w:sz w:val="24"/>
          <w:highlight w:val="none"/>
        </w:rPr>
      </w:pPr>
    </w:p>
    <w:p w14:paraId="65353467">
      <w:pPr>
        <w:widowControl/>
        <w:jc w:val="left"/>
        <w:rPr>
          <w:rFonts w:ascii="宋体" w:hAnsi="宋体" w:eastAsia="宋体" w:cs="宋体"/>
          <w:b/>
          <w:highlight w:val="none"/>
        </w:rPr>
      </w:pPr>
      <w:r>
        <w:rPr>
          <w:rFonts w:hint="eastAsia" w:ascii="宋体" w:hAnsi="宋体" w:eastAsia="宋体" w:cs="宋体"/>
          <w:sz w:val="28"/>
          <w:szCs w:val="28"/>
          <w:highlight w:val="none"/>
        </w:rPr>
        <w:br w:type="page"/>
      </w:r>
    </w:p>
    <w:p w14:paraId="0E37AAA1">
      <w:pPr>
        <w:pStyle w:val="5"/>
        <w:tabs>
          <w:tab w:val="left" w:pos="432"/>
        </w:tabs>
        <w:spacing w:before="0" w:after="0" w:line="480" w:lineRule="exact"/>
        <w:jc w:val="center"/>
        <w:rPr>
          <w:rFonts w:ascii="宋体" w:hAnsi="宋体" w:eastAsia="宋体" w:cs="宋体"/>
          <w:sz w:val="28"/>
          <w:szCs w:val="28"/>
          <w:highlight w:val="none"/>
        </w:rPr>
      </w:pPr>
      <w:r>
        <w:rPr>
          <w:rFonts w:hint="eastAsia" w:ascii="宋体" w:hAnsi="宋体" w:eastAsia="宋体" w:cs="宋体"/>
          <w:sz w:val="28"/>
          <w:szCs w:val="28"/>
          <w:highlight w:val="none"/>
        </w:rPr>
        <w:t>格式7：磋商申请人资格要求</w:t>
      </w:r>
    </w:p>
    <w:p w14:paraId="4F2793BB">
      <w:pPr>
        <w:spacing w:line="360" w:lineRule="auto"/>
        <w:ind w:firstLine="420" w:firstLineChars="200"/>
        <w:jc w:val="left"/>
        <w:rPr>
          <w:rFonts w:ascii="宋体" w:hAnsi="宋体" w:eastAsia="宋体" w:cs="宋体"/>
          <w:szCs w:val="21"/>
          <w:highlight w:val="none"/>
        </w:rPr>
      </w:pPr>
    </w:p>
    <w:p w14:paraId="76F4606C">
      <w:pPr>
        <w:spacing w:line="460" w:lineRule="exact"/>
        <w:ind w:firstLine="420" w:firstLineChars="200"/>
        <w:rPr>
          <w:rFonts w:ascii="宋体" w:hAnsi="宋体" w:eastAsia="宋体" w:cs="宋体"/>
          <w:kern w:val="0"/>
          <w:highlight w:val="none"/>
        </w:rPr>
      </w:pPr>
      <w:r>
        <w:rPr>
          <w:rFonts w:hint="eastAsia" w:ascii="宋体" w:hAnsi="宋体" w:eastAsia="宋体" w:cs="宋体"/>
          <w:kern w:val="0"/>
          <w:highlight w:val="none"/>
        </w:rPr>
        <w:t>1.本项目不接受成交后再次转包、分包开展相应服务工作，磋商申请人须提供针对本项目不转包、分包的书面承诺</w:t>
      </w:r>
      <w:r>
        <w:rPr>
          <w:rFonts w:hint="eastAsia" w:ascii="宋体" w:hAnsi="宋体" w:eastAsia="宋体" w:cs="宋体"/>
          <w:kern w:val="0"/>
          <w:szCs w:val="21"/>
          <w:highlight w:val="none"/>
        </w:rPr>
        <w:t>并加盖单位公章确认</w:t>
      </w:r>
      <w:r>
        <w:rPr>
          <w:rFonts w:hint="eastAsia" w:ascii="宋体" w:hAnsi="宋体" w:eastAsia="宋体" w:cs="宋体"/>
          <w:kern w:val="0"/>
          <w:highlight w:val="none"/>
        </w:rPr>
        <w:t>。</w:t>
      </w:r>
    </w:p>
    <w:p w14:paraId="1C65D9E1">
      <w:pPr>
        <w:spacing w:line="460" w:lineRule="exact"/>
        <w:ind w:firstLine="420" w:firstLineChars="200"/>
        <w:rPr>
          <w:rFonts w:ascii="宋体" w:hAnsi="宋体" w:eastAsia="宋体" w:cs="宋体"/>
          <w:kern w:val="0"/>
          <w:highlight w:val="none"/>
        </w:rPr>
      </w:pPr>
      <w:r>
        <w:rPr>
          <w:rFonts w:hint="eastAsia" w:ascii="宋体" w:hAnsi="宋体" w:eastAsia="宋体" w:cs="宋体"/>
          <w:kern w:val="0"/>
          <w:szCs w:val="21"/>
          <w:highlight w:val="none"/>
        </w:rPr>
        <w:t>2.磋商申请人不存在拒绝参加本次采购活动的情形，磋商申请人须提供书面承诺并加盖单位公章确认。</w:t>
      </w:r>
    </w:p>
    <w:p w14:paraId="75F96EF5">
      <w:pPr>
        <w:ind w:firstLine="420" w:firstLineChars="200"/>
        <w:rPr>
          <w:rFonts w:ascii="宋体" w:hAnsi="宋体" w:eastAsia="宋体" w:cs="宋体"/>
          <w:kern w:val="0"/>
          <w:highlight w:val="none"/>
        </w:rPr>
      </w:pPr>
    </w:p>
    <w:p w14:paraId="0B47C26D">
      <w:pPr>
        <w:ind w:firstLine="420" w:firstLineChars="200"/>
        <w:rPr>
          <w:rFonts w:ascii="宋体" w:hAnsi="宋体" w:eastAsia="宋体" w:cs="宋体"/>
          <w:kern w:val="0"/>
          <w:highlight w:val="none"/>
        </w:rPr>
      </w:pPr>
    </w:p>
    <w:p w14:paraId="09532223">
      <w:pPr>
        <w:ind w:firstLine="562" w:firstLineChars="200"/>
        <w:rPr>
          <w:rFonts w:ascii="宋体" w:hAnsi="宋体" w:eastAsia="宋体" w:cs="宋体"/>
          <w:b/>
          <w:bCs/>
          <w:sz w:val="28"/>
          <w:szCs w:val="28"/>
          <w:highlight w:val="none"/>
        </w:rPr>
      </w:pPr>
      <w:r>
        <w:rPr>
          <w:rFonts w:hint="eastAsia" w:ascii="宋体" w:hAnsi="宋体" w:eastAsia="宋体" w:cs="宋体"/>
          <w:b/>
          <w:bCs/>
          <w:sz w:val="28"/>
          <w:szCs w:val="28"/>
          <w:highlight w:val="none"/>
        </w:rPr>
        <w:br w:type="page"/>
      </w:r>
    </w:p>
    <w:p w14:paraId="42D2A8DA">
      <w:pPr>
        <w:spacing w:line="360" w:lineRule="auto"/>
        <w:jc w:val="center"/>
        <w:rPr>
          <w:rFonts w:ascii="宋体" w:hAnsi="宋体" w:eastAsia="宋体" w:cs="宋体"/>
          <w:b/>
          <w:bCs/>
          <w:sz w:val="28"/>
          <w:szCs w:val="28"/>
          <w:highlight w:val="none"/>
        </w:rPr>
      </w:pPr>
      <w:r>
        <w:rPr>
          <w:rFonts w:hint="eastAsia" w:ascii="宋体" w:hAnsi="宋体" w:eastAsia="宋体" w:cs="宋体"/>
          <w:b/>
          <w:bCs/>
          <w:sz w:val="28"/>
          <w:szCs w:val="28"/>
          <w:highlight w:val="none"/>
        </w:rPr>
        <w:t>格式8：磋商申请人资格要求中要求的其他文件</w:t>
      </w:r>
    </w:p>
    <w:p w14:paraId="45F7EC17">
      <w:pPr>
        <w:pStyle w:val="15"/>
        <w:spacing w:line="360" w:lineRule="auto"/>
        <w:ind w:firstLine="241" w:firstLineChars="100"/>
        <w:rPr>
          <w:rFonts w:hAnsi="宋体"/>
          <w:b/>
          <w:bCs/>
          <w:sz w:val="24"/>
          <w:szCs w:val="24"/>
          <w:highlight w:val="none"/>
        </w:rPr>
      </w:pPr>
    </w:p>
    <w:p w14:paraId="67A27800">
      <w:pPr>
        <w:spacing w:line="360" w:lineRule="auto"/>
        <w:ind w:firstLine="420" w:firstLineChars="200"/>
        <w:rPr>
          <w:rFonts w:ascii="宋体" w:hAnsi="宋体" w:eastAsia="宋体" w:cs="宋体"/>
          <w:highlight w:val="none"/>
        </w:rPr>
      </w:pPr>
      <w:r>
        <w:rPr>
          <w:rFonts w:hint="eastAsia" w:ascii="宋体" w:hAnsi="宋体" w:eastAsia="宋体" w:cs="宋体"/>
          <w:highlight w:val="none"/>
        </w:rPr>
        <w:t>详见第二章“</w:t>
      </w:r>
      <w:r>
        <w:rPr>
          <w:rFonts w:hint="eastAsia" w:ascii="宋体" w:hAnsi="宋体" w:eastAsia="宋体" w:cs="宋体"/>
          <w:b/>
          <w:bCs/>
          <w:highlight w:val="none"/>
        </w:rPr>
        <w:t>磋商申请人须知前附表</w:t>
      </w:r>
      <w:r>
        <w:rPr>
          <w:rFonts w:hint="eastAsia" w:ascii="宋体" w:hAnsi="宋体" w:eastAsia="宋体" w:cs="宋体"/>
          <w:highlight w:val="none"/>
        </w:rPr>
        <w:t>”，有格式的请按给定格式填写，无格式要求的请自拟格式。</w:t>
      </w:r>
    </w:p>
    <w:p w14:paraId="5FC21933">
      <w:pPr>
        <w:widowControl/>
        <w:jc w:val="left"/>
        <w:rPr>
          <w:rFonts w:ascii="宋体" w:hAnsi="宋体" w:eastAsia="宋体" w:cs="宋体"/>
          <w:highlight w:val="none"/>
        </w:rPr>
      </w:pPr>
      <w:r>
        <w:rPr>
          <w:rFonts w:hint="eastAsia" w:ascii="宋体" w:hAnsi="宋体" w:eastAsia="宋体" w:cs="宋体"/>
          <w:highlight w:val="none"/>
        </w:rPr>
        <w:br w:type="page"/>
      </w:r>
    </w:p>
    <w:p w14:paraId="0ACF7B4F">
      <w:pPr>
        <w:jc w:val="center"/>
        <w:rPr>
          <w:rFonts w:ascii="宋体" w:hAnsi="宋体" w:eastAsia="宋体" w:cs="宋体"/>
          <w:b/>
          <w:bCs/>
          <w:sz w:val="28"/>
          <w:szCs w:val="28"/>
          <w:highlight w:val="none"/>
        </w:rPr>
      </w:pPr>
      <w:r>
        <w:rPr>
          <w:rFonts w:hint="eastAsia" w:ascii="宋体" w:hAnsi="宋体" w:eastAsia="宋体" w:cs="宋体"/>
          <w:b/>
          <w:bCs/>
          <w:sz w:val="28"/>
          <w:szCs w:val="28"/>
          <w:highlight w:val="none"/>
        </w:rPr>
        <w:t>第二部分  磋商报价部分</w:t>
      </w:r>
    </w:p>
    <w:p w14:paraId="5ED6712F">
      <w:pPr>
        <w:jc w:val="center"/>
        <w:rPr>
          <w:rFonts w:ascii="宋体" w:hAnsi="宋体" w:eastAsia="宋体" w:cs="宋体"/>
          <w:b/>
          <w:sz w:val="28"/>
          <w:szCs w:val="28"/>
          <w:highlight w:val="none"/>
        </w:rPr>
      </w:pPr>
      <w:bookmarkStart w:id="177" w:name="_Toc347849253"/>
      <w:bookmarkStart w:id="178" w:name="_Toc7252779"/>
      <w:bookmarkStart w:id="179" w:name="_Toc383175516"/>
      <w:bookmarkStart w:id="180" w:name="_Toc346496609"/>
      <w:bookmarkStart w:id="181" w:name="_Toc37179795"/>
      <w:r>
        <w:rPr>
          <w:rFonts w:hint="eastAsia" w:ascii="宋体" w:hAnsi="宋体" w:eastAsia="宋体" w:cs="宋体"/>
          <w:b/>
          <w:sz w:val="28"/>
          <w:szCs w:val="28"/>
          <w:highlight w:val="none"/>
        </w:rPr>
        <w:t>格式</w:t>
      </w:r>
      <w:bookmarkEnd w:id="177"/>
      <w:bookmarkEnd w:id="178"/>
      <w:bookmarkEnd w:id="179"/>
      <w:r>
        <w:rPr>
          <w:rFonts w:hint="eastAsia" w:ascii="宋体" w:hAnsi="宋体" w:eastAsia="宋体" w:cs="宋体"/>
          <w:b/>
          <w:sz w:val="28"/>
          <w:szCs w:val="28"/>
          <w:highlight w:val="none"/>
        </w:rPr>
        <w:t>1：</w:t>
      </w:r>
      <w:bookmarkStart w:id="182" w:name="_Toc347849254"/>
      <w:bookmarkStart w:id="183" w:name="_Toc7252780"/>
      <w:bookmarkStart w:id="184" w:name="_Toc383175517"/>
      <w:r>
        <w:rPr>
          <w:rFonts w:hint="eastAsia" w:ascii="宋体" w:hAnsi="宋体" w:eastAsia="宋体" w:cs="宋体"/>
          <w:b/>
          <w:sz w:val="28"/>
          <w:szCs w:val="28"/>
          <w:highlight w:val="none"/>
        </w:rPr>
        <w:t>磋商报价一览表</w:t>
      </w:r>
      <w:bookmarkEnd w:id="180"/>
      <w:bookmarkEnd w:id="182"/>
      <w:bookmarkEnd w:id="183"/>
      <w:bookmarkEnd w:id="184"/>
    </w:p>
    <w:p w14:paraId="376A8DA3">
      <w:pPr>
        <w:jc w:val="left"/>
        <w:rPr>
          <w:rFonts w:ascii="宋体" w:hAnsi="宋体" w:eastAsia="宋体" w:cs="宋体"/>
          <w:b/>
          <w:bCs/>
          <w:highlight w:val="none"/>
        </w:rPr>
      </w:pPr>
    </w:p>
    <w:tbl>
      <w:tblPr>
        <w:tblStyle w:val="27"/>
        <w:tblW w:w="997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2835"/>
        <w:gridCol w:w="6423"/>
      </w:tblGrid>
      <w:tr w14:paraId="44DE67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trPr>
        <w:tc>
          <w:tcPr>
            <w:tcW w:w="720" w:type="dxa"/>
            <w:vAlign w:val="center"/>
          </w:tcPr>
          <w:p w14:paraId="62123A04">
            <w:pPr>
              <w:spacing w:line="280" w:lineRule="exact"/>
              <w:jc w:val="center"/>
              <w:rPr>
                <w:rFonts w:ascii="宋体" w:hAnsi="宋体" w:eastAsia="宋体" w:cs="宋体"/>
                <w:b/>
                <w:szCs w:val="21"/>
                <w:highlight w:val="none"/>
              </w:rPr>
            </w:pPr>
            <w:r>
              <w:rPr>
                <w:rFonts w:hint="eastAsia" w:ascii="宋体" w:hAnsi="宋体" w:eastAsia="宋体" w:cs="宋体"/>
                <w:b/>
                <w:szCs w:val="21"/>
                <w:highlight w:val="none"/>
              </w:rPr>
              <w:t>序号</w:t>
            </w:r>
          </w:p>
        </w:tc>
        <w:tc>
          <w:tcPr>
            <w:tcW w:w="2835" w:type="dxa"/>
            <w:vAlign w:val="center"/>
          </w:tcPr>
          <w:p w14:paraId="2DEB3864">
            <w:pPr>
              <w:spacing w:line="280" w:lineRule="exact"/>
              <w:jc w:val="center"/>
              <w:rPr>
                <w:rFonts w:ascii="宋体" w:hAnsi="宋体" w:eastAsia="宋体" w:cs="宋体"/>
                <w:b/>
                <w:szCs w:val="21"/>
                <w:highlight w:val="none"/>
              </w:rPr>
            </w:pPr>
            <w:r>
              <w:rPr>
                <w:rFonts w:hint="eastAsia" w:ascii="宋体" w:hAnsi="宋体" w:eastAsia="宋体" w:cs="宋体"/>
                <w:b/>
                <w:szCs w:val="21"/>
                <w:highlight w:val="none"/>
              </w:rPr>
              <w:t>项目名称</w:t>
            </w:r>
          </w:p>
        </w:tc>
        <w:tc>
          <w:tcPr>
            <w:tcW w:w="6423" w:type="dxa"/>
            <w:vAlign w:val="center"/>
          </w:tcPr>
          <w:p w14:paraId="73886CCF">
            <w:pPr>
              <w:spacing w:line="280" w:lineRule="exact"/>
              <w:jc w:val="center"/>
              <w:rPr>
                <w:rFonts w:ascii="宋体" w:hAnsi="宋体" w:eastAsia="宋体" w:cs="宋体"/>
                <w:b/>
                <w:szCs w:val="21"/>
                <w:highlight w:val="none"/>
              </w:rPr>
            </w:pPr>
            <w:r>
              <w:rPr>
                <w:rFonts w:hint="eastAsia" w:ascii="宋体" w:hAnsi="宋体" w:eastAsia="宋体" w:cs="宋体"/>
                <w:b/>
                <w:szCs w:val="21"/>
                <w:highlight w:val="none"/>
              </w:rPr>
              <w:t>昌宁县医共体总医院慢病管理信息系统采购项目</w:t>
            </w:r>
          </w:p>
        </w:tc>
      </w:tr>
      <w:tr w14:paraId="3B32D9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720" w:type="dxa"/>
            <w:vAlign w:val="center"/>
          </w:tcPr>
          <w:p w14:paraId="218329B2">
            <w:pPr>
              <w:spacing w:line="280" w:lineRule="exact"/>
              <w:jc w:val="center"/>
              <w:rPr>
                <w:rFonts w:ascii="宋体" w:hAnsi="宋体" w:eastAsia="宋体" w:cs="宋体"/>
                <w:szCs w:val="21"/>
                <w:highlight w:val="none"/>
              </w:rPr>
            </w:pPr>
            <w:r>
              <w:rPr>
                <w:rFonts w:hint="eastAsia" w:ascii="宋体" w:hAnsi="宋体" w:eastAsia="宋体" w:cs="宋体"/>
                <w:szCs w:val="21"/>
                <w:highlight w:val="none"/>
              </w:rPr>
              <w:t>1</w:t>
            </w:r>
          </w:p>
        </w:tc>
        <w:tc>
          <w:tcPr>
            <w:tcW w:w="2835" w:type="dxa"/>
            <w:vAlign w:val="center"/>
          </w:tcPr>
          <w:p w14:paraId="3E174679">
            <w:pPr>
              <w:spacing w:line="440" w:lineRule="exact"/>
              <w:jc w:val="center"/>
              <w:rPr>
                <w:rFonts w:ascii="宋体" w:hAnsi="宋体" w:eastAsia="宋体" w:cs="宋体"/>
                <w:kern w:val="0"/>
                <w:szCs w:val="21"/>
                <w:highlight w:val="none"/>
              </w:rPr>
            </w:pPr>
            <w:r>
              <w:rPr>
                <w:rFonts w:hint="eastAsia" w:ascii="宋体" w:hAnsi="宋体" w:eastAsia="宋体" w:cs="宋体"/>
                <w:bCs/>
                <w:szCs w:val="21"/>
                <w:highlight w:val="none"/>
              </w:rPr>
              <w:t>磋商报价总价</w:t>
            </w:r>
          </w:p>
        </w:tc>
        <w:tc>
          <w:tcPr>
            <w:tcW w:w="6423" w:type="dxa"/>
            <w:vAlign w:val="center"/>
          </w:tcPr>
          <w:p w14:paraId="71B66A79">
            <w:pPr>
              <w:spacing w:line="440" w:lineRule="exact"/>
              <w:jc w:val="center"/>
              <w:rPr>
                <w:rFonts w:ascii="宋体" w:hAnsi="宋体" w:eastAsia="宋体" w:cs="宋体"/>
                <w:kern w:val="0"/>
                <w:szCs w:val="21"/>
                <w:highlight w:val="none"/>
              </w:rPr>
            </w:pPr>
          </w:p>
        </w:tc>
      </w:tr>
      <w:tr w14:paraId="5C93C7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720" w:type="dxa"/>
            <w:vAlign w:val="center"/>
          </w:tcPr>
          <w:p w14:paraId="7C5D5151">
            <w:pPr>
              <w:spacing w:line="280" w:lineRule="exact"/>
              <w:jc w:val="center"/>
              <w:rPr>
                <w:rFonts w:ascii="宋体" w:hAnsi="宋体" w:eastAsia="宋体" w:cs="宋体"/>
                <w:szCs w:val="21"/>
                <w:highlight w:val="none"/>
              </w:rPr>
            </w:pPr>
            <w:r>
              <w:rPr>
                <w:rFonts w:hint="eastAsia" w:ascii="宋体" w:hAnsi="宋体" w:eastAsia="宋体" w:cs="宋体"/>
                <w:szCs w:val="21"/>
                <w:highlight w:val="none"/>
              </w:rPr>
              <w:t>2</w:t>
            </w:r>
          </w:p>
        </w:tc>
        <w:tc>
          <w:tcPr>
            <w:tcW w:w="2835" w:type="dxa"/>
            <w:vAlign w:val="center"/>
          </w:tcPr>
          <w:p w14:paraId="2EB46F51">
            <w:pPr>
              <w:spacing w:line="440" w:lineRule="exact"/>
              <w:jc w:val="center"/>
              <w:rPr>
                <w:rFonts w:ascii="宋体" w:hAnsi="宋体" w:eastAsia="宋体" w:cs="宋体"/>
                <w:kern w:val="0"/>
                <w:szCs w:val="21"/>
                <w:highlight w:val="none"/>
              </w:rPr>
            </w:pPr>
            <w:r>
              <w:rPr>
                <w:rFonts w:hint="eastAsia" w:ascii="宋体" w:hAnsi="宋体" w:eastAsia="宋体" w:cs="宋体"/>
                <w:szCs w:val="21"/>
                <w:highlight w:val="none"/>
              </w:rPr>
              <w:t>合同履行期限</w:t>
            </w:r>
          </w:p>
        </w:tc>
        <w:tc>
          <w:tcPr>
            <w:tcW w:w="6423" w:type="dxa"/>
            <w:vAlign w:val="center"/>
          </w:tcPr>
          <w:p w14:paraId="07249EAF">
            <w:pPr>
              <w:spacing w:line="440" w:lineRule="exact"/>
              <w:jc w:val="center"/>
              <w:rPr>
                <w:rFonts w:ascii="宋体" w:hAnsi="宋体" w:eastAsia="宋体" w:cs="宋体"/>
                <w:kern w:val="0"/>
                <w:szCs w:val="21"/>
                <w:highlight w:val="none"/>
              </w:rPr>
            </w:pPr>
          </w:p>
        </w:tc>
      </w:tr>
      <w:tr w14:paraId="324227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720" w:type="dxa"/>
            <w:vAlign w:val="center"/>
          </w:tcPr>
          <w:p w14:paraId="70EB9944">
            <w:pPr>
              <w:spacing w:line="280" w:lineRule="exact"/>
              <w:jc w:val="center"/>
              <w:rPr>
                <w:rFonts w:ascii="宋体" w:hAnsi="宋体" w:eastAsia="宋体" w:cs="宋体"/>
                <w:szCs w:val="21"/>
                <w:highlight w:val="none"/>
              </w:rPr>
            </w:pPr>
            <w:r>
              <w:rPr>
                <w:rFonts w:hint="eastAsia" w:ascii="宋体" w:hAnsi="宋体" w:eastAsia="宋体" w:cs="宋体"/>
                <w:szCs w:val="21"/>
                <w:highlight w:val="none"/>
              </w:rPr>
              <w:t>3</w:t>
            </w:r>
          </w:p>
        </w:tc>
        <w:tc>
          <w:tcPr>
            <w:tcW w:w="2835" w:type="dxa"/>
            <w:vAlign w:val="center"/>
          </w:tcPr>
          <w:p w14:paraId="11F739D6">
            <w:pPr>
              <w:spacing w:line="440" w:lineRule="exact"/>
              <w:jc w:val="center"/>
              <w:rPr>
                <w:rFonts w:ascii="宋体" w:hAnsi="宋体" w:eastAsia="宋体" w:cs="宋体"/>
                <w:szCs w:val="21"/>
                <w:highlight w:val="none"/>
              </w:rPr>
            </w:pPr>
            <w:r>
              <w:rPr>
                <w:rFonts w:hint="eastAsia" w:ascii="宋体" w:hAnsi="宋体" w:eastAsia="宋体" w:cs="宋体"/>
                <w:szCs w:val="21"/>
                <w:highlight w:val="none"/>
              </w:rPr>
              <w:t>项目服务地点</w:t>
            </w:r>
          </w:p>
        </w:tc>
        <w:tc>
          <w:tcPr>
            <w:tcW w:w="6423" w:type="dxa"/>
            <w:vAlign w:val="center"/>
          </w:tcPr>
          <w:p w14:paraId="09969B49">
            <w:pPr>
              <w:spacing w:line="280" w:lineRule="exact"/>
              <w:jc w:val="center"/>
              <w:rPr>
                <w:rFonts w:ascii="宋体" w:hAnsi="宋体" w:eastAsia="宋体" w:cs="宋体"/>
                <w:szCs w:val="21"/>
                <w:highlight w:val="none"/>
              </w:rPr>
            </w:pPr>
          </w:p>
        </w:tc>
      </w:tr>
      <w:tr w14:paraId="0A3EE0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720" w:type="dxa"/>
            <w:vAlign w:val="center"/>
          </w:tcPr>
          <w:p w14:paraId="4D19A112">
            <w:pPr>
              <w:spacing w:line="280" w:lineRule="exact"/>
              <w:jc w:val="center"/>
              <w:rPr>
                <w:rFonts w:ascii="宋体" w:hAnsi="宋体" w:eastAsia="宋体" w:cs="宋体"/>
                <w:szCs w:val="21"/>
                <w:highlight w:val="none"/>
              </w:rPr>
            </w:pPr>
            <w:r>
              <w:rPr>
                <w:rFonts w:hint="eastAsia" w:ascii="宋体" w:hAnsi="宋体" w:eastAsia="宋体" w:cs="宋体"/>
                <w:szCs w:val="21"/>
                <w:highlight w:val="none"/>
              </w:rPr>
              <w:t>4</w:t>
            </w:r>
          </w:p>
        </w:tc>
        <w:tc>
          <w:tcPr>
            <w:tcW w:w="2835" w:type="dxa"/>
            <w:vAlign w:val="center"/>
          </w:tcPr>
          <w:p w14:paraId="4300687C">
            <w:pPr>
              <w:spacing w:line="440" w:lineRule="exact"/>
              <w:jc w:val="center"/>
              <w:rPr>
                <w:rFonts w:ascii="宋体" w:hAnsi="宋体" w:eastAsia="宋体" w:cs="宋体"/>
                <w:kern w:val="0"/>
                <w:szCs w:val="21"/>
                <w:highlight w:val="none"/>
              </w:rPr>
            </w:pPr>
            <w:r>
              <w:rPr>
                <w:rFonts w:hint="eastAsia" w:ascii="宋体" w:hAnsi="宋体" w:eastAsia="宋体" w:cs="宋体"/>
                <w:kern w:val="0"/>
                <w:szCs w:val="21"/>
                <w:highlight w:val="none"/>
                <w:lang w:bidi="ar"/>
              </w:rPr>
              <w:t>项目售后运维服务期限</w:t>
            </w:r>
          </w:p>
        </w:tc>
        <w:tc>
          <w:tcPr>
            <w:tcW w:w="6423" w:type="dxa"/>
            <w:vAlign w:val="center"/>
          </w:tcPr>
          <w:p w14:paraId="45E8641E">
            <w:pPr>
              <w:spacing w:line="280" w:lineRule="exact"/>
              <w:jc w:val="center"/>
              <w:rPr>
                <w:rFonts w:ascii="宋体" w:hAnsi="宋体" w:eastAsia="宋体" w:cs="宋体"/>
                <w:szCs w:val="21"/>
                <w:highlight w:val="none"/>
              </w:rPr>
            </w:pPr>
          </w:p>
        </w:tc>
      </w:tr>
      <w:tr w14:paraId="6D40D3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trPr>
        <w:tc>
          <w:tcPr>
            <w:tcW w:w="720" w:type="dxa"/>
            <w:vAlign w:val="center"/>
          </w:tcPr>
          <w:p w14:paraId="4A191242">
            <w:pPr>
              <w:spacing w:line="280" w:lineRule="exact"/>
              <w:jc w:val="center"/>
              <w:rPr>
                <w:rFonts w:ascii="宋体" w:hAnsi="宋体" w:eastAsia="宋体" w:cs="宋体"/>
                <w:szCs w:val="21"/>
                <w:highlight w:val="none"/>
              </w:rPr>
            </w:pPr>
            <w:r>
              <w:rPr>
                <w:rFonts w:hint="eastAsia" w:ascii="宋体" w:hAnsi="宋体" w:eastAsia="宋体" w:cs="宋体"/>
                <w:szCs w:val="21"/>
                <w:highlight w:val="none"/>
              </w:rPr>
              <w:t>5</w:t>
            </w:r>
          </w:p>
        </w:tc>
        <w:tc>
          <w:tcPr>
            <w:tcW w:w="2835" w:type="dxa"/>
            <w:vAlign w:val="center"/>
          </w:tcPr>
          <w:p w14:paraId="1ECF405E">
            <w:pPr>
              <w:spacing w:line="440" w:lineRule="exact"/>
              <w:jc w:val="center"/>
              <w:rPr>
                <w:rFonts w:ascii="宋体" w:hAnsi="宋体" w:eastAsia="宋体" w:cs="宋体"/>
                <w:kern w:val="0"/>
                <w:szCs w:val="21"/>
                <w:highlight w:val="none"/>
              </w:rPr>
            </w:pPr>
            <w:r>
              <w:rPr>
                <w:rFonts w:hint="eastAsia" w:ascii="宋体" w:hAnsi="宋体" w:eastAsia="宋体" w:cs="宋体"/>
                <w:kern w:val="0"/>
                <w:szCs w:val="21"/>
                <w:highlight w:val="none"/>
              </w:rPr>
              <w:t>项目负责人</w:t>
            </w:r>
          </w:p>
        </w:tc>
        <w:tc>
          <w:tcPr>
            <w:tcW w:w="6423" w:type="dxa"/>
            <w:vAlign w:val="center"/>
          </w:tcPr>
          <w:p w14:paraId="235F2B0E">
            <w:pPr>
              <w:spacing w:line="280" w:lineRule="exact"/>
              <w:jc w:val="center"/>
              <w:rPr>
                <w:rFonts w:ascii="宋体" w:hAnsi="宋体" w:eastAsia="宋体" w:cs="宋体"/>
                <w:szCs w:val="21"/>
                <w:highlight w:val="none"/>
              </w:rPr>
            </w:pPr>
          </w:p>
        </w:tc>
      </w:tr>
      <w:tr w14:paraId="052765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trPr>
        <w:tc>
          <w:tcPr>
            <w:tcW w:w="720" w:type="dxa"/>
            <w:vAlign w:val="center"/>
          </w:tcPr>
          <w:p w14:paraId="365C3672">
            <w:pPr>
              <w:spacing w:line="280" w:lineRule="exact"/>
              <w:jc w:val="center"/>
              <w:rPr>
                <w:rFonts w:ascii="宋体" w:hAnsi="宋体" w:eastAsia="宋体" w:cs="宋体"/>
                <w:szCs w:val="21"/>
                <w:highlight w:val="none"/>
              </w:rPr>
            </w:pPr>
            <w:r>
              <w:rPr>
                <w:rFonts w:hint="eastAsia" w:ascii="宋体" w:hAnsi="宋体" w:eastAsia="宋体" w:cs="宋体"/>
                <w:szCs w:val="21"/>
                <w:highlight w:val="none"/>
              </w:rPr>
              <w:t>6</w:t>
            </w:r>
          </w:p>
        </w:tc>
        <w:tc>
          <w:tcPr>
            <w:tcW w:w="2835" w:type="dxa"/>
            <w:vAlign w:val="center"/>
          </w:tcPr>
          <w:p w14:paraId="47CB7151">
            <w:pPr>
              <w:spacing w:line="440" w:lineRule="exact"/>
              <w:jc w:val="center"/>
              <w:rPr>
                <w:rFonts w:ascii="宋体" w:hAnsi="宋体" w:eastAsia="宋体" w:cs="宋体"/>
                <w:szCs w:val="21"/>
                <w:highlight w:val="none"/>
              </w:rPr>
            </w:pPr>
            <w:r>
              <w:rPr>
                <w:rFonts w:hint="eastAsia" w:ascii="宋体" w:hAnsi="宋体" w:eastAsia="宋体" w:cs="宋体"/>
                <w:highlight w:val="none"/>
              </w:rPr>
              <w:t>磋商保证金金额及缴纳方式</w:t>
            </w:r>
          </w:p>
        </w:tc>
        <w:tc>
          <w:tcPr>
            <w:tcW w:w="6423" w:type="dxa"/>
            <w:vAlign w:val="center"/>
          </w:tcPr>
          <w:p w14:paraId="7F5F98C1">
            <w:pPr>
              <w:spacing w:line="280" w:lineRule="exact"/>
              <w:jc w:val="center"/>
              <w:rPr>
                <w:rFonts w:ascii="宋体" w:hAnsi="宋体" w:eastAsia="宋体" w:cs="宋体"/>
                <w:szCs w:val="21"/>
                <w:highlight w:val="none"/>
              </w:rPr>
            </w:pPr>
          </w:p>
        </w:tc>
      </w:tr>
      <w:tr w14:paraId="5F2DA8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trPr>
        <w:tc>
          <w:tcPr>
            <w:tcW w:w="720" w:type="dxa"/>
            <w:vAlign w:val="center"/>
          </w:tcPr>
          <w:p w14:paraId="7E9CDC83">
            <w:pPr>
              <w:spacing w:line="280" w:lineRule="exact"/>
              <w:jc w:val="center"/>
              <w:rPr>
                <w:rFonts w:ascii="宋体" w:hAnsi="宋体" w:eastAsia="宋体" w:cs="宋体"/>
                <w:szCs w:val="21"/>
                <w:highlight w:val="none"/>
              </w:rPr>
            </w:pPr>
            <w:r>
              <w:rPr>
                <w:rFonts w:hint="eastAsia" w:ascii="宋体" w:hAnsi="宋体" w:eastAsia="宋体" w:cs="宋体"/>
                <w:szCs w:val="21"/>
                <w:highlight w:val="none"/>
              </w:rPr>
              <w:t>7</w:t>
            </w:r>
          </w:p>
        </w:tc>
        <w:tc>
          <w:tcPr>
            <w:tcW w:w="2835" w:type="dxa"/>
            <w:vAlign w:val="center"/>
          </w:tcPr>
          <w:p w14:paraId="59821898">
            <w:pPr>
              <w:spacing w:line="440" w:lineRule="exact"/>
              <w:jc w:val="center"/>
              <w:rPr>
                <w:rFonts w:ascii="宋体" w:hAnsi="宋体" w:eastAsia="宋体" w:cs="宋体"/>
                <w:szCs w:val="21"/>
                <w:highlight w:val="none"/>
              </w:rPr>
            </w:pPr>
            <w:r>
              <w:rPr>
                <w:rFonts w:hint="eastAsia" w:ascii="宋体" w:hAnsi="宋体" w:eastAsia="宋体" w:cs="宋体"/>
                <w:kern w:val="0"/>
                <w:szCs w:val="21"/>
                <w:highlight w:val="none"/>
              </w:rPr>
              <w:t>备注</w:t>
            </w:r>
          </w:p>
        </w:tc>
        <w:tc>
          <w:tcPr>
            <w:tcW w:w="6423" w:type="dxa"/>
            <w:vAlign w:val="center"/>
          </w:tcPr>
          <w:p w14:paraId="500AE4E9">
            <w:pPr>
              <w:spacing w:line="280" w:lineRule="exact"/>
              <w:jc w:val="center"/>
              <w:rPr>
                <w:rFonts w:ascii="宋体" w:hAnsi="宋体" w:eastAsia="宋体" w:cs="宋体"/>
                <w:szCs w:val="21"/>
                <w:highlight w:val="none"/>
              </w:rPr>
            </w:pPr>
          </w:p>
        </w:tc>
      </w:tr>
    </w:tbl>
    <w:p w14:paraId="76AB82CC">
      <w:pPr>
        <w:jc w:val="left"/>
        <w:rPr>
          <w:rFonts w:ascii="宋体" w:hAnsi="宋体" w:eastAsia="宋体" w:cs="宋体"/>
          <w:b/>
          <w:bCs/>
          <w:highlight w:val="none"/>
        </w:rPr>
      </w:pPr>
    </w:p>
    <w:p w14:paraId="5C2E1A31">
      <w:pPr>
        <w:spacing w:line="480" w:lineRule="exact"/>
        <w:ind w:firstLine="843" w:firstLineChars="400"/>
        <w:rPr>
          <w:rFonts w:ascii="宋体" w:hAnsi="宋体" w:eastAsia="宋体" w:cs="宋体"/>
          <w:b/>
          <w:bCs/>
          <w:highlight w:val="none"/>
        </w:rPr>
      </w:pPr>
      <w:r>
        <w:rPr>
          <w:rFonts w:hint="eastAsia" w:ascii="宋体" w:hAnsi="宋体" w:eastAsia="宋体" w:cs="宋体"/>
          <w:b/>
          <w:bCs/>
          <w:highlight w:val="none"/>
        </w:rPr>
        <w:t>注：1.磋商报价保留2位小数，合同执行货币为人民币。</w:t>
      </w:r>
    </w:p>
    <w:p w14:paraId="5308FD1D">
      <w:pPr>
        <w:pStyle w:val="15"/>
        <w:spacing w:line="480" w:lineRule="exact"/>
        <w:ind w:firstLine="575"/>
        <w:rPr>
          <w:rFonts w:hAnsi="宋体"/>
          <w:highlight w:val="none"/>
        </w:rPr>
      </w:pPr>
    </w:p>
    <w:p w14:paraId="4F23E688">
      <w:pPr>
        <w:pStyle w:val="15"/>
        <w:spacing w:line="480" w:lineRule="exact"/>
        <w:ind w:firstLine="575"/>
        <w:rPr>
          <w:rFonts w:hAnsi="宋体"/>
          <w:highlight w:val="none"/>
        </w:rPr>
      </w:pPr>
      <w:r>
        <w:rPr>
          <w:rFonts w:hint="eastAsia" w:hAnsi="宋体"/>
          <w:highlight w:val="none"/>
        </w:rPr>
        <w:t>磋商申请人：</w:t>
      </w:r>
      <w:r>
        <w:rPr>
          <w:rFonts w:hint="eastAsia" w:hAnsi="宋体"/>
          <w:highlight w:val="none"/>
          <w:u w:val="single"/>
        </w:rPr>
        <w:t xml:space="preserve">        （全称）      </w:t>
      </w:r>
      <w:r>
        <w:rPr>
          <w:rFonts w:hint="eastAsia" w:hAnsi="宋体"/>
          <w:highlight w:val="none"/>
        </w:rPr>
        <w:t>（加盖单位公章）</w:t>
      </w:r>
    </w:p>
    <w:p w14:paraId="27F6BFC5">
      <w:pPr>
        <w:pStyle w:val="15"/>
        <w:spacing w:line="480" w:lineRule="exact"/>
        <w:ind w:firstLine="575"/>
        <w:rPr>
          <w:rFonts w:hAnsi="宋体"/>
          <w:highlight w:val="none"/>
        </w:rPr>
      </w:pPr>
      <w:r>
        <w:rPr>
          <w:rFonts w:hint="eastAsia" w:hAnsi="宋体"/>
          <w:highlight w:val="none"/>
        </w:rPr>
        <w:t>法定代表人（负责人）或委托代理人：</w:t>
      </w:r>
      <w:r>
        <w:rPr>
          <w:rFonts w:hint="eastAsia" w:hAnsi="宋体"/>
          <w:highlight w:val="none"/>
          <w:u w:val="single"/>
        </w:rPr>
        <w:t xml:space="preserve">          </w:t>
      </w:r>
      <w:r>
        <w:rPr>
          <w:rFonts w:hint="eastAsia" w:hAnsi="宋体"/>
          <w:highlight w:val="none"/>
        </w:rPr>
        <w:t>（签字或加盖个人印章）</w:t>
      </w:r>
    </w:p>
    <w:p w14:paraId="061350F7">
      <w:pPr>
        <w:pStyle w:val="15"/>
        <w:spacing w:line="480" w:lineRule="exact"/>
        <w:ind w:firstLine="575"/>
        <w:rPr>
          <w:rFonts w:hAnsi="宋体"/>
          <w:b/>
          <w:bCs/>
          <w:highlight w:val="none"/>
        </w:rPr>
      </w:pPr>
      <w:r>
        <w:rPr>
          <w:rFonts w:hint="eastAsia" w:hAnsi="宋体"/>
          <w:highlight w:val="none"/>
        </w:rPr>
        <w:t>日期：</w:t>
      </w:r>
      <w:r>
        <w:rPr>
          <w:rFonts w:hint="eastAsia" w:hAnsi="宋体"/>
          <w:highlight w:val="none"/>
          <w:u w:val="single"/>
        </w:rPr>
        <w:t xml:space="preserve">        </w:t>
      </w:r>
      <w:r>
        <w:rPr>
          <w:rFonts w:hint="eastAsia" w:hAnsi="宋体"/>
          <w:highlight w:val="none"/>
        </w:rPr>
        <w:t>年</w:t>
      </w:r>
      <w:r>
        <w:rPr>
          <w:rFonts w:hint="eastAsia" w:hAnsi="宋体"/>
          <w:highlight w:val="none"/>
          <w:u w:val="single"/>
        </w:rPr>
        <w:t xml:space="preserve">     </w:t>
      </w:r>
      <w:r>
        <w:rPr>
          <w:rFonts w:hint="eastAsia" w:hAnsi="宋体"/>
          <w:highlight w:val="none"/>
        </w:rPr>
        <w:t>月</w:t>
      </w:r>
      <w:r>
        <w:rPr>
          <w:rFonts w:hint="eastAsia" w:hAnsi="宋体"/>
          <w:highlight w:val="none"/>
          <w:u w:val="single"/>
        </w:rPr>
        <w:t xml:space="preserve">     </w:t>
      </w:r>
      <w:r>
        <w:rPr>
          <w:rFonts w:hint="eastAsia" w:hAnsi="宋体"/>
          <w:highlight w:val="none"/>
        </w:rPr>
        <w:t>日</w:t>
      </w:r>
    </w:p>
    <w:p w14:paraId="76576C6A">
      <w:pPr>
        <w:rPr>
          <w:rFonts w:ascii="宋体" w:hAnsi="宋体" w:eastAsia="宋体" w:cs="宋体"/>
          <w:highlight w:val="none"/>
        </w:rPr>
      </w:pPr>
    </w:p>
    <w:p w14:paraId="7190BD47">
      <w:pPr>
        <w:jc w:val="center"/>
        <w:rPr>
          <w:rFonts w:ascii="宋体" w:hAnsi="宋体" w:eastAsia="宋体" w:cs="宋体"/>
          <w:b/>
          <w:sz w:val="28"/>
          <w:szCs w:val="28"/>
          <w:highlight w:val="none"/>
        </w:rPr>
      </w:pPr>
    </w:p>
    <w:p w14:paraId="79D32404">
      <w:pPr>
        <w:spacing w:line="360" w:lineRule="auto"/>
        <w:rPr>
          <w:rFonts w:ascii="宋体" w:hAnsi="宋体" w:eastAsia="宋体" w:cs="宋体"/>
          <w:b/>
          <w:bCs/>
          <w:highlight w:val="none"/>
          <w:u w:val="single"/>
        </w:rPr>
      </w:pPr>
    </w:p>
    <w:p w14:paraId="709CFC8B">
      <w:pPr>
        <w:pStyle w:val="12"/>
        <w:rPr>
          <w:rFonts w:ascii="宋体" w:hAnsi="宋体" w:eastAsia="宋体" w:cs="宋体"/>
          <w:highlight w:val="none"/>
        </w:rPr>
      </w:pPr>
    </w:p>
    <w:p w14:paraId="5BA101CA">
      <w:pPr>
        <w:rPr>
          <w:rFonts w:ascii="宋体" w:hAnsi="宋体" w:eastAsia="宋体" w:cs="宋体"/>
          <w:highlight w:val="none"/>
        </w:rPr>
      </w:pPr>
      <w:r>
        <w:rPr>
          <w:rFonts w:hint="eastAsia" w:ascii="宋体" w:hAnsi="宋体" w:eastAsia="宋体" w:cs="宋体"/>
          <w:highlight w:val="none"/>
        </w:rPr>
        <w:br w:type="page"/>
      </w:r>
    </w:p>
    <w:p w14:paraId="055874D1">
      <w:pPr>
        <w:spacing w:line="360" w:lineRule="auto"/>
        <w:jc w:val="center"/>
        <w:rPr>
          <w:rFonts w:ascii="宋体" w:hAnsi="宋体" w:eastAsia="宋体" w:cs="宋体"/>
          <w:b/>
          <w:bCs/>
          <w:sz w:val="28"/>
          <w:szCs w:val="28"/>
          <w:highlight w:val="none"/>
        </w:rPr>
      </w:pPr>
      <w:r>
        <w:rPr>
          <w:rFonts w:hint="eastAsia" w:ascii="宋体" w:hAnsi="宋体" w:eastAsia="宋体" w:cs="宋体"/>
          <w:b/>
          <w:bCs/>
          <w:sz w:val="28"/>
          <w:szCs w:val="28"/>
          <w:highlight w:val="none"/>
        </w:rPr>
        <w:t>格式2：竞争性磋商分项报价表</w:t>
      </w:r>
    </w:p>
    <w:p w14:paraId="4EBCCE9F">
      <w:pPr>
        <w:snapToGrid w:val="0"/>
        <w:spacing w:after="156" w:afterLines="50" w:line="460" w:lineRule="atLeast"/>
        <w:rPr>
          <w:rFonts w:ascii="宋体" w:hAnsi="宋体" w:eastAsia="宋体" w:cs="宋体"/>
          <w:szCs w:val="21"/>
          <w:highlight w:val="none"/>
        </w:rPr>
      </w:pPr>
      <w:r>
        <w:rPr>
          <w:rFonts w:hint="eastAsia" w:ascii="宋体" w:hAnsi="宋体" w:eastAsia="宋体" w:cs="宋体"/>
          <w:szCs w:val="21"/>
          <w:highlight w:val="none"/>
        </w:rPr>
        <w:t>项目名称：</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项目编号：</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w:t>
      </w:r>
    </w:p>
    <w:tbl>
      <w:tblPr>
        <w:tblStyle w:val="27"/>
        <w:tblW w:w="952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9"/>
        <w:gridCol w:w="1550"/>
        <w:gridCol w:w="1700"/>
        <w:gridCol w:w="1592"/>
        <w:gridCol w:w="725"/>
        <w:gridCol w:w="1040"/>
        <w:gridCol w:w="1642"/>
        <w:gridCol w:w="736"/>
      </w:tblGrid>
      <w:tr w14:paraId="0544E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trPr>
        <w:tc>
          <w:tcPr>
            <w:tcW w:w="539" w:type="dxa"/>
            <w:vAlign w:val="center"/>
          </w:tcPr>
          <w:p w14:paraId="147AC873">
            <w:pPr>
              <w:widowControl/>
              <w:jc w:val="center"/>
              <w:rPr>
                <w:rFonts w:ascii="宋体" w:hAnsi="宋体" w:eastAsia="宋体" w:cs="宋体"/>
                <w:b/>
                <w:bCs/>
                <w:szCs w:val="21"/>
                <w:highlight w:val="none"/>
              </w:rPr>
            </w:pPr>
            <w:r>
              <w:rPr>
                <w:rFonts w:hint="eastAsia" w:ascii="宋体" w:hAnsi="宋体" w:eastAsia="宋体" w:cs="宋体"/>
                <w:b/>
                <w:bCs/>
                <w:szCs w:val="21"/>
                <w:highlight w:val="none"/>
              </w:rPr>
              <w:t>序号</w:t>
            </w:r>
          </w:p>
        </w:tc>
        <w:tc>
          <w:tcPr>
            <w:tcW w:w="1550" w:type="dxa"/>
            <w:vAlign w:val="center"/>
          </w:tcPr>
          <w:p w14:paraId="2967DA2E">
            <w:pPr>
              <w:widowControl/>
              <w:jc w:val="center"/>
              <w:rPr>
                <w:rFonts w:ascii="宋体" w:hAnsi="宋体" w:eastAsia="宋体" w:cs="宋体"/>
                <w:b/>
                <w:bCs/>
                <w:szCs w:val="21"/>
                <w:highlight w:val="none"/>
              </w:rPr>
            </w:pPr>
            <w:r>
              <w:rPr>
                <w:rFonts w:hint="eastAsia" w:ascii="宋体" w:hAnsi="宋体" w:eastAsia="宋体" w:cs="宋体"/>
                <w:b/>
                <w:bCs/>
                <w:szCs w:val="21"/>
                <w:highlight w:val="none"/>
              </w:rPr>
              <w:t>项目服务工作名称</w:t>
            </w:r>
          </w:p>
        </w:tc>
        <w:tc>
          <w:tcPr>
            <w:tcW w:w="1700" w:type="dxa"/>
            <w:vAlign w:val="center"/>
          </w:tcPr>
          <w:p w14:paraId="47752C59">
            <w:pPr>
              <w:widowControl/>
              <w:jc w:val="center"/>
              <w:rPr>
                <w:rFonts w:ascii="宋体" w:hAnsi="宋体" w:eastAsia="宋体" w:cs="宋体"/>
                <w:b/>
                <w:bCs/>
                <w:szCs w:val="21"/>
                <w:highlight w:val="none"/>
              </w:rPr>
            </w:pPr>
            <w:r>
              <w:rPr>
                <w:rFonts w:hint="eastAsia" w:ascii="宋体" w:hAnsi="宋体" w:eastAsia="宋体" w:cs="宋体"/>
                <w:b/>
                <w:bCs/>
                <w:szCs w:val="21"/>
                <w:highlight w:val="none"/>
              </w:rPr>
              <w:t>开展相应服务工作主要工作内容</w:t>
            </w:r>
          </w:p>
        </w:tc>
        <w:tc>
          <w:tcPr>
            <w:tcW w:w="1592" w:type="dxa"/>
            <w:vAlign w:val="center"/>
          </w:tcPr>
          <w:p w14:paraId="1CDB63CF">
            <w:pPr>
              <w:widowControl/>
              <w:jc w:val="center"/>
              <w:rPr>
                <w:rFonts w:ascii="宋体" w:hAnsi="宋体" w:eastAsia="宋体" w:cs="宋体"/>
                <w:b/>
                <w:bCs/>
                <w:szCs w:val="21"/>
                <w:highlight w:val="none"/>
              </w:rPr>
            </w:pPr>
            <w:r>
              <w:rPr>
                <w:rFonts w:hint="eastAsia" w:ascii="宋体" w:hAnsi="宋体" w:eastAsia="宋体" w:cs="宋体"/>
                <w:b/>
                <w:bCs/>
                <w:szCs w:val="21"/>
                <w:highlight w:val="none"/>
              </w:rPr>
              <w:t>全费用单价（元）</w:t>
            </w:r>
          </w:p>
        </w:tc>
        <w:tc>
          <w:tcPr>
            <w:tcW w:w="725" w:type="dxa"/>
            <w:vAlign w:val="center"/>
          </w:tcPr>
          <w:p w14:paraId="5F1693F0">
            <w:pPr>
              <w:widowControl/>
              <w:jc w:val="center"/>
              <w:rPr>
                <w:rFonts w:ascii="宋体" w:hAnsi="宋体" w:eastAsia="宋体" w:cs="宋体"/>
                <w:b/>
                <w:bCs/>
                <w:szCs w:val="21"/>
                <w:highlight w:val="none"/>
              </w:rPr>
            </w:pPr>
            <w:r>
              <w:rPr>
                <w:rFonts w:hint="eastAsia" w:ascii="宋体" w:hAnsi="宋体" w:eastAsia="宋体" w:cs="宋体"/>
                <w:b/>
                <w:bCs/>
                <w:szCs w:val="21"/>
                <w:highlight w:val="none"/>
              </w:rPr>
              <w:t>单位</w:t>
            </w:r>
          </w:p>
        </w:tc>
        <w:tc>
          <w:tcPr>
            <w:tcW w:w="1040" w:type="dxa"/>
            <w:vAlign w:val="center"/>
          </w:tcPr>
          <w:p w14:paraId="4DFE1614">
            <w:pPr>
              <w:widowControl/>
              <w:jc w:val="center"/>
              <w:rPr>
                <w:rFonts w:ascii="宋体" w:hAnsi="宋体" w:eastAsia="宋体" w:cs="宋体"/>
                <w:b/>
                <w:bCs/>
                <w:szCs w:val="21"/>
                <w:highlight w:val="none"/>
              </w:rPr>
            </w:pPr>
            <w:r>
              <w:rPr>
                <w:rFonts w:hint="eastAsia" w:ascii="宋体" w:hAnsi="宋体" w:eastAsia="宋体" w:cs="宋体"/>
                <w:b/>
                <w:bCs/>
                <w:szCs w:val="21"/>
                <w:highlight w:val="none"/>
              </w:rPr>
              <w:t>数量</w:t>
            </w:r>
          </w:p>
        </w:tc>
        <w:tc>
          <w:tcPr>
            <w:tcW w:w="1642" w:type="dxa"/>
            <w:vAlign w:val="center"/>
          </w:tcPr>
          <w:p w14:paraId="157C2FE7">
            <w:pPr>
              <w:widowControl/>
              <w:jc w:val="center"/>
              <w:rPr>
                <w:rFonts w:ascii="宋体" w:hAnsi="宋体" w:eastAsia="宋体" w:cs="宋体"/>
                <w:b/>
                <w:bCs/>
                <w:szCs w:val="21"/>
                <w:highlight w:val="none"/>
              </w:rPr>
            </w:pPr>
            <w:r>
              <w:rPr>
                <w:rFonts w:hint="eastAsia" w:ascii="宋体" w:hAnsi="宋体" w:eastAsia="宋体" w:cs="宋体"/>
                <w:b/>
                <w:bCs/>
                <w:szCs w:val="21"/>
                <w:highlight w:val="none"/>
              </w:rPr>
              <w:t>总价（元）</w:t>
            </w:r>
          </w:p>
        </w:tc>
        <w:tc>
          <w:tcPr>
            <w:tcW w:w="736" w:type="dxa"/>
            <w:vAlign w:val="center"/>
          </w:tcPr>
          <w:p w14:paraId="30F8C697">
            <w:pPr>
              <w:widowControl/>
              <w:jc w:val="center"/>
              <w:rPr>
                <w:rFonts w:ascii="宋体" w:hAnsi="宋体" w:eastAsia="宋体" w:cs="宋体"/>
                <w:b/>
                <w:bCs/>
                <w:szCs w:val="21"/>
                <w:highlight w:val="none"/>
              </w:rPr>
            </w:pPr>
            <w:r>
              <w:rPr>
                <w:rFonts w:hint="eastAsia" w:ascii="宋体" w:hAnsi="宋体" w:eastAsia="宋体" w:cs="宋体"/>
                <w:b/>
                <w:bCs/>
                <w:szCs w:val="21"/>
                <w:highlight w:val="none"/>
              </w:rPr>
              <w:t>备注</w:t>
            </w:r>
          </w:p>
        </w:tc>
      </w:tr>
      <w:tr w14:paraId="0F0746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trPr>
        <w:tc>
          <w:tcPr>
            <w:tcW w:w="539" w:type="dxa"/>
            <w:vAlign w:val="center"/>
          </w:tcPr>
          <w:p w14:paraId="44A3157E">
            <w:pPr>
              <w:widowControl/>
              <w:jc w:val="center"/>
              <w:rPr>
                <w:rFonts w:ascii="宋体" w:hAnsi="宋体" w:eastAsia="宋体" w:cs="宋体"/>
                <w:szCs w:val="21"/>
                <w:highlight w:val="none"/>
              </w:rPr>
            </w:pPr>
            <w:r>
              <w:rPr>
                <w:rFonts w:hint="eastAsia" w:ascii="宋体" w:hAnsi="宋体" w:eastAsia="宋体" w:cs="宋体"/>
                <w:szCs w:val="21"/>
                <w:highlight w:val="none"/>
              </w:rPr>
              <w:t>1</w:t>
            </w:r>
          </w:p>
        </w:tc>
        <w:tc>
          <w:tcPr>
            <w:tcW w:w="1550" w:type="dxa"/>
            <w:vAlign w:val="center"/>
          </w:tcPr>
          <w:p w14:paraId="675D209E">
            <w:pPr>
              <w:widowControl/>
              <w:jc w:val="center"/>
              <w:rPr>
                <w:rFonts w:ascii="宋体" w:hAnsi="宋体" w:eastAsia="宋体" w:cs="宋体"/>
                <w:szCs w:val="21"/>
                <w:highlight w:val="none"/>
              </w:rPr>
            </w:pPr>
          </w:p>
        </w:tc>
        <w:tc>
          <w:tcPr>
            <w:tcW w:w="1700" w:type="dxa"/>
            <w:vAlign w:val="center"/>
          </w:tcPr>
          <w:p w14:paraId="3D0DE76F">
            <w:pPr>
              <w:widowControl/>
              <w:jc w:val="center"/>
              <w:rPr>
                <w:rFonts w:ascii="宋体" w:hAnsi="宋体" w:eastAsia="宋体" w:cs="宋体"/>
                <w:szCs w:val="21"/>
                <w:highlight w:val="none"/>
              </w:rPr>
            </w:pPr>
          </w:p>
        </w:tc>
        <w:tc>
          <w:tcPr>
            <w:tcW w:w="1592" w:type="dxa"/>
            <w:vAlign w:val="center"/>
          </w:tcPr>
          <w:p w14:paraId="59A748DF">
            <w:pPr>
              <w:widowControl/>
              <w:jc w:val="center"/>
              <w:rPr>
                <w:rFonts w:ascii="宋体" w:hAnsi="宋体" w:eastAsia="宋体" w:cs="宋体"/>
                <w:szCs w:val="21"/>
                <w:highlight w:val="none"/>
              </w:rPr>
            </w:pPr>
          </w:p>
        </w:tc>
        <w:tc>
          <w:tcPr>
            <w:tcW w:w="725" w:type="dxa"/>
            <w:vAlign w:val="center"/>
          </w:tcPr>
          <w:p w14:paraId="6ACF2E3F">
            <w:pPr>
              <w:widowControl/>
              <w:jc w:val="center"/>
              <w:rPr>
                <w:rFonts w:ascii="宋体" w:hAnsi="宋体" w:eastAsia="宋体" w:cs="宋体"/>
                <w:szCs w:val="21"/>
                <w:highlight w:val="none"/>
              </w:rPr>
            </w:pPr>
          </w:p>
        </w:tc>
        <w:tc>
          <w:tcPr>
            <w:tcW w:w="1040" w:type="dxa"/>
            <w:vAlign w:val="center"/>
          </w:tcPr>
          <w:p w14:paraId="05BAFC6F">
            <w:pPr>
              <w:widowControl/>
              <w:jc w:val="center"/>
              <w:rPr>
                <w:rFonts w:ascii="宋体" w:hAnsi="宋体" w:eastAsia="宋体" w:cs="宋体"/>
                <w:szCs w:val="21"/>
                <w:highlight w:val="none"/>
              </w:rPr>
            </w:pPr>
          </w:p>
        </w:tc>
        <w:tc>
          <w:tcPr>
            <w:tcW w:w="1642" w:type="dxa"/>
            <w:vAlign w:val="center"/>
          </w:tcPr>
          <w:p w14:paraId="6CBF77DF">
            <w:pPr>
              <w:widowControl/>
              <w:jc w:val="center"/>
              <w:rPr>
                <w:rFonts w:ascii="宋体" w:hAnsi="宋体" w:eastAsia="宋体" w:cs="宋体"/>
                <w:szCs w:val="21"/>
                <w:highlight w:val="none"/>
              </w:rPr>
            </w:pPr>
          </w:p>
        </w:tc>
        <w:tc>
          <w:tcPr>
            <w:tcW w:w="736" w:type="dxa"/>
            <w:vAlign w:val="center"/>
          </w:tcPr>
          <w:p w14:paraId="26E27EB1">
            <w:pPr>
              <w:widowControl/>
              <w:jc w:val="center"/>
              <w:rPr>
                <w:rFonts w:ascii="宋体" w:hAnsi="宋体" w:eastAsia="宋体" w:cs="宋体"/>
                <w:szCs w:val="21"/>
                <w:highlight w:val="none"/>
              </w:rPr>
            </w:pPr>
          </w:p>
        </w:tc>
      </w:tr>
      <w:tr w14:paraId="10BEEF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trPr>
        <w:tc>
          <w:tcPr>
            <w:tcW w:w="539" w:type="dxa"/>
            <w:vAlign w:val="center"/>
          </w:tcPr>
          <w:p w14:paraId="0C4C82D6">
            <w:pPr>
              <w:widowControl/>
              <w:jc w:val="center"/>
              <w:rPr>
                <w:rFonts w:ascii="宋体" w:hAnsi="宋体" w:eastAsia="宋体" w:cs="宋体"/>
                <w:szCs w:val="21"/>
                <w:highlight w:val="none"/>
              </w:rPr>
            </w:pPr>
            <w:r>
              <w:rPr>
                <w:rFonts w:hint="eastAsia" w:ascii="宋体" w:hAnsi="宋体" w:eastAsia="宋体" w:cs="宋体"/>
                <w:szCs w:val="21"/>
                <w:highlight w:val="none"/>
              </w:rPr>
              <w:t>2</w:t>
            </w:r>
          </w:p>
        </w:tc>
        <w:tc>
          <w:tcPr>
            <w:tcW w:w="1550" w:type="dxa"/>
            <w:vAlign w:val="center"/>
          </w:tcPr>
          <w:p w14:paraId="5E36210C">
            <w:pPr>
              <w:widowControl/>
              <w:jc w:val="center"/>
              <w:rPr>
                <w:rFonts w:ascii="宋体" w:hAnsi="宋体" w:eastAsia="宋体" w:cs="宋体"/>
                <w:szCs w:val="21"/>
                <w:highlight w:val="none"/>
              </w:rPr>
            </w:pPr>
          </w:p>
        </w:tc>
        <w:tc>
          <w:tcPr>
            <w:tcW w:w="1700" w:type="dxa"/>
            <w:vAlign w:val="center"/>
          </w:tcPr>
          <w:p w14:paraId="2817E54F">
            <w:pPr>
              <w:widowControl/>
              <w:jc w:val="center"/>
              <w:rPr>
                <w:rFonts w:ascii="宋体" w:hAnsi="宋体" w:eastAsia="宋体" w:cs="宋体"/>
                <w:szCs w:val="21"/>
                <w:highlight w:val="none"/>
              </w:rPr>
            </w:pPr>
          </w:p>
        </w:tc>
        <w:tc>
          <w:tcPr>
            <w:tcW w:w="1592" w:type="dxa"/>
            <w:vAlign w:val="center"/>
          </w:tcPr>
          <w:p w14:paraId="07A8DD8D">
            <w:pPr>
              <w:widowControl/>
              <w:jc w:val="center"/>
              <w:rPr>
                <w:rFonts w:ascii="宋体" w:hAnsi="宋体" w:eastAsia="宋体" w:cs="宋体"/>
                <w:szCs w:val="21"/>
                <w:highlight w:val="none"/>
              </w:rPr>
            </w:pPr>
          </w:p>
        </w:tc>
        <w:tc>
          <w:tcPr>
            <w:tcW w:w="725" w:type="dxa"/>
            <w:vAlign w:val="center"/>
          </w:tcPr>
          <w:p w14:paraId="6F4F9DA9">
            <w:pPr>
              <w:widowControl/>
              <w:jc w:val="center"/>
              <w:rPr>
                <w:rFonts w:ascii="宋体" w:hAnsi="宋体" w:eastAsia="宋体" w:cs="宋体"/>
                <w:szCs w:val="21"/>
                <w:highlight w:val="none"/>
              </w:rPr>
            </w:pPr>
          </w:p>
        </w:tc>
        <w:tc>
          <w:tcPr>
            <w:tcW w:w="1040" w:type="dxa"/>
            <w:vAlign w:val="center"/>
          </w:tcPr>
          <w:p w14:paraId="6CAA22A2">
            <w:pPr>
              <w:widowControl/>
              <w:jc w:val="center"/>
              <w:rPr>
                <w:rFonts w:ascii="宋体" w:hAnsi="宋体" w:eastAsia="宋体" w:cs="宋体"/>
                <w:szCs w:val="21"/>
                <w:highlight w:val="none"/>
              </w:rPr>
            </w:pPr>
          </w:p>
        </w:tc>
        <w:tc>
          <w:tcPr>
            <w:tcW w:w="1642" w:type="dxa"/>
            <w:vAlign w:val="center"/>
          </w:tcPr>
          <w:p w14:paraId="2CE30FC0">
            <w:pPr>
              <w:widowControl/>
              <w:jc w:val="center"/>
              <w:rPr>
                <w:rFonts w:ascii="宋体" w:hAnsi="宋体" w:eastAsia="宋体" w:cs="宋体"/>
                <w:szCs w:val="21"/>
                <w:highlight w:val="none"/>
              </w:rPr>
            </w:pPr>
          </w:p>
        </w:tc>
        <w:tc>
          <w:tcPr>
            <w:tcW w:w="736" w:type="dxa"/>
            <w:vAlign w:val="center"/>
          </w:tcPr>
          <w:p w14:paraId="67FC5FDD">
            <w:pPr>
              <w:widowControl/>
              <w:jc w:val="center"/>
              <w:rPr>
                <w:rFonts w:ascii="宋体" w:hAnsi="宋体" w:eastAsia="宋体" w:cs="宋体"/>
                <w:szCs w:val="21"/>
                <w:highlight w:val="none"/>
              </w:rPr>
            </w:pPr>
          </w:p>
        </w:tc>
      </w:tr>
      <w:tr w14:paraId="421D7E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trPr>
        <w:tc>
          <w:tcPr>
            <w:tcW w:w="539" w:type="dxa"/>
            <w:vAlign w:val="center"/>
          </w:tcPr>
          <w:p w14:paraId="5EE709F0">
            <w:pPr>
              <w:widowControl/>
              <w:jc w:val="center"/>
              <w:rPr>
                <w:rFonts w:ascii="宋体" w:hAnsi="宋体" w:eastAsia="宋体" w:cs="宋体"/>
                <w:szCs w:val="21"/>
                <w:highlight w:val="none"/>
              </w:rPr>
            </w:pPr>
            <w:r>
              <w:rPr>
                <w:rFonts w:hint="eastAsia" w:ascii="宋体" w:hAnsi="宋体" w:eastAsia="宋体" w:cs="宋体"/>
                <w:szCs w:val="21"/>
                <w:highlight w:val="none"/>
              </w:rPr>
              <w:t>3</w:t>
            </w:r>
          </w:p>
        </w:tc>
        <w:tc>
          <w:tcPr>
            <w:tcW w:w="1550" w:type="dxa"/>
            <w:vAlign w:val="center"/>
          </w:tcPr>
          <w:p w14:paraId="7317056F">
            <w:pPr>
              <w:widowControl/>
              <w:jc w:val="center"/>
              <w:rPr>
                <w:rFonts w:ascii="宋体" w:hAnsi="宋体" w:eastAsia="宋体" w:cs="宋体"/>
                <w:szCs w:val="21"/>
                <w:highlight w:val="none"/>
              </w:rPr>
            </w:pPr>
          </w:p>
        </w:tc>
        <w:tc>
          <w:tcPr>
            <w:tcW w:w="1700" w:type="dxa"/>
            <w:vAlign w:val="center"/>
          </w:tcPr>
          <w:p w14:paraId="6500BF55">
            <w:pPr>
              <w:widowControl/>
              <w:jc w:val="center"/>
              <w:rPr>
                <w:rFonts w:ascii="宋体" w:hAnsi="宋体" w:eastAsia="宋体" w:cs="宋体"/>
                <w:szCs w:val="21"/>
                <w:highlight w:val="none"/>
              </w:rPr>
            </w:pPr>
          </w:p>
        </w:tc>
        <w:tc>
          <w:tcPr>
            <w:tcW w:w="1592" w:type="dxa"/>
            <w:vAlign w:val="center"/>
          </w:tcPr>
          <w:p w14:paraId="338553A8">
            <w:pPr>
              <w:widowControl/>
              <w:jc w:val="center"/>
              <w:rPr>
                <w:rFonts w:ascii="宋体" w:hAnsi="宋体" w:eastAsia="宋体" w:cs="宋体"/>
                <w:szCs w:val="21"/>
                <w:highlight w:val="none"/>
              </w:rPr>
            </w:pPr>
          </w:p>
        </w:tc>
        <w:tc>
          <w:tcPr>
            <w:tcW w:w="725" w:type="dxa"/>
            <w:vAlign w:val="center"/>
          </w:tcPr>
          <w:p w14:paraId="1A944CE0">
            <w:pPr>
              <w:widowControl/>
              <w:jc w:val="center"/>
              <w:rPr>
                <w:rFonts w:ascii="宋体" w:hAnsi="宋体" w:eastAsia="宋体" w:cs="宋体"/>
                <w:szCs w:val="21"/>
                <w:highlight w:val="none"/>
              </w:rPr>
            </w:pPr>
          </w:p>
        </w:tc>
        <w:tc>
          <w:tcPr>
            <w:tcW w:w="1040" w:type="dxa"/>
            <w:vAlign w:val="center"/>
          </w:tcPr>
          <w:p w14:paraId="0DB93F2B">
            <w:pPr>
              <w:widowControl/>
              <w:jc w:val="center"/>
              <w:rPr>
                <w:rFonts w:ascii="宋体" w:hAnsi="宋体" w:eastAsia="宋体" w:cs="宋体"/>
                <w:szCs w:val="21"/>
                <w:highlight w:val="none"/>
              </w:rPr>
            </w:pPr>
          </w:p>
        </w:tc>
        <w:tc>
          <w:tcPr>
            <w:tcW w:w="1642" w:type="dxa"/>
            <w:vAlign w:val="center"/>
          </w:tcPr>
          <w:p w14:paraId="587A7B2F">
            <w:pPr>
              <w:widowControl/>
              <w:jc w:val="center"/>
              <w:rPr>
                <w:rFonts w:ascii="宋体" w:hAnsi="宋体" w:eastAsia="宋体" w:cs="宋体"/>
                <w:szCs w:val="21"/>
                <w:highlight w:val="none"/>
              </w:rPr>
            </w:pPr>
          </w:p>
        </w:tc>
        <w:tc>
          <w:tcPr>
            <w:tcW w:w="736" w:type="dxa"/>
            <w:vAlign w:val="center"/>
          </w:tcPr>
          <w:p w14:paraId="450E0008">
            <w:pPr>
              <w:widowControl/>
              <w:jc w:val="center"/>
              <w:rPr>
                <w:rFonts w:ascii="宋体" w:hAnsi="宋体" w:eastAsia="宋体" w:cs="宋体"/>
                <w:szCs w:val="21"/>
                <w:highlight w:val="none"/>
              </w:rPr>
            </w:pPr>
          </w:p>
        </w:tc>
      </w:tr>
      <w:tr w14:paraId="7D5388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trPr>
        <w:tc>
          <w:tcPr>
            <w:tcW w:w="539" w:type="dxa"/>
            <w:vAlign w:val="center"/>
          </w:tcPr>
          <w:p w14:paraId="5B5BE6B0">
            <w:pPr>
              <w:widowControl/>
              <w:jc w:val="center"/>
              <w:rPr>
                <w:rFonts w:ascii="宋体" w:hAnsi="宋体" w:eastAsia="宋体" w:cs="宋体"/>
                <w:szCs w:val="21"/>
                <w:highlight w:val="none"/>
              </w:rPr>
            </w:pPr>
            <w:r>
              <w:rPr>
                <w:rFonts w:hint="eastAsia" w:ascii="宋体" w:hAnsi="宋体" w:eastAsia="宋体" w:cs="宋体"/>
                <w:szCs w:val="21"/>
                <w:highlight w:val="none"/>
              </w:rPr>
              <w:t>…</w:t>
            </w:r>
          </w:p>
        </w:tc>
        <w:tc>
          <w:tcPr>
            <w:tcW w:w="1550" w:type="dxa"/>
            <w:vAlign w:val="center"/>
          </w:tcPr>
          <w:p w14:paraId="2EABA548">
            <w:pPr>
              <w:widowControl/>
              <w:jc w:val="center"/>
              <w:rPr>
                <w:rFonts w:ascii="宋体" w:hAnsi="宋体" w:eastAsia="宋体" w:cs="宋体"/>
                <w:szCs w:val="21"/>
                <w:highlight w:val="none"/>
              </w:rPr>
            </w:pPr>
          </w:p>
        </w:tc>
        <w:tc>
          <w:tcPr>
            <w:tcW w:w="1700" w:type="dxa"/>
            <w:vAlign w:val="center"/>
          </w:tcPr>
          <w:p w14:paraId="6B656906">
            <w:pPr>
              <w:widowControl/>
              <w:jc w:val="center"/>
              <w:rPr>
                <w:rFonts w:ascii="宋体" w:hAnsi="宋体" w:eastAsia="宋体" w:cs="宋体"/>
                <w:szCs w:val="21"/>
                <w:highlight w:val="none"/>
              </w:rPr>
            </w:pPr>
          </w:p>
        </w:tc>
        <w:tc>
          <w:tcPr>
            <w:tcW w:w="1592" w:type="dxa"/>
            <w:vAlign w:val="center"/>
          </w:tcPr>
          <w:p w14:paraId="43A8781C">
            <w:pPr>
              <w:widowControl/>
              <w:jc w:val="center"/>
              <w:rPr>
                <w:rFonts w:ascii="宋体" w:hAnsi="宋体" w:eastAsia="宋体" w:cs="宋体"/>
                <w:szCs w:val="21"/>
                <w:highlight w:val="none"/>
              </w:rPr>
            </w:pPr>
          </w:p>
        </w:tc>
        <w:tc>
          <w:tcPr>
            <w:tcW w:w="725" w:type="dxa"/>
            <w:vAlign w:val="center"/>
          </w:tcPr>
          <w:p w14:paraId="12A4AF59">
            <w:pPr>
              <w:widowControl/>
              <w:jc w:val="center"/>
              <w:rPr>
                <w:rFonts w:ascii="宋体" w:hAnsi="宋体" w:eastAsia="宋体" w:cs="宋体"/>
                <w:szCs w:val="21"/>
                <w:highlight w:val="none"/>
              </w:rPr>
            </w:pPr>
          </w:p>
        </w:tc>
        <w:tc>
          <w:tcPr>
            <w:tcW w:w="1040" w:type="dxa"/>
            <w:vAlign w:val="center"/>
          </w:tcPr>
          <w:p w14:paraId="63F6FD7A">
            <w:pPr>
              <w:widowControl/>
              <w:jc w:val="center"/>
              <w:rPr>
                <w:rFonts w:ascii="宋体" w:hAnsi="宋体" w:eastAsia="宋体" w:cs="宋体"/>
                <w:szCs w:val="21"/>
                <w:highlight w:val="none"/>
              </w:rPr>
            </w:pPr>
          </w:p>
        </w:tc>
        <w:tc>
          <w:tcPr>
            <w:tcW w:w="1642" w:type="dxa"/>
            <w:vAlign w:val="center"/>
          </w:tcPr>
          <w:p w14:paraId="135A3833">
            <w:pPr>
              <w:widowControl/>
              <w:jc w:val="center"/>
              <w:rPr>
                <w:rFonts w:ascii="宋体" w:hAnsi="宋体" w:eastAsia="宋体" w:cs="宋体"/>
                <w:szCs w:val="21"/>
                <w:highlight w:val="none"/>
              </w:rPr>
            </w:pPr>
          </w:p>
        </w:tc>
        <w:tc>
          <w:tcPr>
            <w:tcW w:w="736" w:type="dxa"/>
            <w:vAlign w:val="center"/>
          </w:tcPr>
          <w:p w14:paraId="07F623C7">
            <w:pPr>
              <w:widowControl/>
              <w:jc w:val="center"/>
              <w:rPr>
                <w:rFonts w:ascii="宋体" w:hAnsi="宋体" w:eastAsia="宋体" w:cs="宋体"/>
                <w:szCs w:val="21"/>
                <w:highlight w:val="none"/>
              </w:rPr>
            </w:pPr>
          </w:p>
        </w:tc>
      </w:tr>
      <w:tr w14:paraId="75D39B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trPr>
        <w:tc>
          <w:tcPr>
            <w:tcW w:w="7146" w:type="dxa"/>
            <w:gridSpan w:val="6"/>
            <w:vAlign w:val="center"/>
          </w:tcPr>
          <w:p w14:paraId="6ADA41FD">
            <w:pPr>
              <w:widowControl/>
              <w:jc w:val="center"/>
              <w:rPr>
                <w:rFonts w:ascii="宋体" w:hAnsi="宋体" w:eastAsia="宋体" w:cs="宋体"/>
                <w:szCs w:val="21"/>
                <w:highlight w:val="none"/>
              </w:rPr>
            </w:pPr>
            <w:r>
              <w:rPr>
                <w:rFonts w:hint="eastAsia" w:ascii="宋体" w:hAnsi="宋体" w:eastAsia="宋体" w:cs="宋体"/>
                <w:szCs w:val="21"/>
                <w:highlight w:val="none"/>
              </w:rPr>
              <w:t>合计</w:t>
            </w:r>
          </w:p>
        </w:tc>
        <w:tc>
          <w:tcPr>
            <w:tcW w:w="1642" w:type="dxa"/>
            <w:vAlign w:val="center"/>
          </w:tcPr>
          <w:p w14:paraId="0B487A27">
            <w:pPr>
              <w:widowControl/>
              <w:jc w:val="center"/>
              <w:rPr>
                <w:rFonts w:ascii="宋体" w:hAnsi="宋体" w:eastAsia="宋体" w:cs="宋体"/>
                <w:szCs w:val="21"/>
                <w:highlight w:val="none"/>
              </w:rPr>
            </w:pPr>
          </w:p>
        </w:tc>
        <w:tc>
          <w:tcPr>
            <w:tcW w:w="736" w:type="dxa"/>
            <w:vAlign w:val="center"/>
          </w:tcPr>
          <w:p w14:paraId="4629C9B6">
            <w:pPr>
              <w:widowControl/>
              <w:jc w:val="center"/>
              <w:rPr>
                <w:rFonts w:ascii="宋体" w:hAnsi="宋体" w:eastAsia="宋体" w:cs="宋体"/>
                <w:szCs w:val="21"/>
                <w:highlight w:val="none"/>
              </w:rPr>
            </w:pPr>
          </w:p>
        </w:tc>
      </w:tr>
    </w:tbl>
    <w:p w14:paraId="29ABC4DA">
      <w:pPr>
        <w:spacing w:line="460" w:lineRule="exact"/>
        <w:ind w:firstLine="420" w:firstLineChars="200"/>
        <w:rPr>
          <w:rFonts w:ascii="宋体" w:hAnsi="宋体" w:eastAsia="宋体" w:cs="宋体"/>
          <w:szCs w:val="21"/>
          <w:highlight w:val="none"/>
        </w:rPr>
      </w:pPr>
      <w:r>
        <w:rPr>
          <w:rFonts w:hint="eastAsia" w:ascii="宋体" w:hAnsi="宋体" w:eastAsia="宋体" w:cs="宋体"/>
          <w:szCs w:val="21"/>
          <w:highlight w:val="none"/>
        </w:rPr>
        <w:t>注：1.磋商报价说明和要求：</w:t>
      </w:r>
    </w:p>
    <w:p w14:paraId="29FA13BC">
      <w:pPr>
        <w:spacing w:line="460" w:lineRule="exact"/>
        <w:ind w:firstLine="420" w:firstLineChars="200"/>
        <w:rPr>
          <w:rFonts w:ascii="宋体" w:hAnsi="宋体" w:eastAsia="宋体" w:cs="宋体"/>
          <w:szCs w:val="21"/>
          <w:highlight w:val="none"/>
        </w:rPr>
      </w:pPr>
      <w:r>
        <w:rPr>
          <w:rFonts w:hint="eastAsia" w:ascii="宋体" w:hAnsi="宋体" w:eastAsia="宋体" w:cs="宋体"/>
          <w:szCs w:val="21"/>
          <w:highlight w:val="none"/>
        </w:rPr>
        <w:t>（1）</w:t>
      </w:r>
      <w:r>
        <w:rPr>
          <w:rFonts w:hint="eastAsia" w:ascii="宋体" w:hAnsi="宋体" w:eastAsia="宋体" w:cs="宋体"/>
          <w:kern w:val="0"/>
          <w:szCs w:val="21"/>
          <w:highlight w:val="none"/>
        </w:rPr>
        <w:t>磋商报价要求：</w:t>
      </w:r>
      <w:r>
        <w:rPr>
          <w:rFonts w:hint="eastAsia" w:ascii="宋体" w:hAnsi="宋体" w:eastAsia="宋体" w:cs="宋体"/>
          <w:szCs w:val="21"/>
          <w:highlight w:val="none"/>
        </w:rPr>
        <w:t>参与本项目的磋商申请人须根据竞争性磋商文件要求分别填报磋商报价总价、分项报价等信息，磋商报价须包含本项目采购所涉及的“</w:t>
      </w:r>
      <w:r>
        <w:rPr>
          <w:rFonts w:hint="eastAsia" w:ascii="宋体" w:hAnsi="宋体" w:eastAsia="宋体" w:cs="宋体"/>
          <w:kern w:val="0"/>
          <w:szCs w:val="21"/>
          <w:highlight w:val="none"/>
        </w:rPr>
        <w:t>昌宁县医共体总医院慢病管理信息系统</w:t>
      </w:r>
      <w:r>
        <w:rPr>
          <w:rFonts w:hint="eastAsia" w:ascii="宋体" w:hAnsi="宋体" w:eastAsia="宋体" w:cs="宋体"/>
          <w:szCs w:val="21"/>
          <w:highlight w:val="none"/>
        </w:rPr>
        <w:t>”开发设计费、根据采购人要求进行系统安装部署服务费，信息系统集成服务费、相关数据接口开发服务费、新建系统与采购人指定相关系统数据对接和系统集成实施服务费、信息数据整合服务费、系统初验及终验的优化适配服务费、项目测试验收服务费，项目技术支持服务费、技术培训及售后运维服务费，以及为开展本项目服务工作必需的项目管理费、人工费、差旅费，必需的税、费（参与本项目采购活动所必须的相关费用）、风险（含不可预见费）等所有费用，以上各项费用应核算到项目的单价和总价报价中，无需单列。</w:t>
      </w:r>
    </w:p>
    <w:p w14:paraId="54021477">
      <w:pPr>
        <w:spacing w:line="360" w:lineRule="auto"/>
        <w:ind w:firstLine="420" w:firstLineChars="200"/>
        <w:rPr>
          <w:rFonts w:ascii="宋体" w:hAnsi="宋体" w:eastAsia="宋体" w:cs="宋体"/>
          <w:kern w:val="0"/>
          <w:szCs w:val="21"/>
          <w:highlight w:val="none"/>
        </w:rPr>
      </w:pPr>
      <w:r>
        <w:rPr>
          <w:rFonts w:hint="eastAsia" w:ascii="宋体" w:hAnsi="宋体" w:eastAsia="宋体" w:cs="宋体"/>
          <w:kern w:val="0"/>
          <w:szCs w:val="21"/>
          <w:highlight w:val="none"/>
        </w:rPr>
        <w:t>（2）磋商报价其他说明：以上磋商报价视为包含竞争性磋商文件规定的其他项目和服务等方面内容，都应包含在磋商报价中（包括竞争性磋商文件中提到的或没有提到的产品按照过程中所必备各种配套辅助材料及配件和项目实施发生其他技术服务工作等）。即凡磋商申请人在竞争性磋商文件中承诺或涉及的或者是完成本项目交付使用必需的费用，磋商申请人为完成本项目交付使用存在漏报费用时，均视为已包括在磋商总报价或相应项目的单价及总价中。</w:t>
      </w:r>
    </w:p>
    <w:p w14:paraId="1A143B19">
      <w:pPr>
        <w:spacing w:line="360" w:lineRule="auto"/>
        <w:ind w:firstLine="420" w:firstLineChars="200"/>
        <w:rPr>
          <w:rFonts w:ascii="宋体" w:hAnsi="宋体" w:eastAsia="宋体" w:cs="宋体"/>
          <w:szCs w:val="21"/>
          <w:highlight w:val="none"/>
        </w:rPr>
      </w:pPr>
      <w:r>
        <w:rPr>
          <w:rFonts w:hint="eastAsia" w:ascii="宋体" w:hAnsi="宋体" w:eastAsia="宋体" w:cs="宋体"/>
          <w:szCs w:val="21"/>
          <w:highlight w:val="none"/>
        </w:rPr>
        <w:t>2.如果按单价计算的结果与总价不一致，以单价为准修正总价；</w:t>
      </w:r>
    </w:p>
    <w:p w14:paraId="5FE7263E">
      <w:pPr>
        <w:spacing w:line="360" w:lineRule="auto"/>
        <w:ind w:firstLine="420" w:firstLineChars="200"/>
        <w:rPr>
          <w:rFonts w:ascii="宋体" w:hAnsi="宋体" w:eastAsia="宋体" w:cs="宋体"/>
          <w:szCs w:val="21"/>
          <w:highlight w:val="none"/>
        </w:rPr>
      </w:pPr>
      <w:r>
        <w:rPr>
          <w:rFonts w:hint="eastAsia" w:ascii="宋体" w:hAnsi="宋体" w:eastAsia="宋体" w:cs="宋体"/>
          <w:szCs w:val="21"/>
          <w:highlight w:val="none"/>
        </w:rPr>
        <w:t>3.如果不提供详细分项报价将视为没有实质性响应竞争性磋商文件，其磋商响应文件将被拒绝。</w:t>
      </w:r>
    </w:p>
    <w:p w14:paraId="4B1B4DBA">
      <w:pPr>
        <w:pStyle w:val="15"/>
        <w:spacing w:line="480" w:lineRule="exact"/>
        <w:ind w:firstLine="575"/>
        <w:rPr>
          <w:rFonts w:hAnsi="宋体"/>
          <w:highlight w:val="none"/>
        </w:rPr>
      </w:pPr>
    </w:p>
    <w:p w14:paraId="65D8F768">
      <w:pPr>
        <w:pStyle w:val="15"/>
        <w:spacing w:line="480" w:lineRule="exact"/>
        <w:ind w:firstLine="575"/>
        <w:rPr>
          <w:rFonts w:hAnsi="宋体"/>
          <w:highlight w:val="none"/>
        </w:rPr>
      </w:pPr>
      <w:r>
        <w:rPr>
          <w:rFonts w:hint="eastAsia" w:hAnsi="宋体"/>
          <w:highlight w:val="none"/>
        </w:rPr>
        <w:t>磋商申请人：</w:t>
      </w:r>
      <w:r>
        <w:rPr>
          <w:rFonts w:hint="eastAsia" w:hAnsi="宋体"/>
          <w:highlight w:val="none"/>
          <w:u w:val="single"/>
        </w:rPr>
        <w:t xml:space="preserve">        （全称）      </w:t>
      </w:r>
      <w:r>
        <w:rPr>
          <w:rFonts w:hint="eastAsia" w:hAnsi="宋体"/>
          <w:highlight w:val="none"/>
        </w:rPr>
        <w:t>（加盖单位公章）</w:t>
      </w:r>
    </w:p>
    <w:p w14:paraId="2565DD06">
      <w:pPr>
        <w:pStyle w:val="15"/>
        <w:spacing w:line="480" w:lineRule="exact"/>
        <w:ind w:firstLine="575"/>
        <w:rPr>
          <w:rFonts w:hAnsi="宋体"/>
          <w:highlight w:val="none"/>
        </w:rPr>
      </w:pPr>
      <w:r>
        <w:rPr>
          <w:rFonts w:hint="eastAsia" w:hAnsi="宋体"/>
          <w:highlight w:val="none"/>
        </w:rPr>
        <w:t>法定代表人（负责人）或委托代理人：</w:t>
      </w:r>
      <w:r>
        <w:rPr>
          <w:rFonts w:hint="eastAsia" w:hAnsi="宋体"/>
          <w:highlight w:val="none"/>
          <w:u w:val="single"/>
        </w:rPr>
        <w:t xml:space="preserve">          </w:t>
      </w:r>
      <w:r>
        <w:rPr>
          <w:rFonts w:hint="eastAsia" w:hAnsi="宋体"/>
          <w:highlight w:val="none"/>
        </w:rPr>
        <w:t>（签字或加盖个人印章）</w:t>
      </w:r>
    </w:p>
    <w:p w14:paraId="30DD6B5B">
      <w:pPr>
        <w:pStyle w:val="15"/>
        <w:spacing w:line="480" w:lineRule="exact"/>
        <w:ind w:firstLine="575"/>
        <w:rPr>
          <w:rFonts w:hAnsi="宋体"/>
          <w:highlight w:val="none"/>
        </w:rPr>
      </w:pPr>
      <w:r>
        <w:rPr>
          <w:rFonts w:hint="eastAsia" w:hAnsi="宋体"/>
          <w:highlight w:val="none"/>
        </w:rPr>
        <w:t>日期：</w:t>
      </w:r>
      <w:r>
        <w:rPr>
          <w:rFonts w:hint="eastAsia" w:hAnsi="宋体"/>
          <w:highlight w:val="none"/>
          <w:u w:val="single"/>
        </w:rPr>
        <w:t xml:space="preserve">        </w:t>
      </w:r>
      <w:r>
        <w:rPr>
          <w:rFonts w:hint="eastAsia" w:hAnsi="宋体"/>
          <w:highlight w:val="none"/>
        </w:rPr>
        <w:t>年</w:t>
      </w:r>
      <w:r>
        <w:rPr>
          <w:rFonts w:hint="eastAsia" w:hAnsi="宋体"/>
          <w:highlight w:val="none"/>
          <w:u w:val="single"/>
        </w:rPr>
        <w:t xml:space="preserve">     </w:t>
      </w:r>
      <w:r>
        <w:rPr>
          <w:rFonts w:hint="eastAsia" w:hAnsi="宋体"/>
          <w:highlight w:val="none"/>
        </w:rPr>
        <w:t>月</w:t>
      </w:r>
      <w:r>
        <w:rPr>
          <w:rFonts w:hint="eastAsia" w:hAnsi="宋体"/>
          <w:highlight w:val="none"/>
          <w:u w:val="single"/>
        </w:rPr>
        <w:t xml:space="preserve">     </w:t>
      </w:r>
      <w:r>
        <w:rPr>
          <w:rFonts w:hint="eastAsia" w:hAnsi="宋体"/>
          <w:highlight w:val="none"/>
        </w:rPr>
        <w:t>日</w:t>
      </w:r>
    </w:p>
    <w:p w14:paraId="656BF019">
      <w:pPr>
        <w:rPr>
          <w:rFonts w:ascii="宋体" w:hAnsi="宋体" w:eastAsia="宋体" w:cs="宋体"/>
          <w:highlight w:val="none"/>
        </w:rPr>
      </w:pPr>
      <w:r>
        <w:rPr>
          <w:rFonts w:hint="eastAsia" w:ascii="宋体" w:hAnsi="宋体" w:eastAsia="宋体" w:cs="宋体"/>
          <w:highlight w:val="none"/>
        </w:rPr>
        <w:br w:type="page"/>
      </w:r>
    </w:p>
    <w:p w14:paraId="47E54937">
      <w:pPr>
        <w:pStyle w:val="12"/>
        <w:rPr>
          <w:rFonts w:ascii="宋体" w:hAnsi="宋体" w:eastAsia="宋体" w:cs="宋体"/>
          <w:highlight w:val="none"/>
        </w:rPr>
        <w:sectPr>
          <w:footerReference r:id="rId7" w:type="default"/>
          <w:pgSz w:w="11906" w:h="16838"/>
          <w:pgMar w:top="936" w:right="892" w:bottom="1089" w:left="1134" w:header="851" w:footer="992" w:gutter="0"/>
          <w:cols w:space="425" w:num="1"/>
          <w:docGrid w:type="lines" w:linePitch="312" w:charSpace="0"/>
        </w:sectPr>
      </w:pPr>
    </w:p>
    <w:bookmarkEnd w:id="181"/>
    <w:p w14:paraId="04B8BFC1">
      <w:pPr>
        <w:spacing w:line="360" w:lineRule="auto"/>
        <w:jc w:val="center"/>
        <w:rPr>
          <w:rFonts w:ascii="宋体" w:hAnsi="宋体" w:eastAsia="宋体" w:cs="宋体"/>
          <w:b/>
          <w:bCs/>
          <w:sz w:val="28"/>
          <w:szCs w:val="28"/>
          <w:highlight w:val="none"/>
        </w:rPr>
      </w:pPr>
      <w:r>
        <w:rPr>
          <w:rFonts w:hint="eastAsia" w:ascii="宋体" w:hAnsi="宋体" w:eastAsia="宋体" w:cs="宋体"/>
          <w:b/>
          <w:bCs/>
          <w:sz w:val="28"/>
          <w:szCs w:val="28"/>
          <w:highlight w:val="none"/>
        </w:rPr>
        <w:t>格式3：《中小企业声明函》或《残疾人福利性单位声明函》或《监狱企业声明函》（如有）</w:t>
      </w:r>
    </w:p>
    <w:p w14:paraId="770087B9">
      <w:pPr>
        <w:widowControl/>
        <w:jc w:val="left"/>
        <w:rPr>
          <w:rFonts w:ascii="宋体" w:hAnsi="宋体" w:eastAsia="宋体" w:cs="宋体"/>
          <w:b/>
          <w:szCs w:val="21"/>
          <w:highlight w:val="none"/>
        </w:rPr>
      </w:pPr>
      <w:r>
        <w:rPr>
          <w:rFonts w:hint="eastAsia" w:ascii="宋体" w:hAnsi="宋体" w:eastAsia="宋体" w:cs="宋体"/>
          <w:b/>
          <w:szCs w:val="21"/>
          <w:highlight w:val="none"/>
        </w:rPr>
        <w:t>注：1.磋商申请人应对其提交的《中小企业声明函》《残疾人福利性单位声明函》《监狱企业声明函》的真实性负责，提交的声明函不真实的，应承担相应的法律责任。若磋商申请人不属于该三类企业单位，则可以删除三类企业声明函，并自行编制相应声明材料即可，若未提供任何声明函、说明材料或未按要求填写编制的，则不予认可磋商申请人属于此三类企业单位。</w:t>
      </w:r>
    </w:p>
    <w:p w14:paraId="282BFCDB">
      <w:pPr>
        <w:widowControl/>
        <w:ind w:firstLine="422" w:firstLineChars="200"/>
        <w:rPr>
          <w:rFonts w:ascii="宋体" w:hAnsi="宋体" w:eastAsia="宋体" w:cs="宋体"/>
          <w:b/>
          <w:bCs/>
          <w:szCs w:val="21"/>
          <w:highlight w:val="none"/>
        </w:rPr>
      </w:pPr>
      <w:r>
        <w:rPr>
          <w:rFonts w:hint="eastAsia" w:ascii="宋体" w:hAnsi="宋体" w:eastAsia="宋体" w:cs="宋体"/>
          <w:b/>
          <w:bCs/>
          <w:szCs w:val="21"/>
          <w:highlight w:val="none"/>
        </w:rPr>
        <w:t>2.本项目属于服务类项目，行业为软件和信息技术服务业。</w:t>
      </w:r>
    </w:p>
    <w:p w14:paraId="4240AB08">
      <w:pPr>
        <w:widowControl/>
        <w:jc w:val="left"/>
        <w:rPr>
          <w:rFonts w:ascii="宋体" w:hAnsi="宋体" w:eastAsia="宋体" w:cs="宋体"/>
          <w:b/>
          <w:bCs/>
          <w:szCs w:val="21"/>
          <w:highlight w:val="none"/>
        </w:rPr>
      </w:pPr>
    </w:p>
    <w:p w14:paraId="2100FA04">
      <w:pPr>
        <w:widowControl/>
        <w:jc w:val="left"/>
        <w:rPr>
          <w:rFonts w:ascii="宋体" w:hAnsi="宋体" w:eastAsia="宋体" w:cs="宋体"/>
          <w:b/>
          <w:szCs w:val="21"/>
          <w:highlight w:val="none"/>
        </w:rPr>
      </w:pPr>
      <w:r>
        <w:rPr>
          <w:rFonts w:hint="eastAsia" w:ascii="宋体" w:hAnsi="宋体" w:eastAsia="宋体" w:cs="宋体"/>
          <w:b/>
          <w:bCs/>
          <w:szCs w:val="21"/>
          <w:highlight w:val="none"/>
        </w:rPr>
        <w:t>（1）</w:t>
      </w:r>
      <w:r>
        <w:rPr>
          <w:rFonts w:hint="eastAsia" w:ascii="宋体" w:hAnsi="宋体" w:eastAsia="宋体" w:cs="宋体"/>
          <w:b/>
          <w:szCs w:val="21"/>
          <w:highlight w:val="none"/>
        </w:rPr>
        <w:t>《中小企业声明函》格式</w:t>
      </w:r>
    </w:p>
    <w:p w14:paraId="01B24DBC">
      <w:pPr>
        <w:pStyle w:val="90"/>
        <w:spacing w:before="162"/>
        <w:rPr>
          <w:rFonts w:ascii="宋体" w:eastAsia="宋体"/>
          <w:sz w:val="21"/>
          <w:szCs w:val="21"/>
          <w:highlight w:val="none"/>
        </w:rPr>
      </w:pPr>
      <w:bookmarkStart w:id="185" w:name="_Toc9727"/>
      <w:bookmarkStart w:id="186" w:name="_Toc17309"/>
      <w:bookmarkStart w:id="187" w:name="_Toc20647"/>
      <w:bookmarkStart w:id="188" w:name="_Toc23139"/>
      <w:bookmarkStart w:id="189" w:name="_Toc29984"/>
      <w:r>
        <w:rPr>
          <w:rFonts w:hint="eastAsia" w:ascii="宋体" w:eastAsia="宋体"/>
          <w:sz w:val="28"/>
          <w:szCs w:val="28"/>
          <w:highlight w:val="none"/>
        </w:rPr>
        <w:t>中小企业声明函（</w:t>
      </w:r>
      <w:r>
        <w:rPr>
          <w:rFonts w:hint="eastAsia" w:ascii="宋体" w:eastAsia="宋体"/>
          <w:sz w:val="28"/>
          <w:szCs w:val="28"/>
          <w:highlight w:val="none"/>
          <w:lang w:val="en-US"/>
        </w:rPr>
        <w:t>服务</w:t>
      </w:r>
      <w:r>
        <w:rPr>
          <w:rFonts w:hint="eastAsia" w:ascii="宋体" w:eastAsia="宋体"/>
          <w:sz w:val="28"/>
          <w:szCs w:val="28"/>
          <w:highlight w:val="none"/>
        </w:rPr>
        <w:t>）</w:t>
      </w:r>
      <w:bookmarkEnd w:id="185"/>
      <w:bookmarkEnd w:id="186"/>
      <w:bookmarkEnd w:id="187"/>
      <w:bookmarkEnd w:id="188"/>
      <w:bookmarkEnd w:id="189"/>
    </w:p>
    <w:p w14:paraId="6686219F">
      <w:pPr>
        <w:pStyle w:val="12"/>
        <w:spacing w:before="2"/>
        <w:rPr>
          <w:rFonts w:ascii="宋体" w:hAnsi="宋体" w:eastAsia="宋体" w:cs="宋体"/>
          <w:szCs w:val="21"/>
          <w:highlight w:val="none"/>
        </w:rPr>
      </w:pPr>
    </w:p>
    <w:p w14:paraId="0F083C8B">
      <w:pPr>
        <w:pStyle w:val="12"/>
        <w:keepNext/>
        <w:spacing w:line="360" w:lineRule="auto"/>
        <w:ind w:right="415" w:firstLine="473"/>
        <w:rPr>
          <w:rFonts w:ascii="宋体" w:hAnsi="宋体" w:eastAsia="宋体" w:cs="宋体"/>
          <w:szCs w:val="21"/>
          <w:highlight w:val="none"/>
        </w:rPr>
      </w:pPr>
      <w:r>
        <w:rPr>
          <w:rFonts w:hint="eastAsia" w:ascii="宋体" w:hAnsi="宋体" w:eastAsia="宋体" w:cs="宋体"/>
          <w:szCs w:val="21"/>
          <w:highlight w:val="none"/>
        </w:rPr>
        <w:t>本单位（联合体）郑重声明，根据《政府采购促进中小企业发展管理办法》（财库﹝2020﹞46 号）的规定，本单位（联合体）参加</w:t>
      </w:r>
      <w:r>
        <w:rPr>
          <w:rFonts w:hint="eastAsia" w:ascii="宋体" w:hAnsi="宋体" w:eastAsia="宋体" w:cs="宋体"/>
          <w:iCs/>
          <w:szCs w:val="21"/>
          <w:highlight w:val="none"/>
          <w:u w:val="single"/>
        </w:rPr>
        <w:t>（单位名称）</w:t>
      </w:r>
      <w:r>
        <w:rPr>
          <w:rFonts w:hint="eastAsia" w:ascii="宋体" w:hAnsi="宋体" w:eastAsia="宋体" w:cs="宋体"/>
          <w:szCs w:val="21"/>
          <w:highlight w:val="none"/>
        </w:rPr>
        <w:t>的</w:t>
      </w:r>
      <w:r>
        <w:rPr>
          <w:rFonts w:hint="eastAsia" w:ascii="宋体" w:hAnsi="宋体" w:eastAsia="宋体" w:cs="宋体"/>
          <w:iCs/>
          <w:szCs w:val="21"/>
          <w:highlight w:val="none"/>
          <w:u w:val="single"/>
        </w:rPr>
        <w:t>（项目名称）</w:t>
      </w:r>
      <w:r>
        <w:rPr>
          <w:rFonts w:hint="eastAsia" w:ascii="宋体" w:hAnsi="宋体" w:eastAsia="宋体" w:cs="宋体"/>
          <w:szCs w:val="21"/>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1B39CF81">
      <w:pPr>
        <w:pStyle w:val="56"/>
        <w:keepNext/>
        <w:numPr>
          <w:ilvl w:val="0"/>
          <w:numId w:val="8"/>
        </w:numPr>
        <w:autoSpaceDE w:val="0"/>
        <w:autoSpaceDN w:val="0"/>
        <w:spacing w:before="94" w:line="360" w:lineRule="auto"/>
        <w:ind w:left="5" w:right="236" w:firstLine="415" w:firstLineChars="0"/>
        <w:rPr>
          <w:rFonts w:ascii="宋体" w:hAnsi="宋体" w:eastAsia="宋体" w:cs="宋体"/>
          <w:szCs w:val="21"/>
          <w:highlight w:val="none"/>
          <w:u w:val="single"/>
        </w:rPr>
      </w:pPr>
      <w:r>
        <w:rPr>
          <w:rFonts w:hint="eastAsia" w:ascii="宋体" w:hAnsi="宋体" w:eastAsia="宋体" w:cs="宋体"/>
          <w:iCs/>
          <w:szCs w:val="21"/>
          <w:highlight w:val="none"/>
          <w:u w:val="single"/>
        </w:rPr>
        <w:t>（标的名称）</w:t>
      </w:r>
      <w:r>
        <w:rPr>
          <w:rFonts w:hint="eastAsia" w:ascii="宋体" w:hAnsi="宋体" w:eastAsia="宋体" w:cs="宋体"/>
          <w:szCs w:val="21"/>
          <w:highlight w:val="none"/>
          <w:u w:val="single"/>
        </w:rPr>
        <w:t>，属于</w:t>
      </w:r>
      <w:r>
        <w:rPr>
          <w:rFonts w:hint="eastAsia" w:ascii="宋体" w:hAnsi="宋体" w:eastAsia="宋体" w:cs="宋体"/>
          <w:iCs/>
          <w:szCs w:val="21"/>
          <w:highlight w:val="none"/>
          <w:u w:val="single"/>
        </w:rPr>
        <w:t>（采购文件中明确的所属行业）</w:t>
      </w:r>
      <w:r>
        <w:rPr>
          <w:rFonts w:hint="eastAsia" w:ascii="宋体" w:hAnsi="宋体" w:eastAsia="宋体" w:cs="宋体"/>
          <w:szCs w:val="21"/>
          <w:highlight w:val="none"/>
          <w:u w:val="single"/>
        </w:rPr>
        <w:t>；承建（承接）企业为</w:t>
      </w:r>
      <w:r>
        <w:rPr>
          <w:rFonts w:hint="eastAsia" w:ascii="宋体" w:hAnsi="宋体" w:eastAsia="宋体" w:cs="宋体"/>
          <w:iCs/>
          <w:szCs w:val="21"/>
          <w:highlight w:val="none"/>
          <w:u w:val="single"/>
        </w:rPr>
        <w:t>（企业名称）</w:t>
      </w:r>
      <w:r>
        <w:rPr>
          <w:rFonts w:hint="eastAsia" w:ascii="宋体" w:hAnsi="宋体" w:eastAsia="宋体" w:cs="宋体"/>
          <w:szCs w:val="21"/>
          <w:highlight w:val="none"/>
          <w:u w:val="single"/>
        </w:rPr>
        <w:t xml:space="preserve">，从业人员 </w:t>
      </w:r>
      <w:r>
        <w:rPr>
          <w:rFonts w:hint="eastAsia" w:ascii="宋体" w:hAnsi="宋体" w:eastAsia="宋体" w:cs="宋体"/>
          <w:szCs w:val="21"/>
          <w:highlight w:val="none"/>
          <w:u w:val="single"/>
        </w:rPr>
        <w:tab/>
      </w:r>
      <w:r>
        <w:rPr>
          <w:rFonts w:hint="eastAsia" w:ascii="宋体" w:hAnsi="宋体" w:eastAsia="宋体" w:cs="宋体"/>
          <w:szCs w:val="21"/>
          <w:highlight w:val="none"/>
          <w:u w:val="single"/>
        </w:rPr>
        <w:t xml:space="preserve">人，营业收入为 </w:t>
      </w:r>
      <w:r>
        <w:rPr>
          <w:rFonts w:hint="eastAsia" w:ascii="宋体" w:hAnsi="宋体" w:eastAsia="宋体" w:cs="宋体"/>
          <w:szCs w:val="21"/>
          <w:highlight w:val="none"/>
          <w:u w:val="single"/>
        </w:rPr>
        <w:tab/>
      </w:r>
      <w:r>
        <w:rPr>
          <w:rFonts w:hint="eastAsia" w:ascii="宋体" w:hAnsi="宋体" w:eastAsia="宋体" w:cs="宋体"/>
          <w:szCs w:val="21"/>
          <w:highlight w:val="none"/>
          <w:u w:val="single"/>
        </w:rPr>
        <w:t xml:space="preserve">万元，资产总额为 </w:t>
      </w:r>
      <w:r>
        <w:rPr>
          <w:rFonts w:hint="eastAsia" w:ascii="宋体" w:hAnsi="宋体" w:eastAsia="宋体" w:cs="宋体"/>
          <w:szCs w:val="21"/>
          <w:highlight w:val="none"/>
          <w:u w:val="single"/>
        </w:rPr>
        <w:tab/>
      </w:r>
      <w:r>
        <w:rPr>
          <w:rFonts w:hint="eastAsia" w:ascii="宋体" w:hAnsi="宋体" w:eastAsia="宋体" w:cs="宋体"/>
          <w:szCs w:val="21"/>
          <w:highlight w:val="none"/>
          <w:u w:val="single"/>
        </w:rPr>
        <w:t>万元</w:t>
      </w:r>
      <w:r>
        <w:rPr>
          <w:rFonts w:hint="eastAsia" w:ascii="宋体" w:hAnsi="宋体" w:eastAsia="宋体" w:cs="宋体"/>
          <w:szCs w:val="21"/>
          <w:highlight w:val="none"/>
          <w:u w:val="single"/>
          <w:vertAlign w:val="superscript"/>
        </w:rPr>
        <w:t>1</w:t>
      </w:r>
      <w:r>
        <w:rPr>
          <w:rFonts w:hint="eastAsia" w:ascii="宋体" w:hAnsi="宋体" w:eastAsia="宋体" w:cs="宋体"/>
          <w:szCs w:val="21"/>
          <w:highlight w:val="none"/>
          <w:u w:val="single"/>
        </w:rPr>
        <w:t>，属于</w:t>
      </w:r>
      <w:r>
        <w:rPr>
          <w:rFonts w:hint="eastAsia" w:ascii="宋体" w:hAnsi="宋体" w:eastAsia="宋体" w:cs="宋体"/>
          <w:iCs/>
          <w:szCs w:val="21"/>
          <w:highlight w:val="none"/>
          <w:u w:val="single"/>
        </w:rPr>
        <w:t>（中型企业、小型企业、微型企业）</w:t>
      </w:r>
      <w:r>
        <w:rPr>
          <w:rFonts w:hint="eastAsia" w:ascii="宋体" w:hAnsi="宋体" w:eastAsia="宋体" w:cs="宋体"/>
          <w:szCs w:val="21"/>
          <w:highlight w:val="none"/>
          <w:u w:val="single"/>
        </w:rPr>
        <w:t>；</w:t>
      </w:r>
    </w:p>
    <w:p w14:paraId="18FDAA81">
      <w:pPr>
        <w:pStyle w:val="56"/>
        <w:keepNext/>
        <w:numPr>
          <w:ilvl w:val="0"/>
          <w:numId w:val="8"/>
        </w:numPr>
        <w:autoSpaceDE w:val="0"/>
        <w:autoSpaceDN w:val="0"/>
        <w:spacing w:before="94" w:line="360" w:lineRule="auto"/>
        <w:ind w:left="5" w:right="236" w:firstLine="415" w:firstLineChars="0"/>
        <w:rPr>
          <w:rFonts w:ascii="宋体" w:hAnsi="宋体" w:eastAsia="宋体" w:cs="宋体"/>
          <w:szCs w:val="21"/>
          <w:highlight w:val="none"/>
          <w:u w:val="single"/>
        </w:rPr>
      </w:pPr>
      <w:r>
        <w:rPr>
          <w:rFonts w:hint="eastAsia" w:ascii="宋体" w:hAnsi="宋体" w:eastAsia="宋体" w:cs="宋体"/>
          <w:iCs/>
          <w:szCs w:val="21"/>
          <w:highlight w:val="none"/>
          <w:u w:val="single"/>
        </w:rPr>
        <w:t>（标的名称）</w:t>
      </w:r>
      <w:r>
        <w:rPr>
          <w:rFonts w:hint="eastAsia" w:ascii="宋体" w:hAnsi="宋体" w:eastAsia="宋体" w:cs="宋体"/>
          <w:szCs w:val="21"/>
          <w:highlight w:val="none"/>
          <w:u w:val="single"/>
        </w:rPr>
        <w:t>，属于</w:t>
      </w:r>
      <w:r>
        <w:rPr>
          <w:rFonts w:hint="eastAsia" w:ascii="宋体" w:hAnsi="宋体" w:eastAsia="宋体" w:cs="宋体"/>
          <w:iCs/>
          <w:szCs w:val="21"/>
          <w:highlight w:val="none"/>
          <w:u w:val="single"/>
        </w:rPr>
        <w:t>（采购文件中明确的所属行业）</w:t>
      </w:r>
      <w:r>
        <w:rPr>
          <w:rFonts w:hint="eastAsia" w:ascii="宋体" w:hAnsi="宋体" w:eastAsia="宋体" w:cs="宋体"/>
          <w:szCs w:val="21"/>
          <w:highlight w:val="none"/>
          <w:u w:val="single"/>
        </w:rPr>
        <w:t>；           承建（承接）企业为</w:t>
      </w:r>
      <w:r>
        <w:rPr>
          <w:rFonts w:hint="eastAsia" w:ascii="宋体" w:hAnsi="宋体" w:eastAsia="宋体" w:cs="宋体"/>
          <w:iCs/>
          <w:szCs w:val="21"/>
          <w:highlight w:val="none"/>
          <w:u w:val="single"/>
        </w:rPr>
        <w:t>（企业名称）</w:t>
      </w:r>
      <w:r>
        <w:rPr>
          <w:rFonts w:hint="eastAsia" w:ascii="宋体" w:hAnsi="宋体" w:eastAsia="宋体" w:cs="宋体"/>
          <w:szCs w:val="21"/>
          <w:highlight w:val="none"/>
          <w:u w:val="single"/>
        </w:rPr>
        <w:t xml:space="preserve">，从业人员 </w:t>
      </w:r>
      <w:r>
        <w:rPr>
          <w:rFonts w:hint="eastAsia" w:ascii="宋体" w:hAnsi="宋体" w:eastAsia="宋体" w:cs="宋体"/>
          <w:szCs w:val="21"/>
          <w:highlight w:val="none"/>
          <w:u w:val="single"/>
        </w:rPr>
        <w:tab/>
      </w:r>
      <w:r>
        <w:rPr>
          <w:rFonts w:hint="eastAsia" w:ascii="宋体" w:hAnsi="宋体" w:eastAsia="宋体" w:cs="宋体"/>
          <w:szCs w:val="21"/>
          <w:highlight w:val="none"/>
          <w:u w:val="single"/>
        </w:rPr>
        <w:t xml:space="preserve">人，营业收入为 </w:t>
      </w:r>
      <w:r>
        <w:rPr>
          <w:rFonts w:hint="eastAsia" w:ascii="宋体" w:hAnsi="宋体" w:eastAsia="宋体" w:cs="宋体"/>
          <w:szCs w:val="21"/>
          <w:highlight w:val="none"/>
          <w:u w:val="single"/>
        </w:rPr>
        <w:tab/>
      </w:r>
      <w:r>
        <w:rPr>
          <w:rFonts w:hint="eastAsia" w:ascii="宋体" w:hAnsi="宋体" w:eastAsia="宋体" w:cs="宋体"/>
          <w:szCs w:val="21"/>
          <w:highlight w:val="none"/>
          <w:u w:val="single"/>
        </w:rPr>
        <w:t xml:space="preserve">万元，资产总额为 </w:t>
      </w:r>
      <w:r>
        <w:rPr>
          <w:rFonts w:hint="eastAsia" w:ascii="宋体" w:hAnsi="宋体" w:eastAsia="宋体" w:cs="宋体"/>
          <w:szCs w:val="21"/>
          <w:highlight w:val="none"/>
          <w:u w:val="single"/>
        </w:rPr>
        <w:tab/>
      </w:r>
      <w:r>
        <w:rPr>
          <w:rFonts w:hint="eastAsia" w:ascii="宋体" w:hAnsi="宋体" w:eastAsia="宋体" w:cs="宋体"/>
          <w:szCs w:val="21"/>
          <w:highlight w:val="none"/>
          <w:u w:val="single"/>
        </w:rPr>
        <w:t>万元，属于</w:t>
      </w:r>
      <w:r>
        <w:rPr>
          <w:rFonts w:hint="eastAsia" w:ascii="宋体" w:hAnsi="宋体" w:eastAsia="宋体" w:cs="宋体"/>
          <w:iCs/>
          <w:szCs w:val="21"/>
          <w:highlight w:val="none"/>
          <w:u w:val="single"/>
        </w:rPr>
        <w:t>（中型企业、小型企业、微型企业）</w:t>
      </w:r>
      <w:r>
        <w:rPr>
          <w:rFonts w:hint="eastAsia" w:ascii="宋体" w:hAnsi="宋体" w:eastAsia="宋体" w:cs="宋体"/>
          <w:szCs w:val="21"/>
          <w:highlight w:val="none"/>
          <w:u w:val="single"/>
        </w:rPr>
        <w:t>；</w:t>
      </w:r>
    </w:p>
    <w:p w14:paraId="3F6C89FB">
      <w:pPr>
        <w:pStyle w:val="12"/>
        <w:keepNext/>
        <w:spacing w:before="11" w:line="360" w:lineRule="auto"/>
        <w:ind w:left="860"/>
        <w:rPr>
          <w:rFonts w:ascii="宋体" w:hAnsi="宋体" w:eastAsia="宋体" w:cs="宋体"/>
          <w:szCs w:val="21"/>
          <w:highlight w:val="none"/>
        </w:rPr>
      </w:pPr>
      <w:r>
        <w:rPr>
          <w:rFonts w:hint="eastAsia" w:ascii="宋体" w:hAnsi="宋体" w:eastAsia="宋体" w:cs="宋体"/>
          <w:szCs w:val="21"/>
          <w:highlight w:val="none"/>
        </w:rPr>
        <w:t>……</w:t>
      </w:r>
    </w:p>
    <w:p w14:paraId="5EC44D6B">
      <w:pPr>
        <w:pStyle w:val="12"/>
        <w:keepNext/>
        <w:spacing w:before="108" w:line="360" w:lineRule="auto"/>
        <w:ind w:right="417" w:firstLine="645"/>
        <w:rPr>
          <w:rFonts w:ascii="宋体" w:hAnsi="宋体" w:eastAsia="宋体" w:cs="宋体"/>
          <w:szCs w:val="21"/>
          <w:highlight w:val="none"/>
        </w:rPr>
      </w:pPr>
      <w:r>
        <w:rPr>
          <w:rFonts w:hint="eastAsia" w:ascii="宋体" w:hAnsi="宋体" w:eastAsia="宋体" w:cs="宋体"/>
          <w:szCs w:val="21"/>
          <w:highlight w:val="none"/>
        </w:rPr>
        <w:t>以上企业，不属于大企业的分支机构，不存在控股股东为大企业的情形，也不存在与大企业的负责人为同一人的情形。</w:t>
      </w:r>
    </w:p>
    <w:p w14:paraId="4B3312CB">
      <w:pPr>
        <w:pStyle w:val="12"/>
        <w:keepNext/>
        <w:spacing w:line="360" w:lineRule="auto"/>
        <w:ind w:right="375" w:firstLine="640"/>
        <w:rPr>
          <w:rFonts w:ascii="宋体" w:hAnsi="宋体" w:eastAsia="宋体" w:cs="宋体"/>
          <w:szCs w:val="21"/>
          <w:highlight w:val="none"/>
        </w:rPr>
      </w:pPr>
      <w:r>
        <w:rPr>
          <w:rFonts w:hint="eastAsia" w:ascii="宋体" w:hAnsi="宋体" w:eastAsia="宋体" w:cs="宋体"/>
          <w:szCs w:val="21"/>
          <w:highlight w:val="none"/>
        </w:rPr>
        <w:t>本企业对上述声明内容的真实性负责。如有虚假，将依法承担相应责任。</w:t>
      </w:r>
    </w:p>
    <w:p w14:paraId="63382F20">
      <w:pPr>
        <w:pStyle w:val="12"/>
        <w:keepNext/>
        <w:spacing w:before="29" w:line="360" w:lineRule="auto"/>
        <w:ind w:left="4060" w:right="2166"/>
        <w:rPr>
          <w:rFonts w:ascii="宋体" w:hAnsi="宋体" w:eastAsia="宋体" w:cs="宋体"/>
          <w:szCs w:val="21"/>
          <w:highlight w:val="none"/>
        </w:rPr>
      </w:pPr>
      <w:r>
        <w:rPr>
          <w:rFonts w:hint="eastAsia" w:ascii="宋体" w:hAnsi="宋体" w:eastAsia="宋体" w:cs="宋体"/>
          <w:szCs w:val="21"/>
          <w:highlight w:val="none"/>
        </w:rPr>
        <w:t>企业名称（盖章）：</w:t>
      </w:r>
    </w:p>
    <w:p w14:paraId="7C674709">
      <w:pPr>
        <w:pStyle w:val="12"/>
        <w:keepNext/>
        <w:spacing w:before="29" w:line="360" w:lineRule="auto"/>
        <w:ind w:left="4060" w:right="2166"/>
        <w:rPr>
          <w:rFonts w:ascii="宋体" w:hAnsi="宋体" w:eastAsia="宋体" w:cs="宋体"/>
          <w:szCs w:val="21"/>
          <w:highlight w:val="none"/>
        </w:rPr>
      </w:pPr>
      <w:r>
        <w:rPr>
          <w:rFonts w:hint="eastAsia" w:ascii="宋体" w:hAnsi="宋体" w:eastAsia="宋体" w:cs="宋体"/>
          <w:szCs w:val="21"/>
          <w:highlight w:val="none"/>
        </w:rPr>
        <w:t>日期：</w:t>
      </w:r>
    </w:p>
    <w:p w14:paraId="1D58F7D7">
      <w:pPr>
        <w:widowControl/>
        <w:jc w:val="left"/>
        <w:rPr>
          <w:rFonts w:ascii="宋体" w:hAnsi="宋体" w:eastAsia="宋体" w:cs="宋体"/>
          <w:b/>
          <w:szCs w:val="21"/>
          <w:highlight w:val="none"/>
        </w:rPr>
      </w:pPr>
      <w:r>
        <w:rPr>
          <w:rFonts w:hint="eastAsia" w:ascii="宋体" w:hAnsi="宋体" w:eastAsia="宋体" w:cs="宋体"/>
          <w:b/>
          <w:szCs w:val="21"/>
          <w:highlight w:val="none"/>
        </w:rPr>
        <w:t>注：从业人员、营业收入、资产总额填报上一年度数据，无上一年度数据的新成立企业可不填报。</w:t>
      </w:r>
    </w:p>
    <w:p w14:paraId="1940944B">
      <w:pPr>
        <w:widowControl/>
        <w:jc w:val="left"/>
        <w:rPr>
          <w:rFonts w:ascii="宋体" w:hAnsi="宋体" w:eastAsia="宋体" w:cs="宋体"/>
          <w:b/>
          <w:sz w:val="24"/>
          <w:szCs w:val="24"/>
          <w:highlight w:val="none"/>
        </w:rPr>
      </w:pPr>
    </w:p>
    <w:p w14:paraId="38F053D9">
      <w:pPr>
        <w:widowControl/>
        <w:jc w:val="left"/>
        <w:rPr>
          <w:rFonts w:ascii="宋体" w:hAnsi="宋体" w:eastAsia="宋体" w:cs="宋体"/>
          <w:b/>
          <w:sz w:val="24"/>
          <w:szCs w:val="24"/>
          <w:highlight w:val="none"/>
        </w:rPr>
      </w:pPr>
      <w:r>
        <w:rPr>
          <w:rFonts w:hint="eastAsia" w:ascii="宋体" w:hAnsi="宋体" w:eastAsia="宋体" w:cs="宋体"/>
          <w:b/>
          <w:sz w:val="24"/>
          <w:szCs w:val="24"/>
          <w:highlight w:val="none"/>
        </w:rPr>
        <w:br w:type="page"/>
      </w:r>
    </w:p>
    <w:p w14:paraId="698EB67E">
      <w:pPr>
        <w:widowControl/>
        <w:jc w:val="center"/>
        <w:rPr>
          <w:rFonts w:ascii="宋体" w:hAnsi="宋体" w:eastAsia="宋体" w:cs="宋体"/>
          <w:b/>
          <w:sz w:val="24"/>
          <w:szCs w:val="24"/>
          <w:highlight w:val="none"/>
        </w:rPr>
      </w:pPr>
      <w:r>
        <w:rPr>
          <w:rFonts w:hint="eastAsia" w:ascii="宋体" w:hAnsi="宋体" w:eastAsia="宋体" w:cs="宋体"/>
          <w:b/>
          <w:sz w:val="24"/>
          <w:szCs w:val="24"/>
          <w:highlight w:val="none"/>
        </w:rPr>
        <w:t>（2）《残疾人福利性单位声明函》格式</w:t>
      </w:r>
    </w:p>
    <w:p w14:paraId="033A9231">
      <w:pPr>
        <w:widowControl/>
        <w:jc w:val="left"/>
        <w:rPr>
          <w:rFonts w:ascii="宋体" w:hAnsi="宋体" w:eastAsia="宋体" w:cs="宋体"/>
          <w:b/>
          <w:sz w:val="24"/>
          <w:szCs w:val="24"/>
          <w:highlight w:val="none"/>
        </w:rPr>
      </w:pPr>
    </w:p>
    <w:p w14:paraId="1BB82DAE">
      <w:pPr>
        <w:spacing w:line="588" w:lineRule="exact"/>
        <w:jc w:val="center"/>
        <w:rPr>
          <w:rFonts w:ascii="宋体" w:hAnsi="宋体" w:eastAsia="宋体" w:cs="宋体"/>
          <w:b/>
          <w:spacing w:val="6"/>
          <w:sz w:val="32"/>
          <w:szCs w:val="32"/>
          <w:highlight w:val="none"/>
        </w:rPr>
      </w:pPr>
      <w:r>
        <w:rPr>
          <w:rFonts w:hint="eastAsia" w:ascii="宋体" w:hAnsi="宋体" w:eastAsia="宋体" w:cs="宋体"/>
          <w:b/>
          <w:spacing w:val="6"/>
          <w:sz w:val="32"/>
          <w:szCs w:val="32"/>
          <w:highlight w:val="none"/>
        </w:rPr>
        <w:t>残疾人福利性单位声明函</w:t>
      </w:r>
    </w:p>
    <w:p w14:paraId="27B912D9">
      <w:pPr>
        <w:widowControl/>
        <w:jc w:val="center"/>
        <w:rPr>
          <w:rFonts w:ascii="宋体" w:hAnsi="宋体" w:eastAsia="宋体" w:cs="宋体"/>
          <w:b/>
          <w:sz w:val="24"/>
          <w:szCs w:val="24"/>
          <w:highlight w:val="none"/>
        </w:rPr>
      </w:pPr>
      <w:r>
        <w:rPr>
          <w:rFonts w:hint="eastAsia" w:ascii="宋体" w:hAnsi="宋体" w:eastAsia="宋体" w:cs="宋体"/>
          <w:b/>
          <w:sz w:val="24"/>
          <w:szCs w:val="24"/>
          <w:highlight w:val="none"/>
        </w:rPr>
        <w:t>（不属于残疾人福利性单位的无需填写）</w:t>
      </w:r>
    </w:p>
    <w:p w14:paraId="2F24BA13">
      <w:pPr>
        <w:widowControl/>
        <w:jc w:val="left"/>
        <w:rPr>
          <w:rFonts w:ascii="宋体" w:hAnsi="宋体" w:eastAsia="宋体" w:cs="宋体"/>
          <w:b/>
          <w:sz w:val="24"/>
          <w:szCs w:val="24"/>
          <w:highlight w:val="none"/>
        </w:rPr>
      </w:pPr>
    </w:p>
    <w:p w14:paraId="53EB049E">
      <w:pPr>
        <w:widowControl/>
        <w:spacing w:line="360" w:lineRule="auto"/>
        <w:ind w:firstLine="420" w:firstLineChars="200"/>
        <w:jc w:val="left"/>
        <w:rPr>
          <w:rFonts w:ascii="宋体" w:hAnsi="宋体" w:eastAsia="宋体" w:cs="宋体"/>
          <w:szCs w:val="21"/>
          <w:highlight w:val="none"/>
        </w:rPr>
      </w:pPr>
      <w:r>
        <w:rPr>
          <w:rFonts w:hint="eastAsia" w:ascii="宋体" w:hAnsi="宋体" w:eastAsia="宋体" w:cs="宋体"/>
          <w:szCs w:val="21"/>
          <w:highlight w:val="none"/>
        </w:rPr>
        <w:t>本单位郑重声明，根据《财政部 民政部 中国残疾人联合会关于促进残疾人就业政府采购政策的通知》</w:t>
      </w:r>
    </w:p>
    <w:p w14:paraId="65994535">
      <w:pPr>
        <w:widowControl/>
        <w:spacing w:line="360" w:lineRule="auto"/>
        <w:ind w:firstLine="420" w:firstLineChars="200"/>
        <w:jc w:val="left"/>
        <w:rPr>
          <w:rFonts w:ascii="宋体" w:hAnsi="宋体" w:eastAsia="宋体" w:cs="宋体"/>
          <w:szCs w:val="21"/>
          <w:highlight w:val="none"/>
        </w:rPr>
      </w:pPr>
      <w:r>
        <w:rPr>
          <w:rFonts w:hint="eastAsia" w:ascii="宋体" w:hAnsi="宋体" w:eastAsia="宋体" w:cs="宋体"/>
          <w:szCs w:val="21"/>
          <w:highlight w:val="none"/>
        </w:rPr>
        <w:t>（财库〔2017〕 141 号）的规定，本单位为符合条件的残疾人福利性单位，且本单位参加_____单位的_____项目采购活动提供本单位制造的货物（由本单位承担工程/提供服务），或者提供其他残疾人福利性单位制造的货物（不包括使用非残疾人福利性单位注册商标的货物）。</w:t>
      </w:r>
    </w:p>
    <w:p w14:paraId="68116198">
      <w:pPr>
        <w:widowControl/>
        <w:spacing w:line="360" w:lineRule="auto"/>
        <w:ind w:firstLine="420" w:firstLineChars="200"/>
        <w:jc w:val="left"/>
        <w:rPr>
          <w:rFonts w:ascii="宋体" w:hAnsi="宋体" w:eastAsia="宋体" w:cs="宋体"/>
          <w:szCs w:val="21"/>
          <w:highlight w:val="none"/>
        </w:rPr>
      </w:pPr>
      <w:r>
        <w:rPr>
          <w:rFonts w:hint="eastAsia" w:ascii="宋体" w:hAnsi="宋体" w:eastAsia="宋体" w:cs="宋体"/>
          <w:szCs w:val="21"/>
          <w:highlight w:val="none"/>
        </w:rPr>
        <w:t>本单位对上述声明的真实性负责。如有虚假，将依法承担相应责任。</w:t>
      </w:r>
    </w:p>
    <w:p w14:paraId="4AA8D0E6">
      <w:pPr>
        <w:widowControl/>
        <w:spacing w:line="360" w:lineRule="auto"/>
        <w:ind w:firstLine="420" w:firstLineChars="200"/>
        <w:jc w:val="left"/>
        <w:rPr>
          <w:rFonts w:ascii="宋体" w:hAnsi="宋体" w:eastAsia="宋体" w:cs="宋体"/>
          <w:szCs w:val="21"/>
          <w:highlight w:val="none"/>
        </w:rPr>
      </w:pPr>
    </w:p>
    <w:p w14:paraId="514C576D">
      <w:pPr>
        <w:widowControl/>
        <w:spacing w:line="360" w:lineRule="auto"/>
        <w:ind w:firstLine="420" w:firstLineChars="200"/>
        <w:jc w:val="left"/>
        <w:rPr>
          <w:rFonts w:ascii="宋体" w:hAnsi="宋体" w:eastAsia="宋体" w:cs="宋体"/>
          <w:szCs w:val="21"/>
          <w:highlight w:val="none"/>
        </w:rPr>
      </w:pPr>
    </w:p>
    <w:p w14:paraId="103758A1">
      <w:pPr>
        <w:widowControl/>
        <w:spacing w:line="360" w:lineRule="auto"/>
        <w:ind w:firstLine="422" w:firstLineChars="200"/>
        <w:jc w:val="left"/>
        <w:rPr>
          <w:rFonts w:ascii="宋体" w:hAnsi="宋体" w:eastAsia="宋体" w:cs="宋体"/>
          <w:b/>
          <w:szCs w:val="21"/>
          <w:highlight w:val="none"/>
        </w:rPr>
      </w:pPr>
      <w:r>
        <w:rPr>
          <w:rFonts w:hint="eastAsia" w:ascii="宋体" w:hAnsi="宋体" w:eastAsia="宋体" w:cs="宋体"/>
          <w:b/>
          <w:szCs w:val="21"/>
          <w:highlight w:val="none"/>
        </w:rPr>
        <w:t>注：请单独列出所供残疾人福利性单位制造的货物产品或提供的服务或实施的工程的单价和总价。</w:t>
      </w:r>
    </w:p>
    <w:p w14:paraId="48D535AA">
      <w:pPr>
        <w:widowControl/>
        <w:spacing w:line="360" w:lineRule="auto"/>
        <w:ind w:firstLine="420" w:firstLineChars="200"/>
        <w:jc w:val="left"/>
        <w:rPr>
          <w:rFonts w:ascii="宋体" w:hAnsi="宋体" w:eastAsia="宋体" w:cs="宋体"/>
          <w:szCs w:val="21"/>
          <w:highlight w:val="none"/>
        </w:rPr>
      </w:pPr>
      <w:r>
        <w:rPr>
          <w:rFonts w:hint="eastAsia" w:ascii="宋体" w:hAnsi="宋体" w:eastAsia="宋体" w:cs="宋体"/>
          <w:szCs w:val="21"/>
          <w:highlight w:val="none"/>
        </w:rPr>
        <w:t>（若磋商响应文件中无上述材料，则在评审时不考虑对该小、微企业的相关优惠。）</w:t>
      </w:r>
    </w:p>
    <w:p w14:paraId="186CFC49">
      <w:pPr>
        <w:widowControl/>
        <w:spacing w:line="360" w:lineRule="auto"/>
        <w:ind w:firstLine="420" w:firstLineChars="200"/>
        <w:jc w:val="left"/>
        <w:rPr>
          <w:rFonts w:ascii="宋体" w:hAnsi="宋体" w:eastAsia="宋体" w:cs="宋体"/>
          <w:szCs w:val="21"/>
          <w:highlight w:val="none"/>
        </w:rPr>
      </w:pPr>
    </w:p>
    <w:p w14:paraId="5A170001">
      <w:pPr>
        <w:widowControl/>
        <w:spacing w:line="360" w:lineRule="auto"/>
        <w:ind w:firstLine="420" w:firstLineChars="200"/>
        <w:jc w:val="left"/>
        <w:rPr>
          <w:rFonts w:ascii="宋体" w:hAnsi="宋体" w:eastAsia="宋体" w:cs="宋体"/>
          <w:szCs w:val="21"/>
          <w:highlight w:val="none"/>
        </w:rPr>
      </w:pPr>
      <w:r>
        <w:rPr>
          <w:rFonts w:hint="eastAsia" w:ascii="宋体" w:hAnsi="宋体" w:eastAsia="宋体" w:cs="宋体"/>
          <w:szCs w:val="21"/>
          <w:highlight w:val="none"/>
        </w:rPr>
        <w:t>磋商申请人（盖单位公章）：</w:t>
      </w:r>
    </w:p>
    <w:p w14:paraId="4CA9F9CD">
      <w:pPr>
        <w:widowControl/>
        <w:spacing w:line="360" w:lineRule="auto"/>
        <w:ind w:firstLine="420" w:firstLineChars="200"/>
        <w:jc w:val="left"/>
        <w:rPr>
          <w:rFonts w:ascii="宋体" w:hAnsi="宋体" w:eastAsia="宋体" w:cs="宋体"/>
          <w:szCs w:val="21"/>
          <w:highlight w:val="none"/>
        </w:rPr>
      </w:pPr>
      <w:r>
        <w:rPr>
          <w:rFonts w:hint="eastAsia" w:ascii="宋体" w:hAnsi="宋体" w:eastAsia="宋体" w:cs="宋体"/>
          <w:szCs w:val="21"/>
          <w:highlight w:val="none"/>
        </w:rPr>
        <w:t>日 期：</w:t>
      </w:r>
    </w:p>
    <w:p w14:paraId="6843CB92">
      <w:pPr>
        <w:widowControl/>
        <w:spacing w:line="360" w:lineRule="auto"/>
        <w:ind w:firstLine="420" w:firstLineChars="200"/>
        <w:jc w:val="left"/>
        <w:rPr>
          <w:rFonts w:ascii="宋体" w:hAnsi="宋体" w:eastAsia="宋体" w:cs="宋体"/>
          <w:szCs w:val="21"/>
          <w:highlight w:val="none"/>
        </w:rPr>
      </w:pPr>
    </w:p>
    <w:p w14:paraId="2974B155">
      <w:pPr>
        <w:widowControl/>
        <w:spacing w:line="360" w:lineRule="auto"/>
        <w:ind w:firstLine="420" w:firstLineChars="200"/>
        <w:jc w:val="left"/>
        <w:rPr>
          <w:rFonts w:ascii="宋体" w:hAnsi="宋体" w:eastAsia="宋体" w:cs="宋体"/>
          <w:szCs w:val="21"/>
          <w:highlight w:val="none"/>
        </w:rPr>
      </w:pPr>
    </w:p>
    <w:p w14:paraId="38645707">
      <w:pPr>
        <w:widowControl/>
        <w:spacing w:line="360" w:lineRule="auto"/>
        <w:ind w:firstLine="420" w:firstLineChars="200"/>
        <w:jc w:val="left"/>
        <w:rPr>
          <w:rFonts w:ascii="宋体" w:hAnsi="宋体" w:eastAsia="宋体" w:cs="宋体"/>
          <w:sz w:val="24"/>
          <w:szCs w:val="24"/>
          <w:highlight w:val="none"/>
        </w:rPr>
      </w:pPr>
      <w:r>
        <w:rPr>
          <w:rFonts w:hint="eastAsia" w:ascii="宋体" w:hAnsi="宋体" w:eastAsia="宋体" w:cs="宋体"/>
          <w:szCs w:val="21"/>
          <w:highlight w:val="none"/>
        </w:rPr>
        <w:t>符合条件的残疾人福利性单位在参加政府采购活动时，应当提供本通知规定的《残疾人福利性单位声明函》，并对声明的真实性负责。采购代理机构在随成交、成交结果同时公告其《残疾人福利性单位声明函》，接受社会监督。磋商申请人提供的《残疾人福利性单位声明函》与事实不符的，依照《中华人民共和国政府采购法》第七十七条第一款的规定追究法律责任。</w:t>
      </w:r>
    </w:p>
    <w:p w14:paraId="7BB77977">
      <w:pPr>
        <w:widowControl/>
        <w:jc w:val="left"/>
        <w:rPr>
          <w:rFonts w:ascii="宋体" w:hAnsi="宋体" w:eastAsia="宋体" w:cs="宋体"/>
          <w:b/>
          <w:sz w:val="24"/>
          <w:szCs w:val="24"/>
          <w:highlight w:val="none"/>
        </w:rPr>
      </w:pPr>
    </w:p>
    <w:p w14:paraId="30DD3463">
      <w:pPr>
        <w:widowControl/>
        <w:jc w:val="left"/>
        <w:rPr>
          <w:rFonts w:ascii="宋体" w:hAnsi="宋体" w:eastAsia="宋体" w:cs="宋体"/>
          <w:b/>
          <w:sz w:val="24"/>
          <w:szCs w:val="24"/>
          <w:highlight w:val="none"/>
        </w:rPr>
      </w:pPr>
      <w:r>
        <w:rPr>
          <w:rFonts w:hint="eastAsia" w:ascii="宋体" w:hAnsi="宋体" w:eastAsia="宋体" w:cs="宋体"/>
          <w:b/>
          <w:sz w:val="24"/>
          <w:szCs w:val="24"/>
          <w:highlight w:val="none"/>
        </w:rPr>
        <w:br w:type="page"/>
      </w:r>
    </w:p>
    <w:p w14:paraId="58A9CB20">
      <w:pPr>
        <w:widowControl/>
        <w:jc w:val="center"/>
        <w:rPr>
          <w:rFonts w:ascii="宋体" w:hAnsi="宋体" w:eastAsia="宋体" w:cs="宋体"/>
          <w:b/>
          <w:sz w:val="24"/>
          <w:szCs w:val="24"/>
          <w:highlight w:val="none"/>
        </w:rPr>
      </w:pPr>
      <w:r>
        <w:rPr>
          <w:rFonts w:hint="eastAsia" w:ascii="宋体" w:hAnsi="宋体" w:eastAsia="宋体" w:cs="宋体"/>
          <w:b/>
          <w:sz w:val="24"/>
          <w:szCs w:val="24"/>
          <w:highlight w:val="none"/>
        </w:rPr>
        <w:t>（3）《监狱企业声明函》格式</w:t>
      </w:r>
    </w:p>
    <w:p w14:paraId="239FCDB8">
      <w:pPr>
        <w:spacing w:line="588" w:lineRule="exact"/>
        <w:jc w:val="center"/>
        <w:rPr>
          <w:rFonts w:ascii="宋体" w:hAnsi="宋体" w:eastAsia="宋体" w:cs="宋体"/>
          <w:b/>
          <w:spacing w:val="6"/>
          <w:sz w:val="32"/>
          <w:szCs w:val="32"/>
          <w:highlight w:val="none"/>
        </w:rPr>
      </w:pPr>
    </w:p>
    <w:p w14:paraId="359041AF">
      <w:pPr>
        <w:spacing w:line="588" w:lineRule="exact"/>
        <w:jc w:val="center"/>
        <w:rPr>
          <w:rFonts w:ascii="宋体" w:hAnsi="宋体" w:eastAsia="宋体" w:cs="宋体"/>
          <w:b/>
          <w:spacing w:val="6"/>
          <w:sz w:val="32"/>
          <w:szCs w:val="32"/>
          <w:highlight w:val="none"/>
        </w:rPr>
      </w:pPr>
      <w:r>
        <w:rPr>
          <w:rFonts w:hint="eastAsia" w:ascii="宋体" w:hAnsi="宋体" w:eastAsia="宋体" w:cs="宋体"/>
          <w:b/>
          <w:spacing w:val="6"/>
          <w:sz w:val="32"/>
          <w:szCs w:val="32"/>
          <w:highlight w:val="none"/>
        </w:rPr>
        <w:t>监狱企业声明函</w:t>
      </w:r>
    </w:p>
    <w:p w14:paraId="25A83BF1">
      <w:pPr>
        <w:widowControl/>
        <w:jc w:val="center"/>
        <w:rPr>
          <w:rFonts w:ascii="宋体" w:hAnsi="宋体" w:eastAsia="宋体" w:cs="宋体"/>
          <w:b/>
          <w:sz w:val="24"/>
          <w:szCs w:val="24"/>
          <w:highlight w:val="none"/>
        </w:rPr>
      </w:pPr>
      <w:r>
        <w:rPr>
          <w:rFonts w:hint="eastAsia" w:ascii="宋体" w:hAnsi="宋体" w:eastAsia="宋体" w:cs="宋体"/>
          <w:b/>
          <w:sz w:val="24"/>
          <w:szCs w:val="24"/>
          <w:highlight w:val="none"/>
        </w:rPr>
        <w:t>（不属于监狱企业的无需填写）</w:t>
      </w:r>
    </w:p>
    <w:p w14:paraId="7A2C8A54">
      <w:pPr>
        <w:widowControl/>
        <w:spacing w:line="360" w:lineRule="auto"/>
        <w:ind w:firstLine="480" w:firstLineChars="200"/>
        <w:jc w:val="left"/>
        <w:rPr>
          <w:rFonts w:ascii="宋体" w:hAnsi="宋体" w:eastAsia="宋体" w:cs="宋体"/>
          <w:sz w:val="24"/>
          <w:szCs w:val="24"/>
          <w:highlight w:val="none"/>
        </w:rPr>
      </w:pPr>
    </w:p>
    <w:p w14:paraId="786D72C4">
      <w:pPr>
        <w:widowControl/>
        <w:spacing w:line="360" w:lineRule="auto"/>
        <w:ind w:firstLine="420" w:firstLineChars="200"/>
        <w:jc w:val="left"/>
        <w:rPr>
          <w:rFonts w:ascii="宋体" w:hAnsi="宋体" w:eastAsia="宋体" w:cs="宋体"/>
          <w:szCs w:val="21"/>
          <w:highlight w:val="none"/>
        </w:rPr>
      </w:pPr>
      <w:r>
        <w:rPr>
          <w:rFonts w:hint="eastAsia" w:ascii="宋体" w:hAnsi="宋体" w:eastAsia="宋体" w:cs="宋体"/>
          <w:szCs w:val="21"/>
          <w:highlight w:val="none"/>
        </w:rPr>
        <w:t>公司郑重声明，根据《关于政府采购支持监狱企业发展有关问题的通知》 （财库〔2014〕68 号）的规定，本公司为监狱企业。</w:t>
      </w:r>
    </w:p>
    <w:p w14:paraId="7229785B">
      <w:pPr>
        <w:widowControl/>
        <w:spacing w:line="360" w:lineRule="auto"/>
        <w:ind w:firstLine="420" w:firstLineChars="200"/>
        <w:jc w:val="left"/>
        <w:rPr>
          <w:rFonts w:ascii="宋体" w:hAnsi="宋体" w:eastAsia="宋体" w:cs="宋体"/>
          <w:szCs w:val="21"/>
          <w:highlight w:val="none"/>
        </w:rPr>
      </w:pPr>
      <w:r>
        <w:rPr>
          <w:rFonts w:hint="eastAsia" w:ascii="宋体" w:hAnsi="宋体" w:eastAsia="宋体" w:cs="宋体"/>
          <w:szCs w:val="21"/>
          <w:highlight w:val="none"/>
        </w:rPr>
        <w:t>根据上述标准，我公司属于监狱企业的理由为：   。</w:t>
      </w:r>
    </w:p>
    <w:p w14:paraId="3D70680A">
      <w:pPr>
        <w:widowControl/>
        <w:spacing w:line="360" w:lineRule="auto"/>
        <w:ind w:firstLine="420" w:firstLineChars="200"/>
        <w:jc w:val="left"/>
        <w:rPr>
          <w:rFonts w:ascii="宋体" w:hAnsi="宋体" w:eastAsia="宋体" w:cs="宋体"/>
          <w:szCs w:val="21"/>
          <w:highlight w:val="none"/>
        </w:rPr>
      </w:pPr>
      <w:r>
        <w:rPr>
          <w:rFonts w:hint="eastAsia" w:ascii="宋体" w:hAnsi="宋体" w:eastAsia="宋体" w:cs="宋体"/>
          <w:szCs w:val="21"/>
          <w:highlight w:val="none"/>
        </w:rPr>
        <w:t xml:space="preserve">本公司为参加 </w:t>
      </w:r>
      <w:r>
        <w:rPr>
          <w:rFonts w:hint="eastAsia" w:ascii="宋体" w:hAnsi="宋体" w:eastAsia="宋体" w:cs="宋体"/>
          <w:szCs w:val="21"/>
          <w:highlight w:val="none"/>
          <w:u w:val="single"/>
        </w:rPr>
        <w:t>（项目名称） （项目编号：）</w:t>
      </w:r>
      <w:r>
        <w:rPr>
          <w:rFonts w:hint="eastAsia" w:ascii="宋体" w:hAnsi="宋体" w:eastAsia="宋体" w:cs="宋体"/>
          <w:szCs w:val="21"/>
          <w:highlight w:val="none"/>
        </w:rPr>
        <w:t>采购活动提供本企业（填写制造的货物，</w:t>
      </w:r>
    </w:p>
    <w:p w14:paraId="44089A8F">
      <w:pPr>
        <w:widowControl/>
        <w:spacing w:line="360" w:lineRule="auto"/>
        <w:ind w:firstLine="420" w:firstLineChars="200"/>
        <w:jc w:val="left"/>
        <w:rPr>
          <w:rFonts w:ascii="宋体" w:hAnsi="宋体" w:eastAsia="宋体" w:cs="宋体"/>
          <w:szCs w:val="21"/>
          <w:highlight w:val="none"/>
        </w:rPr>
      </w:pPr>
      <w:r>
        <w:rPr>
          <w:rFonts w:hint="eastAsia" w:ascii="宋体" w:hAnsi="宋体" w:eastAsia="宋体" w:cs="宋体"/>
          <w:szCs w:val="21"/>
          <w:highlight w:val="none"/>
        </w:rPr>
        <w:t>由本企业承担工程、提供服务）。</w:t>
      </w:r>
    </w:p>
    <w:p w14:paraId="5CA68C61">
      <w:pPr>
        <w:widowControl/>
        <w:spacing w:line="360" w:lineRule="auto"/>
        <w:ind w:firstLine="420" w:firstLineChars="200"/>
        <w:jc w:val="left"/>
        <w:rPr>
          <w:rFonts w:ascii="宋体" w:hAnsi="宋体" w:eastAsia="宋体" w:cs="宋体"/>
          <w:szCs w:val="21"/>
          <w:highlight w:val="none"/>
        </w:rPr>
      </w:pPr>
      <w:r>
        <w:rPr>
          <w:rFonts w:hint="eastAsia" w:ascii="宋体" w:hAnsi="宋体" w:eastAsia="宋体" w:cs="宋体"/>
          <w:szCs w:val="21"/>
          <w:highlight w:val="none"/>
        </w:rPr>
        <w:t>本条所称货物不包括使用大型企业注册商标的货物和服务。</w:t>
      </w:r>
    </w:p>
    <w:p w14:paraId="46F09C32">
      <w:pPr>
        <w:widowControl/>
        <w:spacing w:line="360" w:lineRule="auto"/>
        <w:ind w:firstLine="420" w:firstLineChars="200"/>
        <w:jc w:val="left"/>
        <w:rPr>
          <w:rFonts w:ascii="宋体" w:hAnsi="宋体" w:eastAsia="宋体" w:cs="宋体"/>
          <w:szCs w:val="21"/>
          <w:highlight w:val="none"/>
        </w:rPr>
      </w:pPr>
    </w:p>
    <w:p w14:paraId="762A17DB">
      <w:pPr>
        <w:widowControl/>
        <w:spacing w:line="360" w:lineRule="auto"/>
        <w:ind w:firstLine="420" w:firstLineChars="200"/>
        <w:jc w:val="left"/>
        <w:rPr>
          <w:rFonts w:ascii="宋体" w:hAnsi="宋体" w:eastAsia="宋体" w:cs="宋体"/>
          <w:szCs w:val="21"/>
          <w:highlight w:val="none"/>
        </w:rPr>
      </w:pPr>
      <w:r>
        <w:rPr>
          <w:rFonts w:hint="eastAsia" w:ascii="宋体" w:hAnsi="宋体" w:eastAsia="宋体" w:cs="宋体"/>
          <w:szCs w:val="21"/>
          <w:highlight w:val="none"/>
        </w:rPr>
        <w:t>本公司对上述声明的真实性负责。如有虚假，将依法承担相应责任</w:t>
      </w:r>
    </w:p>
    <w:p w14:paraId="4D2B67CC">
      <w:pPr>
        <w:widowControl/>
        <w:spacing w:line="360" w:lineRule="auto"/>
        <w:ind w:firstLine="420" w:firstLineChars="200"/>
        <w:jc w:val="left"/>
        <w:rPr>
          <w:rFonts w:ascii="宋体" w:hAnsi="宋体" w:eastAsia="宋体" w:cs="宋体"/>
          <w:szCs w:val="21"/>
          <w:highlight w:val="none"/>
        </w:rPr>
      </w:pPr>
    </w:p>
    <w:p w14:paraId="32A5E4FC">
      <w:pPr>
        <w:widowControl/>
        <w:spacing w:line="360" w:lineRule="auto"/>
        <w:ind w:firstLine="420" w:firstLineChars="200"/>
        <w:jc w:val="left"/>
        <w:rPr>
          <w:rFonts w:ascii="宋体" w:hAnsi="宋体" w:eastAsia="宋体" w:cs="宋体"/>
          <w:szCs w:val="21"/>
          <w:highlight w:val="none"/>
        </w:rPr>
      </w:pPr>
      <w:r>
        <w:rPr>
          <w:rFonts w:hint="eastAsia" w:ascii="宋体" w:hAnsi="宋体" w:eastAsia="宋体" w:cs="宋体"/>
          <w:szCs w:val="21"/>
          <w:highlight w:val="none"/>
        </w:rPr>
        <w:t>磋商申请人（盖单位公章）：</w:t>
      </w:r>
    </w:p>
    <w:p w14:paraId="118808B1">
      <w:pPr>
        <w:widowControl/>
        <w:spacing w:line="360" w:lineRule="auto"/>
        <w:ind w:firstLine="420" w:firstLineChars="200"/>
        <w:jc w:val="left"/>
        <w:rPr>
          <w:rFonts w:ascii="宋体" w:hAnsi="宋体" w:eastAsia="宋体" w:cs="宋体"/>
          <w:szCs w:val="21"/>
          <w:highlight w:val="none"/>
        </w:rPr>
      </w:pPr>
      <w:r>
        <w:rPr>
          <w:rFonts w:hint="eastAsia" w:ascii="宋体" w:hAnsi="宋体" w:eastAsia="宋体" w:cs="宋体"/>
          <w:szCs w:val="21"/>
          <w:highlight w:val="none"/>
        </w:rPr>
        <w:t>日 期：</w:t>
      </w:r>
    </w:p>
    <w:p w14:paraId="1AE0F55E">
      <w:pPr>
        <w:widowControl/>
        <w:spacing w:line="360" w:lineRule="auto"/>
        <w:ind w:firstLine="420" w:firstLineChars="200"/>
        <w:jc w:val="left"/>
        <w:rPr>
          <w:rFonts w:ascii="宋体" w:hAnsi="宋体" w:eastAsia="宋体" w:cs="宋体"/>
          <w:szCs w:val="21"/>
          <w:highlight w:val="none"/>
        </w:rPr>
      </w:pPr>
    </w:p>
    <w:p w14:paraId="3912F766">
      <w:pPr>
        <w:widowControl/>
        <w:spacing w:line="360" w:lineRule="auto"/>
        <w:ind w:firstLine="420" w:firstLineChars="200"/>
        <w:jc w:val="left"/>
        <w:rPr>
          <w:rFonts w:ascii="宋体" w:hAnsi="宋体" w:eastAsia="宋体" w:cs="宋体"/>
          <w:szCs w:val="21"/>
          <w:highlight w:val="none"/>
        </w:rPr>
      </w:pPr>
      <w:r>
        <w:rPr>
          <w:rFonts w:hint="eastAsia" w:ascii="宋体" w:hAnsi="宋体" w:eastAsia="宋体" w:cs="宋体"/>
          <w:szCs w:val="21"/>
          <w:highlight w:val="none"/>
        </w:rPr>
        <w:t>注：</w:t>
      </w:r>
    </w:p>
    <w:p w14:paraId="39F184D6">
      <w:pPr>
        <w:widowControl/>
        <w:spacing w:line="360" w:lineRule="auto"/>
        <w:ind w:firstLine="420" w:firstLineChars="200"/>
        <w:jc w:val="left"/>
        <w:rPr>
          <w:rFonts w:ascii="宋体" w:hAnsi="宋体" w:eastAsia="宋体" w:cs="宋体"/>
          <w:szCs w:val="21"/>
          <w:highlight w:val="none"/>
        </w:rPr>
      </w:pPr>
      <w:r>
        <w:rPr>
          <w:rFonts w:hint="eastAsia" w:ascii="宋体" w:hAnsi="宋体" w:eastAsia="宋体" w:cs="宋体"/>
          <w:szCs w:val="21"/>
          <w:highlight w:val="none"/>
        </w:rPr>
        <w:t>若产品出自符合国家规定的监狱企业，则该产品制造企业必须出具上述声明函，且磋商申请人必须提供应当提供由省级以上监狱管理局、戒毒管理局（含新疆生产建设兵团）出具的属于监狱企业的证明文件，否则在评审时将不考虑对该监狱企业的相关优惠。</w:t>
      </w:r>
    </w:p>
    <w:p w14:paraId="71F8BE29">
      <w:pPr>
        <w:pStyle w:val="15"/>
        <w:spacing w:line="480" w:lineRule="exact"/>
        <w:ind w:firstLine="575"/>
        <w:rPr>
          <w:rFonts w:hAnsi="宋体"/>
          <w:highlight w:val="none"/>
        </w:rPr>
      </w:pPr>
      <w:r>
        <w:rPr>
          <w:rFonts w:hint="eastAsia" w:hAnsi="宋体"/>
          <w:highlight w:val="none"/>
        </w:rPr>
        <w:t>监狱企业视同小型、微型企业，享受评审中价格扣除等政府采购促进中小企业发展的政府采购政策。</w:t>
      </w:r>
    </w:p>
    <w:p w14:paraId="05889298">
      <w:pPr>
        <w:widowControl/>
        <w:jc w:val="left"/>
        <w:rPr>
          <w:rFonts w:ascii="宋体" w:hAnsi="宋体" w:eastAsia="宋体" w:cs="宋体"/>
          <w:highlight w:val="none"/>
        </w:rPr>
      </w:pPr>
    </w:p>
    <w:p w14:paraId="423EEDFF">
      <w:pPr>
        <w:rPr>
          <w:rFonts w:ascii="宋体" w:hAnsi="宋体" w:eastAsia="宋体" w:cs="宋体"/>
          <w:highlight w:val="none"/>
        </w:rPr>
      </w:pPr>
      <w:r>
        <w:rPr>
          <w:rFonts w:hint="eastAsia" w:ascii="宋体" w:hAnsi="宋体" w:eastAsia="宋体" w:cs="宋体"/>
          <w:highlight w:val="none"/>
        </w:rPr>
        <w:br w:type="page"/>
      </w:r>
    </w:p>
    <w:p w14:paraId="09A1568F">
      <w:pPr>
        <w:pStyle w:val="12"/>
        <w:rPr>
          <w:rFonts w:ascii="宋体" w:hAnsi="宋体" w:eastAsia="宋体" w:cs="宋体"/>
          <w:highlight w:val="none"/>
        </w:rPr>
        <w:sectPr>
          <w:footerReference r:id="rId8" w:type="default"/>
          <w:pgSz w:w="11906" w:h="16838"/>
          <w:pgMar w:top="936" w:right="892" w:bottom="1089" w:left="1134" w:header="851" w:footer="992" w:gutter="0"/>
          <w:cols w:space="425" w:num="1"/>
          <w:docGrid w:type="lines" w:linePitch="312" w:charSpace="0"/>
        </w:sectPr>
      </w:pPr>
    </w:p>
    <w:p w14:paraId="1E98ADFD">
      <w:pPr>
        <w:jc w:val="center"/>
        <w:rPr>
          <w:rFonts w:ascii="宋体" w:hAnsi="宋体" w:eastAsia="宋体" w:cs="宋体"/>
          <w:b/>
          <w:bCs/>
          <w:sz w:val="28"/>
          <w:szCs w:val="28"/>
          <w:highlight w:val="none"/>
        </w:rPr>
      </w:pPr>
      <w:r>
        <w:rPr>
          <w:rFonts w:hint="eastAsia" w:ascii="宋体" w:hAnsi="宋体" w:eastAsia="宋体" w:cs="宋体"/>
          <w:b/>
          <w:bCs/>
          <w:sz w:val="28"/>
          <w:szCs w:val="28"/>
          <w:highlight w:val="none"/>
        </w:rPr>
        <w:t>格式4：磋商申请人认为需要提供的其他报价材料</w:t>
      </w:r>
      <w:r>
        <w:rPr>
          <w:rFonts w:hint="eastAsia" w:ascii="宋体" w:hAnsi="宋体" w:eastAsia="宋体" w:cs="宋体"/>
          <w:b/>
          <w:bCs/>
          <w:sz w:val="28"/>
          <w:szCs w:val="28"/>
          <w:highlight w:val="none"/>
        </w:rPr>
        <w:br w:type="page"/>
      </w:r>
    </w:p>
    <w:p w14:paraId="23131238">
      <w:pPr>
        <w:pStyle w:val="48"/>
        <w:spacing w:before="156" w:line="360" w:lineRule="auto"/>
        <w:ind w:firstLine="0" w:firstLineChars="0"/>
        <w:jc w:val="center"/>
        <w:rPr>
          <w:rFonts w:ascii="宋体" w:hAnsi="宋体" w:eastAsia="宋体" w:cs="宋体"/>
          <w:b/>
          <w:bCs/>
          <w:sz w:val="28"/>
          <w:szCs w:val="28"/>
          <w:highlight w:val="none"/>
        </w:rPr>
      </w:pPr>
      <w:r>
        <w:rPr>
          <w:rFonts w:hint="eastAsia" w:ascii="宋体" w:hAnsi="宋体" w:eastAsia="宋体" w:cs="宋体"/>
          <w:b/>
          <w:bCs/>
          <w:sz w:val="28"/>
          <w:szCs w:val="28"/>
          <w:highlight w:val="none"/>
        </w:rPr>
        <w:t>第三部分  商务及技术响应文件</w:t>
      </w:r>
    </w:p>
    <w:p w14:paraId="4D39232D">
      <w:pPr>
        <w:spacing w:line="360" w:lineRule="auto"/>
        <w:jc w:val="center"/>
        <w:rPr>
          <w:rFonts w:ascii="宋体" w:hAnsi="宋体" w:eastAsia="宋体" w:cs="宋体"/>
          <w:b/>
          <w:bCs/>
          <w:sz w:val="28"/>
          <w:szCs w:val="28"/>
          <w:highlight w:val="none"/>
        </w:rPr>
      </w:pPr>
      <w:r>
        <w:rPr>
          <w:rFonts w:hint="eastAsia" w:ascii="宋体" w:hAnsi="宋体" w:eastAsia="宋体" w:cs="宋体"/>
          <w:b/>
          <w:bCs/>
          <w:sz w:val="28"/>
          <w:szCs w:val="28"/>
          <w:highlight w:val="none"/>
        </w:rPr>
        <w:t>（一）商务文件</w:t>
      </w:r>
    </w:p>
    <w:p w14:paraId="255179D2">
      <w:pPr>
        <w:spacing w:line="360" w:lineRule="auto"/>
        <w:jc w:val="center"/>
        <w:rPr>
          <w:rFonts w:ascii="宋体" w:hAnsi="宋体" w:eastAsia="宋体" w:cs="宋体"/>
          <w:b/>
          <w:bCs/>
          <w:sz w:val="28"/>
          <w:szCs w:val="28"/>
          <w:highlight w:val="none"/>
        </w:rPr>
      </w:pPr>
      <w:r>
        <w:rPr>
          <w:rFonts w:hint="eastAsia" w:ascii="宋体" w:hAnsi="宋体" w:eastAsia="宋体" w:cs="宋体"/>
          <w:b/>
          <w:bCs/>
          <w:sz w:val="28"/>
          <w:szCs w:val="28"/>
          <w:highlight w:val="none"/>
        </w:rPr>
        <w:t>格式1：实质性商务条款偏离表</w:t>
      </w:r>
    </w:p>
    <w:p w14:paraId="7BCADD22">
      <w:pPr>
        <w:spacing w:line="360" w:lineRule="auto"/>
        <w:rPr>
          <w:rFonts w:ascii="宋体" w:hAnsi="宋体" w:eastAsia="宋体" w:cs="宋体"/>
          <w:szCs w:val="21"/>
          <w:highlight w:val="none"/>
        </w:rPr>
      </w:pPr>
      <w:r>
        <w:rPr>
          <w:rFonts w:hint="eastAsia" w:ascii="宋体" w:hAnsi="宋体" w:eastAsia="宋体" w:cs="宋体"/>
          <w:szCs w:val="21"/>
          <w:highlight w:val="none"/>
        </w:rPr>
        <w:t>项目名称：</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项目编号：</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w:t>
      </w:r>
    </w:p>
    <w:tbl>
      <w:tblPr>
        <w:tblStyle w:val="27"/>
        <w:tblW w:w="9674" w:type="dxa"/>
        <w:tblInd w:w="12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2"/>
        <w:gridCol w:w="2246"/>
        <w:gridCol w:w="2813"/>
        <w:gridCol w:w="2487"/>
        <w:gridCol w:w="1476"/>
      </w:tblGrid>
      <w:tr w14:paraId="58309F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8" w:hRule="atLeast"/>
        </w:trPr>
        <w:tc>
          <w:tcPr>
            <w:tcW w:w="652" w:type="dxa"/>
            <w:vAlign w:val="center"/>
          </w:tcPr>
          <w:p w14:paraId="580A9CF8">
            <w:pPr>
              <w:snapToGrid w:val="0"/>
              <w:spacing w:line="400" w:lineRule="exact"/>
              <w:jc w:val="center"/>
              <w:rPr>
                <w:rFonts w:ascii="宋体" w:hAnsi="宋体" w:eastAsia="宋体" w:cs="宋体"/>
                <w:szCs w:val="21"/>
                <w:highlight w:val="none"/>
              </w:rPr>
            </w:pPr>
            <w:r>
              <w:rPr>
                <w:rFonts w:hint="eastAsia" w:ascii="宋体" w:hAnsi="宋体" w:eastAsia="宋体" w:cs="宋体"/>
                <w:szCs w:val="21"/>
                <w:highlight w:val="none"/>
              </w:rPr>
              <w:t>序号</w:t>
            </w:r>
          </w:p>
        </w:tc>
        <w:tc>
          <w:tcPr>
            <w:tcW w:w="2246" w:type="dxa"/>
            <w:vAlign w:val="center"/>
          </w:tcPr>
          <w:p w14:paraId="0E8E9A43">
            <w:pPr>
              <w:snapToGrid w:val="0"/>
              <w:spacing w:line="400" w:lineRule="exact"/>
              <w:jc w:val="center"/>
              <w:rPr>
                <w:rFonts w:ascii="宋体" w:hAnsi="宋体" w:eastAsia="宋体" w:cs="宋体"/>
                <w:szCs w:val="21"/>
                <w:highlight w:val="none"/>
              </w:rPr>
            </w:pPr>
            <w:r>
              <w:rPr>
                <w:rFonts w:hint="eastAsia" w:ascii="宋体" w:hAnsi="宋体" w:eastAsia="宋体" w:cs="宋体"/>
                <w:szCs w:val="21"/>
                <w:highlight w:val="none"/>
              </w:rPr>
              <w:t>竞争性磋商文件实质性商务条款</w:t>
            </w:r>
          </w:p>
        </w:tc>
        <w:tc>
          <w:tcPr>
            <w:tcW w:w="2813" w:type="dxa"/>
            <w:vAlign w:val="center"/>
          </w:tcPr>
          <w:p w14:paraId="7686A13F">
            <w:pPr>
              <w:snapToGrid w:val="0"/>
              <w:spacing w:line="400" w:lineRule="exact"/>
              <w:jc w:val="center"/>
              <w:rPr>
                <w:rFonts w:ascii="宋体" w:hAnsi="宋体" w:eastAsia="宋体" w:cs="宋体"/>
                <w:szCs w:val="21"/>
                <w:highlight w:val="none"/>
              </w:rPr>
            </w:pPr>
            <w:r>
              <w:rPr>
                <w:rFonts w:hint="eastAsia" w:ascii="宋体" w:hAnsi="宋体" w:eastAsia="宋体" w:cs="宋体"/>
                <w:szCs w:val="21"/>
                <w:highlight w:val="none"/>
              </w:rPr>
              <w:t>磋商响应文件实质性商务条款响应情况</w:t>
            </w:r>
          </w:p>
        </w:tc>
        <w:tc>
          <w:tcPr>
            <w:tcW w:w="2487" w:type="dxa"/>
            <w:vAlign w:val="center"/>
          </w:tcPr>
          <w:p w14:paraId="506B264F">
            <w:pPr>
              <w:snapToGrid w:val="0"/>
              <w:spacing w:line="400" w:lineRule="exact"/>
              <w:jc w:val="center"/>
              <w:rPr>
                <w:rFonts w:ascii="宋体" w:hAnsi="宋体" w:eastAsia="宋体" w:cs="宋体"/>
                <w:szCs w:val="21"/>
                <w:highlight w:val="none"/>
              </w:rPr>
            </w:pPr>
            <w:r>
              <w:rPr>
                <w:rFonts w:hint="eastAsia" w:ascii="宋体" w:hAnsi="宋体" w:eastAsia="宋体" w:cs="宋体"/>
                <w:szCs w:val="21"/>
                <w:highlight w:val="none"/>
              </w:rPr>
              <w:t>相关佐证材料或承诺索引（注明对应条款中在比选响应标文件的页码）</w:t>
            </w:r>
          </w:p>
        </w:tc>
        <w:tc>
          <w:tcPr>
            <w:tcW w:w="1476" w:type="dxa"/>
            <w:vAlign w:val="center"/>
          </w:tcPr>
          <w:p w14:paraId="77DF99D7">
            <w:pPr>
              <w:snapToGrid w:val="0"/>
              <w:spacing w:line="400" w:lineRule="exact"/>
              <w:jc w:val="center"/>
              <w:rPr>
                <w:rFonts w:ascii="宋体" w:hAnsi="宋体" w:eastAsia="宋体" w:cs="宋体"/>
                <w:szCs w:val="21"/>
                <w:highlight w:val="none"/>
              </w:rPr>
            </w:pPr>
            <w:r>
              <w:rPr>
                <w:rFonts w:hint="eastAsia" w:ascii="宋体" w:hAnsi="宋体" w:eastAsia="宋体" w:cs="宋体"/>
                <w:szCs w:val="21"/>
                <w:highlight w:val="none"/>
              </w:rPr>
              <w:t>条款偏离情况</w:t>
            </w:r>
          </w:p>
        </w:tc>
      </w:tr>
      <w:tr w14:paraId="75B13D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6" w:hRule="atLeast"/>
        </w:trPr>
        <w:tc>
          <w:tcPr>
            <w:tcW w:w="652" w:type="dxa"/>
          </w:tcPr>
          <w:p w14:paraId="279C1342">
            <w:pPr>
              <w:snapToGrid w:val="0"/>
              <w:spacing w:line="800" w:lineRule="atLeast"/>
              <w:rPr>
                <w:rFonts w:ascii="宋体" w:hAnsi="宋体" w:eastAsia="宋体" w:cs="宋体"/>
                <w:szCs w:val="21"/>
                <w:highlight w:val="none"/>
              </w:rPr>
            </w:pPr>
          </w:p>
        </w:tc>
        <w:tc>
          <w:tcPr>
            <w:tcW w:w="2246" w:type="dxa"/>
          </w:tcPr>
          <w:p w14:paraId="68DE4A9D">
            <w:pPr>
              <w:snapToGrid w:val="0"/>
              <w:spacing w:line="800" w:lineRule="atLeast"/>
              <w:rPr>
                <w:rFonts w:ascii="宋体" w:hAnsi="宋体" w:eastAsia="宋体" w:cs="宋体"/>
                <w:szCs w:val="21"/>
                <w:highlight w:val="none"/>
              </w:rPr>
            </w:pPr>
          </w:p>
        </w:tc>
        <w:tc>
          <w:tcPr>
            <w:tcW w:w="2813" w:type="dxa"/>
          </w:tcPr>
          <w:p w14:paraId="668C5EAE">
            <w:pPr>
              <w:snapToGrid w:val="0"/>
              <w:spacing w:line="800" w:lineRule="atLeast"/>
              <w:rPr>
                <w:rFonts w:ascii="宋体" w:hAnsi="宋体" w:eastAsia="宋体" w:cs="宋体"/>
                <w:szCs w:val="21"/>
                <w:highlight w:val="none"/>
              </w:rPr>
            </w:pPr>
          </w:p>
        </w:tc>
        <w:tc>
          <w:tcPr>
            <w:tcW w:w="2487" w:type="dxa"/>
          </w:tcPr>
          <w:p w14:paraId="7E7DB76E">
            <w:pPr>
              <w:snapToGrid w:val="0"/>
              <w:spacing w:line="800" w:lineRule="atLeast"/>
              <w:rPr>
                <w:rFonts w:ascii="宋体" w:hAnsi="宋体" w:eastAsia="宋体" w:cs="宋体"/>
                <w:szCs w:val="21"/>
                <w:highlight w:val="none"/>
              </w:rPr>
            </w:pPr>
          </w:p>
        </w:tc>
        <w:tc>
          <w:tcPr>
            <w:tcW w:w="1476" w:type="dxa"/>
          </w:tcPr>
          <w:p w14:paraId="53DCAB6C">
            <w:pPr>
              <w:snapToGrid w:val="0"/>
              <w:spacing w:line="800" w:lineRule="atLeast"/>
              <w:rPr>
                <w:rFonts w:ascii="宋体" w:hAnsi="宋体" w:eastAsia="宋体" w:cs="宋体"/>
                <w:szCs w:val="21"/>
                <w:highlight w:val="none"/>
              </w:rPr>
            </w:pPr>
          </w:p>
        </w:tc>
      </w:tr>
      <w:tr w14:paraId="375003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6" w:hRule="atLeast"/>
        </w:trPr>
        <w:tc>
          <w:tcPr>
            <w:tcW w:w="652" w:type="dxa"/>
          </w:tcPr>
          <w:p w14:paraId="21E39032">
            <w:pPr>
              <w:snapToGrid w:val="0"/>
              <w:spacing w:line="800" w:lineRule="atLeast"/>
              <w:rPr>
                <w:rFonts w:ascii="宋体" w:hAnsi="宋体" w:eastAsia="宋体" w:cs="宋体"/>
                <w:szCs w:val="21"/>
                <w:highlight w:val="none"/>
              </w:rPr>
            </w:pPr>
          </w:p>
        </w:tc>
        <w:tc>
          <w:tcPr>
            <w:tcW w:w="2246" w:type="dxa"/>
          </w:tcPr>
          <w:p w14:paraId="428CC5BA">
            <w:pPr>
              <w:snapToGrid w:val="0"/>
              <w:spacing w:line="800" w:lineRule="atLeast"/>
              <w:rPr>
                <w:rFonts w:ascii="宋体" w:hAnsi="宋体" w:eastAsia="宋体" w:cs="宋体"/>
                <w:szCs w:val="21"/>
                <w:highlight w:val="none"/>
              </w:rPr>
            </w:pPr>
          </w:p>
        </w:tc>
        <w:tc>
          <w:tcPr>
            <w:tcW w:w="2813" w:type="dxa"/>
          </w:tcPr>
          <w:p w14:paraId="140BE219">
            <w:pPr>
              <w:snapToGrid w:val="0"/>
              <w:spacing w:line="800" w:lineRule="atLeast"/>
              <w:rPr>
                <w:rFonts w:ascii="宋体" w:hAnsi="宋体" w:eastAsia="宋体" w:cs="宋体"/>
                <w:szCs w:val="21"/>
                <w:highlight w:val="none"/>
              </w:rPr>
            </w:pPr>
          </w:p>
        </w:tc>
        <w:tc>
          <w:tcPr>
            <w:tcW w:w="2487" w:type="dxa"/>
          </w:tcPr>
          <w:p w14:paraId="6B897883">
            <w:pPr>
              <w:snapToGrid w:val="0"/>
              <w:spacing w:line="800" w:lineRule="atLeast"/>
              <w:rPr>
                <w:rFonts w:ascii="宋体" w:hAnsi="宋体" w:eastAsia="宋体" w:cs="宋体"/>
                <w:szCs w:val="21"/>
                <w:highlight w:val="none"/>
              </w:rPr>
            </w:pPr>
          </w:p>
        </w:tc>
        <w:tc>
          <w:tcPr>
            <w:tcW w:w="1476" w:type="dxa"/>
          </w:tcPr>
          <w:p w14:paraId="1E6CB333">
            <w:pPr>
              <w:snapToGrid w:val="0"/>
              <w:spacing w:line="800" w:lineRule="atLeast"/>
              <w:rPr>
                <w:rFonts w:ascii="宋体" w:hAnsi="宋体" w:eastAsia="宋体" w:cs="宋体"/>
                <w:szCs w:val="21"/>
                <w:highlight w:val="none"/>
              </w:rPr>
            </w:pPr>
          </w:p>
        </w:tc>
      </w:tr>
      <w:tr w14:paraId="1F40D0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trPr>
        <w:tc>
          <w:tcPr>
            <w:tcW w:w="652" w:type="dxa"/>
          </w:tcPr>
          <w:p w14:paraId="77D4D434">
            <w:pPr>
              <w:snapToGrid w:val="0"/>
              <w:spacing w:line="800" w:lineRule="atLeast"/>
              <w:rPr>
                <w:rFonts w:ascii="宋体" w:hAnsi="宋体" w:eastAsia="宋体" w:cs="宋体"/>
                <w:szCs w:val="21"/>
                <w:highlight w:val="none"/>
              </w:rPr>
            </w:pPr>
          </w:p>
        </w:tc>
        <w:tc>
          <w:tcPr>
            <w:tcW w:w="2246" w:type="dxa"/>
          </w:tcPr>
          <w:p w14:paraId="36E48B32">
            <w:pPr>
              <w:snapToGrid w:val="0"/>
              <w:spacing w:line="800" w:lineRule="atLeast"/>
              <w:rPr>
                <w:rFonts w:ascii="宋体" w:hAnsi="宋体" w:eastAsia="宋体" w:cs="宋体"/>
                <w:szCs w:val="21"/>
                <w:highlight w:val="none"/>
              </w:rPr>
            </w:pPr>
          </w:p>
        </w:tc>
        <w:tc>
          <w:tcPr>
            <w:tcW w:w="2813" w:type="dxa"/>
          </w:tcPr>
          <w:p w14:paraId="33805CE5">
            <w:pPr>
              <w:snapToGrid w:val="0"/>
              <w:spacing w:line="800" w:lineRule="atLeast"/>
              <w:rPr>
                <w:rFonts w:ascii="宋体" w:hAnsi="宋体" w:eastAsia="宋体" w:cs="宋体"/>
                <w:szCs w:val="21"/>
                <w:highlight w:val="none"/>
              </w:rPr>
            </w:pPr>
          </w:p>
        </w:tc>
        <w:tc>
          <w:tcPr>
            <w:tcW w:w="2487" w:type="dxa"/>
          </w:tcPr>
          <w:p w14:paraId="479D246F">
            <w:pPr>
              <w:snapToGrid w:val="0"/>
              <w:spacing w:line="800" w:lineRule="atLeast"/>
              <w:rPr>
                <w:rFonts w:ascii="宋体" w:hAnsi="宋体" w:eastAsia="宋体" w:cs="宋体"/>
                <w:szCs w:val="21"/>
                <w:highlight w:val="none"/>
              </w:rPr>
            </w:pPr>
          </w:p>
        </w:tc>
        <w:tc>
          <w:tcPr>
            <w:tcW w:w="1476" w:type="dxa"/>
          </w:tcPr>
          <w:p w14:paraId="40CB784A">
            <w:pPr>
              <w:snapToGrid w:val="0"/>
              <w:spacing w:line="800" w:lineRule="atLeast"/>
              <w:rPr>
                <w:rFonts w:ascii="宋体" w:hAnsi="宋体" w:eastAsia="宋体" w:cs="宋体"/>
                <w:szCs w:val="21"/>
                <w:highlight w:val="none"/>
              </w:rPr>
            </w:pPr>
          </w:p>
        </w:tc>
      </w:tr>
    </w:tbl>
    <w:p w14:paraId="17728636">
      <w:pPr>
        <w:topLinePunct/>
        <w:spacing w:line="280" w:lineRule="exact"/>
        <w:rPr>
          <w:rFonts w:ascii="宋体" w:hAnsi="宋体" w:eastAsia="宋体" w:cs="宋体"/>
          <w:b/>
          <w:bCs/>
          <w:szCs w:val="21"/>
          <w:highlight w:val="none"/>
        </w:rPr>
      </w:pPr>
      <w:r>
        <w:rPr>
          <w:rFonts w:hint="eastAsia" w:ascii="宋体" w:hAnsi="宋体" w:eastAsia="宋体" w:cs="宋体"/>
          <w:b/>
          <w:bCs/>
          <w:szCs w:val="21"/>
          <w:highlight w:val="none"/>
        </w:rPr>
        <w:t>注：1、实质性商务条款包含合同履行期限、项目服务地点、项目售后运维服务期限等非技术要求的指标</w:t>
      </w:r>
      <w:r>
        <w:rPr>
          <w:rFonts w:hint="eastAsia" w:ascii="宋体" w:hAnsi="宋体" w:eastAsia="宋体" w:cs="宋体"/>
          <w:b/>
          <w:bCs/>
          <w:kern w:val="0"/>
          <w:szCs w:val="21"/>
          <w:highlight w:val="none"/>
        </w:rPr>
        <w:t>。</w:t>
      </w:r>
      <w:r>
        <w:rPr>
          <w:rFonts w:hint="eastAsia" w:ascii="宋体" w:hAnsi="宋体" w:eastAsia="宋体" w:cs="宋体"/>
          <w:b/>
          <w:bCs/>
          <w:szCs w:val="21"/>
          <w:highlight w:val="none"/>
        </w:rPr>
        <w:t>2、条款偏离情况须按照磋商申请人自身情况填报无偏离、正偏离、负偏离。3、若表格不够填写，可自行扩展。</w:t>
      </w:r>
    </w:p>
    <w:p w14:paraId="1BD4D64C">
      <w:pPr>
        <w:widowControl/>
        <w:jc w:val="left"/>
        <w:rPr>
          <w:rFonts w:ascii="宋体" w:hAnsi="宋体" w:eastAsia="宋体" w:cs="宋体"/>
          <w:b/>
          <w:bCs/>
          <w:szCs w:val="21"/>
          <w:highlight w:val="none"/>
        </w:rPr>
      </w:pPr>
    </w:p>
    <w:p w14:paraId="2DD82479">
      <w:pPr>
        <w:spacing w:line="500" w:lineRule="exact"/>
        <w:ind w:firstLine="420" w:firstLineChars="200"/>
        <w:jc w:val="left"/>
        <w:rPr>
          <w:rFonts w:ascii="宋体" w:hAnsi="宋体" w:eastAsia="宋体" w:cs="宋体"/>
          <w:szCs w:val="21"/>
          <w:highlight w:val="none"/>
        </w:rPr>
      </w:pPr>
    </w:p>
    <w:p w14:paraId="5C7E335B">
      <w:pPr>
        <w:spacing w:line="460" w:lineRule="exact"/>
        <w:ind w:firstLine="279" w:firstLineChars="133"/>
        <w:rPr>
          <w:rFonts w:ascii="宋体" w:hAnsi="宋体" w:eastAsia="宋体" w:cs="宋体"/>
          <w:szCs w:val="21"/>
          <w:highlight w:val="none"/>
        </w:rPr>
      </w:pPr>
      <w:r>
        <w:rPr>
          <w:rFonts w:hint="eastAsia" w:ascii="宋体" w:hAnsi="宋体" w:eastAsia="宋体" w:cs="宋体"/>
          <w:szCs w:val="21"/>
          <w:highlight w:val="none"/>
        </w:rPr>
        <w:t>磋商申请人：</w:t>
      </w:r>
      <w:r>
        <w:rPr>
          <w:rFonts w:hint="eastAsia" w:ascii="宋体" w:hAnsi="宋体" w:eastAsia="宋体" w:cs="宋体"/>
          <w:szCs w:val="21"/>
          <w:highlight w:val="none"/>
          <w:u w:val="single"/>
        </w:rPr>
        <w:t xml:space="preserve">        （全称）      </w:t>
      </w:r>
      <w:r>
        <w:rPr>
          <w:rFonts w:hint="eastAsia" w:ascii="宋体" w:hAnsi="宋体" w:eastAsia="宋体" w:cs="宋体"/>
          <w:szCs w:val="21"/>
          <w:highlight w:val="none"/>
        </w:rPr>
        <w:t>（加盖单位公章）</w:t>
      </w:r>
    </w:p>
    <w:p w14:paraId="2F156176">
      <w:pPr>
        <w:spacing w:line="460" w:lineRule="exact"/>
        <w:ind w:firstLine="279" w:firstLineChars="133"/>
        <w:rPr>
          <w:rFonts w:ascii="宋体" w:hAnsi="宋体" w:eastAsia="宋体" w:cs="宋体"/>
          <w:szCs w:val="21"/>
          <w:highlight w:val="none"/>
        </w:rPr>
      </w:pPr>
      <w:r>
        <w:rPr>
          <w:rFonts w:hint="eastAsia" w:ascii="宋体" w:hAnsi="宋体" w:eastAsia="宋体" w:cs="宋体"/>
          <w:szCs w:val="21"/>
          <w:highlight w:val="none"/>
        </w:rPr>
        <w:t>法定代表人（负责人）或委托代理人：</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（签字或加盖个人印章）</w:t>
      </w:r>
    </w:p>
    <w:p w14:paraId="6F0EB050">
      <w:pPr>
        <w:spacing w:line="460" w:lineRule="exact"/>
        <w:ind w:firstLine="279" w:firstLineChars="133"/>
        <w:rPr>
          <w:rFonts w:ascii="宋体" w:hAnsi="宋体" w:eastAsia="宋体" w:cs="宋体"/>
          <w:b/>
          <w:sz w:val="28"/>
          <w:szCs w:val="28"/>
          <w:highlight w:val="none"/>
        </w:rPr>
      </w:pPr>
      <w:r>
        <w:rPr>
          <w:rFonts w:hint="eastAsia" w:ascii="宋体" w:hAnsi="宋体" w:eastAsia="宋体" w:cs="宋体"/>
          <w:szCs w:val="21"/>
          <w:highlight w:val="none"/>
        </w:rPr>
        <w:t>日期：</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年</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月</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日</w:t>
      </w:r>
      <w:r>
        <w:rPr>
          <w:rFonts w:hint="eastAsia" w:ascii="宋体" w:hAnsi="宋体" w:eastAsia="宋体" w:cs="宋体"/>
          <w:b/>
          <w:sz w:val="28"/>
          <w:szCs w:val="28"/>
          <w:highlight w:val="none"/>
        </w:rPr>
        <w:br w:type="page"/>
      </w:r>
    </w:p>
    <w:p w14:paraId="1C7F0A5B">
      <w:pPr>
        <w:spacing w:line="360" w:lineRule="auto"/>
        <w:jc w:val="center"/>
        <w:rPr>
          <w:rFonts w:ascii="宋体" w:hAnsi="宋体" w:eastAsia="宋体" w:cs="宋体"/>
          <w:b/>
          <w:bCs/>
          <w:sz w:val="28"/>
          <w:szCs w:val="28"/>
          <w:highlight w:val="none"/>
        </w:rPr>
      </w:pPr>
      <w:r>
        <w:rPr>
          <w:rFonts w:hint="eastAsia" w:ascii="宋体" w:hAnsi="宋体" w:eastAsia="宋体" w:cs="宋体"/>
          <w:b/>
          <w:bCs/>
          <w:sz w:val="28"/>
          <w:szCs w:val="28"/>
          <w:highlight w:val="none"/>
        </w:rPr>
        <w:t>格式2：关于拟开发设计的软件产品和提供的服务不受第三方侵权的书面承诺</w:t>
      </w:r>
    </w:p>
    <w:p w14:paraId="01B73561">
      <w:pPr>
        <w:spacing w:line="360" w:lineRule="auto"/>
        <w:jc w:val="center"/>
        <w:rPr>
          <w:rFonts w:ascii="宋体" w:hAnsi="宋体" w:eastAsia="宋体" w:cs="宋体"/>
          <w:b/>
          <w:bCs/>
          <w:sz w:val="28"/>
          <w:szCs w:val="28"/>
          <w:highlight w:val="none"/>
        </w:rPr>
      </w:pPr>
    </w:p>
    <w:p w14:paraId="544C8C3A">
      <w:pPr>
        <w:spacing w:line="360" w:lineRule="auto"/>
        <w:jc w:val="center"/>
        <w:rPr>
          <w:rFonts w:ascii="宋体" w:hAnsi="宋体" w:eastAsia="宋体" w:cs="宋体"/>
          <w:b/>
          <w:bCs/>
          <w:sz w:val="28"/>
          <w:szCs w:val="28"/>
          <w:highlight w:val="none"/>
        </w:rPr>
      </w:pPr>
      <w:r>
        <w:rPr>
          <w:rFonts w:hint="eastAsia" w:ascii="宋体" w:hAnsi="宋体" w:eastAsia="宋体" w:cs="宋体"/>
          <w:sz w:val="22"/>
          <w:highlight w:val="none"/>
        </w:rPr>
        <w:t>（格式自拟，并加盖单位公章确认）</w:t>
      </w:r>
      <w:r>
        <w:rPr>
          <w:rFonts w:hint="eastAsia" w:ascii="宋体" w:hAnsi="宋体" w:eastAsia="宋体" w:cs="宋体"/>
          <w:b/>
          <w:bCs/>
          <w:sz w:val="28"/>
          <w:szCs w:val="28"/>
          <w:highlight w:val="none"/>
        </w:rPr>
        <w:br w:type="page"/>
      </w:r>
    </w:p>
    <w:p w14:paraId="298A40D6">
      <w:pPr>
        <w:spacing w:line="360" w:lineRule="auto"/>
        <w:jc w:val="center"/>
        <w:rPr>
          <w:rFonts w:ascii="宋体" w:hAnsi="宋体" w:eastAsia="宋体" w:cs="宋体"/>
          <w:b/>
          <w:bCs/>
          <w:sz w:val="28"/>
          <w:szCs w:val="28"/>
          <w:highlight w:val="none"/>
        </w:rPr>
      </w:pPr>
      <w:r>
        <w:rPr>
          <w:rFonts w:hint="eastAsia" w:ascii="宋体" w:hAnsi="宋体" w:eastAsia="宋体" w:cs="宋体"/>
          <w:b/>
          <w:bCs/>
          <w:sz w:val="28"/>
          <w:szCs w:val="28"/>
          <w:highlight w:val="none"/>
        </w:rPr>
        <w:t>格式3：无串通投标行为的承诺函</w:t>
      </w:r>
    </w:p>
    <w:p w14:paraId="07B3DCF4">
      <w:pPr>
        <w:spacing w:line="360" w:lineRule="auto"/>
        <w:rPr>
          <w:rFonts w:ascii="宋体" w:hAnsi="宋体" w:eastAsia="宋体" w:cs="宋体"/>
          <w:b/>
          <w:kern w:val="0"/>
          <w:szCs w:val="21"/>
          <w:highlight w:val="none"/>
        </w:rPr>
      </w:pPr>
    </w:p>
    <w:p w14:paraId="002B0DCD">
      <w:pPr>
        <w:spacing w:line="360" w:lineRule="auto"/>
        <w:rPr>
          <w:rFonts w:ascii="宋体" w:hAnsi="宋体" w:eastAsia="宋体" w:cs="宋体"/>
          <w:kern w:val="0"/>
          <w:szCs w:val="21"/>
          <w:highlight w:val="none"/>
        </w:rPr>
      </w:pPr>
      <w:r>
        <w:rPr>
          <w:rFonts w:hint="eastAsia" w:ascii="宋体" w:hAnsi="宋体" w:eastAsia="宋体" w:cs="宋体"/>
          <w:kern w:val="0"/>
          <w:szCs w:val="21"/>
          <w:highlight w:val="none"/>
        </w:rPr>
        <w:t>昌宁县人民医院：</w:t>
      </w:r>
    </w:p>
    <w:p w14:paraId="7E33C182">
      <w:pPr>
        <w:spacing w:line="360" w:lineRule="auto"/>
        <w:ind w:firstLine="420" w:firstLineChars="200"/>
        <w:rPr>
          <w:rFonts w:ascii="宋体" w:hAnsi="宋体" w:eastAsia="宋体" w:cs="宋体"/>
          <w:kern w:val="0"/>
          <w:szCs w:val="21"/>
          <w:highlight w:val="none"/>
        </w:rPr>
      </w:pPr>
      <w:r>
        <w:rPr>
          <w:rFonts w:hint="eastAsia" w:ascii="宋体" w:hAnsi="宋体" w:eastAsia="宋体" w:cs="宋体"/>
          <w:kern w:val="0"/>
          <w:szCs w:val="21"/>
          <w:highlight w:val="none"/>
        </w:rPr>
        <w:t>我公司</w:t>
      </w:r>
      <w:r>
        <w:rPr>
          <w:rFonts w:hint="eastAsia" w:ascii="宋体" w:hAnsi="宋体" w:eastAsia="宋体" w:cs="宋体"/>
          <w:szCs w:val="21"/>
          <w:highlight w:val="none"/>
          <w:u w:val="single"/>
        </w:rPr>
        <w:t>（磋商申请人名称）</w:t>
      </w:r>
      <w:r>
        <w:rPr>
          <w:rFonts w:hint="eastAsia" w:ascii="宋体" w:hAnsi="宋体" w:eastAsia="宋体" w:cs="宋体"/>
          <w:kern w:val="0"/>
          <w:szCs w:val="21"/>
          <w:highlight w:val="none"/>
        </w:rPr>
        <w:t>参加</w:t>
      </w:r>
      <w:r>
        <w:rPr>
          <w:rFonts w:hint="eastAsia" w:ascii="宋体" w:hAnsi="宋体" w:eastAsia="宋体" w:cs="宋体"/>
          <w:szCs w:val="21"/>
          <w:highlight w:val="none"/>
          <w:u w:val="single"/>
        </w:rPr>
        <w:t xml:space="preserve">   （项目名称、项目编号）  </w:t>
      </w:r>
      <w:r>
        <w:rPr>
          <w:rFonts w:hint="eastAsia" w:ascii="宋体" w:hAnsi="宋体" w:eastAsia="宋体" w:cs="宋体"/>
          <w:szCs w:val="21"/>
          <w:highlight w:val="none"/>
        </w:rPr>
        <w:t>的采购活动，我单位承诺不存在以下情形：</w:t>
      </w:r>
    </w:p>
    <w:p w14:paraId="1A99FFAE">
      <w:pPr>
        <w:spacing w:line="360" w:lineRule="auto"/>
        <w:ind w:firstLine="420" w:firstLineChars="200"/>
        <w:rPr>
          <w:rFonts w:ascii="宋体" w:hAnsi="宋体" w:eastAsia="宋体" w:cs="宋体"/>
          <w:kern w:val="0"/>
          <w:szCs w:val="21"/>
          <w:highlight w:val="none"/>
        </w:rPr>
      </w:pPr>
      <w:r>
        <w:rPr>
          <w:rFonts w:hint="eastAsia" w:ascii="宋体" w:hAnsi="宋体" w:eastAsia="宋体" w:cs="宋体"/>
          <w:kern w:val="0"/>
          <w:szCs w:val="21"/>
          <w:highlight w:val="none"/>
        </w:rPr>
        <w:t>（一）供应商直接或者间接从采购人或者采购代理机构处获得其他供应商的相关情况并修改其磋商响应文件或者其他响应文件；</w:t>
      </w:r>
    </w:p>
    <w:p w14:paraId="4E4534F4">
      <w:pPr>
        <w:spacing w:line="360" w:lineRule="auto"/>
        <w:ind w:firstLine="420" w:firstLineChars="200"/>
        <w:rPr>
          <w:rFonts w:ascii="宋体" w:hAnsi="宋体" w:eastAsia="宋体" w:cs="宋体"/>
          <w:kern w:val="0"/>
          <w:szCs w:val="21"/>
          <w:highlight w:val="none"/>
        </w:rPr>
      </w:pPr>
      <w:r>
        <w:rPr>
          <w:rFonts w:hint="eastAsia" w:ascii="宋体" w:hAnsi="宋体" w:eastAsia="宋体" w:cs="宋体"/>
          <w:kern w:val="0"/>
          <w:szCs w:val="21"/>
          <w:highlight w:val="none"/>
        </w:rPr>
        <w:t>（二）供应商按照采购人或者采购代理机构的授意撤换、修改磋商响应文件或者其他响应文件；</w:t>
      </w:r>
    </w:p>
    <w:p w14:paraId="6C243A43">
      <w:pPr>
        <w:spacing w:line="360" w:lineRule="auto"/>
        <w:ind w:firstLine="420" w:firstLineChars="200"/>
        <w:rPr>
          <w:rFonts w:ascii="宋体" w:hAnsi="宋体" w:eastAsia="宋体" w:cs="宋体"/>
          <w:kern w:val="0"/>
          <w:szCs w:val="21"/>
          <w:highlight w:val="none"/>
        </w:rPr>
      </w:pPr>
      <w:r>
        <w:rPr>
          <w:rFonts w:hint="eastAsia" w:ascii="宋体" w:hAnsi="宋体" w:eastAsia="宋体" w:cs="宋体"/>
          <w:kern w:val="0"/>
          <w:szCs w:val="21"/>
          <w:highlight w:val="none"/>
        </w:rPr>
        <w:t>（三）供应商之间协商报价、技术方案等磋商响应文件或者响应文件的实质性内容；</w:t>
      </w:r>
    </w:p>
    <w:p w14:paraId="6D2B8161">
      <w:pPr>
        <w:spacing w:line="360" w:lineRule="auto"/>
        <w:ind w:firstLine="420" w:firstLineChars="200"/>
        <w:rPr>
          <w:rFonts w:ascii="宋体" w:hAnsi="宋体" w:eastAsia="宋体" w:cs="宋体"/>
          <w:kern w:val="0"/>
          <w:szCs w:val="21"/>
          <w:highlight w:val="none"/>
        </w:rPr>
      </w:pPr>
      <w:r>
        <w:rPr>
          <w:rFonts w:hint="eastAsia" w:ascii="宋体" w:hAnsi="宋体" w:eastAsia="宋体" w:cs="宋体"/>
          <w:kern w:val="0"/>
          <w:szCs w:val="21"/>
          <w:highlight w:val="none"/>
        </w:rPr>
        <w:t>（四）属于同一集团、协会、商会等组织成员的供应商按照该组织要求协同参加采购活动；</w:t>
      </w:r>
    </w:p>
    <w:p w14:paraId="71E2C162">
      <w:pPr>
        <w:spacing w:line="360" w:lineRule="auto"/>
        <w:ind w:firstLine="420" w:firstLineChars="200"/>
        <w:rPr>
          <w:rFonts w:ascii="宋体" w:hAnsi="宋体" w:eastAsia="宋体" w:cs="宋体"/>
          <w:kern w:val="0"/>
          <w:szCs w:val="21"/>
          <w:highlight w:val="none"/>
        </w:rPr>
      </w:pPr>
      <w:r>
        <w:rPr>
          <w:rFonts w:hint="eastAsia" w:ascii="宋体" w:hAnsi="宋体" w:eastAsia="宋体" w:cs="宋体"/>
          <w:kern w:val="0"/>
          <w:szCs w:val="21"/>
          <w:highlight w:val="none"/>
        </w:rPr>
        <w:t>（五）供应商之间事先约定由某一特定供应商中标（成交）；</w:t>
      </w:r>
    </w:p>
    <w:p w14:paraId="49280C92">
      <w:pPr>
        <w:spacing w:line="360" w:lineRule="auto"/>
        <w:ind w:firstLine="420" w:firstLineChars="200"/>
        <w:rPr>
          <w:rFonts w:ascii="宋体" w:hAnsi="宋体" w:eastAsia="宋体" w:cs="宋体"/>
          <w:kern w:val="0"/>
          <w:szCs w:val="21"/>
          <w:highlight w:val="none"/>
        </w:rPr>
      </w:pPr>
      <w:r>
        <w:rPr>
          <w:rFonts w:hint="eastAsia" w:ascii="宋体" w:hAnsi="宋体" w:eastAsia="宋体" w:cs="宋体"/>
          <w:kern w:val="0"/>
          <w:szCs w:val="21"/>
          <w:highlight w:val="none"/>
        </w:rPr>
        <w:t>（六）供应商之间商定部分供应商放弃参加采购活动或者放弃中标（成交）；</w:t>
      </w:r>
    </w:p>
    <w:p w14:paraId="17CC3245">
      <w:pPr>
        <w:spacing w:line="360" w:lineRule="auto"/>
        <w:ind w:firstLine="420" w:firstLineChars="200"/>
        <w:rPr>
          <w:rFonts w:ascii="宋体" w:hAnsi="宋体" w:eastAsia="宋体" w:cs="宋体"/>
          <w:kern w:val="0"/>
          <w:szCs w:val="21"/>
          <w:highlight w:val="none"/>
        </w:rPr>
      </w:pPr>
      <w:r>
        <w:rPr>
          <w:rFonts w:hint="eastAsia" w:ascii="宋体" w:hAnsi="宋体" w:eastAsia="宋体" w:cs="宋体"/>
          <w:kern w:val="0"/>
          <w:szCs w:val="21"/>
          <w:highlight w:val="none"/>
        </w:rPr>
        <w:t>（七）供应商与采购人或者采购代理机构之间、供应商相互之间，为谋求特定供应商中标（成交）或者排斥其他供应商的其他串通行为。</w:t>
      </w:r>
    </w:p>
    <w:p w14:paraId="507196D9">
      <w:pPr>
        <w:spacing w:line="360" w:lineRule="auto"/>
        <w:ind w:firstLine="420" w:firstLineChars="200"/>
        <w:rPr>
          <w:rFonts w:ascii="宋体" w:hAnsi="宋体" w:eastAsia="宋体" w:cs="宋体"/>
          <w:kern w:val="0"/>
          <w:szCs w:val="21"/>
          <w:highlight w:val="none"/>
        </w:rPr>
      </w:pPr>
      <w:r>
        <w:rPr>
          <w:rFonts w:hint="eastAsia" w:ascii="宋体" w:hAnsi="宋体" w:eastAsia="宋体" w:cs="宋体"/>
          <w:kern w:val="0"/>
          <w:szCs w:val="21"/>
          <w:highlight w:val="none"/>
        </w:rPr>
        <w:t>（八）不同供应商的磋商响应文件由同一单位或者个人编制；</w:t>
      </w:r>
    </w:p>
    <w:p w14:paraId="3F5C3ADA">
      <w:pPr>
        <w:spacing w:line="360" w:lineRule="auto"/>
        <w:ind w:firstLine="420" w:firstLineChars="200"/>
        <w:rPr>
          <w:rFonts w:ascii="宋体" w:hAnsi="宋体" w:eastAsia="宋体" w:cs="宋体"/>
          <w:kern w:val="0"/>
          <w:szCs w:val="21"/>
          <w:highlight w:val="none"/>
        </w:rPr>
      </w:pPr>
      <w:r>
        <w:rPr>
          <w:rFonts w:hint="eastAsia" w:ascii="宋体" w:hAnsi="宋体" w:eastAsia="宋体" w:cs="宋体"/>
          <w:kern w:val="0"/>
          <w:szCs w:val="21"/>
          <w:highlight w:val="none"/>
        </w:rPr>
        <w:t>（九）不同供应商委托同一单位或者个人办理投标事宜；</w:t>
      </w:r>
    </w:p>
    <w:p w14:paraId="0075359B">
      <w:pPr>
        <w:spacing w:line="360" w:lineRule="auto"/>
        <w:ind w:firstLine="420" w:firstLineChars="200"/>
        <w:rPr>
          <w:rFonts w:ascii="宋体" w:hAnsi="宋体" w:eastAsia="宋体" w:cs="宋体"/>
          <w:kern w:val="0"/>
          <w:szCs w:val="21"/>
          <w:highlight w:val="none"/>
        </w:rPr>
      </w:pPr>
      <w:r>
        <w:rPr>
          <w:rFonts w:hint="eastAsia" w:ascii="宋体" w:hAnsi="宋体" w:eastAsia="宋体" w:cs="宋体"/>
          <w:kern w:val="0"/>
          <w:szCs w:val="21"/>
          <w:highlight w:val="none"/>
        </w:rPr>
        <w:t>（十）不同供应商的磋商响应文件载明的项目管理成员或者联系人员为同一人；</w:t>
      </w:r>
    </w:p>
    <w:p w14:paraId="3B3BA9D0">
      <w:pPr>
        <w:spacing w:line="360" w:lineRule="auto"/>
        <w:ind w:firstLine="420" w:firstLineChars="200"/>
        <w:rPr>
          <w:rFonts w:ascii="宋体" w:hAnsi="宋体" w:eastAsia="宋体" w:cs="宋体"/>
          <w:kern w:val="0"/>
          <w:szCs w:val="21"/>
          <w:highlight w:val="none"/>
        </w:rPr>
      </w:pPr>
      <w:r>
        <w:rPr>
          <w:rFonts w:hint="eastAsia" w:ascii="宋体" w:hAnsi="宋体" w:eastAsia="宋体" w:cs="宋体"/>
          <w:kern w:val="0"/>
          <w:szCs w:val="21"/>
          <w:highlight w:val="none"/>
        </w:rPr>
        <w:t>（十一）不同供应商的磋商响应文件异常一致或者磋商报价呈规律性差异；</w:t>
      </w:r>
    </w:p>
    <w:p w14:paraId="1FD2AA9C">
      <w:pPr>
        <w:spacing w:line="360" w:lineRule="auto"/>
        <w:ind w:firstLine="420" w:firstLineChars="200"/>
        <w:rPr>
          <w:rFonts w:ascii="宋体" w:hAnsi="宋体" w:eastAsia="宋体" w:cs="宋体"/>
          <w:kern w:val="0"/>
          <w:szCs w:val="21"/>
          <w:highlight w:val="none"/>
        </w:rPr>
      </w:pPr>
      <w:r>
        <w:rPr>
          <w:rFonts w:hint="eastAsia" w:ascii="宋体" w:hAnsi="宋体" w:eastAsia="宋体" w:cs="宋体"/>
          <w:kern w:val="0"/>
          <w:szCs w:val="21"/>
          <w:highlight w:val="none"/>
        </w:rPr>
        <w:t>（十二）不同供应商的磋商响应文件相互混装；</w:t>
      </w:r>
    </w:p>
    <w:p w14:paraId="23BA4631">
      <w:pPr>
        <w:spacing w:line="360" w:lineRule="auto"/>
        <w:ind w:firstLine="420" w:firstLineChars="200"/>
        <w:rPr>
          <w:rFonts w:ascii="宋体" w:hAnsi="宋体" w:eastAsia="宋体" w:cs="宋体"/>
          <w:kern w:val="0"/>
          <w:szCs w:val="21"/>
          <w:highlight w:val="none"/>
        </w:rPr>
      </w:pPr>
      <w:r>
        <w:rPr>
          <w:rFonts w:hint="eastAsia" w:ascii="宋体" w:hAnsi="宋体" w:eastAsia="宋体" w:cs="宋体"/>
          <w:kern w:val="0"/>
          <w:szCs w:val="21"/>
          <w:highlight w:val="none"/>
        </w:rPr>
        <w:t>（十三）不同供应商的保证金从同一单位或者个人的账户转出。</w:t>
      </w:r>
    </w:p>
    <w:p w14:paraId="4F35315F">
      <w:pPr>
        <w:spacing w:line="360" w:lineRule="auto"/>
        <w:ind w:firstLine="420" w:firstLineChars="200"/>
        <w:rPr>
          <w:rFonts w:ascii="宋体" w:hAnsi="宋体" w:eastAsia="宋体" w:cs="宋体"/>
          <w:kern w:val="0"/>
          <w:szCs w:val="21"/>
          <w:highlight w:val="none"/>
        </w:rPr>
      </w:pPr>
    </w:p>
    <w:p w14:paraId="72721D90">
      <w:pPr>
        <w:spacing w:line="360" w:lineRule="auto"/>
        <w:ind w:firstLine="422" w:firstLineChars="200"/>
        <w:rPr>
          <w:rFonts w:ascii="宋体" w:hAnsi="宋体" w:eastAsia="宋体" w:cs="宋体"/>
          <w:b/>
          <w:kern w:val="0"/>
          <w:szCs w:val="21"/>
          <w:highlight w:val="none"/>
        </w:rPr>
      </w:pPr>
      <w:r>
        <w:rPr>
          <w:rFonts w:hint="eastAsia" w:ascii="宋体" w:hAnsi="宋体" w:eastAsia="宋体" w:cs="宋体"/>
          <w:b/>
          <w:kern w:val="0"/>
          <w:szCs w:val="21"/>
          <w:highlight w:val="none"/>
        </w:rPr>
        <w:t>请磋商申请人出具是否存在上述情形的承诺函。如出现上述情形的，依照政府采购法第七十七条第一款的规定追究法律责任，并按附表1格式填写相关内容。</w:t>
      </w:r>
    </w:p>
    <w:p w14:paraId="3DEF16B4">
      <w:pPr>
        <w:spacing w:line="500" w:lineRule="exact"/>
        <w:ind w:firstLine="420" w:firstLineChars="200"/>
        <w:jc w:val="left"/>
        <w:rPr>
          <w:rFonts w:ascii="宋体" w:hAnsi="宋体" w:eastAsia="宋体" w:cs="宋体"/>
          <w:szCs w:val="21"/>
          <w:highlight w:val="none"/>
        </w:rPr>
      </w:pPr>
    </w:p>
    <w:p w14:paraId="19A59D51">
      <w:pPr>
        <w:spacing w:line="460" w:lineRule="exact"/>
        <w:ind w:firstLine="279" w:firstLineChars="133"/>
        <w:rPr>
          <w:rFonts w:ascii="宋体" w:hAnsi="宋体" w:eastAsia="宋体" w:cs="宋体"/>
          <w:szCs w:val="21"/>
          <w:highlight w:val="none"/>
        </w:rPr>
      </w:pPr>
      <w:r>
        <w:rPr>
          <w:rFonts w:hint="eastAsia" w:ascii="宋体" w:hAnsi="宋体" w:eastAsia="宋体" w:cs="宋体"/>
          <w:szCs w:val="21"/>
          <w:highlight w:val="none"/>
        </w:rPr>
        <w:t>磋商申请人：</w:t>
      </w:r>
      <w:r>
        <w:rPr>
          <w:rFonts w:hint="eastAsia" w:ascii="宋体" w:hAnsi="宋体" w:eastAsia="宋体" w:cs="宋体"/>
          <w:szCs w:val="21"/>
          <w:highlight w:val="none"/>
          <w:u w:val="single"/>
        </w:rPr>
        <w:t xml:space="preserve">        （全称）      </w:t>
      </w:r>
      <w:r>
        <w:rPr>
          <w:rFonts w:hint="eastAsia" w:ascii="宋体" w:hAnsi="宋体" w:eastAsia="宋体" w:cs="宋体"/>
          <w:szCs w:val="21"/>
          <w:highlight w:val="none"/>
        </w:rPr>
        <w:t>（加盖单位公章）</w:t>
      </w:r>
    </w:p>
    <w:p w14:paraId="53888952">
      <w:pPr>
        <w:spacing w:line="460" w:lineRule="exact"/>
        <w:ind w:firstLine="279" w:firstLineChars="133"/>
        <w:rPr>
          <w:rFonts w:ascii="宋体" w:hAnsi="宋体" w:eastAsia="宋体" w:cs="宋体"/>
          <w:szCs w:val="21"/>
          <w:highlight w:val="none"/>
        </w:rPr>
      </w:pPr>
      <w:r>
        <w:rPr>
          <w:rFonts w:hint="eastAsia" w:ascii="宋体" w:hAnsi="宋体" w:eastAsia="宋体" w:cs="宋体"/>
          <w:szCs w:val="21"/>
          <w:highlight w:val="none"/>
        </w:rPr>
        <w:t>法定代表人（负责人）或委托代理人：</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（签字或加盖个人印章）</w:t>
      </w:r>
    </w:p>
    <w:p w14:paraId="0AA8366C">
      <w:pPr>
        <w:spacing w:line="460" w:lineRule="exact"/>
        <w:ind w:firstLine="279" w:firstLineChars="133"/>
        <w:rPr>
          <w:rFonts w:ascii="宋体" w:hAnsi="宋体" w:eastAsia="宋体" w:cs="宋体"/>
          <w:b/>
          <w:kern w:val="0"/>
          <w:szCs w:val="21"/>
          <w:highlight w:val="none"/>
        </w:rPr>
      </w:pPr>
      <w:r>
        <w:rPr>
          <w:rFonts w:hint="eastAsia" w:ascii="宋体" w:hAnsi="宋体" w:eastAsia="宋体" w:cs="宋体"/>
          <w:szCs w:val="21"/>
          <w:highlight w:val="none"/>
        </w:rPr>
        <w:t>日期：</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年</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月</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日</w:t>
      </w:r>
    </w:p>
    <w:p w14:paraId="4C78152F">
      <w:pPr>
        <w:spacing w:line="360" w:lineRule="auto"/>
        <w:rPr>
          <w:rFonts w:ascii="宋体" w:hAnsi="宋体" w:eastAsia="宋体" w:cs="宋体"/>
          <w:b/>
          <w:szCs w:val="21"/>
          <w:highlight w:val="none"/>
        </w:rPr>
      </w:pPr>
    </w:p>
    <w:p w14:paraId="5256E841">
      <w:pPr>
        <w:spacing w:line="360" w:lineRule="auto"/>
        <w:rPr>
          <w:rFonts w:ascii="宋体" w:hAnsi="宋体" w:eastAsia="宋体" w:cs="宋体"/>
          <w:b/>
          <w:bCs/>
          <w:sz w:val="28"/>
          <w:szCs w:val="28"/>
          <w:highlight w:val="none"/>
        </w:rPr>
      </w:pPr>
      <w:r>
        <w:rPr>
          <w:rFonts w:hint="eastAsia" w:ascii="宋体" w:hAnsi="宋体" w:eastAsia="宋体" w:cs="宋体"/>
          <w:b/>
          <w:bCs/>
          <w:sz w:val="28"/>
          <w:szCs w:val="28"/>
          <w:highlight w:val="none"/>
        </w:rPr>
        <w:br w:type="page"/>
      </w:r>
    </w:p>
    <w:p w14:paraId="78714B64">
      <w:pPr>
        <w:spacing w:before="60" w:after="60" w:line="560" w:lineRule="exact"/>
        <w:ind w:firstLine="510"/>
        <w:jc w:val="center"/>
        <w:rPr>
          <w:rFonts w:ascii="宋体" w:hAnsi="宋体" w:eastAsia="宋体" w:cs="宋体"/>
          <w:b/>
          <w:bCs/>
          <w:sz w:val="28"/>
          <w:szCs w:val="28"/>
          <w:highlight w:val="none"/>
        </w:rPr>
      </w:pPr>
      <w:r>
        <w:rPr>
          <w:rFonts w:hint="eastAsia" w:ascii="宋体" w:hAnsi="宋体" w:eastAsia="宋体" w:cs="宋体"/>
          <w:b/>
          <w:bCs/>
          <w:sz w:val="28"/>
          <w:szCs w:val="28"/>
          <w:highlight w:val="none"/>
        </w:rPr>
        <w:t>附表1：磋商申请人在职人员情况表</w:t>
      </w:r>
    </w:p>
    <w:p w14:paraId="1AE1271B">
      <w:pPr>
        <w:rPr>
          <w:rFonts w:ascii="宋体" w:hAnsi="宋体" w:eastAsia="宋体" w:cs="宋体"/>
          <w:highlight w:val="none"/>
        </w:rPr>
      </w:pPr>
    </w:p>
    <w:tbl>
      <w:tblPr>
        <w:tblStyle w:val="27"/>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9"/>
        <w:gridCol w:w="1660"/>
        <w:gridCol w:w="1385"/>
        <w:gridCol w:w="1647"/>
        <w:gridCol w:w="3970"/>
      </w:tblGrid>
      <w:tr w14:paraId="5D6E62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9" w:type="dxa"/>
            <w:noWrap/>
          </w:tcPr>
          <w:p w14:paraId="7A68CD6B">
            <w:pPr>
              <w:spacing w:line="360" w:lineRule="auto"/>
              <w:jc w:val="center"/>
              <w:rPr>
                <w:rFonts w:ascii="宋体" w:hAnsi="宋体" w:eastAsia="宋体" w:cs="宋体"/>
                <w:b/>
                <w:szCs w:val="21"/>
                <w:highlight w:val="none"/>
              </w:rPr>
            </w:pPr>
            <w:r>
              <w:rPr>
                <w:rFonts w:hint="eastAsia" w:ascii="宋体" w:hAnsi="宋体" w:eastAsia="宋体" w:cs="宋体"/>
                <w:b/>
                <w:szCs w:val="21"/>
                <w:highlight w:val="none"/>
              </w:rPr>
              <w:t>序号</w:t>
            </w:r>
          </w:p>
        </w:tc>
        <w:tc>
          <w:tcPr>
            <w:tcW w:w="1660" w:type="dxa"/>
            <w:noWrap/>
          </w:tcPr>
          <w:p w14:paraId="0AF32569">
            <w:pPr>
              <w:spacing w:line="360" w:lineRule="auto"/>
              <w:jc w:val="center"/>
              <w:rPr>
                <w:rFonts w:ascii="宋体" w:hAnsi="宋体" w:eastAsia="宋体" w:cs="宋体"/>
                <w:b/>
                <w:szCs w:val="21"/>
                <w:highlight w:val="none"/>
              </w:rPr>
            </w:pPr>
            <w:r>
              <w:rPr>
                <w:rFonts w:hint="eastAsia" w:ascii="宋体" w:hAnsi="宋体" w:eastAsia="宋体" w:cs="宋体"/>
                <w:b/>
                <w:szCs w:val="21"/>
                <w:highlight w:val="none"/>
              </w:rPr>
              <w:t>姓名</w:t>
            </w:r>
          </w:p>
        </w:tc>
        <w:tc>
          <w:tcPr>
            <w:tcW w:w="1385" w:type="dxa"/>
            <w:noWrap/>
          </w:tcPr>
          <w:p w14:paraId="00BAADAA">
            <w:pPr>
              <w:spacing w:line="360" w:lineRule="auto"/>
              <w:jc w:val="center"/>
              <w:rPr>
                <w:rFonts w:ascii="宋体" w:hAnsi="宋体" w:eastAsia="宋体" w:cs="宋体"/>
                <w:b/>
                <w:szCs w:val="21"/>
                <w:highlight w:val="none"/>
              </w:rPr>
            </w:pPr>
            <w:r>
              <w:rPr>
                <w:rFonts w:hint="eastAsia" w:ascii="宋体" w:hAnsi="宋体" w:eastAsia="宋体" w:cs="宋体"/>
                <w:b/>
                <w:szCs w:val="21"/>
                <w:highlight w:val="none"/>
              </w:rPr>
              <w:t>性别</w:t>
            </w:r>
          </w:p>
        </w:tc>
        <w:tc>
          <w:tcPr>
            <w:tcW w:w="1647" w:type="dxa"/>
            <w:noWrap/>
          </w:tcPr>
          <w:p w14:paraId="0B71ED0C">
            <w:pPr>
              <w:spacing w:line="360" w:lineRule="auto"/>
              <w:jc w:val="center"/>
              <w:rPr>
                <w:rFonts w:ascii="宋体" w:hAnsi="宋体" w:eastAsia="宋体" w:cs="宋体"/>
                <w:b/>
                <w:szCs w:val="21"/>
                <w:highlight w:val="none"/>
              </w:rPr>
            </w:pPr>
            <w:r>
              <w:rPr>
                <w:rFonts w:hint="eastAsia" w:ascii="宋体" w:hAnsi="宋体" w:eastAsia="宋体" w:cs="宋体"/>
                <w:b/>
                <w:szCs w:val="21"/>
                <w:highlight w:val="none"/>
              </w:rPr>
              <w:t>在职单位</w:t>
            </w:r>
          </w:p>
        </w:tc>
        <w:tc>
          <w:tcPr>
            <w:tcW w:w="3970" w:type="dxa"/>
            <w:noWrap/>
          </w:tcPr>
          <w:p w14:paraId="6655E5BF">
            <w:pPr>
              <w:spacing w:line="360" w:lineRule="auto"/>
              <w:jc w:val="center"/>
              <w:rPr>
                <w:rFonts w:ascii="宋体" w:hAnsi="宋体" w:eastAsia="宋体" w:cs="宋体"/>
                <w:b/>
                <w:szCs w:val="21"/>
                <w:highlight w:val="none"/>
              </w:rPr>
            </w:pPr>
            <w:r>
              <w:rPr>
                <w:rFonts w:hint="eastAsia" w:ascii="宋体" w:hAnsi="宋体" w:eastAsia="宋体" w:cs="宋体"/>
                <w:b/>
                <w:szCs w:val="21"/>
                <w:highlight w:val="none"/>
              </w:rPr>
              <w:t>身份证号</w:t>
            </w:r>
          </w:p>
        </w:tc>
      </w:tr>
      <w:tr w14:paraId="117EDF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9" w:type="dxa"/>
            <w:noWrap/>
          </w:tcPr>
          <w:p w14:paraId="3251AC25">
            <w:pPr>
              <w:spacing w:line="360" w:lineRule="auto"/>
              <w:jc w:val="center"/>
              <w:rPr>
                <w:rFonts w:ascii="宋体" w:hAnsi="宋体" w:eastAsia="宋体" w:cs="宋体"/>
                <w:b/>
                <w:szCs w:val="21"/>
                <w:highlight w:val="none"/>
              </w:rPr>
            </w:pPr>
            <w:r>
              <w:rPr>
                <w:rFonts w:hint="eastAsia" w:ascii="宋体" w:hAnsi="宋体" w:eastAsia="宋体" w:cs="宋体"/>
                <w:b/>
                <w:szCs w:val="21"/>
                <w:highlight w:val="none"/>
              </w:rPr>
              <w:t>1</w:t>
            </w:r>
          </w:p>
        </w:tc>
        <w:tc>
          <w:tcPr>
            <w:tcW w:w="1660" w:type="dxa"/>
            <w:noWrap/>
          </w:tcPr>
          <w:p w14:paraId="54D634D7">
            <w:pPr>
              <w:spacing w:line="360" w:lineRule="auto"/>
              <w:jc w:val="right"/>
              <w:rPr>
                <w:rFonts w:ascii="宋体" w:hAnsi="宋体" w:eastAsia="宋体" w:cs="宋体"/>
                <w:b/>
                <w:szCs w:val="21"/>
                <w:highlight w:val="none"/>
              </w:rPr>
            </w:pPr>
          </w:p>
        </w:tc>
        <w:tc>
          <w:tcPr>
            <w:tcW w:w="1385" w:type="dxa"/>
            <w:noWrap/>
          </w:tcPr>
          <w:p w14:paraId="61C20D7A">
            <w:pPr>
              <w:spacing w:line="360" w:lineRule="auto"/>
              <w:jc w:val="center"/>
              <w:rPr>
                <w:rFonts w:ascii="宋体" w:hAnsi="宋体" w:eastAsia="宋体" w:cs="宋体"/>
                <w:b/>
                <w:szCs w:val="21"/>
                <w:highlight w:val="none"/>
              </w:rPr>
            </w:pPr>
          </w:p>
        </w:tc>
        <w:tc>
          <w:tcPr>
            <w:tcW w:w="1647" w:type="dxa"/>
            <w:noWrap/>
          </w:tcPr>
          <w:p w14:paraId="0770BB15">
            <w:pPr>
              <w:spacing w:line="360" w:lineRule="auto"/>
              <w:jc w:val="center"/>
              <w:rPr>
                <w:rFonts w:ascii="宋体" w:hAnsi="宋体" w:eastAsia="宋体" w:cs="宋体"/>
                <w:b/>
                <w:szCs w:val="21"/>
                <w:highlight w:val="none"/>
              </w:rPr>
            </w:pPr>
          </w:p>
        </w:tc>
        <w:tc>
          <w:tcPr>
            <w:tcW w:w="3970" w:type="dxa"/>
            <w:noWrap/>
          </w:tcPr>
          <w:p w14:paraId="414FD39B">
            <w:pPr>
              <w:spacing w:line="360" w:lineRule="auto"/>
              <w:jc w:val="center"/>
              <w:rPr>
                <w:rFonts w:ascii="宋体" w:hAnsi="宋体" w:eastAsia="宋体" w:cs="宋体"/>
                <w:b/>
                <w:szCs w:val="21"/>
                <w:highlight w:val="none"/>
              </w:rPr>
            </w:pPr>
          </w:p>
        </w:tc>
      </w:tr>
      <w:tr w14:paraId="75D47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9" w:type="dxa"/>
            <w:noWrap/>
          </w:tcPr>
          <w:p w14:paraId="59200A4F">
            <w:pPr>
              <w:spacing w:line="360" w:lineRule="auto"/>
              <w:jc w:val="center"/>
              <w:rPr>
                <w:rFonts w:ascii="宋体" w:hAnsi="宋体" w:eastAsia="宋体" w:cs="宋体"/>
                <w:b/>
                <w:szCs w:val="21"/>
                <w:highlight w:val="none"/>
              </w:rPr>
            </w:pPr>
            <w:r>
              <w:rPr>
                <w:rFonts w:hint="eastAsia" w:ascii="宋体" w:hAnsi="宋体" w:eastAsia="宋体" w:cs="宋体"/>
                <w:b/>
                <w:szCs w:val="21"/>
                <w:highlight w:val="none"/>
              </w:rPr>
              <w:t>2</w:t>
            </w:r>
          </w:p>
        </w:tc>
        <w:tc>
          <w:tcPr>
            <w:tcW w:w="1660" w:type="dxa"/>
            <w:noWrap/>
          </w:tcPr>
          <w:p w14:paraId="17894F87">
            <w:pPr>
              <w:spacing w:line="360" w:lineRule="auto"/>
              <w:jc w:val="center"/>
              <w:rPr>
                <w:rFonts w:ascii="宋体" w:hAnsi="宋体" w:eastAsia="宋体" w:cs="宋体"/>
                <w:b/>
                <w:szCs w:val="21"/>
                <w:highlight w:val="none"/>
              </w:rPr>
            </w:pPr>
          </w:p>
        </w:tc>
        <w:tc>
          <w:tcPr>
            <w:tcW w:w="1385" w:type="dxa"/>
            <w:noWrap/>
          </w:tcPr>
          <w:p w14:paraId="2EC055B9">
            <w:pPr>
              <w:spacing w:line="360" w:lineRule="auto"/>
              <w:jc w:val="center"/>
              <w:rPr>
                <w:rFonts w:ascii="宋体" w:hAnsi="宋体" w:eastAsia="宋体" w:cs="宋体"/>
                <w:b/>
                <w:szCs w:val="21"/>
                <w:highlight w:val="none"/>
              </w:rPr>
            </w:pPr>
          </w:p>
        </w:tc>
        <w:tc>
          <w:tcPr>
            <w:tcW w:w="1647" w:type="dxa"/>
            <w:noWrap/>
          </w:tcPr>
          <w:p w14:paraId="44BEBBEA">
            <w:pPr>
              <w:spacing w:line="360" w:lineRule="auto"/>
              <w:jc w:val="center"/>
              <w:rPr>
                <w:rFonts w:ascii="宋体" w:hAnsi="宋体" w:eastAsia="宋体" w:cs="宋体"/>
                <w:b/>
                <w:szCs w:val="21"/>
                <w:highlight w:val="none"/>
              </w:rPr>
            </w:pPr>
          </w:p>
        </w:tc>
        <w:tc>
          <w:tcPr>
            <w:tcW w:w="3970" w:type="dxa"/>
            <w:noWrap/>
          </w:tcPr>
          <w:p w14:paraId="256B8CB2">
            <w:pPr>
              <w:spacing w:line="360" w:lineRule="auto"/>
              <w:jc w:val="center"/>
              <w:rPr>
                <w:rFonts w:ascii="宋体" w:hAnsi="宋体" w:eastAsia="宋体" w:cs="宋体"/>
                <w:b/>
                <w:szCs w:val="21"/>
                <w:highlight w:val="none"/>
              </w:rPr>
            </w:pPr>
          </w:p>
        </w:tc>
      </w:tr>
      <w:tr w14:paraId="708863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9" w:type="dxa"/>
            <w:noWrap/>
          </w:tcPr>
          <w:p w14:paraId="400CC085">
            <w:pPr>
              <w:spacing w:line="360" w:lineRule="auto"/>
              <w:jc w:val="center"/>
              <w:rPr>
                <w:rFonts w:ascii="宋体" w:hAnsi="宋体" w:eastAsia="宋体" w:cs="宋体"/>
                <w:b/>
                <w:szCs w:val="21"/>
                <w:highlight w:val="none"/>
              </w:rPr>
            </w:pPr>
            <w:r>
              <w:rPr>
                <w:rFonts w:hint="eastAsia" w:ascii="宋体" w:hAnsi="宋体" w:eastAsia="宋体" w:cs="宋体"/>
                <w:b/>
                <w:szCs w:val="21"/>
                <w:highlight w:val="none"/>
              </w:rPr>
              <w:t>3</w:t>
            </w:r>
          </w:p>
        </w:tc>
        <w:tc>
          <w:tcPr>
            <w:tcW w:w="1660" w:type="dxa"/>
            <w:noWrap/>
          </w:tcPr>
          <w:p w14:paraId="6F11F80B">
            <w:pPr>
              <w:spacing w:line="360" w:lineRule="auto"/>
              <w:jc w:val="center"/>
              <w:rPr>
                <w:rFonts w:ascii="宋体" w:hAnsi="宋体" w:eastAsia="宋体" w:cs="宋体"/>
                <w:b/>
                <w:szCs w:val="21"/>
                <w:highlight w:val="none"/>
              </w:rPr>
            </w:pPr>
          </w:p>
        </w:tc>
        <w:tc>
          <w:tcPr>
            <w:tcW w:w="1385" w:type="dxa"/>
            <w:noWrap/>
          </w:tcPr>
          <w:p w14:paraId="3DEE9895">
            <w:pPr>
              <w:spacing w:line="360" w:lineRule="auto"/>
              <w:jc w:val="center"/>
              <w:rPr>
                <w:rFonts w:ascii="宋体" w:hAnsi="宋体" w:eastAsia="宋体" w:cs="宋体"/>
                <w:b/>
                <w:szCs w:val="21"/>
                <w:highlight w:val="none"/>
              </w:rPr>
            </w:pPr>
          </w:p>
        </w:tc>
        <w:tc>
          <w:tcPr>
            <w:tcW w:w="1647" w:type="dxa"/>
            <w:noWrap/>
          </w:tcPr>
          <w:p w14:paraId="1CEB86E2">
            <w:pPr>
              <w:spacing w:line="360" w:lineRule="auto"/>
              <w:jc w:val="center"/>
              <w:rPr>
                <w:rFonts w:ascii="宋体" w:hAnsi="宋体" w:eastAsia="宋体" w:cs="宋体"/>
                <w:b/>
                <w:szCs w:val="21"/>
                <w:highlight w:val="none"/>
              </w:rPr>
            </w:pPr>
          </w:p>
        </w:tc>
        <w:tc>
          <w:tcPr>
            <w:tcW w:w="3970" w:type="dxa"/>
            <w:noWrap/>
          </w:tcPr>
          <w:p w14:paraId="230E3278">
            <w:pPr>
              <w:spacing w:line="360" w:lineRule="auto"/>
              <w:jc w:val="center"/>
              <w:rPr>
                <w:rFonts w:ascii="宋体" w:hAnsi="宋体" w:eastAsia="宋体" w:cs="宋体"/>
                <w:b/>
                <w:szCs w:val="21"/>
                <w:highlight w:val="none"/>
              </w:rPr>
            </w:pPr>
          </w:p>
        </w:tc>
      </w:tr>
      <w:tr w14:paraId="36B008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9" w:type="dxa"/>
            <w:noWrap/>
          </w:tcPr>
          <w:p w14:paraId="3EA3812D">
            <w:pPr>
              <w:spacing w:line="360" w:lineRule="auto"/>
              <w:jc w:val="center"/>
              <w:rPr>
                <w:rFonts w:ascii="宋体" w:hAnsi="宋体" w:eastAsia="宋体" w:cs="宋体"/>
                <w:b/>
                <w:szCs w:val="21"/>
                <w:highlight w:val="none"/>
              </w:rPr>
            </w:pPr>
            <w:r>
              <w:rPr>
                <w:rFonts w:hint="eastAsia" w:ascii="宋体" w:hAnsi="宋体" w:eastAsia="宋体" w:cs="宋体"/>
                <w:b/>
                <w:szCs w:val="21"/>
                <w:highlight w:val="none"/>
              </w:rPr>
              <w:t>…</w:t>
            </w:r>
          </w:p>
        </w:tc>
        <w:tc>
          <w:tcPr>
            <w:tcW w:w="1660" w:type="dxa"/>
            <w:noWrap/>
          </w:tcPr>
          <w:p w14:paraId="7977C8B5">
            <w:pPr>
              <w:spacing w:line="360" w:lineRule="auto"/>
              <w:jc w:val="center"/>
              <w:rPr>
                <w:rFonts w:ascii="宋体" w:hAnsi="宋体" w:eastAsia="宋体" w:cs="宋体"/>
                <w:b/>
                <w:szCs w:val="21"/>
                <w:highlight w:val="none"/>
              </w:rPr>
            </w:pPr>
          </w:p>
        </w:tc>
        <w:tc>
          <w:tcPr>
            <w:tcW w:w="1385" w:type="dxa"/>
            <w:noWrap/>
          </w:tcPr>
          <w:p w14:paraId="7E82D165">
            <w:pPr>
              <w:spacing w:line="360" w:lineRule="auto"/>
              <w:jc w:val="center"/>
              <w:rPr>
                <w:rFonts w:ascii="宋体" w:hAnsi="宋体" w:eastAsia="宋体" w:cs="宋体"/>
                <w:b/>
                <w:szCs w:val="21"/>
                <w:highlight w:val="none"/>
              </w:rPr>
            </w:pPr>
          </w:p>
        </w:tc>
        <w:tc>
          <w:tcPr>
            <w:tcW w:w="1647" w:type="dxa"/>
            <w:noWrap/>
          </w:tcPr>
          <w:p w14:paraId="030AFE7A">
            <w:pPr>
              <w:spacing w:line="360" w:lineRule="auto"/>
              <w:jc w:val="center"/>
              <w:rPr>
                <w:rFonts w:ascii="宋体" w:hAnsi="宋体" w:eastAsia="宋体" w:cs="宋体"/>
                <w:b/>
                <w:szCs w:val="21"/>
                <w:highlight w:val="none"/>
              </w:rPr>
            </w:pPr>
          </w:p>
        </w:tc>
        <w:tc>
          <w:tcPr>
            <w:tcW w:w="3970" w:type="dxa"/>
            <w:noWrap/>
          </w:tcPr>
          <w:p w14:paraId="5082F3E2">
            <w:pPr>
              <w:spacing w:line="360" w:lineRule="auto"/>
              <w:jc w:val="center"/>
              <w:rPr>
                <w:rFonts w:ascii="宋体" w:hAnsi="宋体" w:eastAsia="宋体" w:cs="宋体"/>
                <w:b/>
                <w:szCs w:val="21"/>
                <w:highlight w:val="none"/>
              </w:rPr>
            </w:pPr>
          </w:p>
        </w:tc>
      </w:tr>
    </w:tbl>
    <w:p w14:paraId="4752F6A5">
      <w:pPr>
        <w:spacing w:line="360" w:lineRule="auto"/>
        <w:jc w:val="left"/>
        <w:rPr>
          <w:rFonts w:ascii="宋体" w:hAnsi="宋体" w:eastAsia="宋体" w:cs="宋体"/>
          <w:b/>
          <w:szCs w:val="21"/>
          <w:highlight w:val="none"/>
        </w:rPr>
      </w:pPr>
      <w:r>
        <w:rPr>
          <w:rFonts w:hint="eastAsia" w:ascii="宋体" w:hAnsi="宋体" w:eastAsia="宋体" w:cs="宋体"/>
          <w:b/>
          <w:szCs w:val="21"/>
          <w:highlight w:val="none"/>
        </w:rPr>
        <w:t>注：1、磋商申请人须如实填写单位所有在职人员。</w:t>
      </w:r>
    </w:p>
    <w:p w14:paraId="2A71BCE1">
      <w:pPr>
        <w:spacing w:line="360" w:lineRule="auto"/>
        <w:ind w:firstLine="422" w:firstLineChars="200"/>
        <w:jc w:val="left"/>
        <w:rPr>
          <w:rFonts w:ascii="宋体" w:hAnsi="宋体" w:eastAsia="宋体" w:cs="宋体"/>
          <w:b/>
          <w:szCs w:val="21"/>
          <w:highlight w:val="none"/>
        </w:rPr>
      </w:pPr>
      <w:r>
        <w:rPr>
          <w:rFonts w:hint="eastAsia" w:ascii="宋体" w:hAnsi="宋体" w:eastAsia="宋体" w:cs="宋体"/>
          <w:b/>
          <w:szCs w:val="21"/>
          <w:highlight w:val="none"/>
        </w:rPr>
        <w:t>2、磋商小组如发现磋商申请人提供的在职人员与其他磋商申请人所提供的在职人员存在重复的，相关磋商申请人评委可按不实质性响应采购文件要求处理。</w:t>
      </w:r>
    </w:p>
    <w:p w14:paraId="38241D0C">
      <w:pPr>
        <w:pStyle w:val="15"/>
        <w:spacing w:line="480" w:lineRule="exact"/>
        <w:ind w:firstLine="575"/>
        <w:rPr>
          <w:rFonts w:hAnsi="宋体"/>
          <w:highlight w:val="none"/>
        </w:rPr>
      </w:pPr>
    </w:p>
    <w:p w14:paraId="7669334A">
      <w:pPr>
        <w:pStyle w:val="15"/>
        <w:spacing w:line="480" w:lineRule="exact"/>
        <w:ind w:firstLine="575"/>
        <w:rPr>
          <w:rFonts w:hAnsi="宋体"/>
          <w:highlight w:val="none"/>
        </w:rPr>
      </w:pPr>
      <w:r>
        <w:rPr>
          <w:rFonts w:hint="eastAsia" w:hAnsi="宋体"/>
          <w:highlight w:val="none"/>
        </w:rPr>
        <w:t>磋商申请人：</w:t>
      </w:r>
      <w:r>
        <w:rPr>
          <w:rFonts w:hint="eastAsia" w:hAnsi="宋体"/>
          <w:highlight w:val="none"/>
          <w:u w:val="single"/>
        </w:rPr>
        <w:t xml:space="preserve">        （全称）      </w:t>
      </w:r>
      <w:r>
        <w:rPr>
          <w:rFonts w:hint="eastAsia" w:hAnsi="宋体"/>
          <w:highlight w:val="none"/>
        </w:rPr>
        <w:t>（加盖单位公章）</w:t>
      </w:r>
    </w:p>
    <w:p w14:paraId="01404B35">
      <w:pPr>
        <w:pStyle w:val="15"/>
        <w:spacing w:line="480" w:lineRule="exact"/>
        <w:ind w:firstLine="575"/>
        <w:rPr>
          <w:rFonts w:hAnsi="宋体"/>
          <w:highlight w:val="none"/>
        </w:rPr>
      </w:pPr>
      <w:r>
        <w:rPr>
          <w:rFonts w:hint="eastAsia" w:hAnsi="宋体"/>
          <w:highlight w:val="none"/>
        </w:rPr>
        <w:t>法定代表人（负责人）或委托代理人：</w:t>
      </w:r>
      <w:r>
        <w:rPr>
          <w:rFonts w:hint="eastAsia" w:hAnsi="宋体"/>
          <w:highlight w:val="none"/>
          <w:u w:val="single"/>
        </w:rPr>
        <w:t xml:space="preserve">          </w:t>
      </w:r>
      <w:r>
        <w:rPr>
          <w:rFonts w:hint="eastAsia" w:hAnsi="宋体"/>
          <w:highlight w:val="none"/>
        </w:rPr>
        <w:t>（签字或加盖个人印章）</w:t>
      </w:r>
    </w:p>
    <w:p w14:paraId="0E288500">
      <w:pPr>
        <w:pStyle w:val="15"/>
        <w:spacing w:line="480" w:lineRule="exact"/>
        <w:ind w:firstLine="575"/>
        <w:rPr>
          <w:rFonts w:hAnsi="宋体"/>
          <w:highlight w:val="none"/>
        </w:rPr>
      </w:pPr>
      <w:r>
        <w:rPr>
          <w:rFonts w:hint="eastAsia" w:hAnsi="宋体"/>
          <w:highlight w:val="none"/>
        </w:rPr>
        <w:t>日期：</w:t>
      </w:r>
      <w:r>
        <w:rPr>
          <w:rFonts w:hint="eastAsia" w:hAnsi="宋体"/>
          <w:highlight w:val="none"/>
          <w:u w:val="single"/>
        </w:rPr>
        <w:t xml:space="preserve">        </w:t>
      </w:r>
      <w:r>
        <w:rPr>
          <w:rFonts w:hint="eastAsia" w:hAnsi="宋体"/>
          <w:highlight w:val="none"/>
        </w:rPr>
        <w:t>年</w:t>
      </w:r>
      <w:r>
        <w:rPr>
          <w:rFonts w:hint="eastAsia" w:hAnsi="宋体"/>
          <w:highlight w:val="none"/>
          <w:u w:val="single"/>
        </w:rPr>
        <w:t xml:space="preserve">     </w:t>
      </w:r>
      <w:r>
        <w:rPr>
          <w:rFonts w:hint="eastAsia" w:hAnsi="宋体"/>
          <w:highlight w:val="none"/>
        </w:rPr>
        <w:t>月</w:t>
      </w:r>
      <w:r>
        <w:rPr>
          <w:rFonts w:hint="eastAsia" w:hAnsi="宋体"/>
          <w:highlight w:val="none"/>
          <w:u w:val="single"/>
        </w:rPr>
        <w:t xml:space="preserve">     </w:t>
      </w:r>
      <w:r>
        <w:rPr>
          <w:rFonts w:hint="eastAsia" w:hAnsi="宋体"/>
          <w:highlight w:val="none"/>
        </w:rPr>
        <w:t>日</w:t>
      </w:r>
    </w:p>
    <w:p w14:paraId="0999B657">
      <w:pPr>
        <w:widowControl/>
        <w:jc w:val="center"/>
        <w:rPr>
          <w:rFonts w:ascii="宋体" w:hAnsi="宋体" w:eastAsia="宋体" w:cs="宋体"/>
          <w:b/>
          <w:bCs/>
          <w:sz w:val="28"/>
          <w:szCs w:val="28"/>
          <w:highlight w:val="none"/>
        </w:rPr>
        <w:sectPr>
          <w:footerReference r:id="rId9" w:type="default"/>
          <w:pgSz w:w="11906" w:h="16838"/>
          <w:pgMar w:top="936" w:right="1134" w:bottom="1089" w:left="1134" w:header="851" w:footer="992" w:gutter="0"/>
          <w:cols w:space="425" w:num="1"/>
          <w:docGrid w:type="lines" w:linePitch="312" w:charSpace="0"/>
        </w:sectPr>
      </w:pPr>
      <w:r>
        <w:rPr>
          <w:rFonts w:hint="eastAsia" w:ascii="宋体" w:hAnsi="宋体" w:eastAsia="宋体" w:cs="宋体"/>
          <w:b/>
          <w:bCs/>
          <w:sz w:val="28"/>
          <w:szCs w:val="28"/>
          <w:highlight w:val="none"/>
        </w:rPr>
        <w:br w:type="page"/>
      </w:r>
    </w:p>
    <w:p w14:paraId="1344E215">
      <w:pPr>
        <w:jc w:val="center"/>
        <w:rPr>
          <w:rFonts w:ascii="宋体" w:hAnsi="宋体" w:eastAsia="宋体" w:cs="宋体"/>
          <w:b/>
          <w:bCs/>
          <w:sz w:val="28"/>
          <w:szCs w:val="28"/>
          <w:highlight w:val="none"/>
        </w:rPr>
      </w:pPr>
      <w:r>
        <w:rPr>
          <w:rFonts w:hint="eastAsia" w:ascii="宋体" w:hAnsi="宋体" w:eastAsia="宋体" w:cs="宋体"/>
          <w:b/>
          <w:bCs/>
          <w:sz w:val="28"/>
          <w:szCs w:val="28"/>
          <w:highlight w:val="none"/>
        </w:rPr>
        <w:t>格式4：磋商保证金</w:t>
      </w:r>
    </w:p>
    <w:p w14:paraId="4F69300B">
      <w:pPr>
        <w:spacing w:line="440" w:lineRule="exact"/>
        <w:rPr>
          <w:rFonts w:ascii="宋体" w:hAnsi="宋体" w:eastAsia="宋体" w:cs="宋体"/>
          <w:szCs w:val="21"/>
          <w:highlight w:val="none"/>
        </w:rPr>
      </w:pP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rPr>
        <w:tab/>
      </w:r>
      <w:r>
        <w:rPr>
          <w:rFonts w:hint="eastAsia" w:ascii="宋体" w:hAnsi="宋体" w:eastAsia="宋体" w:cs="宋体"/>
          <w:szCs w:val="21"/>
          <w:highlight w:val="none"/>
          <w:u w:val="single"/>
        </w:rPr>
        <w:tab/>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（采购人名称）：</w:t>
      </w:r>
    </w:p>
    <w:p w14:paraId="6E4B77FA">
      <w:pPr>
        <w:spacing w:line="440" w:lineRule="exact"/>
        <w:rPr>
          <w:rFonts w:ascii="宋体" w:hAnsi="宋体" w:eastAsia="宋体" w:cs="宋体"/>
          <w:szCs w:val="21"/>
          <w:highlight w:val="none"/>
        </w:rPr>
      </w:pPr>
    </w:p>
    <w:p w14:paraId="58D7DDA8">
      <w:pPr>
        <w:spacing w:line="440" w:lineRule="exact"/>
        <w:ind w:firstLine="420" w:firstLineChars="200"/>
        <w:rPr>
          <w:rFonts w:ascii="宋体" w:hAnsi="宋体" w:eastAsia="宋体" w:cs="宋体"/>
          <w:szCs w:val="21"/>
          <w:highlight w:val="none"/>
        </w:rPr>
      </w:pPr>
      <w:r>
        <w:rPr>
          <w:rFonts w:hint="eastAsia" w:ascii="宋体" w:hAnsi="宋体" w:eastAsia="宋体" w:cs="宋体"/>
          <w:szCs w:val="21"/>
          <w:highlight w:val="none"/>
        </w:rPr>
        <w:t>我方于</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年</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月</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日参加</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（项目名称）的报价，</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（磋商申请人名称，以下简称“我方”）保证：我方在规定的磋商有效期内撤销或修改其响应文件的，或者我方在收到成交通知书后无正当理由拒签合同的，我方承担相关责任。</w:t>
      </w:r>
    </w:p>
    <w:p w14:paraId="03B45F83">
      <w:pPr>
        <w:spacing w:line="440" w:lineRule="exact"/>
        <w:ind w:firstLine="420" w:firstLineChars="200"/>
        <w:rPr>
          <w:rFonts w:ascii="宋体" w:hAnsi="宋体" w:eastAsia="宋体" w:cs="宋体"/>
          <w:szCs w:val="21"/>
          <w:highlight w:val="none"/>
        </w:rPr>
      </w:pPr>
      <w:r>
        <w:rPr>
          <w:rFonts w:hint="eastAsia" w:ascii="宋体" w:hAnsi="宋体" w:eastAsia="宋体" w:cs="宋体"/>
          <w:szCs w:val="21"/>
          <w:highlight w:val="none"/>
        </w:rPr>
        <w:t>本承诺在磋商有效期内（</w:t>
      </w:r>
      <w:r>
        <w:rPr>
          <w:rFonts w:hint="eastAsia" w:ascii="宋体" w:hAnsi="宋体" w:eastAsia="宋体" w:cs="宋体"/>
          <w:kern w:val="0"/>
          <w:highlight w:val="none"/>
        </w:rPr>
        <w:t>递交响应文件的截止日期后90天</w:t>
      </w:r>
      <w:r>
        <w:rPr>
          <w:rFonts w:hint="eastAsia" w:ascii="宋体" w:hAnsi="宋体" w:eastAsia="宋体" w:cs="宋体"/>
          <w:szCs w:val="21"/>
          <w:highlight w:val="none"/>
        </w:rPr>
        <w:t>）保持有效。</w:t>
      </w:r>
    </w:p>
    <w:p w14:paraId="6B6BF653">
      <w:pPr>
        <w:spacing w:line="440" w:lineRule="exact"/>
        <w:rPr>
          <w:rFonts w:ascii="宋体" w:hAnsi="宋体" w:eastAsia="宋体" w:cs="宋体"/>
          <w:szCs w:val="21"/>
          <w:highlight w:val="none"/>
        </w:rPr>
      </w:pPr>
      <w:r>
        <w:rPr>
          <w:rFonts w:hint="eastAsia" w:ascii="宋体" w:hAnsi="宋体" w:eastAsia="宋体" w:cs="宋体"/>
          <w:szCs w:val="21"/>
          <w:highlight w:val="none"/>
        </w:rPr>
        <w:t xml:space="preserve"> </w:t>
      </w:r>
    </w:p>
    <w:p w14:paraId="6C9C01E4">
      <w:pPr>
        <w:spacing w:line="440" w:lineRule="exact"/>
        <w:rPr>
          <w:rFonts w:ascii="宋体" w:hAnsi="宋体" w:eastAsia="宋体" w:cs="宋体"/>
          <w:szCs w:val="21"/>
          <w:highlight w:val="none"/>
        </w:rPr>
      </w:pPr>
    </w:p>
    <w:p w14:paraId="25736860">
      <w:pPr>
        <w:spacing w:line="440" w:lineRule="exact"/>
        <w:rPr>
          <w:rFonts w:ascii="宋体" w:hAnsi="宋体" w:eastAsia="宋体" w:cs="宋体"/>
          <w:szCs w:val="21"/>
          <w:highlight w:val="none"/>
        </w:rPr>
      </w:pPr>
    </w:p>
    <w:p w14:paraId="74FC7909">
      <w:pPr>
        <w:spacing w:line="440" w:lineRule="exact"/>
        <w:rPr>
          <w:rFonts w:ascii="宋体" w:hAnsi="宋体" w:eastAsia="宋体" w:cs="宋体"/>
          <w:szCs w:val="21"/>
          <w:highlight w:val="none"/>
        </w:rPr>
      </w:pPr>
    </w:p>
    <w:p w14:paraId="09505FEC">
      <w:pPr>
        <w:spacing w:line="440" w:lineRule="exact"/>
        <w:rPr>
          <w:rFonts w:ascii="宋体" w:hAnsi="宋体" w:eastAsia="宋体" w:cs="宋体"/>
          <w:szCs w:val="21"/>
          <w:highlight w:val="none"/>
        </w:rPr>
      </w:pPr>
      <w:r>
        <w:rPr>
          <w:rFonts w:hint="eastAsia" w:ascii="宋体" w:hAnsi="宋体" w:eastAsia="宋体" w:cs="宋体"/>
          <w:szCs w:val="21"/>
          <w:highlight w:val="none"/>
        </w:rPr>
        <w:t>磋商申请人：</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（盖单位公章）</w:t>
      </w:r>
    </w:p>
    <w:p w14:paraId="74B8FC8F">
      <w:pPr>
        <w:wordWrap w:val="0"/>
        <w:spacing w:line="440" w:lineRule="exact"/>
        <w:rPr>
          <w:rFonts w:ascii="宋体" w:hAnsi="宋体" w:eastAsia="宋体" w:cs="宋体"/>
          <w:szCs w:val="21"/>
          <w:highlight w:val="none"/>
        </w:rPr>
      </w:pPr>
      <w:r>
        <w:rPr>
          <w:rFonts w:hint="eastAsia" w:ascii="宋体" w:hAnsi="宋体" w:eastAsia="宋体" w:cs="宋体"/>
          <w:szCs w:val="21"/>
          <w:highlight w:val="none"/>
        </w:rPr>
        <w:t>法定代表人（负责人）或其授权代表：</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（签字或盖个人印章）</w:t>
      </w:r>
    </w:p>
    <w:p w14:paraId="58F9B41A">
      <w:pPr>
        <w:spacing w:line="440" w:lineRule="exact"/>
        <w:rPr>
          <w:rFonts w:ascii="宋体" w:hAnsi="宋体" w:eastAsia="宋体" w:cs="宋体"/>
          <w:szCs w:val="21"/>
          <w:highlight w:val="none"/>
        </w:rPr>
      </w:pPr>
      <w:r>
        <w:rPr>
          <w:rFonts w:hint="eastAsia" w:ascii="宋体" w:hAnsi="宋体" w:eastAsia="宋体" w:cs="宋体"/>
          <w:szCs w:val="21"/>
          <w:highlight w:val="none"/>
        </w:rPr>
        <w:t>地    址：</w:t>
      </w:r>
      <w:r>
        <w:rPr>
          <w:rFonts w:hint="eastAsia" w:ascii="宋体" w:hAnsi="宋体" w:eastAsia="宋体" w:cs="宋体"/>
          <w:szCs w:val="21"/>
          <w:highlight w:val="none"/>
          <w:u w:val="single"/>
        </w:rPr>
        <w:tab/>
      </w:r>
      <w:r>
        <w:rPr>
          <w:rFonts w:hint="eastAsia" w:ascii="宋体" w:hAnsi="宋体" w:eastAsia="宋体" w:cs="宋体"/>
          <w:szCs w:val="21"/>
          <w:highlight w:val="none"/>
          <w:u w:val="single"/>
        </w:rPr>
        <w:tab/>
      </w:r>
      <w:r>
        <w:rPr>
          <w:rFonts w:hint="eastAsia" w:ascii="宋体" w:hAnsi="宋体" w:eastAsia="宋体" w:cs="宋体"/>
          <w:szCs w:val="21"/>
          <w:highlight w:val="none"/>
          <w:u w:val="single"/>
        </w:rPr>
        <w:tab/>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rPr>
        <w:tab/>
      </w:r>
    </w:p>
    <w:p w14:paraId="5A7D7A88">
      <w:pPr>
        <w:spacing w:line="440" w:lineRule="exact"/>
        <w:rPr>
          <w:rFonts w:ascii="宋体" w:hAnsi="宋体" w:eastAsia="宋体" w:cs="宋体"/>
          <w:szCs w:val="21"/>
          <w:highlight w:val="none"/>
          <w:u w:val="single"/>
        </w:rPr>
      </w:pPr>
      <w:r>
        <w:rPr>
          <w:rFonts w:hint="eastAsia" w:ascii="宋体" w:hAnsi="宋体" w:eastAsia="宋体" w:cs="宋体"/>
          <w:szCs w:val="21"/>
          <w:highlight w:val="none"/>
        </w:rPr>
        <w:t>邮政编码：</w:t>
      </w:r>
      <w:r>
        <w:rPr>
          <w:rFonts w:hint="eastAsia" w:ascii="宋体" w:hAnsi="宋体" w:eastAsia="宋体" w:cs="宋体"/>
          <w:szCs w:val="21"/>
          <w:highlight w:val="none"/>
          <w:u w:val="single"/>
        </w:rPr>
        <w:tab/>
      </w:r>
      <w:r>
        <w:rPr>
          <w:rFonts w:hint="eastAsia" w:ascii="宋体" w:hAnsi="宋体" w:eastAsia="宋体" w:cs="宋体"/>
          <w:szCs w:val="21"/>
          <w:highlight w:val="none"/>
          <w:u w:val="single"/>
        </w:rPr>
        <w:tab/>
      </w:r>
      <w:r>
        <w:rPr>
          <w:rFonts w:hint="eastAsia" w:ascii="宋体" w:hAnsi="宋体" w:eastAsia="宋体" w:cs="宋体"/>
          <w:szCs w:val="21"/>
          <w:highlight w:val="none"/>
          <w:u w:val="single"/>
        </w:rPr>
        <w:tab/>
      </w:r>
      <w:r>
        <w:rPr>
          <w:rFonts w:hint="eastAsia" w:ascii="宋体" w:hAnsi="宋体" w:eastAsia="宋体" w:cs="宋体"/>
          <w:szCs w:val="21"/>
          <w:highlight w:val="none"/>
          <w:u w:val="single"/>
        </w:rPr>
        <w:tab/>
      </w:r>
      <w:r>
        <w:rPr>
          <w:rFonts w:hint="eastAsia" w:ascii="宋体" w:hAnsi="宋体" w:eastAsia="宋体" w:cs="宋体"/>
          <w:szCs w:val="21"/>
          <w:highlight w:val="none"/>
          <w:u w:val="single"/>
        </w:rPr>
        <w:tab/>
      </w:r>
      <w:r>
        <w:rPr>
          <w:rFonts w:hint="eastAsia" w:ascii="宋体" w:hAnsi="宋体" w:eastAsia="宋体" w:cs="宋体"/>
          <w:szCs w:val="21"/>
          <w:highlight w:val="none"/>
          <w:u w:val="single"/>
        </w:rPr>
        <w:tab/>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rPr>
        <w:tab/>
      </w:r>
    </w:p>
    <w:p w14:paraId="669B9FA0">
      <w:pPr>
        <w:spacing w:line="440" w:lineRule="exact"/>
        <w:ind w:right="460"/>
        <w:rPr>
          <w:rFonts w:ascii="宋体" w:hAnsi="宋体" w:eastAsia="宋体" w:cs="宋体"/>
          <w:szCs w:val="21"/>
          <w:highlight w:val="none"/>
          <w:u w:val="single"/>
        </w:rPr>
      </w:pPr>
      <w:r>
        <w:rPr>
          <w:rFonts w:hint="eastAsia" w:ascii="宋体" w:hAnsi="宋体" w:eastAsia="宋体" w:cs="宋体"/>
          <w:szCs w:val="21"/>
          <w:highlight w:val="none"/>
        </w:rPr>
        <w:t>电    话：</w:t>
      </w:r>
      <w:r>
        <w:rPr>
          <w:rFonts w:hint="eastAsia" w:ascii="宋体" w:hAnsi="宋体" w:eastAsia="宋体" w:cs="宋体"/>
          <w:szCs w:val="21"/>
          <w:highlight w:val="none"/>
          <w:u w:val="single"/>
        </w:rPr>
        <w:t xml:space="preserve">                                          </w:t>
      </w:r>
    </w:p>
    <w:p w14:paraId="07BC16D9">
      <w:pPr>
        <w:spacing w:line="440" w:lineRule="exact"/>
        <w:ind w:right="460"/>
        <w:rPr>
          <w:rFonts w:ascii="宋体" w:hAnsi="宋体" w:eastAsia="宋体" w:cs="宋体"/>
          <w:szCs w:val="21"/>
          <w:highlight w:val="none"/>
        </w:rPr>
      </w:pPr>
      <w:r>
        <w:rPr>
          <w:rFonts w:hint="eastAsia" w:ascii="宋体" w:hAnsi="宋体" w:eastAsia="宋体" w:cs="宋体"/>
          <w:szCs w:val="21"/>
          <w:highlight w:val="none"/>
        </w:rPr>
        <w:t>传    真：</w:t>
      </w:r>
      <w:r>
        <w:rPr>
          <w:rFonts w:hint="eastAsia" w:ascii="宋体" w:hAnsi="宋体" w:eastAsia="宋体" w:cs="宋体"/>
          <w:szCs w:val="21"/>
          <w:highlight w:val="none"/>
          <w:u w:val="single"/>
        </w:rPr>
        <w:t xml:space="preserve">                                          </w:t>
      </w:r>
    </w:p>
    <w:p w14:paraId="7BCCFDBB">
      <w:pPr>
        <w:spacing w:line="440" w:lineRule="exact"/>
        <w:ind w:firstLine="2158" w:firstLineChars="1028"/>
        <w:rPr>
          <w:rFonts w:ascii="宋体" w:hAnsi="宋体" w:eastAsia="宋体" w:cs="宋体"/>
          <w:szCs w:val="21"/>
          <w:highlight w:val="none"/>
        </w:rPr>
      </w:pPr>
    </w:p>
    <w:p w14:paraId="3BA0BAB5">
      <w:pPr>
        <w:spacing w:line="440" w:lineRule="exact"/>
        <w:jc w:val="right"/>
        <w:rPr>
          <w:rFonts w:ascii="宋体" w:hAnsi="宋体" w:eastAsia="宋体" w:cs="宋体"/>
          <w:sz w:val="23"/>
          <w:szCs w:val="23"/>
          <w:highlight w:val="none"/>
        </w:rPr>
      </w:pP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年</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月</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日</w:t>
      </w:r>
    </w:p>
    <w:p w14:paraId="06F6CABF">
      <w:pPr>
        <w:spacing w:line="440" w:lineRule="exact"/>
        <w:jc w:val="right"/>
        <w:rPr>
          <w:rFonts w:ascii="宋体" w:hAnsi="宋体" w:eastAsia="宋体" w:cs="宋体"/>
          <w:sz w:val="23"/>
          <w:szCs w:val="23"/>
          <w:highlight w:val="none"/>
        </w:rPr>
      </w:pPr>
    </w:p>
    <w:p w14:paraId="7978C76F">
      <w:pPr>
        <w:pStyle w:val="3"/>
        <w:jc w:val="center"/>
        <w:rPr>
          <w:rFonts w:ascii="宋体" w:hAnsi="宋体" w:eastAsia="宋体" w:cs="宋体"/>
          <w:sz w:val="24"/>
          <w:highlight w:val="none"/>
        </w:rPr>
      </w:pPr>
      <w:r>
        <w:rPr>
          <w:rFonts w:hint="eastAsia" w:ascii="宋体" w:hAnsi="宋体" w:eastAsia="宋体" w:cs="宋体"/>
          <w:bCs w:val="0"/>
          <w:szCs w:val="21"/>
          <w:highlight w:val="none"/>
        </w:rPr>
        <w:br w:type="page"/>
      </w:r>
      <w:r>
        <w:rPr>
          <w:rFonts w:hint="eastAsia" w:ascii="宋体" w:hAnsi="宋体" w:eastAsia="宋体" w:cs="宋体"/>
          <w:sz w:val="30"/>
          <w:szCs w:val="30"/>
          <w:highlight w:val="none"/>
          <w:lang w:val="zh-CN"/>
        </w:rPr>
        <w:t>磋商保证金</w:t>
      </w:r>
      <w:r>
        <w:rPr>
          <w:rFonts w:hint="eastAsia" w:ascii="宋体" w:hAnsi="宋体" w:eastAsia="宋体" w:cs="宋体"/>
          <w:sz w:val="30"/>
          <w:szCs w:val="30"/>
          <w:highlight w:val="none"/>
        </w:rPr>
        <w:t>银行回执凭证</w:t>
      </w:r>
    </w:p>
    <w:tbl>
      <w:tblPr>
        <w:tblStyle w:val="27"/>
        <w:tblW w:w="86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70"/>
      </w:tblGrid>
      <w:tr w14:paraId="7E74A3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5" w:hRule="atLeast"/>
          <w:jc w:val="center"/>
        </w:trPr>
        <w:tc>
          <w:tcPr>
            <w:tcW w:w="8670" w:type="dxa"/>
            <w:tcBorders>
              <w:top w:val="single" w:color="auto" w:sz="4" w:space="0"/>
              <w:left w:val="single" w:color="auto" w:sz="4" w:space="0"/>
              <w:bottom w:val="single" w:color="auto" w:sz="4" w:space="0"/>
              <w:right w:val="single" w:color="auto" w:sz="4" w:space="0"/>
            </w:tcBorders>
            <w:noWrap/>
            <w:vAlign w:val="center"/>
          </w:tcPr>
          <w:p w14:paraId="14460F25">
            <w:pPr>
              <w:autoSpaceDE w:val="0"/>
              <w:autoSpaceDN w:val="0"/>
              <w:spacing w:line="360" w:lineRule="auto"/>
              <w:jc w:val="center"/>
              <w:rPr>
                <w:rFonts w:ascii="宋体" w:hAnsi="宋体" w:eastAsia="宋体" w:cs="宋体"/>
                <w:sz w:val="24"/>
                <w:highlight w:val="none"/>
                <w:lang w:val="zh-CN"/>
              </w:rPr>
            </w:pPr>
            <w:r>
              <w:rPr>
                <w:rFonts w:hint="eastAsia" w:ascii="宋体" w:hAnsi="宋体" w:eastAsia="宋体" w:cs="宋体"/>
                <w:szCs w:val="21"/>
                <w:highlight w:val="none"/>
                <w:lang w:val="zh-CN"/>
              </w:rPr>
              <w:t>（复印件粘贴处）</w:t>
            </w:r>
          </w:p>
        </w:tc>
      </w:tr>
    </w:tbl>
    <w:p w14:paraId="07C6C607">
      <w:pPr>
        <w:widowControl/>
        <w:jc w:val="left"/>
        <w:rPr>
          <w:rFonts w:ascii="宋体" w:hAnsi="宋体" w:eastAsia="宋体" w:cs="宋体"/>
          <w:b/>
          <w:highlight w:val="none"/>
        </w:rPr>
      </w:pPr>
    </w:p>
    <w:p w14:paraId="6F2CF17B">
      <w:pPr>
        <w:rPr>
          <w:rFonts w:ascii="宋体" w:hAnsi="宋体" w:eastAsia="宋体" w:cs="宋体"/>
          <w:sz w:val="28"/>
          <w:szCs w:val="28"/>
          <w:highlight w:val="none"/>
        </w:rPr>
      </w:pPr>
      <w:r>
        <w:rPr>
          <w:rFonts w:hint="eastAsia" w:ascii="宋体" w:hAnsi="宋体" w:eastAsia="宋体" w:cs="宋体"/>
          <w:sz w:val="28"/>
          <w:szCs w:val="28"/>
          <w:highlight w:val="none"/>
        </w:rPr>
        <w:br w:type="page"/>
      </w:r>
    </w:p>
    <w:p w14:paraId="061D075C">
      <w:pPr>
        <w:pStyle w:val="3"/>
        <w:keepLines w:val="0"/>
        <w:ind w:left="425"/>
        <w:jc w:val="center"/>
        <w:rPr>
          <w:rFonts w:ascii="宋体" w:hAnsi="宋体" w:eastAsia="宋体" w:cs="宋体"/>
          <w:highlight w:val="none"/>
        </w:rPr>
      </w:pPr>
      <w:r>
        <w:rPr>
          <w:rFonts w:hint="eastAsia" w:ascii="宋体" w:hAnsi="宋体" w:eastAsia="宋体" w:cs="宋体"/>
          <w:sz w:val="28"/>
          <w:szCs w:val="28"/>
          <w:highlight w:val="none"/>
        </w:rPr>
        <w:t>格式5：拟投入本项目的综合服务力量介绍</w:t>
      </w:r>
    </w:p>
    <w:p w14:paraId="0C16C3A6">
      <w:pPr>
        <w:pStyle w:val="41"/>
        <w:jc w:val="center"/>
        <w:rPr>
          <w:rFonts w:ascii="宋体" w:hAnsi="宋体" w:cs="宋体"/>
          <w:b/>
          <w:sz w:val="24"/>
          <w:szCs w:val="24"/>
          <w:highlight w:val="none"/>
        </w:rPr>
      </w:pPr>
      <w:r>
        <w:rPr>
          <w:rFonts w:hint="eastAsia" w:ascii="宋体" w:hAnsi="宋体" w:cs="宋体"/>
          <w:b/>
          <w:sz w:val="24"/>
          <w:szCs w:val="24"/>
          <w:highlight w:val="none"/>
        </w:rPr>
        <w:t>5.1.磋商申请人综合实力</w:t>
      </w:r>
    </w:p>
    <w:p w14:paraId="5D6583C6">
      <w:pPr>
        <w:pStyle w:val="4"/>
        <w:spacing w:before="156"/>
        <w:ind w:firstLine="422"/>
        <w:jc w:val="center"/>
        <w:rPr>
          <w:rFonts w:hAnsi="宋体" w:cs="宋体"/>
          <w:b/>
          <w:bCs/>
          <w:highlight w:val="none"/>
        </w:rPr>
      </w:pPr>
    </w:p>
    <w:p w14:paraId="5511489E">
      <w:pPr>
        <w:pStyle w:val="4"/>
        <w:spacing w:before="156"/>
        <w:ind w:firstLine="420"/>
        <w:jc w:val="center"/>
        <w:rPr>
          <w:rFonts w:hAnsi="宋体" w:cs="宋体"/>
          <w:highlight w:val="none"/>
        </w:rPr>
      </w:pPr>
      <w:r>
        <w:rPr>
          <w:rFonts w:hint="eastAsia" w:hAnsi="宋体" w:cs="宋体"/>
          <w:highlight w:val="none"/>
        </w:rPr>
        <w:t>包含且不限于：磋商申请人简介、磋商申请人技术实力介绍、获奖情况、社会信誉和荣誉证明材料等。</w:t>
      </w:r>
    </w:p>
    <w:p w14:paraId="35481719">
      <w:pPr>
        <w:pStyle w:val="12"/>
        <w:rPr>
          <w:rFonts w:ascii="宋体" w:hAnsi="宋体" w:eastAsia="宋体" w:cs="宋体"/>
          <w:highlight w:val="none"/>
        </w:rPr>
      </w:pPr>
    </w:p>
    <w:p w14:paraId="18246318">
      <w:pPr>
        <w:rPr>
          <w:rFonts w:ascii="宋体" w:hAnsi="宋体" w:eastAsia="宋体" w:cs="宋体"/>
          <w:b/>
          <w:bCs/>
          <w:szCs w:val="21"/>
          <w:highlight w:val="none"/>
        </w:rPr>
      </w:pPr>
      <w:r>
        <w:rPr>
          <w:rFonts w:hint="eastAsia" w:ascii="宋体" w:hAnsi="宋体" w:eastAsia="宋体" w:cs="宋体"/>
          <w:b/>
          <w:bCs/>
          <w:szCs w:val="21"/>
          <w:highlight w:val="none"/>
        </w:rPr>
        <w:br w:type="page"/>
      </w:r>
    </w:p>
    <w:p w14:paraId="3E16E0DE">
      <w:pPr>
        <w:pStyle w:val="41"/>
        <w:jc w:val="center"/>
        <w:rPr>
          <w:rFonts w:ascii="宋体" w:hAnsi="宋体" w:cs="宋体"/>
          <w:b/>
          <w:sz w:val="24"/>
          <w:szCs w:val="24"/>
          <w:highlight w:val="none"/>
        </w:rPr>
      </w:pPr>
      <w:r>
        <w:rPr>
          <w:rFonts w:hint="eastAsia" w:ascii="宋体" w:hAnsi="宋体" w:cs="宋体"/>
          <w:b/>
          <w:sz w:val="24"/>
          <w:szCs w:val="24"/>
          <w:highlight w:val="none"/>
        </w:rPr>
        <w:t>5.2.项目服务团队介绍</w:t>
      </w:r>
    </w:p>
    <w:p w14:paraId="2E7898AF">
      <w:pPr>
        <w:pStyle w:val="4"/>
        <w:spacing w:before="156"/>
        <w:ind w:firstLine="422"/>
        <w:rPr>
          <w:rFonts w:hAnsi="宋体" w:cs="宋体"/>
          <w:b/>
          <w:bCs/>
          <w:highlight w:val="none"/>
        </w:rPr>
      </w:pPr>
    </w:p>
    <w:p w14:paraId="1460BEAE">
      <w:pPr>
        <w:spacing w:line="360" w:lineRule="auto"/>
        <w:ind w:firstLine="426"/>
        <w:jc w:val="left"/>
        <w:rPr>
          <w:rFonts w:ascii="宋体" w:hAnsi="宋体" w:eastAsia="宋体" w:cs="宋体"/>
          <w:szCs w:val="21"/>
          <w:highlight w:val="none"/>
        </w:rPr>
      </w:pPr>
      <w:r>
        <w:rPr>
          <w:rFonts w:hint="eastAsia" w:ascii="宋体" w:hAnsi="宋体" w:eastAsia="宋体" w:cs="宋体"/>
          <w:szCs w:val="21"/>
          <w:highlight w:val="none"/>
        </w:rPr>
        <w:t>包含但不限于磋商申请人投入本项目的服务机构的具体情况（至少包含：项目团队组织架构介绍、分工情况、项目团队管理和技术服务人员岗位职责介绍、人员配备情况介绍等内容），格式自拟。</w:t>
      </w:r>
    </w:p>
    <w:p w14:paraId="5B5DC90B">
      <w:pPr>
        <w:spacing w:line="360" w:lineRule="auto"/>
        <w:ind w:firstLine="426"/>
        <w:jc w:val="left"/>
        <w:rPr>
          <w:rFonts w:ascii="宋体" w:hAnsi="宋体" w:eastAsia="宋体" w:cs="宋体"/>
          <w:szCs w:val="21"/>
          <w:highlight w:val="none"/>
        </w:rPr>
      </w:pPr>
    </w:p>
    <w:p w14:paraId="25F5F89B">
      <w:pPr>
        <w:pStyle w:val="3"/>
        <w:keepLines w:val="0"/>
        <w:jc w:val="center"/>
        <w:rPr>
          <w:rFonts w:ascii="宋体" w:hAnsi="宋体" w:eastAsia="宋体" w:cs="宋体"/>
          <w:highlight w:val="none"/>
        </w:rPr>
      </w:pPr>
      <w:r>
        <w:rPr>
          <w:rFonts w:hint="eastAsia" w:ascii="宋体" w:hAnsi="宋体" w:eastAsia="宋体" w:cs="宋体"/>
          <w:sz w:val="21"/>
          <w:szCs w:val="21"/>
          <w:highlight w:val="none"/>
        </w:rPr>
        <w:br w:type="page"/>
      </w:r>
      <w:bookmarkStart w:id="190" w:name="_Toc25961"/>
      <w:r>
        <w:rPr>
          <w:rFonts w:hint="eastAsia" w:ascii="宋体" w:hAnsi="宋体" w:eastAsia="宋体" w:cs="宋体"/>
          <w:kern w:val="0"/>
          <w:sz w:val="24"/>
          <w:szCs w:val="21"/>
          <w:highlight w:val="none"/>
        </w:rPr>
        <w:t>5.3项目负责人简历表</w:t>
      </w:r>
      <w:bookmarkEnd w:id="190"/>
    </w:p>
    <w:tbl>
      <w:tblPr>
        <w:tblStyle w:val="27"/>
        <w:tblW w:w="9900" w:type="dxa"/>
        <w:jc w:val="center"/>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
      <w:tblGrid>
        <w:gridCol w:w="1907"/>
        <w:gridCol w:w="832"/>
        <w:gridCol w:w="512"/>
        <w:gridCol w:w="113"/>
        <w:gridCol w:w="1416"/>
        <w:gridCol w:w="1417"/>
        <w:gridCol w:w="32"/>
        <w:gridCol w:w="1951"/>
        <w:gridCol w:w="319"/>
        <w:gridCol w:w="1401"/>
      </w:tblGrid>
      <w:tr w14:paraId="548170CB">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514" w:hRule="atLeast"/>
          <w:jc w:val="center"/>
        </w:trPr>
        <w:tc>
          <w:tcPr>
            <w:tcW w:w="1907" w:type="dxa"/>
            <w:tcBorders>
              <w:top w:val="single" w:color="000000" w:sz="4" w:space="0"/>
              <w:left w:val="single" w:color="000000" w:sz="4" w:space="0"/>
              <w:bottom w:val="single" w:color="000000" w:sz="4" w:space="0"/>
              <w:right w:val="single" w:color="000000" w:sz="4" w:space="0"/>
            </w:tcBorders>
            <w:noWrap/>
            <w:vAlign w:val="center"/>
          </w:tcPr>
          <w:p w14:paraId="0AF67D62">
            <w:pPr>
              <w:pStyle w:val="15"/>
              <w:keepNext/>
              <w:jc w:val="center"/>
              <w:rPr>
                <w:rFonts w:hAnsi="宋体"/>
                <w:highlight w:val="none"/>
              </w:rPr>
            </w:pPr>
            <w:r>
              <w:rPr>
                <w:rFonts w:hint="eastAsia" w:hAnsi="宋体"/>
                <w:highlight w:val="none"/>
              </w:rPr>
              <w:t>姓名</w:t>
            </w:r>
          </w:p>
        </w:tc>
        <w:tc>
          <w:tcPr>
            <w:tcW w:w="1457" w:type="dxa"/>
            <w:gridSpan w:val="3"/>
            <w:tcBorders>
              <w:top w:val="single" w:color="000000" w:sz="4" w:space="0"/>
              <w:left w:val="single" w:color="000000" w:sz="4" w:space="0"/>
              <w:bottom w:val="single" w:color="000000" w:sz="4" w:space="0"/>
              <w:right w:val="single" w:color="000000" w:sz="4" w:space="0"/>
            </w:tcBorders>
            <w:noWrap/>
            <w:vAlign w:val="center"/>
          </w:tcPr>
          <w:p w14:paraId="56DC78BB">
            <w:pPr>
              <w:pStyle w:val="15"/>
              <w:keepNext/>
              <w:jc w:val="center"/>
              <w:rPr>
                <w:rFonts w:hAnsi="宋体"/>
                <w:highlight w:val="none"/>
              </w:rPr>
            </w:pPr>
          </w:p>
        </w:tc>
        <w:tc>
          <w:tcPr>
            <w:tcW w:w="1416" w:type="dxa"/>
            <w:tcBorders>
              <w:top w:val="single" w:color="000000" w:sz="4" w:space="0"/>
              <w:left w:val="single" w:color="000000" w:sz="4" w:space="0"/>
              <w:bottom w:val="single" w:color="000000" w:sz="4" w:space="0"/>
              <w:right w:val="single" w:color="000000" w:sz="4" w:space="0"/>
            </w:tcBorders>
            <w:noWrap/>
            <w:vAlign w:val="center"/>
          </w:tcPr>
          <w:p w14:paraId="0B43387D">
            <w:pPr>
              <w:pStyle w:val="15"/>
              <w:keepNext/>
              <w:jc w:val="center"/>
              <w:rPr>
                <w:rFonts w:hAnsi="宋体"/>
                <w:highlight w:val="none"/>
              </w:rPr>
            </w:pPr>
            <w:r>
              <w:rPr>
                <w:rFonts w:hint="eastAsia" w:hAnsi="宋体"/>
                <w:highlight w:val="none"/>
              </w:rPr>
              <w:t>性别</w:t>
            </w:r>
          </w:p>
        </w:tc>
        <w:tc>
          <w:tcPr>
            <w:tcW w:w="1417" w:type="dxa"/>
            <w:tcBorders>
              <w:top w:val="single" w:color="000000" w:sz="4" w:space="0"/>
              <w:left w:val="single" w:color="000000" w:sz="4" w:space="0"/>
              <w:bottom w:val="single" w:color="000000" w:sz="4" w:space="0"/>
              <w:right w:val="single" w:color="000000" w:sz="4" w:space="0"/>
            </w:tcBorders>
            <w:noWrap/>
            <w:vAlign w:val="center"/>
          </w:tcPr>
          <w:p w14:paraId="0A73C134">
            <w:pPr>
              <w:pStyle w:val="15"/>
              <w:keepNext/>
              <w:jc w:val="center"/>
              <w:rPr>
                <w:rFonts w:hAnsi="宋体"/>
                <w:highlight w:val="none"/>
              </w:rPr>
            </w:pPr>
          </w:p>
        </w:tc>
        <w:tc>
          <w:tcPr>
            <w:tcW w:w="1983" w:type="dxa"/>
            <w:gridSpan w:val="2"/>
            <w:tcBorders>
              <w:top w:val="single" w:color="000000" w:sz="4" w:space="0"/>
              <w:left w:val="single" w:color="000000" w:sz="4" w:space="0"/>
              <w:bottom w:val="single" w:color="000000" w:sz="4" w:space="0"/>
              <w:right w:val="single" w:color="000000" w:sz="4" w:space="0"/>
            </w:tcBorders>
            <w:noWrap/>
            <w:vAlign w:val="center"/>
          </w:tcPr>
          <w:p w14:paraId="0289F3C5">
            <w:pPr>
              <w:pStyle w:val="15"/>
              <w:keepNext/>
              <w:jc w:val="center"/>
              <w:rPr>
                <w:rFonts w:hAnsi="宋体"/>
                <w:highlight w:val="none"/>
              </w:rPr>
            </w:pPr>
            <w:r>
              <w:rPr>
                <w:rFonts w:hint="eastAsia" w:hAnsi="宋体"/>
                <w:highlight w:val="none"/>
              </w:rPr>
              <w:t>年龄</w:t>
            </w:r>
          </w:p>
        </w:tc>
        <w:tc>
          <w:tcPr>
            <w:tcW w:w="1720" w:type="dxa"/>
            <w:gridSpan w:val="2"/>
            <w:tcBorders>
              <w:top w:val="single" w:color="000000" w:sz="4" w:space="0"/>
              <w:left w:val="single" w:color="000000" w:sz="4" w:space="0"/>
              <w:bottom w:val="single" w:color="000000" w:sz="4" w:space="0"/>
              <w:right w:val="single" w:color="000000" w:sz="4" w:space="0"/>
            </w:tcBorders>
            <w:noWrap/>
            <w:vAlign w:val="center"/>
          </w:tcPr>
          <w:p w14:paraId="2DF61F38">
            <w:pPr>
              <w:pStyle w:val="15"/>
              <w:keepNext/>
              <w:jc w:val="center"/>
              <w:rPr>
                <w:rFonts w:hAnsi="宋体"/>
                <w:highlight w:val="none"/>
              </w:rPr>
            </w:pPr>
          </w:p>
        </w:tc>
      </w:tr>
      <w:tr w14:paraId="39E78E85">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514" w:hRule="atLeast"/>
          <w:jc w:val="center"/>
        </w:trPr>
        <w:tc>
          <w:tcPr>
            <w:tcW w:w="1907" w:type="dxa"/>
            <w:tcBorders>
              <w:top w:val="single" w:color="000000" w:sz="4" w:space="0"/>
              <w:left w:val="single" w:color="000000" w:sz="4" w:space="0"/>
              <w:bottom w:val="single" w:color="000000" w:sz="4" w:space="0"/>
              <w:right w:val="single" w:color="000000" w:sz="4" w:space="0"/>
            </w:tcBorders>
            <w:noWrap/>
            <w:vAlign w:val="center"/>
          </w:tcPr>
          <w:p w14:paraId="759010F3">
            <w:pPr>
              <w:pStyle w:val="15"/>
              <w:keepNext/>
              <w:jc w:val="center"/>
              <w:rPr>
                <w:rFonts w:hAnsi="宋体"/>
                <w:highlight w:val="none"/>
              </w:rPr>
            </w:pPr>
            <w:r>
              <w:rPr>
                <w:rFonts w:hint="eastAsia" w:hAnsi="宋体"/>
                <w:highlight w:val="none"/>
              </w:rPr>
              <w:t>学历</w:t>
            </w:r>
          </w:p>
        </w:tc>
        <w:tc>
          <w:tcPr>
            <w:tcW w:w="1457" w:type="dxa"/>
            <w:gridSpan w:val="3"/>
            <w:tcBorders>
              <w:top w:val="single" w:color="000000" w:sz="4" w:space="0"/>
              <w:left w:val="single" w:color="000000" w:sz="4" w:space="0"/>
              <w:bottom w:val="single" w:color="000000" w:sz="4" w:space="0"/>
              <w:right w:val="single" w:color="000000" w:sz="4" w:space="0"/>
            </w:tcBorders>
            <w:noWrap/>
            <w:vAlign w:val="center"/>
          </w:tcPr>
          <w:p w14:paraId="2F0E38EE">
            <w:pPr>
              <w:pStyle w:val="15"/>
              <w:keepNext/>
              <w:jc w:val="center"/>
              <w:rPr>
                <w:rFonts w:hAnsi="宋体"/>
                <w:highlight w:val="none"/>
              </w:rPr>
            </w:pPr>
          </w:p>
        </w:tc>
        <w:tc>
          <w:tcPr>
            <w:tcW w:w="1416" w:type="dxa"/>
            <w:tcBorders>
              <w:top w:val="single" w:color="000000" w:sz="4" w:space="0"/>
              <w:left w:val="single" w:color="000000" w:sz="4" w:space="0"/>
              <w:bottom w:val="single" w:color="000000" w:sz="4" w:space="0"/>
              <w:right w:val="single" w:color="000000" w:sz="4" w:space="0"/>
            </w:tcBorders>
            <w:noWrap/>
            <w:vAlign w:val="center"/>
          </w:tcPr>
          <w:p w14:paraId="06B9B865">
            <w:pPr>
              <w:pStyle w:val="15"/>
              <w:keepNext/>
              <w:jc w:val="center"/>
              <w:rPr>
                <w:rFonts w:hAnsi="宋体"/>
                <w:highlight w:val="none"/>
              </w:rPr>
            </w:pPr>
            <w:r>
              <w:rPr>
                <w:rFonts w:hint="eastAsia" w:hAnsi="宋体"/>
                <w:highlight w:val="none"/>
              </w:rPr>
              <w:t>毕业院校</w:t>
            </w:r>
          </w:p>
        </w:tc>
        <w:tc>
          <w:tcPr>
            <w:tcW w:w="1417" w:type="dxa"/>
            <w:tcBorders>
              <w:top w:val="single" w:color="000000" w:sz="4" w:space="0"/>
              <w:left w:val="single" w:color="000000" w:sz="4" w:space="0"/>
              <w:bottom w:val="single" w:color="000000" w:sz="4" w:space="0"/>
              <w:right w:val="single" w:color="000000" w:sz="4" w:space="0"/>
            </w:tcBorders>
            <w:noWrap/>
            <w:vAlign w:val="center"/>
          </w:tcPr>
          <w:p w14:paraId="039AA497">
            <w:pPr>
              <w:pStyle w:val="15"/>
              <w:keepNext/>
              <w:jc w:val="center"/>
              <w:rPr>
                <w:rFonts w:hAnsi="宋体"/>
                <w:highlight w:val="none"/>
              </w:rPr>
            </w:pPr>
          </w:p>
        </w:tc>
        <w:tc>
          <w:tcPr>
            <w:tcW w:w="1983" w:type="dxa"/>
            <w:gridSpan w:val="2"/>
            <w:tcBorders>
              <w:top w:val="single" w:color="000000" w:sz="4" w:space="0"/>
              <w:left w:val="single" w:color="000000" w:sz="4" w:space="0"/>
              <w:bottom w:val="single" w:color="000000" w:sz="4" w:space="0"/>
              <w:right w:val="single" w:color="000000" w:sz="4" w:space="0"/>
            </w:tcBorders>
            <w:noWrap/>
            <w:vAlign w:val="center"/>
          </w:tcPr>
          <w:p w14:paraId="087A32FF">
            <w:pPr>
              <w:pStyle w:val="15"/>
              <w:keepNext/>
              <w:jc w:val="center"/>
              <w:rPr>
                <w:rFonts w:hAnsi="宋体"/>
                <w:highlight w:val="none"/>
              </w:rPr>
            </w:pPr>
            <w:r>
              <w:rPr>
                <w:rFonts w:hint="eastAsia" w:hAnsi="宋体"/>
                <w:highlight w:val="none"/>
              </w:rPr>
              <w:t>专业</w:t>
            </w:r>
          </w:p>
        </w:tc>
        <w:tc>
          <w:tcPr>
            <w:tcW w:w="1720" w:type="dxa"/>
            <w:gridSpan w:val="2"/>
            <w:tcBorders>
              <w:top w:val="single" w:color="000000" w:sz="4" w:space="0"/>
              <w:left w:val="single" w:color="000000" w:sz="4" w:space="0"/>
              <w:bottom w:val="single" w:color="000000" w:sz="4" w:space="0"/>
              <w:right w:val="single" w:color="000000" w:sz="4" w:space="0"/>
            </w:tcBorders>
            <w:noWrap/>
            <w:vAlign w:val="center"/>
          </w:tcPr>
          <w:p w14:paraId="56404800">
            <w:pPr>
              <w:pStyle w:val="15"/>
              <w:keepNext/>
              <w:jc w:val="center"/>
              <w:rPr>
                <w:rFonts w:hAnsi="宋体"/>
                <w:highlight w:val="none"/>
              </w:rPr>
            </w:pPr>
          </w:p>
        </w:tc>
      </w:tr>
      <w:tr w14:paraId="38F87CB9">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514" w:hRule="atLeast"/>
          <w:jc w:val="center"/>
        </w:trPr>
        <w:tc>
          <w:tcPr>
            <w:tcW w:w="1907" w:type="dxa"/>
            <w:tcBorders>
              <w:top w:val="single" w:color="000000" w:sz="4" w:space="0"/>
              <w:left w:val="single" w:color="000000" w:sz="4" w:space="0"/>
              <w:bottom w:val="single" w:color="000000" w:sz="4" w:space="0"/>
              <w:right w:val="single" w:color="000000" w:sz="4" w:space="0"/>
            </w:tcBorders>
            <w:noWrap/>
            <w:vAlign w:val="center"/>
          </w:tcPr>
          <w:p w14:paraId="53014BA6">
            <w:pPr>
              <w:pStyle w:val="15"/>
              <w:keepNext/>
              <w:jc w:val="center"/>
              <w:rPr>
                <w:rFonts w:hAnsi="宋体"/>
                <w:highlight w:val="none"/>
              </w:rPr>
            </w:pPr>
            <w:r>
              <w:rPr>
                <w:rFonts w:hint="eastAsia" w:hAnsi="宋体"/>
                <w:highlight w:val="none"/>
              </w:rPr>
              <w:t>职务</w:t>
            </w:r>
          </w:p>
        </w:tc>
        <w:tc>
          <w:tcPr>
            <w:tcW w:w="1457" w:type="dxa"/>
            <w:gridSpan w:val="3"/>
            <w:tcBorders>
              <w:top w:val="single" w:color="000000" w:sz="4" w:space="0"/>
              <w:left w:val="single" w:color="000000" w:sz="4" w:space="0"/>
              <w:bottom w:val="single" w:color="000000" w:sz="4" w:space="0"/>
              <w:right w:val="single" w:color="000000" w:sz="4" w:space="0"/>
            </w:tcBorders>
            <w:noWrap/>
            <w:vAlign w:val="center"/>
          </w:tcPr>
          <w:p w14:paraId="21DA6347">
            <w:pPr>
              <w:pStyle w:val="15"/>
              <w:keepNext/>
              <w:jc w:val="center"/>
              <w:rPr>
                <w:rFonts w:hAnsi="宋体"/>
                <w:highlight w:val="none"/>
              </w:rPr>
            </w:pPr>
          </w:p>
        </w:tc>
        <w:tc>
          <w:tcPr>
            <w:tcW w:w="1416" w:type="dxa"/>
            <w:tcBorders>
              <w:top w:val="single" w:color="000000" w:sz="4" w:space="0"/>
              <w:left w:val="single" w:color="000000" w:sz="4" w:space="0"/>
              <w:bottom w:val="single" w:color="000000" w:sz="4" w:space="0"/>
              <w:right w:val="single" w:color="000000" w:sz="4" w:space="0"/>
            </w:tcBorders>
            <w:noWrap/>
            <w:vAlign w:val="center"/>
          </w:tcPr>
          <w:p w14:paraId="5803AED4">
            <w:pPr>
              <w:pStyle w:val="15"/>
              <w:keepNext/>
              <w:jc w:val="center"/>
              <w:rPr>
                <w:rFonts w:hAnsi="宋体"/>
                <w:highlight w:val="none"/>
              </w:rPr>
            </w:pPr>
            <w:r>
              <w:rPr>
                <w:rFonts w:hint="eastAsia" w:hAnsi="宋体"/>
                <w:highlight w:val="none"/>
              </w:rPr>
              <w:t>职称</w:t>
            </w:r>
          </w:p>
        </w:tc>
        <w:tc>
          <w:tcPr>
            <w:tcW w:w="1417" w:type="dxa"/>
            <w:tcBorders>
              <w:top w:val="single" w:color="000000" w:sz="4" w:space="0"/>
              <w:left w:val="single" w:color="000000" w:sz="4" w:space="0"/>
              <w:bottom w:val="single" w:color="000000" w:sz="4" w:space="0"/>
              <w:right w:val="single" w:color="000000" w:sz="4" w:space="0"/>
            </w:tcBorders>
            <w:noWrap/>
            <w:vAlign w:val="center"/>
          </w:tcPr>
          <w:p w14:paraId="7C06C96E">
            <w:pPr>
              <w:pStyle w:val="15"/>
              <w:keepNext/>
              <w:jc w:val="center"/>
              <w:rPr>
                <w:rFonts w:hAnsi="宋体"/>
                <w:highlight w:val="none"/>
              </w:rPr>
            </w:pPr>
          </w:p>
        </w:tc>
        <w:tc>
          <w:tcPr>
            <w:tcW w:w="1983" w:type="dxa"/>
            <w:gridSpan w:val="2"/>
            <w:tcBorders>
              <w:top w:val="single" w:color="000000" w:sz="4" w:space="0"/>
              <w:left w:val="single" w:color="000000" w:sz="4" w:space="0"/>
              <w:bottom w:val="single" w:color="000000" w:sz="4" w:space="0"/>
              <w:right w:val="single" w:color="000000" w:sz="4" w:space="0"/>
            </w:tcBorders>
            <w:noWrap/>
            <w:vAlign w:val="center"/>
          </w:tcPr>
          <w:p w14:paraId="7AD324AE">
            <w:pPr>
              <w:pStyle w:val="15"/>
              <w:keepNext/>
              <w:jc w:val="center"/>
              <w:rPr>
                <w:rFonts w:hAnsi="宋体"/>
                <w:highlight w:val="none"/>
              </w:rPr>
            </w:pPr>
            <w:r>
              <w:rPr>
                <w:rFonts w:hint="eastAsia" w:hAnsi="宋体"/>
                <w:highlight w:val="none"/>
              </w:rPr>
              <w:t>注册情况</w:t>
            </w:r>
          </w:p>
        </w:tc>
        <w:tc>
          <w:tcPr>
            <w:tcW w:w="1720" w:type="dxa"/>
            <w:gridSpan w:val="2"/>
            <w:tcBorders>
              <w:top w:val="single" w:color="000000" w:sz="4" w:space="0"/>
              <w:left w:val="single" w:color="000000" w:sz="4" w:space="0"/>
              <w:bottom w:val="single" w:color="000000" w:sz="4" w:space="0"/>
              <w:right w:val="single" w:color="000000" w:sz="4" w:space="0"/>
            </w:tcBorders>
            <w:noWrap/>
            <w:vAlign w:val="center"/>
          </w:tcPr>
          <w:p w14:paraId="63BA7CEC">
            <w:pPr>
              <w:pStyle w:val="15"/>
              <w:keepNext/>
              <w:jc w:val="center"/>
              <w:rPr>
                <w:rFonts w:hAnsi="宋体"/>
                <w:highlight w:val="none"/>
              </w:rPr>
            </w:pPr>
          </w:p>
        </w:tc>
      </w:tr>
      <w:tr w14:paraId="17D39948">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514" w:hRule="atLeast"/>
          <w:jc w:val="center"/>
        </w:trPr>
        <w:tc>
          <w:tcPr>
            <w:tcW w:w="2739" w:type="dxa"/>
            <w:gridSpan w:val="2"/>
            <w:tcBorders>
              <w:top w:val="single" w:color="000000" w:sz="4" w:space="0"/>
              <w:left w:val="single" w:color="000000" w:sz="4" w:space="0"/>
              <w:bottom w:val="single" w:color="000000" w:sz="4" w:space="0"/>
              <w:right w:val="single" w:color="000000" w:sz="4" w:space="0"/>
            </w:tcBorders>
            <w:noWrap/>
            <w:vAlign w:val="center"/>
          </w:tcPr>
          <w:p w14:paraId="4A7CCC6E">
            <w:pPr>
              <w:pStyle w:val="15"/>
              <w:keepNext/>
              <w:jc w:val="center"/>
              <w:rPr>
                <w:rFonts w:hAnsi="宋体"/>
                <w:highlight w:val="none"/>
              </w:rPr>
            </w:pPr>
            <w:r>
              <w:rPr>
                <w:rFonts w:hint="eastAsia" w:hAnsi="宋体"/>
                <w:highlight w:val="none"/>
              </w:rPr>
              <w:t>参加工作时间</w:t>
            </w:r>
          </w:p>
        </w:tc>
        <w:tc>
          <w:tcPr>
            <w:tcW w:w="2041" w:type="dxa"/>
            <w:gridSpan w:val="3"/>
            <w:tcBorders>
              <w:top w:val="single" w:color="000000" w:sz="4" w:space="0"/>
              <w:left w:val="single" w:color="000000" w:sz="4" w:space="0"/>
              <w:bottom w:val="single" w:color="000000" w:sz="4" w:space="0"/>
              <w:right w:val="single" w:color="000000" w:sz="4" w:space="0"/>
            </w:tcBorders>
            <w:noWrap/>
            <w:vAlign w:val="center"/>
          </w:tcPr>
          <w:p w14:paraId="4C2DCEB9">
            <w:pPr>
              <w:pStyle w:val="15"/>
              <w:keepNext/>
              <w:jc w:val="center"/>
              <w:rPr>
                <w:rFonts w:hAnsi="宋体"/>
                <w:highlight w:val="none"/>
              </w:rPr>
            </w:pPr>
          </w:p>
        </w:tc>
        <w:tc>
          <w:tcPr>
            <w:tcW w:w="3400" w:type="dxa"/>
            <w:gridSpan w:val="3"/>
            <w:tcBorders>
              <w:top w:val="single" w:color="000000" w:sz="4" w:space="0"/>
              <w:left w:val="single" w:color="000000" w:sz="4" w:space="0"/>
              <w:bottom w:val="single" w:color="000000" w:sz="4" w:space="0"/>
              <w:right w:val="single" w:color="000000" w:sz="4" w:space="0"/>
            </w:tcBorders>
            <w:noWrap/>
            <w:vAlign w:val="center"/>
          </w:tcPr>
          <w:p w14:paraId="57106AFB">
            <w:pPr>
              <w:pStyle w:val="15"/>
              <w:keepNext/>
              <w:jc w:val="center"/>
              <w:rPr>
                <w:rFonts w:hAnsi="宋体"/>
                <w:highlight w:val="none"/>
              </w:rPr>
            </w:pPr>
            <w:r>
              <w:rPr>
                <w:rFonts w:hint="eastAsia" w:hAnsi="宋体"/>
                <w:highlight w:val="none"/>
              </w:rPr>
              <w:t>从事项目负责人年限</w:t>
            </w:r>
          </w:p>
        </w:tc>
        <w:tc>
          <w:tcPr>
            <w:tcW w:w="1720" w:type="dxa"/>
            <w:gridSpan w:val="2"/>
            <w:tcBorders>
              <w:top w:val="single" w:color="000000" w:sz="4" w:space="0"/>
              <w:left w:val="single" w:color="000000" w:sz="4" w:space="0"/>
              <w:bottom w:val="single" w:color="000000" w:sz="4" w:space="0"/>
              <w:right w:val="single" w:color="000000" w:sz="4" w:space="0"/>
            </w:tcBorders>
            <w:noWrap/>
            <w:vAlign w:val="center"/>
          </w:tcPr>
          <w:p w14:paraId="6E798346">
            <w:pPr>
              <w:pStyle w:val="15"/>
              <w:keepNext/>
              <w:jc w:val="center"/>
              <w:rPr>
                <w:rFonts w:hAnsi="宋体"/>
                <w:highlight w:val="none"/>
              </w:rPr>
            </w:pPr>
          </w:p>
        </w:tc>
      </w:tr>
      <w:tr w14:paraId="5C0AA11C">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514" w:hRule="atLeast"/>
          <w:jc w:val="center"/>
        </w:trPr>
        <w:tc>
          <w:tcPr>
            <w:tcW w:w="9900" w:type="dxa"/>
            <w:gridSpan w:val="10"/>
            <w:tcBorders>
              <w:top w:val="single" w:color="000000" w:sz="4" w:space="0"/>
              <w:left w:val="single" w:color="000000" w:sz="4" w:space="0"/>
              <w:bottom w:val="single" w:color="000000" w:sz="4" w:space="0"/>
              <w:right w:val="single" w:color="000000" w:sz="4" w:space="0"/>
            </w:tcBorders>
            <w:noWrap/>
            <w:vAlign w:val="center"/>
          </w:tcPr>
          <w:p w14:paraId="372930FA">
            <w:pPr>
              <w:pStyle w:val="15"/>
              <w:keepNext/>
              <w:jc w:val="center"/>
              <w:rPr>
                <w:rFonts w:hAnsi="宋体"/>
                <w:highlight w:val="none"/>
              </w:rPr>
            </w:pPr>
            <w:r>
              <w:rPr>
                <w:rFonts w:hint="eastAsia" w:hAnsi="宋体"/>
                <w:highlight w:val="none"/>
              </w:rPr>
              <w:t>已完成项目情况</w:t>
            </w:r>
          </w:p>
        </w:tc>
      </w:tr>
      <w:tr w14:paraId="18380E1B">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514" w:hRule="atLeast"/>
          <w:jc w:val="center"/>
        </w:trPr>
        <w:tc>
          <w:tcPr>
            <w:tcW w:w="3251" w:type="dxa"/>
            <w:gridSpan w:val="3"/>
            <w:tcBorders>
              <w:top w:val="single" w:color="000000" w:sz="4" w:space="0"/>
              <w:left w:val="single" w:color="000000" w:sz="4" w:space="0"/>
              <w:bottom w:val="single" w:color="000000" w:sz="4" w:space="0"/>
              <w:right w:val="single" w:color="000000" w:sz="4" w:space="0"/>
            </w:tcBorders>
            <w:noWrap/>
            <w:vAlign w:val="center"/>
          </w:tcPr>
          <w:p w14:paraId="324F79FD">
            <w:pPr>
              <w:pStyle w:val="15"/>
              <w:keepNext/>
              <w:jc w:val="center"/>
              <w:rPr>
                <w:rFonts w:hAnsi="宋体"/>
                <w:highlight w:val="none"/>
              </w:rPr>
            </w:pPr>
            <w:r>
              <w:rPr>
                <w:rFonts w:hint="eastAsia" w:hAnsi="宋体"/>
                <w:highlight w:val="none"/>
              </w:rPr>
              <w:t>项目名称</w:t>
            </w:r>
          </w:p>
        </w:tc>
        <w:tc>
          <w:tcPr>
            <w:tcW w:w="2978" w:type="dxa"/>
            <w:gridSpan w:val="4"/>
            <w:tcBorders>
              <w:top w:val="single" w:color="000000" w:sz="4" w:space="0"/>
              <w:left w:val="single" w:color="000000" w:sz="4" w:space="0"/>
              <w:bottom w:val="single" w:color="000000" w:sz="4" w:space="0"/>
              <w:right w:val="single" w:color="000000" w:sz="4" w:space="0"/>
            </w:tcBorders>
            <w:noWrap/>
            <w:vAlign w:val="center"/>
          </w:tcPr>
          <w:p w14:paraId="67474BA1">
            <w:pPr>
              <w:pStyle w:val="15"/>
              <w:keepNext/>
              <w:jc w:val="center"/>
              <w:rPr>
                <w:rFonts w:hAnsi="宋体"/>
                <w:highlight w:val="none"/>
              </w:rPr>
            </w:pPr>
            <w:r>
              <w:rPr>
                <w:rFonts w:hint="eastAsia" w:hAnsi="宋体"/>
                <w:highlight w:val="none"/>
              </w:rPr>
              <w:t>项目服务周期</w:t>
            </w:r>
          </w:p>
        </w:tc>
        <w:tc>
          <w:tcPr>
            <w:tcW w:w="2270" w:type="dxa"/>
            <w:gridSpan w:val="2"/>
            <w:tcBorders>
              <w:top w:val="single" w:color="000000" w:sz="4" w:space="0"/>
              <w:left w:val="single" w:color="000000" w:sz="4" w:space="0"/>
              <w:bottom w:val="single" w:color="000000" w:sz="4" w:space="0"/>
              <w:right w:val="single" w:color="000000" w:sz="4" w:space="0"/>
            </w:tcBorders>
            <w:noWrap/>
            <w:vAlign w:val="center"/>
          </w:tcPr>
          <w:p w14:paraId="1F9659DE">
            <w:pPr>
              <w:pStyle w:val="15"/>
              <w:keepNext/>
              <w:jc w:val="center"/>
              <w:rPr>
                <w:rFonts w:hAnsi="宋体"/>
                <w:highlight w:val="none"/>
              </w:rPr>
            </w:pPr>
            <w:r>
              <w:rPr>
                <w:rFonts w:hint="eastAsia" w:hAnsi="宋体"/>
                <w:highlight w:val="none"/>
              </w:rPr>
              <w:t>担负的技术职务</w:t>
            </w:r>
          </w:p>
        </w:tc>
        <w:tc>
          <w:tcPr>
            <w:tcW w:w="1401" w:type="dxa"/>
            <w:tcBorders>
              <w:top w:val="single" w:color="000000" w:sz="4" w:space="0"/>
              <w:left w:val="single" w:color="000000" w:sz="4" w:space="0"/>
              <w:bottom w:val="single" w:color="000000" w:sz="4" w:space="0"/>
              <w:right w:val="single" w:color="000000" w:sz="4" w:space="0"/>
            </w:tcBorders>
            <w:noWrap/>
            <w:vAlign w:val="center"/>
          </w:tcPr>
          <w:p w14:paraId="4FC2E4C5">
            <w:pPr>
              <w:pStyle w:val="15"/>
              <w:keepNext/>
              <w:jc w:val="center"/>
              <w:rPr>
                <w:rFonts w:hAnsi="宋体"/>
                <w:highlight w:val="none"/>
              </w:rPr>
            </w:pPr>
            <w:r>
              <w:rPr>
                <w:rFonts w:hint="eastAsia" w:hAnsi="宋体"/>
                <w:highlight w:val="none"/>
              </w:rPr>
              <w:t>获奖情况</w:t>
            </w:r>
          </w:p>
        </w:tc>
      </w:tr>
      <w:tr w14:paraId="343E0769">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514" w:hRule="atLeast"/>
          <w:jc w:val="center"/>
        </w:trPr>
        <w:tc>
          <w:tcPr>
            <w:tcW w:w="3251" w:type="dxa"/>
            <w:gridSpan w:val="3"/>
            <w:tcBorders>
              <w:top w:val="single" w:color="000000" w:sz="4" w:space="0"/>
              <w:left w:val="single" w:color="000000" w:sz="4" w:space="0"/>
              <w:bottom w:val="single" w:color="000000" w:sz="4" w:space="0"/>
              <w:right w:val="single" w:color="000000" w:sz="4" w:space="0"/>
            </w:tcBorders>
            <w:noWrap/>
            <w:vAlign w:val="center"/>
          </w:tcPr>
          <w:p w14:paraId="3022F56F">
            <w:pPr>
              <w:pStyle w:val="15"/>
              <w:keepNext/>
              <w:jc w:val="center"/>
              <w:rPr>
                <w:rFonts w:hAnsi="宋体"/>
                <w:highlight w:val="none"/>
              </w:rPr>
            </w:pPr>
          </w:p>
        </w:tc>
        <w:tc>
          <w:tcPr>
            <w:tcW w:w="2978" w:type="dxa"/>
            <w:gridSpan w:val="4"/>
            <w:tcBorders>
              <w:top w:val="single" w:color="000000" w:sz="4" w:space="0"/>
              <w:left w:val="single" w:color="000000" w:sz="4" w:space="0"/>
              <w:bottom w:val="single" w:color="000000" w:sz="4" w:space="0"/>
              <w:right w:val="single" w:color="000000" w:sz="4" w:space="0"/>
            </w:tcBorders>
            <w:noWrap/>
            <w:vAlign w:val="center"/>
          </w:tcPr>
          <w:p w14:paraId="03136F81">
            <w:pPr>
              <w:pStyle w:val="15"/>
              <w:keepNext/>
              <w:jc w:val="center"/>
              <w:rPr>
                <w:rFonts w:hAnsi="宋体"/>
                <w:highlight w:val="none"/>
              </w:rPr>
            </w:pPr>
          </w:p>
        </w:tc>
        <w:tc>
          <w:tcPr>
            <w:tcW w:w="2270" w:type="dxa"/>
            <w:gridSpan w:val="2"/>
            <w:tcBorders>
              <w:top w:val="single" w:color="000000" w:sz="4" w:space="0"/>
              <w:left w:val="single" w:color="000000" w:sz="4" w:space="0"/>
              <w:bottom w:val="single" w:color="000000" w:sz="4" w:space="0"/>
              <w:right w:val="single" w:color="000000" w:sz="4" w:space="0"/>
            </w:tcBorders>
            <w:noWrap/>
            <w:vAlign w:val="center"/>
          </w:tcPr>
          <w:p w14:paraId="34EE8EFE">
            <w:pPr>
              <w:pStyle w:val="15"/>
              <w:keepNext/>
              <w:jc w:val="center"/>
              <w:rPr>
                <w:rFonts w:hAnsi="宋体"/>
                <w:highlight w:val="none"/>
              </w:rPr>
            </w:pPr>
          </w:p>
        </w:tc>
        <w:tc>
          <w:tcPr>
            <w:tcW w:w="1401" w:type="dxa"/>
            <w:tcBorders>
              <w:top w:val="single" w:color="000000" w:sz="4" w:space="0"/>
              <w:left w:val="single" w:color="000000" w:sz="4" w:space="0"/>
              <w:bottom w:val="single" w:color="000000" w:sz="4" w:space="0"/>
              <w:right w:val="single" w:color="000000" w:sz="4" w:space="0"/>
            </w:tcBorders>
            <w:noWrap/>
            <w:vAlign w:val="center"/>
          </w:tcPr>
          <w:p w14:paraId="409FB098">
            <w:pPr>
              <w:pStyle w:val="15"/>
              <w:keepNext/>
              <w:jc w:val="center"/>
              <w:rPr>
                <w:rFonts w:hAnsi="宋体"/>
                <w:highlight w:val="none"/>
              </w:rPr>
            </w:pPr>
          </w:p>
        </w:tc>
      </w:tr>
      <w:tr w14:paraId="11E0AF68">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514" w:hRule="atLeast"/>
          <w:jc w:val="center"/>
        </w:trPr>
        <w:tc>
          <w:tcPr>
            <w:tcW w:w="3251" w:type="dxa"/>
            <w:gridSpan w:val="3"/>
            <w:tcBorders>
              <w:top w:val="single" w:color="000000" w:sz="4" w:space="0"/>
              <w:left w:val="single" w:color="000000" w:sz="4" w:space="0"/>
              <w:bottom w:val="single" w:color="000000" w:sz="4" w:space="0"/>
              <w:right w:val="single" w:color="000000" w:sz="4" w:space="0"/>
            </w:tcBorders>
            <w:noWrap/>
            <w:vAlign w:val="center"/>
          </w:tcPr>
          <w:p w14:paraId="62E3EF6E">
            <w:pPr>
              <w:pStyle w:val="15"/>
              <w:keepNext/>
              <w:jc w:val="center"/>
              <w:rPr>
                <w:rFonts w:hAnsi="宋体"/>
                <w:highlight w:val="none"/>
              </w:rPr>
            </w:pPr>
          </w:p>
        </w:tc>
        <w:tc>
          <w:tcPr>
            <w:tcW w:w="2978" w:type="dxa"/>
            <w:gridSpan w:val="4"/>
            <w:tcBorders>
              <w:top w:val="single" w:color="000000" w:sz="4" w:space="0"/>
              <w:left w:val="single" w:color="000000" w:sz="4" w:space="0"/>
              <w:bottom w:val="single" w:color="000000" w:sz="4" w:space="0"/>
              <w:right w:val="single" w:color="000000" w:sz="4" w:space="0"/>
            </w:tcBorders>
            <w:noWrap/>
            <w:vAlign w:val="center"/>
          </w:tcPr>
          <w:p w14:paraId="6F55DDEC">
            <w:pPr>
              <w:pStyle w:val="15"/>
              <w:keepNext/>
              <w:jc w:val="center"/>
              <w:rPr>
                <w:rFonts w:hAnsi="宋体"/>
                <w:highlight w:val="none"/>
              </w:rPr>
            </w:pPr>
          </w:p>
        </w:tc>
        <w:tc>
          <w:tcPr>
            <w:tcW w:w="2270" w:type="dxa"/>
            <w:gridSpan w:val="2"/>
            <w:tcBorders>
              <w:top w:val="single" w:color="000000" w:sz="4" w:space="0"/>
              <w:left w:val="single" w:color="000000" w:sz="4" w:space="0"/>
              <w:bottom w:val="single" w:color="000000" w:sz="4" w:space="0"/>
              <w:right w:val="single" w:color="000000" w:sz="4" w:space="0"/>
            </w:tcBorders>
            <w:noWrap/>
            <w:vAlign w:val="center"/>
          </w:tcPr>
          <w:p w14:paraId="28272E85">
            <w:pPr>
              <w:pStyle w:val="15"/>
              <w:keepNext/>
              <w:jc w:val="center"/>
              <w:rPr>
                <w:rFonts w:hAnsi="宋体"/>
                <w:highlight w:val="none"/>
              </w:rPr>
            </w:pPr>
          </w:p>
        </w:tc>
        <w:tc>
          <w:tcPr>
            <w:tcW w:w="1401" w:type="dxa"/>
            <w:tcBorders>
              <w:top w:val="single" w:color="000000" w:sz="4" w:space="0"/>
              <w:left w:val="single" w:color="000000" w:sz="4" w:space="0"/>
              <w:bottom w:val="single" w:color="000000" w:sz="4" w:space="0"/>
              <w:right w:val="single" w:color="000000" w:sz="4" w:space="0"/>
            </w:tcBorders>
            <w:noWrap/>
            <w:vAlign w:val="center"/>
          </w:tcPr>
          <w:p w14:paraId="0EB96E94">
            <w:pPr>
              <w:pStyle w:val="15"/>
              <w:keepNext/>
              <w:jc w:val="center"/>
              <w:rPr>
                <w:rFonts w:hAnsi="宋体"/>
                <w:highlight w:val="none"/>
              </w:rPr>
            </w:pPr>
          </w:p>
        </w:tc>
      </w:tr>
      <w:tr w14:paraId="64E396BF">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514" w:hRule="atLeast"/>
          <w:jc w:val="center"/>
        </w:trPr>
        <w:tc>
          <w:tcPr>
            <w:tcW w:w="3251" w:type="dxa"/>
            <w:gridSpan w:val="3"/>
            <w:tcBorders>
              <w:top w:val="single" w:color="000000" w:sz="4" w:space="0"/>
              <w:left w:val="single" w:color="000000" w:sz="4" w:space="0"/>
              <w:bottom w:val="single" w:color="000000" w:sz="4" w:space="0"/>
              <w:right w:val="single" w:color="000000" w:sz="4" w:space="0"/>
            </w:tcBorders>
            <w:noWrap/>
            <w:vAlign w:val="center"/>
          </w:tcPr>
          <w:p w14:paraId="7F3189B6">
            <w:pPr>
              <w:pStyle w:val="15"/>
              <w:keepNext/>
              <w:jc w:val="center"/>
              <w:rPr>
                <w:rFonts w:hAnsi="宋体"/>
                <w:highlight w:val="none"/>
              </w:rPr>
            </w:pPr>
          </w:p>
        </w:tc>
        <w:tc>
          <w:tcPr>
            <w:tcW w:w="2978" w:type="dxa"/>
            <w:gridSpan w:val="4"/>
            <w:tcBorders>
              <w:top w:val="single" w:color="000000" w:sz="4" w:space="0"/>
              <w:left w:val="single" w:color="000000" w:sz="4" w:space="0"/>
              <w:bottom w:val="single" w:color="000000" w:sz="4" w:space="0"/>
              <w:right w:val="single" w:color="000000" w:sz="4" w:space="0"/>
            </w:tcBorders>
            <w:noWrap/>
            <w:vAlign w:val="center"/>
          </w:tcPr>
          <w:p w14:paraId="72D04C00">
            <w:pPr>
              <w:pStyle w:val="15"/>
              <w:keepNext/>
              <w:jc w:val="center"/>
              <w:rPr>
                <w:rFonts w:hAnsi="宋体"/>
                <w:highlight w:val="none"/>
              </w:rPr>
            </w:pPr>
          </w:p>
        </w:tc>
        <w:tc>
          <w:tcPr>
            <w:tcW w:w="2270" w:type="dxa"/>
            <w:gridSpan w:val="2"/>
            <w:tcBorders>
              <w:top w:val="single" w:color="000000" w:sz="4" w:space="0"/>
              <w:left w:val="single" w:color="000000" w:sz="4" w:space="0"/>
              <w:bottom w:val="single" w:color="000000" w:sz="4" w:space="0"/>
              <w:right w:val="single" w:color="000000" w:sz="4" w:space="0"/>
            </w:tcBorders>
            <w:noWrap/>
            <w:vAlign w:val="center"/>
          </w:tcPr>
          <w:p w14:paraId="6D3EF15F">
            <w:pPr>
              <w:pStyle w:val="15"/>
              <w:keepNext/>
              <w:jc w:val="center"/>
              <w:rPr>
                <w:rFonts w:hAnsi="宋体"/>
                <w:highlight w:val="none"/>
              </w:rPr>
            </w:pPr>
          </w:p>
        </w:tc>
        <w:tc>
          <w:tcPr>
            <w:tcW w:w="1401" w:type="dxa"/>
            <w:tcBorders>
              <w:top w:val="single" w:color="000000" w:sz="4" w:space="0"/>
              <w:left w:val="single" w:color="000000" w:sz="4" w:space="0"/>
              <w:bottom w:val="single" w:color="000000" w:sz="4" w:space="0"/>
              <w:right w:val="single" w:color="000000" w:sz="4" w:space="0"/>
            </w:tcBorders>
            <w:noWrap/>
            <w:vAlign w:val="center"/>
          </w:tcPr>
          <w:p w14:paraId="2E8844BC">
            <w:pPr>
              <w:pStyle w:val="15"/>
              <w:keepNext/>
              <w:jc w:val="center"/>
              <w:rPr>
                <w:rFonts w:hAnsi="宋体"/>
                <w:highlight w:val="none"/>
              </w:rPr>
            </w:pPr>
          </w:p>
        </w:tc>
      </w:tr>
      <w:tr w14:paraId="4905F1EF">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514" w:hRule="atLeast"/>
          <w:jc w:val="center"/>
        </w:trPr>
        <w:tc>
          <w:tcPr>
            <w:tcW w:w="3251" w:type="dxa"/>
            <w:gridSpan w:val="3"/>
            <w:tcBorders>
              <w:top w:val="single" w:color="000000" w:sz="4" w:space="0"/>
              <w:left w:val="single" w:color="000000" w:sz="4" w:space="0"/>
              <w:bottom w:val="single" w:color="000000" w:sz="4" w:space="0"/>
              <w:right w:val="single" w:color="000000" w:sz="4" w:space="0"/>
            </w:tcBorders>
            <w:noWrap/>
            <w:vAlign w:val="center"/>
          </w:tcPr>
          <w:p w14:paraId="33CCB61C">
            <w:pPr>
              <w:pStyle w:val="15"/>
              <w:keepNext/>
              <w:jc w:val="center"/>
              <w:rPr>
                <w:rFonts w:hAnsi="宋体"/>
                <w:highlight w:val="none"/>
              </w:rPr>
            </w:pPr>
          </w:p>
        </w:tc>
        <w:tc>
          <w:tcPr>
            <w:tcW w:w="2978" w:type="dxa"/>
            <w:gridSpan w:val="4"/>
            <w:tcBorders>
              <w:top w:val="single" w:color="000000" w:sz="4" w:space="0"/>
              <w:left w:val="single" w:color="000000" w:sz="4" w:space="0"/>
              <w:bottom w:val="single" w:color="000000" w:sz="4" w:space="0"/>
              <w:right w:val="single" w:color="000000" w:sz="4" w:space="0"/>
            </w:tcBorders>
            <w:noWrap/>
            <w:vAlign w:val="center"/>
          </w:tcPr>
          <w:p w14:paraId="256C5F66">
            <w:pPr>
              <w:pStyle w:val="15"/>
              <w:keepNext/>
              <w:jc w:val="center"/>
              <w:rPr>
                <w:rFonts w:hAnsi="宋体"/>
                <w:highlight w:val="none"/>
              </w:rPr>
            </w:pPr>
          </w:p>
        </w:tc>
        <w:tc>
          <w:tcPr>
            <w:tcW w:w="2270" w:type="dxa"/>
            <w:gridSpan w:val="2"/>
            <w:tcBorders>
              <w:top w:val="single" w:color="000000" w:sz="4" w:space="0"/>
              <w:left w:val="single" w:color="000000" w:sz="4" w:space="0"/>
              <w:bottom w:val="single" w:color="000000" w:sz="4" w:space="0"/>
              <w:right w:val="single" w:color="000000" w:sz="4" w:space="0"/>
            </w:tcBorders>
            <w:noWrap/>
            <w:vAlign w:val="center"/>
          </w:tcPr>
          <w:p w14:paraId="7802066B">
            <w:pPr>
              <w:pStyle w:val="15"/>
              <w:keepNext/>
              <w:jc w:val="center"/>
              <w:rPr>
                <w:rFonts w:hAnsi="宋体"/>
                <w:highlight w:val="none"/>
              </w:rPr>
            </w:pPr>
          </w:p>
        </w:tc>
        <w:tc>
          <w:tcPr>
            <w:tcW w:w="1401" w:type="dxa"/>
            <w:tcBorders>
              <w:top w:val="single" w:color="000000" w:sz="4" w:space="0"/>
              <w:left w:val="single" w:color="000000" w:sz="4" w:space="0"/>
              <w:bottom w:val="single" w:color="000000" w:sz="4" w:space="0"/>
              <w:right w:val="single" w:color="000000" w:sz="4" w:space="0"/>
            </w:tcBorders>
            <w:noWrap/>
            <w:vAlign w:val="center"/>
          </w:tcPr>
          <w:p w14:paraId="096A5278">
            <w:pPr>
              <w:pStyle w:val="15"/>
              <w:keepNext/>
              <w:jc w:val="center"/>
              <w:rPr>
                <w:rFonts w:hAnsi="宋体"/>
                <w:highlight w:val="none"/>
              </w:rPr>
            </w:pPr>
          </w:p>
        </w:tc>
      </w:tr>
      <w:tr w14:paraId="13C61E41">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514" w:hRule="atLeast"/>
          <w:jc w:val="center"/>
        </w:trPr>
        <w:tc>
          <w:tcPr>
            <w:tcW w:w="9900" w:type="dxa"/>
            <w:gridSpan w:val="10"/>
            <w:tcBorders>
              <w:top w:val="single" w:color="000000" w:sz="4" w:space="0"/>
              <w:left w:val="single" w:color="000000" w:sz="4" w:space="0"/>
              <w:bottom w:val="single" w:color="000000" w:sz="4" w:space="0"/>
              <w:right w:val="single" w:color="000000" w:sz="4" w:space="0"/>
            </w:tcBorders>
            <w:noWrap/>
            <w:vAlign w:val="center"/>
          </w:tcPr>
          <w:p w14:paraId="29778CBC">
            <w:pPr>
              <w:pStyle w:val="15"/>
              <w:keepNext/>
              <w:rPr>
                <w:rFonts w:hAnsi="宋体"/>
                <w:highlight w:val="none"/>
              </w:rPr>
            </w:pPr>
            <w:r>
              <w:rPr>
                <w:rFonts w:hint="eastAsia" w:hAnsi="宋体"/>
                <w:highlight w:val="none"/>
              </w:rPr>
              <w:t>简介：</w:t>
            </w:r>
          </w:p>
          <w:p w14:paraId="110B50F1">
            <w:pPr>
              <w:pStyle w:val="15"/>
              <w:keepNext/>
              <w:jc w:val="center"/>
              <w:rPr>
                <w:rFonts w:hAnsi="宋体"/>
                <w:highlight w:val="none"/>
              </w:rPr>
            </w:pPr>
          </w:p>
          <w:p w14:paraId="2188C65D">
            <w:pPr>
              <w:pStyle w:val="15"/>
              <w:keepNext/>
              <w:jc w:val="center"/>
              <w:rPr>
                <w:rFonts w:hAnsi="宋体"/>
                <w:highlight w:val="none"/>
              </w:rPr>
            </w:pPr>
          </w:p>
          <w:p w14:paraId="2A3BD70F">
            <w:pPr>
              <w:pStyle w:val="15"/>
              <w:keepNext/>
              <w:jc w:val="center"/>
              <w:rPr>
                <w:rFonts w:hAnsi="宋体"/>
                <w:highlight w:val="none"/>
              </w:rPr>
            </w:pPr>
          </w:p>
          <w:p w14:paraId="3C5A0831">
            <w:pPr>
              <w:pStyle w:val="15"/>
              <w:keepNext/>
              <w:jc w:val="center"/>
              <w:rPr>
                <w:rFonts w:hAnsi="宋体"/>
                <w:highlight w:val="none"/>
              </w:rPr>
            </w:pPr>
          </w:p>
          <w:p w14:paraId="21F12074">
            <w:pPr>
              <w:pStyle w:val="15"/>
              <w:keepNext/>
              <w:rPr>
                <w:rFonts w:hAnsi="宋体"/>
                <w:highlight w:val="none"/>
              </w:rPr>
            </w:pPr>
          </w:p>
        </w:tc>
      </w:tr>
    </w:tbl>
    <w:p w14:paraId="6310C7CE">
      <w:pPr>
        <w:keepNext/>
        <w:spacing w:line="360" w:lineRule="auto"/>
        <w:ind w:left="-178" w:leftChars="-85" w:firstLine="420" w:firstLineChars="200"/>
        <w:jc w:val="left"/>
        <w:rPr>
          <w:rFonts w:ascii="宋体" w:hAnsi="宋体" w:eastAsia="宋体" w:cs="宋体"/>
          <w:szCs w:val="21"/>
          <w:highlight w:val="none"/>
        </w:rPr>
      </w:pPr>
      <w:r>
        <w:rPr>
          <w:rFonts w:hint="eastAsia" w:ascii="宋体" w:hAnsi="宋体" w:eastAsia="宋体" w:cs="宋体"/>
          <w:szCs w:val="21"/>
          <w:highlight w:val="none"/>
        </w:rPr>
        <w:t>注：附项目负责人学历证、</w:t>
      </w:r>
      <w:r>
        <w:rPr>
          <w:rFonts w:hint="eastAsia" w:ascii="宋体" w:hAnsi="宋体" w:eastAsia="宋体" w:cs="宋体"/>
          <w:bCs/>
          <w:szCs w:val="21"/>
          <w:highlight w:val="none"/>
        </w:rPr>
        <w:t>职称证（如有）、</w:t>
      </w:r>
      <w:r>
        <w:rPr>
          <w:rFonts w:hint="eastAsia" w:ascii="宋体" w:hAnsi="宋体" w:eastAsia="宋体" w:cs="宋体"/>
          <w:szCs w:val="21"/>
          <w:highlight w:val="none"/>
        </w:rPr>
        <w:t>执业或职业或注册资格证书（如有）、身份证、人员在职证明材料（如近半年内的社保证明或劳动合同、事业单位聘用证明材料等）、项目负责人2023年以来类似项目实施经验证明材料【合同协议书或业主评价意见或验收（履约）证明材料】、相关荣誉（如有）等相关资料复印件。</w:t>
      </w:r>
    </w:p>
    <w:p w14:paraId="09EAFD0B">
      <w:pPr>
        <w:keepNext/>
        <w:spacing w:before="60" w:after="60" w:line="340" w:lineRule="exact"/>
        <w:ind w:hanging="35"/>
        <w:rPr>
          <w:rFonts w:ascii="宋体" w:hAnsi="宋体" w:eastAsia="宋体" w:cs="宋体"/>
          <w:szCs w:val="21"/>
          <w:highlight w:val="none"/>
        </w:rPr>
      </w:pPr>
    </w:p>
    <w:p w14:paraId="7BD48242">
      <w:pPr>
        <w:spacing w:line="460" w:lineRule="exact"/>
        <w:ind w:firstLine="279" w:firstLineChars="133"/>
        <w:rPr>
          <w:rFonts w:ascii="宋体" w:hAnsi="宋体" w:eastAsia="宋体" w:cs="宋体"/>
          <w:szCs w:val="21"/>
          <w:highlight w:val="none"/>
        </w:rPr>
      </w:pPr>
      <w:r>
        <w:rPr>
          <w:rFonts w:hint="eastAsia" w:ascii="宋体" w:hAnsi="宋体" w:eastAsia="宋体" w:cs="宋体"/>
          <w:szCs w:val="21"/>
          <w:highlight w:val="none"/>
        </w:rPr>
        <w:t>磋商申请人：</w:t>
      </w:r>
      <w:r>
        <w:rPr>
          <w:rFonts w:hint="eastAsia" w:ascii="宋体" w:hAnsi="宋体" w:eastAsia="宋体" w:cs="宋体"/>
          <w:szCs w:val="21"/>
          <w:highlight w:val="none"/>
          <w:u w:val="single"/>
        </w:rPr>
        <w:t xml:space="preserve">        （全称）      </w:t>
      </w:r>
      <w:r>
        <w:rPr>
          <w:rFonts w:hint="eastAsia" w:ascii="宋体" w:hAnsi="宋体" w:eastAsia="宋体" w:cs="宋体"/>
          <w:szCs w:val="21"/>
          <w:highlight w:val="none"/>
        </w:rPr>
        <w:t>（加盖单位公章）</w:t>
      </w:r>
    </w:p>
    <w:p w14:paraId="3FE8F39A">
      <w:pPr>
        <w:spacing w:line="460" w:lineRule="exact"/>
        <w:ind w:firstLine="279" w:firstLineChars="133"/>
        <w:rPr>
          <w:rFonts w:ascii="宋体" w:hAnsi="宋体" w:eastAsia="宋体" w:cs="宋体"/>
          <w:szCs w:val="21"/>
          <w:highlight w:val="none"/>
        </w:rPr>
      </w:pPr>
      <w:r>
        <w:rPr>
          <w:rFonts w:hint="eastAsia" w:ascii="宋体" w:hAnsi="宋体" w:eastAsia="宋体" w:cs="宋体"/>
          <w:szCs w:val="21"/>
          <w:highlight w:val="none"/>
        </w:rPr>
        <w:t>法定代表人（负责人）或委托代理人：</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（签字或加盖个人印章）</w:t>
      </w:r>
    </w:p>
    <w:p w14:paraId="5D75BC01">
      <w:pPr>
        <w:spacing w:line="460" w:lineRule="exact"/>
        <w:ind w:firstLine="279" w:firstLineChars="133"/>
        <w:rPr>
          <w:rFonts w:ascii="宋体" w:hAnsi="宋体" w:eastAsia="宋体" w:cs="宋体"/>
          <w:highlight w:val="none"/>
        </w:rPr>
      </w:pPr>
      <w:r>
        <w:rPr>
          <w:rFonts w:hint="eastAsia" w:ascii="宋体" w:hAnsi="宋体" w:eastAsia="宋体" w:cs="宋体"/>
          <w:szCs w:val="21"/>
          <w:highlight w:val="none"/>
        </w:rPr>
        <w:t>日期：</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年</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月</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日</w:t>
      </w:r>
    </w:p>
    <w:p w14:paraId="4E600588">
      <w:pPr>
        <w:spacing w:line="360" w:lineRule="auto"/>
        <w:ind w:firstLine="420" w:firstLineChars="200"/>
        <w:rPr>
          <w:rFonts w:ascii="宋体" w:hAnsi="宋体" w:eastAsia="宋体" w:cs="宋体"/>
          <w:szCs w:val="21"/>
          <w:highlight w:val="none"/>
        </w:rPr>
      </w:pPr>
    </w:p>
    <w:p w14:paraId="26BE5995">
      <w:pPr>
        <w:ind w:firstLine="482" w:firstLineChars="200"/>
        <w:rPr>
          <w:rFonts w:ascii="宋体" w:hAnsi="宋体" w:eastAsia="宋体" w:cs="宋体"/>
          <w:b/>
          <w:sz w:val="24"/>
          <w:szCs w:val="24"/>
          <w:highlight w:val="none"/>
        </w:rPr>
      </w:pPr>
      <w:r>
        <w:rPr>
          <w:rFonts w:hint="eastAsia" w:ascii="宋体" w:hAnsi="宋体" w:eastAsia="宋体" w:cs="宋体"/>
          <w:b/>
          <w:sz w:val="24"/>
          <w:szCs w:val="24"/>
          <w:highlight w:val="none"/>
        </w:rPr>
        <w:br w:type="page"/>
      </w:r>
    </w:p>
    <w:p w14:paraId="62237351">
      <w:pPr>
        <w:pStyle w:val="41"/>
        <w:jc w:val="center"/>
        <w:rPr>
          <w:rFonts w:ascii="宋体" w:hAnsi="宋体" w:cs="宋体"/>
          <w:b/>
          <w:sz w:val="24"/>
          <w:szCs w:val="24"/>
          <w:highlight w:val="none"/>
        </w:rPr>
      </w:pPr>
      <w:r>
        <w:rPr>
          <w:rFonts w:hint="eastAsia" w:ascii="宋体" w:hAnsi="宋体" w:cs="宋体"/>
          <w:b/>
          <w:sz w:val="24"/>
          <w:szCs w:val="24"/>
          <w:highlight w:val="none"/>
        </w:rPr>
        <w:t>5.4项目团队技术人员情况表</w:t>
      </w:r>
    </w:p>
    <w:p w14:paraId="599EF1B0">
      <w:pPr>
        <w:pStyle w:val="41"/>
        <w:jc w:val="center"/>
        <w:rPr>
          <w:rFonts w:ascii="宋体" w:hAnsi="宋体" w:cs="宋体"/>
          <w:b/>
          <w:sz w:val="24"/>
          <w:szCs w:val="24"/>
          <w:highlight w:val="none"/>
        </w:rPr>
      </w:pPr>
    </w:p>
    <w:p w14:paraId="41896E68">
      <w:pPr>
        <w:pStyle w:val="41"/>
        <w:rPr>
          <w:rFonts w:ascii="宋体" w:hAnsi="宋体" w:cs="宋体"/>
          <w:b/>
          <w:sz w:val="24"/>
          <w:szCs w:val="24"/>
          <w:highlight w:val="none"/>
        </w:rPr>
      </w:pPr>
    </w:p>
    <w:tbl>
      <w:tblPr>
        <w:tblStyle w:val="27"/>
        <w:tblW w:w="9759" w:type="dxa"/>
        <w:jc w:val="center"/>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
      <w:tblGrid>
        <w:gridCol w:w="1149"/>
        <w:gridCol w:w="1665"/>
        <w:gridCol w:w="1203"/>
        <w:gridCol w:w="1573"/>
        <w:gridCol w:w="1825"/>
        <w:gridCol w:w="2344"/>
      </w:tblGrid>
      <w:tr w14:paraId="78B5F91C">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795" w:hRule="atLeast"/>
          <w:jc w:val="center"/>
        </w:trPr>
        <w:tc>
          <w:tcPr>
            <w:tcW w:w="1149" w:type="dxa"/>
            <w:tcBorders>
              <w:top w:val="single" w:color="000000" w:sz="4" w:space="0"/>
              <w:left w:val="single" w:color="000000" w:sz="4" w:space="0"/>
              <w:bottom w:val="single" w:color="000000" w:sz="4" w:space="0"/>
              <w:right w:val="single" w:color="000000" w:sz="4" w:space="0"/>
            </w:tcBorders>
            <w:noWrap/>
            <w:vAlign w:val="center"/>
          </w:tcPr>
          <w:p w14:paraId="15EDDFF2">
            <w:pPr>
              <w:pStyle w:val="15"/>
              <w:jc w:val="center"/>
              <w:rPr>
                <w:rFonts w:hAnsi="宋体"/>
                <w:highlight w:val="none"/>
              </w:rPr>
            </w:pPr>
            <w:r>
              <w:rPr>
                <w:rFonts w:hint="eastAsia" w:hAnsi="宋体"/>
                <w:highlight w:val="none"/>
              </w:rPr>
              <w:t>名称</w:t>
            </w:r>
          </w:p>
        </w:tc>
        <w:tc>
          <w:tcPr>
            <w:tcW w:w="1665" w:type="dxa"/>
            <w:tcBorders>
              <w:top w:val="single" w:color="000000" w:sz="4" w:space="0"/>
              <w:left w:val="single" w:color="000000" w:sz="4" w:space="0"/>
              <w:bottom w:val="single" w:color="000000" w:sz="4" w:space="0"/>
              <w:right w:val="single" w:color="auto" w:sz="4" w:space="0"/>
            </w:tcBorders>
            <w:noWrap/>
            <w:vAlign w:val="center"/>
          </w:tcPr>
          <w:p w14:paraId="2D641DD6">
            <w:pPr>
              <w:pStyle w:val="15"/>
              <w:jc w:val="center"/>
              <w:rPr>
                <w:rFonts w:hAnsi="宋体"/>
                <w:highlight w:val="none"/>
              </w:rPr>
            </w:pPr>
            <w:r>
              <w:rPr>
                <w:rFonts w:hint="eastAsia" w:hAnsi="宋体"/>
                <w:highlight w:val="none"/>
              </w:rPr>
              <w:t>在本项目担任的职务和技术分工情况</w:t>
            </w:r>
          </w:p>
        </w:tc>
        <w:tc>
          <w:tcPr>
            <w:tcW w:w="1203" w:type="dxa"/>
            <w:tcBorders>
              <w:top w:val="single" w:color="000000" w:sz="4" w:space="0"/>
              <w:left w:val="single" w:color="auto" w:sz="4" w:space="0"/>
              <w:bottom w:val="single" w:color="000000" w:sz="4" w:space="0"/>
              <w:right w:val="single" w:color="000000" w:sz="4" w:space="0"/>
            </w:tcBorders>
            <w:noWrap/>
            <w:vAlign w:val="center"/>
          </w:tcPr>
          <w:p w14:paraId="584DE6CA">
            <w:pPr>
              <w:pStyle w:val="15"/>
              <w:jc w:val="center"/>
              <w:rPr>
                <w:rFonts w:hAnsi="宋体"/>
                <w:highlight w:val="none"/>
              </w:rPr>
            </w:pPr>
            <w:r>
              <w:rPr>
                <w:rFonts w:hint="eastAsia" w:hAnsi="宋体"/>
                <w:highlight w:val="none"/>
              </w:rPr>
              <w:t>姓名</w:t>
            </w:r>
          </w:p>
        </w:tc>
        <w:tc>
          <w:tcPr>
            <w:tcW w:w="1573" w:type="dxa"/>
            <w:tcBorders>
              <w:top w:val="single" w:color="000000" w:sz="4" w:space="0"/>
              <w:left w:val="single" w:color="000000" w:sz="4" w:space="0"/>
              <w:bottom w:val="single" w:color="000000" w:sz="4" w:space="0"/>
              <w:right w:val="single" w:color="000000" w:sz="4" w:space="0"/>
            </w:tcBorders>
            <w:noWrap/>
            <w:vAlign w:val="center"/>
          </w:tcPr>
          <w:p w14:paraId="7D09C765">
            <w:pPr>
              <w:pStyle w:val="15"/>
              <w:jc w:val="center"/>
              <w:rPr>
                <w:rFonts w:hAnsi="宋体"/>
                <w:highlight w:val="none"/>
              </w:rPr>
            </w:pPr>
            <w:r>
              <w:rPr>
                <w:rFonts w:hint="eastAsia" w:hAnsi="宋体"/>
                <w:highlight w:val="none"/>
              </w:rPr>
              <w:t>性别及年龄</w:t>
            </w:r>
          </w:p>
        </w:tc>
        <w:tc>
          <w:tcPr>
            <w:tcW w:w="1825" w:type="dxa"/>
            <w:tcBorders>
              <w:top w:val="single" w:color="000000" w:sz="4" w:space="0"/>
              <w:left w:val="single" w:color="000000" w:sz="4" w:space="0"/>
              <w:bottom w:val="single" w:color="000000" w:sz="4" w:space="0"/>
              <w:right w:val="single" w:color="000000" w:sz="4" w:space="0"/>
            </w:tcBorders>
            <w:noWrap/>
            <w:vAlign w:val="center"/>
          </w:tcPr>
          <w:p w14:paraId="12E6A4F4">
            <w:pPr>
              <w:pStyle w:val="15"/>
              <w:jc w:val="center"/>
              <w:rPr>
                <w:rFonts w:hAnsi="宋体"/>
                <w:highlight w:val="none"/>
              </w:rPr>
            </w:pPr>
            <w:r>
              <w:rPr>
                <w:rFonts w:hint="eastAsia" w:hAnsi="宋体"/>
                <w:highlight w:val="none"/>
              </w:rPr>
              <w:t>职称或执业证书或相关证书情况</w:t>
            </w:r>
          </w:p>
        </w:tc>
        <w:tc>
          <w:tcPr>
            <w:tcW w:w="2344" w:type="dxa"/>
            <w:tcBorders>
              <w:top w:val="single" w:color="000000" w:sz="4" w:space="0"/>
              <w:left w:val="single" w:color="auto" w:sz="4" w:space="0"/>
              <w:bottom w:val="single" w:color="000000" w:sz="4" w:space="0"/>
              <w:right w:val="single" w:color="000000" w:sz="4" w:space="0"/>
            </w:tcBorders>
            <w:noWrap/>
            <w:vAlign w:val="center"/>
          </w:tcPr>
          <w:p w14:paraId="1B9748AA">
            <w:pPr>
              <w:pStyle w:val="15"/>
              <w:rPr>
                <w:rFonts w:hAnsi="宋体"/>
                <w:highlight w:val="none"/>
              </w:rPr>
            </w:pPr>
            <w:r>
              <w:rPr>
                <w:rFonts w:hint="eastAsia" w:hAnsi="宋体"/>
                <w:highlight w:val="none"/>
              </w:rPr>
              <w:t>简介：主要资历、经验及承担过的项目等</w:t>
            </w:r>
          </w:p>
        </w:tc>
      </w:tr>
      <w:tr w14:paraId="19D1B99D">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1149" w:type="dxa"/>
            <w:vMerge w:val="restart"/>
            <w:tcBorders>
              <w:top w:val="single" w:color="000000" w:sz="4" w:space="0"/>
              <w:left w:val="single" w:color="000000" w:sz="4" w:space="0"/>
              <w:bottom w:val="single" w:color="000000" w:sz="4" w:space="0"/>
              <w:right w:val="single" w:color="000000" w:sz="4" w:space="0"/>
            </w:tcBorders>
            <w:noWrap/>
            <w:vAlign w:val="center"/>
          </w:tcPr>
          <w:p w14:paraId="155E9195">
            <w:pPr>
              <w:pStyle w:val="15"/>
              <w:jc w:val="center"/>
              <w:rPr>
                <w:rFonts w:hAnsi="宋体"/>
                <w:highlight w:val="none"/>
              </w:rPr>
            </w:pPr>
            <w:r>
              <w:rPr>
                <w:rFonts w:hint="eastAsia" w:hAnsi="宋体"/>
                <w:highlight w:val="none"/>
              </w:rPr>
              <w:t>各</w:t>
            </w:r>
          </w:p>
          <w:p w14:paraId="5330B180">
            <w:pPr>
              <w:pStyle w:val="15"/>
              <w:jc w:val="center"/>
              <w:rPr>
                <w:rFonts w:hAnsi="宋体"/>
                <w:highlight w:val="none"/>
              </w:rPr>
            </w:pPr>
            <w:r>
              <w:rPr>
                <w:rFonts w:hint="eastAsia" w:hAnsi="宋体"/>
                <w:highlight w:val="none"/>
              </w:rPr>
              <w:t>专</w:t>
            </w:r>
          </w:p>
          <w:p w14:paraId="139DA7BF">
            <w:pPr>
              <w:pStyle w:val="15"/>
              <w:jc w:val="center"/>
              <w:rPr>
                <w:rFonts w:hAnsi="宋体"/>
                <w:highlight w:val="none"/>
              </w:rPr>
            </w:pPr>
            <w:r>
              <w:rPr>
                <w:rFonts w:hint="eastAsia" w:hAnsi="宋体"/>
                <w:highlight w:val="none"/>
              </w:rPr>
              <w:t>业</w:t>
            </w:r>
          </w:p>
          <w:p w14:paraId="1E72E162">
            <w:pPr>
              <w:pStyle w:val="15"/>
              <w:jc w:val="center"/>
              <w:rPr>
                <w:rFonts w:hAnsi="宋体"/>
                <w:highlight w:val="none"/>
              </w:rPr>
            </w:pPr>
            <w:r>
              <w:rPr>
                <w:rFonts w:hint="eastAsia" w:hAnsi="宋体"/>
                <w:highlight w:val="none"/>
              </w:rPr>
              <w:t>主</w:t>
            </w:r>
          </w:p>
          <w:p w14:paraId="4F5CB0CD">
            <w:pPr>
              <w:pStyle w:val="15"/>
              <w:jc w:val="center"/>
              <w:rPr>
                <w:rFonts w:hAnsi="宋体"/>
                <w:highlight w:val="none"/>
              </w:rPr>
            </w:pPr>
            <w:r>
              <w:rPr>
                <w:rFonts w:hint="eastAsia" w:hAnsi="宋体"/>
                <w:highlight w:val="none"/>
              </w:rPr>
              <w:t>要</w:t>
            </w:r>
          </w:p>
          <w:p w14:paraId="63296623">
            <w:pPr>
              <w:pStyle w:val="15"/>
              <w:jc w:val="center"/>
              <w:rPr>
                <w:rFonts w:hAnsi="宋体"/>
                <w:highlight w:val="none"/>
              </w:rPr>
            </w:pPr>
            <w:r>
              <w:rPr>
                <w:rFonts w:hint="eastAsia" w:hAnsi="宋体"/>
                <w:highlight w:val="none"/>
              </w:rPr>
              <w:t>技</w:t>
            </w:r>
          </w:p>
          <w:p w14:paraId="4543038C">
            <w:pPr>
              <w:pStyle w:val="15"/>
              <w:jc w:val="center"/>
              <w:rPr>
                <w:rFonts w:hAnsi="宋体"/>
                <w:highlight w:val="none"/>
              </w:rPr>
            </w:pPr>
            <w:r>
              <w:rPr>
                <w:rFonts w:hint="eastAsia" w:hAnsi="宋体"/>
                <w:highlight w:val="none"/>
              </w:rPr>
              <w:t>术</w:t>
            </w:r>
          </w:p>
          <w:p w14:paraId="14090A9F">
            <w:pPr>
              <w:pStyle w:val="15"/>
              <w:jc w:val="center"/>
              <w:rPr>
                <w:rFonts w:hAnsi="宋体"/>
                <w:highlight w:val="none"/>
              </w:rPr>
            </w:pPr>
            <w:r>
              <w:rPr>
                <w:rFonts w:hint="eastAsia" w:hAnsi="宋体"/>
                <w:highlight w:val="none"/>
              </w:rPr>
              <w:t>负</w:t>
            </w:r>
          </w:p>
          <w:p w14:paraId="06C22812">
            <w:pPr>
              <w:pStyle w:val="15"/>
              <w:jc w:val="center"/>
              <w:rPr>
                <w:rFonts w:hAnsi="宋体"/>
                <w:highlight w:val="none"/>
              </w:rPr>
            </w:pPr>
            <w:r>
              <w:rPr>
                <w:rFonts w:hint="eastAsia" w:hAnsi="宋体"/>
                <w:highlight w:val="none"/>
              </w:rPr>
              <w:t>责</w:t>
            </w:r>
          </w:p>
          <w:p w14:paraId="5EB36C29">
            <w:pPr>
              <w:pStyle w:val="15"/>
              <w:jc w:val="center"/>
              <w:rPr>
                <w:rFonts w:hAnsi="宋体"/>
                <w:highlight w:val="none"/>
              </w:rPr>
            </w:pPr>
            <w:r>
              <w:rPr>
                <w:rFonts w:hint="eastAsia" w:hAnsi="宋体"/>
                <w:highlight w:val="none"/>
              </w:rPr>
              <w:t>人</w:t>
            </w:r>
          </w:p>
        </w:tc>
        <w:tc>
          <w:tcPr>
            <w:tcW w:w="1665" w:type="dxa"/>
            <w:tcBorders>
              <w:top w:val="single" w:color="000000" w:sz="4" w:space="0"/>
              <w:left w:val="single" w:color="000000" w:sz="4" w:space="0"/>
              <w:bottom w:val="single" w:color="000000" w:sz="4" w:space="0"/>
              <w:right w:val="single" w:color="auto" w:sz="4" w:space="0"/>
            </w:tcBorders>
            <w:noWrap/>
            <w:vAlign w:val="center"/>
          </w:tcPr>
          <w:p w14:paraId="73594B49">
            <w:pPr>
              <w:pStyle w:val="15"/>
              <w:jc w:val="center"/>
              <w:rPr>
                <w:rFonts w:hAnsi="宋体"/>
                <w:highlight w:val="none"/>
                <w:lang w:val="zh-CN"/>
              </w:rPr>
            </w:pPr>
          </w:p>
        </w:tc>
        <w:tc>
          <w:tcPr>
            <w:tcW w:w="1203" w:type="dxa"/>
            <w:tcBorders>
              <w:top w:val="single" w:color="000000" w:sz="4" w:space="0"/>
              <w:left w:val="single" w:color="auto" w:sz="4" w:space="0"/>
              <w:bottom w:val="single" w:color="000000" w:sz="4" w:space="0"/>
              <w:right w:val="single" w:color="000000" w:sz="4" w:space="0"/>
            </w:tcBorders>
            <w:noWrap/>
            <w:vAlign w:val="center"/>
          </w:tcPr>
          <w:p w14:paraId="2F6D926F">
            <w:pPr>
              <w:pStyle w:val="21"/>
              <w:ind w:right="210" w:firstLine="560"/>
              <w:jc w:val="center"/>
              <w:rPr>
                <w:rFonts w:ascii="宋体" w:hAnsi="宋体" w:eastAsia="宋体" w:cs="宋体"/>
                <w:szCs w:val="21"/>
                <w:highlight w:val="none"/>
                <w:lang w:val="zh-CN"/>
              </w:rPr>
            </w:pPr>
          </w:p>
        </w:tc>
        <w:tc>
          <w:tcPr>
            <w:tcW w:w="1573" w:type="dxa"/>
            <w:tcBorders>
              <w:top w:val="single" w:color="000000" w:sz="4" w:space="0"/>
              <w:left w:val="single" w:color="000000" w:sz="4" w:space="0"/>
              <w:bottom w:val="single" w:color="000000" w:sz="4" w:space="0"/>
              <w:right w:val="single" w:color="000000" w:sz="4" w:space="0"/>
            </w:tcBorders>
            <w:noWrap/>
            <w:vAlign w:val="center"/>
          </w:tcPr>
          <w:p w14:paraId="1AF651E3">
            <w:pPr>
              <w:pStyle w:val="21"/>
              <w:ind w:right="210" w:firstLine="560"/>
              <w:jc w:val="center"/>
              <w:rPr>
                <w:rFonts w:ascii="宋体" w:hAnsi="宋体" w:eastAsia="宋体" w:cs="宋体"/>
                <w:szCs w:val="21"/>
                <w:highlight w:val="none"/>
                <w:lang w:val="zh-CN"/>
              </w:rPr>
            </w:pPr>
          </w:p>
        </w:tc>
        <w:tc>
          <w:tcPr>
            <w:tcW w:w="1825" w:type="dxa"/>
            <w:tcBorders>
              <w:top w:val="single" w:color="000000" w:sz="4" w:space="0"/>
              <w:left w:val="single" w:color="000000" w:sz="4" w:space="0"/>
              <w:bottom w:val="single" w:color="000000" w:sz="4" w:space="0"/>
              <w:right w:val="single" w:color="000000" w:sz="4" w:space="0"/>
            </w:tcBorders>
            <w:noWrap/>
            <w:vAlign w:val="center"/>
          </w:tcPr>
          <w:p w14:paraId="271EC17F">
            <w:pPr>
              <w:pStyle w:val="21"/>
              <w:ind w:right="210" w:firstLine="560"/>
              <w:jc w:val="center"/>
              <w:rPr>
                <w:rFonts w:ascii="宋体" w:hAnsi="宋体" w:eastAsia="宋体" w:cs="宋体"/>
                <w:szCs w:val="21"/>
                <w:highlight w:val="none"/>
                <w:lang w:val="zh-CN"/>
              </w:rPr>
            </w:pPr>
          </w:p>
        </w:tc>
        <w:tc>
          <w:tcPr>
            <w:tcW w:w="2344" w:type="dxa"/>
            <w:tcBorders>
              <w:top w:val="single" w:color="000000" w:sz="4" w:space="0"/>
              <w:left w:val="single" w:color="auto" w:sz="4" w:space="0"/>
              <w:bottom w:val="single" w:color="000000" w:sz="4" w:space="0"/>
              <w:right w:val="single" w:color="000000" w:sz="4" w:space="0"/>
            </w:tcBorders>
            <w:noWrap/>
            <w:vAlign w:val="center"/>
          </w:tcPr>
          <w:p w14:paraId="6B0FB627">
            <w:pPr>
              <w:pStyle w:val="21"/>
              <w:ind w:right="210" w:firstLine="560"/>
              <w:jc w:val="center"/>
              <w:rPr>
                <w:rFonts w:ascii="宋体" w:hAnsi="宋体" w:eastAsia="宋体" w:cs="宋体"/>
                <w:szCs w:val="21"/>
                <w:highlight w:val="none"/>
                <w:lang w:val="zh-CN"/>
              </w:rPr>
            </w:pPr>
          </w:p>
        </w:tc>
      </w:tr>
      <w:tr w14:paraId="1EE3564C">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1149" w:type="dxa"/>
            <w:vMerge w:val="continue"/>
            <w:tcBorders>
              <w:top w:val="single" w:color="000000" w:sz="4" w:space="0"/>
              <w:left w:val="single" w:color="000000" w:sz="4" w:space="0"/>
              <w:bottom w:val="single" w:color="000000" w:sz="4" w:space="0"/>
              <w:right w:val="single" w:color="000000" w:sz="4" w:space="0"/>
            </w:tcBorders>
            <w:noWrap/>
            <w:vAlign w:val="center"/>
          </w:tcPr>
          <w:p w14:paraId="38E77E9E">
            <w:pPr>
              <w:widowControl/>
              <w:jc w:val="left"/>
              <w:rPr>
                <w:rFonts w:ascii="宋体" w:hAnsi="宋体" w:eastAsia="宋体" w:cs="宋体"/>
                <w:szCs w:val="21"/>
                <w:highlight w:val="none"/>
              </w:rPr>
            </w:pPr>
          </w:p>
        </w:tc>
        <w:tc>
          <w:tcPr>
            <w:tcW w:w="1665" w:type="dxa"/>
            <w:tcBorders>
              <w:top w:val="single" w:color="000000" w:sz="4" w:space="0"/>
              <w:left w:val="single" w:color="000000" w:sz="4" w:space="0"/>
              <w:bottom w:val="single" w:color="000000" w:sz="4" w:space="0"/>
              <w:right w:val="single" w:color="auto" w:sz="4" w:space="0"/>
            </w:tcBorders>
            <w:noWrap/>
            <w:vAlign w:val="center"/>
          </w:tcPr>
          <w:p w14:paraId="261E5978">
            <w:pPr>
              <w:pStyle w:val="15"/>
              <w:jc w:val="center"/>
              <w:rPr>
                <w:rFonts w:hAnsi="宋体"/>
                <w:highlight w:val="none"/>
                <w:lang w:val="zh-CN"/>
              </w:rPr>
            </w:pPr>
          </w:p>
        </w:tc>
        <w:tc>
          <w:tcPr>
            <w:tcW w:w="1203" w:type="dxa"/>
            <w:tcBorders>
              <w:top w:val="single" w:color="000000" w:sz="4" w:space="0"/>
              <w:left w:val="single" w:color="auto" w:sz="4" w:space="0"/>
              <w:bottom w:val="single" w:color="000000" w:sz="4" w:space="0"/>
              <w:right w:val="single" w:color="000000" w:sz="4" w:space="0"/>
            </w:tcBorders>
            <w:noWrap/>
            <w:vAlign w:val="center"/>
          </w:tcPr>
          <w:p w14:paraId="6F1CC289">
            <w:pPr>
              <w:pStyle w:val="21"/>
              <w:ind w:right="210" w:firstLine="560"/>
              <w:jc w:val="center"/>
              <w:rPr>
                <w:rFonts w:ascii="宋体" w:hAnsi="宋体" w:eastAsia="宋体" w:cs="宋体"/>
                <w:szCs w:val="21"/>
                <w:highlight w:val="none"/>
                <w:lang w:val="zh-CN"/>
              </w:rPr>
            </w:pPr>
          </w:p>
        </w:tc>
        <w:tc>
          <w:tcPr>
            <w:tcW w:w="1573" w:type="dxa"/>
            <w:tcBorders>
              <w:top w:val="single" w:color="000000" w:sz="4" w:space="0"/>
              <w:left w:val="single" w:color="000000" w:sz="4" w:space="0"/>
              <w:bottom w:val="single" w:color="000000" w:sz="4" w:space="0"/>
              <w:right w:val="single" w:color="000000" w:sz="4" w:space="0"/>
            </w:tcBorders>
            <w:noWrap/>
            <w:vAlign w:val="center"/>
          </w:tcPr>
          <w:p w14:paraId="3E035CF9">
            <w:pPr>
              <w:pStyle w:val="21"/>
              <w:ind w:right="210" w:firstLine="560"/>
              <w:jc w:val="center"/>
              <w:rPr>
                <w:rFonts w:ascii="宋体" w:hAnsi="宋体" w:eastAsia="宋体" w:cs="宋体"/>
                <w:szCs w:val="21"/>
                <w:highlight w:val="none"/>
                <w:lang w:val="zh-CN"/>
              </w:rPr>
            </w:pPr>
          </w:p>
        </w:tc>
        <w:tc>
          <w:tcPr>
            <w:tcW w:w="1825" w:type="dxa"/>
            <w:tcBorders>
              <w:top w:val="single" w:color="000000" w:sz="4" w:space="0"/>
              <w:left w:val="single" w:color="000000" w:sz="4" w:space="0"/>
              <w:bottom w:val="single" w:color="000000" w:sz="4" w:space="0"/>
              <w:right w:val="single" w:color="000000" w:sz="4" w:space="0"/>
            </w:tcBorders>
            <w:noWrap/>
            <w:vAlign w:val="center"/>
          </w:tcPr>
          <w:p w14:paraId="1E598437">
            <w:pPr>
              <w:pStyle w:val="21"/>
              <w:ind w:right="210" w:firstLine="560"/>
              <w:jc w:val="center"/>
              <w:rPr>
                <w:rFonts w:ascii="宋体" w:hAnsi="宋体" w:eastAsia="宋体" w:cs="宋体"/>
                <w:szCs w:val="21"/>
                <w:highlight w:val="none"/>
                <w:lang w:val="zh-CN"/>
              </w:rPr>
            </w:pPr>
          </w:p>
        </w:tc>
        <w:tc>
          <w:tcPr>
            <w:tcW w:w="2344" w:type="dxa"/>
            <w:tcBorders>
              <w:top w:val="single" w:color="000000" w:sz="4" w:space="0"/>
              <w:left w:val="single" w:color="auto" w:sz="4" w:space="0"/>
              <w:bottom w:val="single" w:color="000000" w:sz="4" w:space="0"/>
              <w:right w:val="single" w:color="000000" w:sz="4" w:space="0"/>
            </w:tcBorders>
            <w:noWrap/>
            <w:vAlign w:val="center"/>
          </w:tcPr>
          <w:p w14:paraId="59EE4C02">
            <w:pPr>
              <w:pStyle w:val="21"/>
              <w:ind w:right="210" w:firstLine="560"/>
              <w:jc w:val="center"/>
              <w:rPr>
                <w:rFonts w:ascii="宋体" w:hAnsi="宋体" w:eastAsia="宋体" w:cs="宋体"/>
                <w:szCs w:val="21"/>
                <w:highlight w:val="none"/>
                <w:lang w:val="zh-CN"/>
              </w:rPr>
            </w:pPr>
          </w:p>
        </w:tc>
      </w:tr>
      <w:tr w14:paraId="01C0D5C3">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1149" w:type="dxa"/>
            <w:vMerge w:val="continue"/>
            <w:tcBorders>
              <w:top w:val="single" w:color="000000" w:sz="4" w:space="0"/>
              <w:left w:val="single" w:color="000000" w:sz="4" w:space="0"/>
              <w:bottom w:val="single" w:color="000000" w:sz="4" w:space="0"/>
              <w:right w:val="single" w:color="000000" w:sz="4" w:space="0"/>
            </w:tcBorders>
            <w:noWrap/>
            <w:vAlign w:val="center"/>
          </w:tcPr>
          <w:p w14:paraId="6799D853">
            <w:pPr>
              <w:widowControl/>
              <w:jc w:val="left"/>
              <w:rPr>
                <w:rFonts w:ascii="宋体" w:hAnsi="宋体" w:eastAsia="宋体" w:cs="宋体"/>
                <w:szCs w:val="21"/>
                <w:highlight w:val="none"/>
              </w:rPr>
            </w:pPr>
          </w:p>
        </w:tc>
        <w:tc>
          <w:tcPr>
            <w:tcW w:w="1665" w:type="dxa"/>
            <w:tcBorders>
              <w:top w:val="single" w:color="000000" w:sz="4" w:space="0"/>
              <w:left w:val="single" w:color="000000" w:sz="4" w:space="0"/>
              <w:bottom w:val="single" w:color="000000" w:sz="4" w:space="0"/>
              <w:right w:val="single" w:color="auto" w:sz="4" w:space="0"/>
            </w:tcBorders>
            <w:noWrap/>
            <w:vAlign w:val="center"/>
          </w:tcPr>
          <w:p w14:paraId="783E0708">
            <w:pPr>
              <w:pStyle w:val="15"/>
              <w:jc w:val="center"/>
              <w:rPr>
                <w:rFonts w:hAnsi="宋体"/>
                <w:highlight w:val="none"/>
                <w:lang w:val="zh-CN"/>
              </w:rPr>
            </w:pPr>
          </w:p>
        </w:tc>
        <w:tc>
          <w:tcPr>
            <w:tcW w:w="1203" w:type="dxa"/>
            <w:tcBorders>
              <w:top w:val="single" w:color="000000" w:sz="4" w:space="0"/>
              <w:left w:val="single" w:color="auto" w:sz="4" w:space="0"/>
              <w:bottom w:val="single" w:color="000000" w:sz="4" w:space="0"/>
              <w:right w:val="single" w:color="000000" w:sz="4" w:space="0"/>
            </w:tcBorders>
            <w:noWrap/>
            <w:vAlign w:val="center"/>
          </w:tcPr>
          <w:p w14:paraId="11F106DD">
            <w:pPr>
              <w:pStyle w:val="15"/>
              <w:jc w:val="center"/>
              <w:rPr>
                <w:rFonts w:hAnsi="宋体"/>
                <w:highlight w:val="none"/>
              </w:rPr>
            </w:pPr>
          </w:p>
        </w:tc>
        <w:tc>
          <w:tcPr>
            <w:tcW w:w="1573" w:type="dxa"/>
            <w:tcBorders>
              <w:top w:val="single" w:color="000000" w:sz="4" w:space="0"/>
              <w:left w:val="single" w:color="000000" w:sz="4" w:space="0"/>
              <w:bottom w:val="single" w:color="000000" w:sz="4" w:space="0"/>
              <w:right w:val="single" w:color="000000" w:sz="4" w:space="0"/>
            </w:tcBorders>
            <w:noWrap/>
            <w:vAlign w:val="center"/>
          </w:tcPr>
          <w:p w14:paraId="2779B2A9">
            <w:pPr>
              <w:pStyle w:val="15"/>
              <w:jc w:val="center"/>
              <w:rPr>
                <w:rFonts w:hAnsi="宋体"/>
                <w:highlight w:val="none"/>
              </w:rPr>
            </w:pPr>
          </w:p>
        </w:tc>
        <w:tc>
          <w:tcPr>
            <w:tcW w:w="1825" w:type="dxa"/>
            <w:tcBorders>
              <w:top w:val="single" w:color="000000" w:sz="4" w:space="0"/>
              <w:left w:val="single" w:color="000000" w:sz="4" w:space="0"/>
              <w:bottom w:val="single" w:color="000000" w:sz="4" w:space="0"/>
              <w:right w:val="single" w:color="000000" w:sz="4" w:space="0"/>
            </w:tcBorders>
            <w:noWrap/>
            <w:vAlign w:val="center"/>
          </w:tcPr>
          <w:p w14:paraId="7907C747">
            <w:pPr>
              <w:pStyle w:val="15"/>
              <w:jc w:val="center"/>
              <w:rPr>
                <w:rFonts w:hAnsi="宋体"/>
                <w:highlight w:val="none"/>
              </w:rPr>
            </w:pPr>
          </w:p>
        </w:tc>
        <w:tc>
          <w:tcPr>
            <w:tcW w:w="2344" w:type="dxa"/>
            <w:tcBorders>
              <w:top w:val="single" w:color="000000" w:sz="4" w:space="0"/>
              <w:left w:val="single" w:color="auto" w:sz="4" w:space="0"/>
              <w:bottom w:val="single" w:color="000000" w:sz="4" w:space="0"/>
              <w:right w:val="single" w:color="000000" w:sz="4" w:space="0"/>
            </w:tcBorders>
            <w:noWrap/>
            <w:vAlign w:val="center"/>
          </w:tcPr>
          <w:p w14:paraId="08931867">
            <w:pPr>
              <w:pStyle w:val="15"/>
              <w:jc w:val="center"/>
              <w:rPr>
                <w:rFonts w:hAnsi="宋体"/>
                <w:highlight w:val="none"/>
              </w:rPr>
            </w:pPr>
          </w:p>
        </w:tc>
      </w:tr>
      <w:tr w14:paraId="6019618F">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1149" w:type="dxa"/>
            <w:vMerge w:val="continue"/>
            <w:tcBorders>
              <w:top w:val="single" w:color="000000" w:sz="4" w:space="0"/>
              <w:left w:val="single" w:color="000000" w:sz="4" w:space="0"/>
              <w:bottom w:val="single" w:color="000000" w:sz="4" w:space="0"/>
              <w:right w:val="single" w:color="000000" w:sz="4" w:space="0"/>
            </w:tcBorders>
            <w:noWrap/>
            <w:vAlign w:val="center"/>
          </w:tcPr>
          <w:p w14:paraId="35DCA328">
            <w:pPr>
              <w:widowControl/>
              <w:jc w:val="left"/>
              <w:rPr>
                <w:rFonts w:ascii="宋体" w:hAnsi="宋体" w:eastAsia="宋体" w:cs="宋体"/>
                <w:szCs w:val="21"/>
                <w:highlight w:val="none"/>
              </w:rPr>
            </w:pPr>
          </w:p>
        </w:tc>
        <w:tc>
          <w:tcPr>
            <w:tcW w:w="1665" w:type="dxa"/>
            <w:tcBorders>
              <w:top w:val="single" w:color="000000" w:sz="4" w:space="0"/>
              <w:left w:val="single" w:color="000000" w:sz="4" w:space="0"/>
              <w:bottom w:val="single" w:color="000000" w:sz="4" w:space="0"/>
              <w:right w:val="single" w:color="auto" w:sz="4" w:space="0"/>
            </w:tcBorders>
            <w:noWrap/>
            <w:vAlign w:val="center"/>
          </w:tcPr>
          <w:p w14:paraId="26334594">
            <w:pPr>
              <w:pStyle w:val="15"/>
              <w:jc w:val="center"/>
              <w:rPr>
                <w:rFonts w:hAnsi="宋体"/>
                <w:highlight w:val="none"/>
                <w:lang w:val="zh-CN"/>
              </w:rPr>
            </w:pPr>
          </w:p>
        </w:tc>
        <w:tc>
          <w:tcPr>
            <w:tcW w:w="1203" w:type="dxa"/>
            <w:tcBorders>
              <w:top w:val="single" w:color="000000" w:sz="4" w:space="0"/>
              <w:left w:val="single" w:color="auto" w:sz="4" w:space="0"/>
              <w:bottom w:val="single" w:color="000000" w:sz="4" w:space="0"/>
              <w:right w:val="single" w:color="000000" w:sz="4" w:space="0"/>
            </w:tcBorders>
            <w:noWrap/>
            <w:vAlign w:val="center"/>
          </w:tcPr>
          <w:p w14:paraId="57BAA280">
            <w:pPr>
              <w:pStyle w:val="15"/>
              <w:jc w:val="center"/>
              <w:rPr>
                <w:rFonts w:hAnsi="宋体"/>
                <w:highlight w:val="none"/>
              </w:rPr>
            </w:pPr>
          </w:p>
        </w:tc>
        <w:tc>
          <w:tcPr>
            <w:tcW w:w="1573" w:type="dxa"/>
            <w:tcBorders>
              <w:top w:val="single" w:color="000000" w:sz="4" w:space="0"/>
              <w:left w:val="single" w:color="000000" w:sz="4" w:space="0"/>
              <w:bottom w:val="single" w:color="000000" w:sz="4" w:space="0"/>
              <w:right w:val="single" w:color="000000" w:sz="4" w:space="0"/>
            </w:tcBorders>
            <w:noWrap/>
            <w:vAlign w:val="center"/>
          </w:tcPr>
          <w:p w14:paraId="0AD8C40C">
            <w:pPr>
              <w:pStyle w:val="15"/>
              <w:jc w:val="center"/>
              <w:rPr>
                <w:rFonts w:hAnsi="宋体"/>
                <w:highlight w:val="none"/>
              </w:rPr>
            </w:pPr>
          </w:p>
        </w:tc>
        <w:tc>
          <w:tcPr>
            <w:tcW w:w="1825" w:type="dxa"/>
            <w:tcBorders>
              <w:top w:val="single" w:color="000000" w:sz="4" w:space="0"/>
              <w:left w:val="single" w:color="000000" w:sz="4" w:space="0"/>
              <w:bottom w:val="single" w:color="000000" w:sz="4" w:space="0"/>
              <w:right w:val="single" w:color="000000" w:sz="4" w:space="0"/>
            </w:tcBorders>
            <w:noWrap/>
            <w:vAlign w:val="center"/>
          </w:tcPr>
          <w:p w14:paraId="111B10DB">
            <w:pPr>
              <w:pStyle w:val="15"/>
              <w:jc w:val="center"/>
              <w:rPr>
                <w:rFonts w:hAnsi="宋体"/>
                <w:highlight w:val="none"/>
              </w:rPr>
            </w:pPr>
          </w:p>
        </w:tc>
        <w:tc>
          <w:tcPr>
            <w:tcW w:w="2344" w:type="dxa"/>
            <w:tcBorders>
              <w:top w:val="single" w:color="000000" w:sz="4" w:space="0"/>
              <w:left w:val="single" w:color="auto" w:sz="4" w:space="0"/>
              <w:bottom w:val="single" w:color="000000" w:sz="4" w:space="0"/>
              <w:right w:val="single" w:color="000000" w:sz="4" w:space="0"/>
            </w:tcBorders>
            <w:noWrap/>
            <w:vAlign w:val="center"/>
          </w:tcPr>
          <w:p w14:paraId="5FCC903B">
            <w:pPr>
              <w:pStyle w:val="15"/>
              <w:jc w:val="center"/>
              <w:rPr>
                <w:rFonts w:hAnsi="宋体"/>
                <w:highlight w:val="none"/>
              </w:rPr>
            </w:pPr>
          </w:p>
        </w:tc>
      </w:tr>
      <w:tr w14:paraId="77ED6F71">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1149" w:type="dxa"/>
            <w:vMerge w:val="continue"/>
            <w:tcBorders>
              <w:top w:val="single" w:color="000000" w:sz="4" w:space="0"/>
              <w:left w:val="single" w:color="000000" w:sz="4" w:space="0"/>
              <w:bottom w:val="single" w:color="000000" w:sz="4" w:space="0"/>
              <w:right w:val="single" w:color="000000" w:sz="4" w:space="0"/>
            </w:tcBorders>
            <w:noWrap/>
            <w:vAlign w:val="center"/>
          </w:tcPr>
          <w:p w14:paraId="42C4E65B">
            <w:pPr>
              <w:widowControl/>
              <w:jc w:val="left"/>
              <w:rPr>
                <w:rFonts w:ascii="宋体" w:hAnsi="宋体" w:eastAsia="宋体" w:cs="宋体"/>
                <w:szCs w:val="21"/>
                <w:highlight w:val="none"/>
              </w:rPr>
            </w:pPr>
          </w:p>
        </w:tc>
        <w:tc>
          <w:tcPr>
            <w:tcW w:w="1665" w:type="dxa"/>
            <w:tcBorders>
              <w:top w:val="single" w:color="000000" w:sz="4" w:space="0"/>
              <w:left w:val="single" w:color="000000" w:sz="4" w:space="0"/>
              <w:bottom w:val="single" w:color="000000" w:sz="4" w:space="0"/>
              <w:right w:val="single" w:color="auto" w:sz="4" w:space="0"/>
            </w:tcBorders>
            <w:noWrap/>
            <w:vAlign w:val="center"/>
          </w:tcPr>
          <w:p w14:paraId="3E599207">
            <w:pPr>
              <w:pStyle w:val="15"/>
              <w:jc w:val="center"/>
              <w:rPr>
                <w:rFonts w:hAnsi="宋体"/>
                <w:highlight w:val="none"/>
              </w:rPr>
            </w:pPr>
          </w:p>
        </w:tc>
        <w:tc>
          <w:tcPr>
            <w:tcW w:w="1203" w:type="dxa"/>
            <w:tcBorders>
              <w:top w:val="single" w:color="000000" w:sz="4" w:space="0"/>
              <w:left w:val="single" w:color="auto" w:sz="4" w:space="0"/>
              <w:bottom w:val="single" w:color="000000" w:sz="4" w:space="0"/>
              <w:right w:val="single" w:color="000000" w:sz="4" w:space="0"/>
            </w:tcBorders>
            <w:noWrap/>
            <w:vAlign w:val="center"/>
          </w:tcPr>
          <w:p w14:paraId="7166586D">
            <w:pPr>
              <w:pStyle w:val="15"/>
              <w:jc w:val="center"/>
              <w:rPr>
                <w:rFonts w:hAnsi="宋体"/>
                <w:highlight w:val="none"/>
              </w:rPr>
            </w:pPr>
          </w:p>
        </w:tc>
        <w:tc>
          <w:tcPr>
            <w:tcW w:w="1573" w:type="dxa"/>
            <w:tcBorders>
              <w:top w:val="single" w:color="000000" w:sz="4" w:space="0"/>
              <w:left w:val="single" w:color="000000" w:sz="4" w:space="0"/>
              <w:bottom w:val="single" w:color="000000" w:sz="4" w:space="0"/>
              <w:right w:val="single" w:color="000000" w:sz="4" w:space="0"/>
            </w:tcBorders>
            <w:noWrap/>
            <w:vAlign w:val="center"/>
          </w:tcPr>
          <w:p w14:paraId="08CF578C">
            <w:pPr>
              <w:pStyle w:val="15"/>
              <w:jc w:val="center"/>
              <w:rPr>
                <w:rFonts w:hAnsi="宋体"/>
                <w:highlight w:val="none"/>
              </w:rPr>
            </w:pPr>
          </w:p>
        </w:tc>
        <w:tc>
          <w:tcPr>
            <w:tcW w:w="1825" w:type="dxa"/>
            <w:tcBorders>
              <w:top w:val="single" w:color="000000" w:sz="4" w:space="0"/>
              <w:left w:val="single" w:color="000000" w:sz="4" w:space="0"/>
              <w:bottom w:val="single" w:color="000000" w:sz="4" w:space="0"/>
              <w:right w:val="single" w:color="000000" w:sz="4" w:space="0"/>
            </w:tcBorders>
            <w:noWrap/>
            <w:vAlign w:val="center"/>
          </w:tcPr>
          <w:p w14:paraId="54281A60">
            <w:pPr>
              <w:pStyle w:val="15"/>
              <w:jc w:val="center"/>
              <w:rPr>
                <w:rFonts w:hAnsi="宋体"/>
                <w:highlight w:val="none"/>
              </w:rPr>
            </w:pPr>
          </w:p>
        </w:tc>
        <w:tc>
          <w:tcPr>
            <w:tcW w:w="2344" w:type="dxa"/>
            <w:tcBorders>
              <w:top w:val="single" w:color="000000" w:sz="4" w:space="0"/>
              <w:left w:val="single" w:color="auto" w:sz="4" w:space="0"/>
              <w:bottom w:val="single" w:color="000000" w:sz="4" w:space="0"/>
              <w:right w:val="single" w:color="000000" w:sz="4" w:space="0"/>
            </w:tcBorders>
            <w:noWrap/>
            <w:vAlign w:val="center"/>
          </w:tcPr>
          <w:p w14:paraId="1EB094AB">
            <w:pPr>
              <w:pStyle w:val="15"/>
              <w:jc w:val="center"/>
              <w:rPr>
                <w:rFonts w:hAnsi="宋体"/>
                <w:highlight w:val="none"/>
              </w:rPr>
            </w:pPr>
          </w:p>
        </w:tc>
      </w:tr>
      <w:tr w14:paraId="090EA1F3">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1149" w:type="dxa"/>
            <w:vMerge w:val="continue"/>
            <w:tcBorders>
              <w:top w:val="single" w:color="000000" w:sz="4" w:space="0"/>
              <w:left w:val="single" w:color="000000" w:sz="4" w:space="0"/>
              <w:bottom w:val="single" w:color="000000" w:sz="4" w:space="0"/>
              <w:right w:val="single" w:color="000000" w:sz="4" w:space="0"/>
            </w:tcBorders>
            <w:noWrap/>
            <w:vAlign w:val="center"/>
          </w:tcPr>
          <w:p w14:paraId="1BA923E2">
            <w:pPr>
              <w:widowControl/>
              <w:jc w:val="left"/>
              <w:rPr>
                <w:rFonts w:ascii="宋体" w:hAnsi="宋体" w:eastAsia="宋体" w:cs="宋体"/>
                <w:szCs w:val="21"/>
                <w:highlight w:val="none"/>
              </w:rPr>
            </w:pPr>
          </w:p>
        </w:tc>
        <w:tc>
          <w:tcPr>
            <w:tcW w:w="1665" w:type="dxa"/>
            <w:tcBorders>
              <w:top w:val="single" w:color="000000" w:sz="4" w:space="0"/>
              <w:left w:val="single" w:color="000000" w:sz="4" w:space="0"/>
              <w:bottom w:val="single" w:color="000000" w:sz="4" w:space="0"/>
              <w:right w:val="single" w:color="auto" w:sz="4" w:space="0"/>
            </w:tcBorders>
            <w:noWrap/>
            <w:vAlign w:val="center"/>
          </w:tcPr>
          <w:p w14:paraId="6685E94A">
            <w:pPr>
              <w:pStyle w:val="15"/>
              <w:jc w:val="center"/>
              <w:rPr>
                <w:rFonts w:hAnsi="宋体"/>
                <w:highlight w:val="none"/>
              </w:rPr>
            </w:pPr>
          </w:p>
        </w:tc>
        <w:tc>
          <w:tcPr>
            <w:tcW w:w="1203" w:type="dxa"/>
            <w:tcBorders>
              <w:top w:val="single" w:color="000000" w:sz="4" w:space="0"/>
              <w:left w:val="single" w:color="auto" w:sz="4" w:space="0"/>
              <w:bottom w:val="single" w:color="000000" w:sz="4" w:space="0"/>
              <w:right w:val="single" w:color="000000" w:sz="4" w:space="0"/>
            </w:tcBorders>
            <w:noWrap/>
            <w:vAlign w:val="center"/>
          </w:tcPr>
          <w:p w14:paraId="4D88853B">
            <w:pPr>
              <w:pStyle w:val="15"/>
              <w:jc w:val="center"/>
              <w:rPr>
                <w:rFonts w:hAnsi="宋体"/>
                <w:highlight w:val="none"/>
              </w:rPr>
            </w:pPr>
          </w:p>
        </w:tc>
        <w:tc>
          <w:tcPr>
            <w:tcW w:w="1573" w:type="dxa"/>
            <w:tcBorders>
              <w:top w:val="single" w:color="000000" w:sz="4" w:space="0"/>
              <w:left w:val="single" w:color="000000" w:sz="4" w:space="0"/>
              <w:bottom w:val="single" w:color="000000" w:sz="4" w:space="0"/>
              <w:right w:val="single" w:color="000000" w:sz="4" w:space="0"/>
            </w:tcBorders>
            <w:noWrap/>
            <w:vAlign w:val="center"/>
          </w:tcPr>
          <w:p w14:paraId="0DDD7047">
            <w:pPr>
              <w:pStyle w:val="15"/>
              <w:jc w:val="center"/>
              <w:rPr>
                <w:rFonts w:hAnsi="宋体"/>
                <w:highlight w:val="none"/>
              </w:rPr>
            </w:pPr>
          </w:p>
        </w:tc>
        <w:tc>
          <w:tcPr>
            <w:tcW w:w="1825" w:type="dxa"/>
            <w:tcBorders>
              <w:top w:val="single" w:color="000000" w:sz="4" w:space="0"/>
              <w:left w:val="single" w:color="000000" w:sz="4" w:space="0"/>
              <w:bottom w:val="single" w:color="000000" w:sz="4" w:space="0"/>
              <w:right w:val="single" w:color="000000" w:sz="4" w:space="0"/>
            </w:tcBorders>
            <w:noWrap/>
            <w:vAlign w:val="center"/>
          </w:tcPr>
          <w:p w14:paraId="0CF66A60">
            <w:pPr>
              <w:pStyle w:val="15"/>
              <w:jc w:val="center"/>
              <w:rPr>
                <w:rFonts w:hAnsi="宋体"/>
                <w:highlight w:val="none"/>
              </w:rPr>
            </w:pPr>
          </w:p>
        </w:tc>
        <w:tc>
          <w:tcPr>
            <w:tcW w:w="2344" w:type="dxa"/>
            <w:tcBorders>
              <w:top w:val="single" w:color="000000" w:sz="4" w:space="0"/>
              <w:left w:val="single" w:color="auto" w:sz="4" w:space="0"/>
              <w:bottom w:val="single" w:color="000000" w:sz="4" w:space="0"/>
              <w:right w:val="single" w:color="000000" w:sz="4" w:space="0"/>
            </w:tcBorders>
            <w:noWrap/>
            <w:vAlign w:val="center"/>
          </w:tcPr>
          <w:p w14:paraId="7BFBCCE0">
            <w:pPr>
              <w:pStyle w:val="15"/>
              <w:jc w:val="center"/>
              <w:rPr>
                <w:rFonts w:hAnsi="宋体"/>
                <w:highlight w:val="none"/>
              </w:rPr>
            </w:pPr>
          </w:p>
        </w:tc>
      </w:tr>
      <w:tr w14:paraId="1AB3C48C">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1149" w:type="dxa"/>
            <w:vMerge w:val="continue"/>
            <w:tcBorders>
              <w:top w:val="single" w:color="000000" w:sz="4" w:space="0"/>
              <w:left w:val="single" w:color="000000" w:sz="4" w:space="0"/>
              <w:bottom w:val="single" w:color="000000" w:sz="4" w:space="0"/>
              <w:right w:val="single" w:color="000000" w:sz="4" w:space="0"/>
            </w:tcBorders>
            <w:noWrap/>
            <w:vAlign w:val="center"/>
          </w:tcPr>
          <w:p w14:paraId="7B87DC17">
            <w:pPr>
              <w:widowControl/>
              <w:jc w:val="left"/>
              <w:rPr>
                <w:rFonts w:ascii="宋体" w:hAnsi="宋体" w:eastAsia="宋体" w:cs="宋体"/>
                <w:szCs w:val="21"/>
                <w:highlight w:val="none"/>
              </w:rPr>
            </w:pPr>
          </w:p>
        </w:tc>
        <w:tc>
          <w:tcPr>
            <w:tcW w:w="1665" w:type="dxa"/>
            <w:tcBorders>
              <w:top w:val="single" w:color="000000" w:sz="4" w:space="0"/>
              <w:left w:val="single" w:color="000000" w:sz="4" w:space="0"/>
              <w:bottom w:val="single" w:color="000000" w:sz="4" w:space="0"/>
              <w:right w:val="single" w:color="auto" w:sz="4" w:space="0"/>
            </w:tcBorders>
            <w:noWrap/>
            <w:vAlign w:val="center"/>
          </w:tcPr>
          <w:p w14:paraId="24F7BB33">
            <w:pPr>
              <w:pStyle w:val="15"/>
              <w:jc w:val="center"/>
              <w:rPr>
                <w:rFonts w:hAnsi="宋体"/>
                <w:highlight w:val="none"/>
              </w:rPr>
            </w:pPr>
          </w:p>
        </w:tc>
        <w:tc>
          <w:tcPr>
            <w:tcW w:w="1203" w:type="dxa"/>
            <w:tcBorders>
              <w:top w:val="single" w:color="000000" w:sz="4" w:space="0"/>
              <w:left w:val="single" w:color="auto" w:sz="4" w:space="0"/>
              <w:bottom w:val="single" w:color="000000" w:sz="4" w:space="0"/>
              <w:right w:val="single" w:color="000000" w:sz="4" w:space="0"/>
            </w:tcBorders>
            <w:noWrap/>
            <w:vAlign w:val="center"/>
          </w:tcPr>
          <w:p w14:paraId="4C283745">
            <w:pPr>
              <w:pStyle w:val="15"/>
              <w:jc w:val="center"/>
              <w:rPr>
                <w:rFonts w:hAnsi="宋体"/>
                <w:highlight w:val="none"/>
              </w:rPr>
            </w:pPr>
          </w:p>
        </w:tc>
        <w:tc>
          <w:tcPr>
            <w:tcW w:w="1573" w:type="dxa"/>
            <w:tcBorders>
              <w:top w:val="single" w:color="000000" w:sz="4" w:space="0"/>
              <w:left w:val="single" w:color="000000" w:sz="4" w:space="0"/>
              <w:bottom w:val="single" w:color="000000" w:sz="4" w:space="0"/>
              <w:right w:val="single" w:color="000000" w:sz="4" w:space="0"/>
            </w:tcBorders>
            <w:noWrap/>
            <w:vAlign w:val="center"/>
          </w:tcPr>
          <w:p w14:paraId="3C4B8B61">
            <w:pPr>
              <w:pStyle w:val="15"/>
              <w:jc w:val="center"/>
              <w:rPr>
                <w:rFonts w:hAnsi="宋体"/>
                <w:highlight w:val="none"/>
              </w:rPr>
            </w:pPr>
          </w:p>
        </w:tc>
        <w:tc>
          <w:tcPr>
            <w:tcW w:w="1825" w:type="dxa"/>
            <w:tcBorders>
              <w:top w:val="single" w:color="000000" w:sz="4" w:space="0"/>
              <w:left w:val="single" w:color="000000" w:sz="4" w:space="0"/>
              <w:bottom w:val="single" w:color="000000" w:sz="4" w:space="0"/>
              <w:right w:val="single" w:color="000000" w:sz="4" w:space="0"/>
            </w:tcBorders>
            <w:noWrap/>
            <w:vAlign w:val="center"/>
          </w:tcPr>
          <w:p w14:paraId="33F443AD">
            <w:pPr>
              <w:pStyle w:val="15"/>
              <w:jc w:val="center"/>
              <w:rPr>
                <w:rFonts w:hAnsi="宋体"/>
                <w:highlight w:val="none"/>
              </w:rPr>
            </w:pPr>
          </w:p>
        </w:tc>
        <w:tc>
          <w:tcPr>
            <w:tcW w:w="2344" w:type="dxa"/>
            <w:tcBorders>
              <w:top w:val="single" w:color="000000" w:sz="4" w:space="0"/>
              <w:left w:val="single" w:color="auto" w:sz="4" w:space="0"/>
              <w:bottom w:val="single" w:color="000000" w:sz="4" w:space="0"/>
              <w:right w:val="single" w:color="000000" w:sz="4" w:space="0"/>
            </w:tcBorders>
            <w:noWrap/>
            <w:vAlign w:val="center"/>
          </w:tcPr>
          <w:p w14:paraId="6CAEFED3">
            <w:pPr>
              <w:pStyle w:val="15"/>
              <w:jc w:val="center"/>
              <w:rPr>
                <w:rFonts w:hAnsi="宋体"/>
                <w:highlight w:val="none"/>
              </w:rPr>
            </w:pPr>
          </w:p>
        </w:tc>
      </w:tr>
      <w:tr w14:paraId="042E1EDC">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1149" w:type="dxa"/>
            <w:vMerge w:val="continue"/>
            <w:tcBorders>
              <w:top w:val="single" w:color="000000" w:sz="4" w:space="0"/>
              <w:left w:val="single" w:color="000000" w:sz="4" w:space="0"/>
              <w:bottom w:val="single" w:color="000000" w:sz="4" w:space="0"/>
              <w:right w:val="single" w:color="000000" w:sz="4" w:space="0"/>
            </w:tcBorders>
            <w:noWrap/>
            <w:vAlign w:val="center"/>
          </w:tcPr>
          <w:p w14:paraId="4F7C6F4C">
            <w:pPr>
              <w:widowControl/>
              <w:jc w:val="left"/>
              <w:rPr>
                <w:rFonts w:ascii="宋体" w:hAnsi="宋体" w:eastAsia="宋体" w:cs="宋体"/>
                <w:szCs w:val="21"/>
                <w:highlight w:val="none"/>
              </w:rPr>
            </w:pPr>
          </w:p>
        </w:tc>
        <w:tc>
          <w:tcPr>
            <w:tcW w:w="1665" w:type="dxa"/>
            <w:tcBorders>
              <w:top w:val="single" w:color="000000" w:sz="4" w:space="0"/>
              <w:left w:val="single" w:color="000000" w:sz="4" w:space="0"/>
              <w:bottom w:val="single" w:color="000000" w:sz="4" w:space="0"/>
              <w:right w:val="single" w:color="auto" w:sz="4" w:space="0"/>
            </w:tcBorders>
            <w:noWrap/>
            <w:vAlign w:val="center"/>
          </w:tcPr>
          <w:p w14:paraId="1271C7DD">
            <w:pPr>
              <w:pStyle w:val="15"/>
              <w:jc w:val="center"/>
              <w:rPr>
                <w:rFonts w:hAnsi="宋体"/>
                <w:highlight w:val="none"/>
              </w:rPr>
            </w:pPr>
          </w:p>
        </w:tc>
        <w:tc>
          <w:tcPr>
            <w:tcW w:w="1203" w:type="dxa"/>
            <w:tcBorders>
              <w:top w:val="single" w:color="000000" w:sz="4" w:space="0"/>
              <w:left w:val="single" w:color="auto" w:sz="4" w:space="0"/>
              <w:bottom w:val="single" w:color="000000" w:sz="4" w:space="0"/>
              <w:right w:val="single" w:color="000000" w:sz="4" w:space="0"/>
            </w:tcBorders>
            <w:noWrap/>
            <w:vAlign w:val="center"/>
          </w:tcPr>
          <w:p w14:paraId="58AC2009">
            <w:pPr>
              <w:pStyle w:val="15"/>
              <w:jc w:val="center"/>
              <w:rPr>
                <w:rFonts w:hAnsi="宋体"/>
                <w:highlight w:val="none"/>
              </w:rPr>
            </w:pPr>
          </w:p>
        </w:tc>
        <w:tc>
          <w:tcPr>
            <w:tcW w:w="1573" w:type="dxa"/>
            <w:tcBorders>
              <w:top w:val="single" w:color="000000" w:sz="4" w:space="0"/>
              <w:left w:val="single" w:color="000000" w:sz="4" w:space="0"/>
              <w:bottom w:val="single" w:color="000000" w:sz="4" w:space="0"/>
              <w:right w:val="single" w:color="000000" w:sz="4" w:space="0"/>
            </w:tcBorders>
            <w:noWrap/>
            <w:vAlign w:val="center"/>
          </w:tcPr>
          <w:p w14:paraId="3D771B35">
            <w:pPr>
              <w:pStyle w:val="15"/>
              <w:jc w:val="center"/>
              <w:rPr>
                <w:rFonts w:hAnsi="宋体"/>
                <w:highlight w:val="none"/>
              </w:rPr>
            </w:pPr>
          </w:p>
        </w:tc>
        <w:tc>
          <w:tcPr>
            <w:tcW w:w="1825" w:type="dxa"/>
            <w:tcBorders>
              <w:top w:val="single" w:color="000000" w:sz="4" w:space="0"/>
              <w:left w:val="single" w:color="000000" w:sz="4" w:space="0"/>
              <w:bottom w:val="single" w:color="000000" w:sz="4" w:space="0"/>
              <w:right w:val="single" w:color="000000" w:sz="4" w:space="0"/>
            </w:tcBorders>
            <w:noWrap/>
            <w:vAlign w:val="center"/>
          </w:tcPr>
          <w:p w14:paraId="45F0674B">
            <w:pPr>
              <w:pStyle w:val="15"/>
              <w:jc w:val="center"/>
              <w:rPr>
                <w:rFonts w:hAnsi="宋体"/>
                <w:highlight w:val="none"/>
              </w:rPr>
            </w:pPr>
          </w:p>
        </w:tc>
        <w:tc>
          <w:tcPr>
            <w:tcW w:w="2344" w:type="dxa"/>
            <w:tcBorders>
              <w:top w:val="single" w:color="000000" w:sz="4" w:space="0"/>
              <w:left w:val="single" w:color="auto" w:sz="4" w:space="0"/>
              <w:bottom w:val="single" w:color="000000" w:sz="4" w:space="0"/>
              <w:right w:val="single" w:color="000000" w:sz="4" w:space="0"/>
            </w:tcBorders>
            <w:noWrap/>
            <w:vAlign w:val="center"/>
          </w:tcPr>
          <w:p w14:paraId="24706ADD">
            <w:pPr>
              <w:pStyle w:val="15"/>
              <w:jc w:val="center"/>
              <w:rPr>
                <w:rFonts w:hAnsi="宋体"/>
                <w:highlight w:val="none"/>
              </w:rPr>
            </w:pPr>
          </w:p>
        </w:tc>
      </w:tr>
      <w:tr w14:paraId="52EF6249">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1149" w:type="dxa"/>
            <w:vMerge w:val="continue"/>
            <w:tcBorders>
              <w:top w:val="single" w:color="000000" w:sz="4" w:space="0"/>
              <w:left w:val="single" w:color="000000" w:sz="4" w:space="0"/>
              <w:bottom w:val="single" w:color="000000" w:sz="4" w:space="0"/>
              <w:right w:val="single" w:color="000000" w:sz="4" w:space="0"/>
            </w:tcBorders>
            <w:noWrap/>
            <w:vAlign w:val="center"/>
          </w:tcPr>
          <w:p w14:paraId="2657F75D">
            <w:pPr>
              <w:widowControl/>
              <w:jc w:val="left"/>
              <w:rPr>
                <w:rFonts w:ascii="宋体" w:hAnsi="宋体" w:eastAsia="宋体" w:cs="宋体"/>
                <w:szCs w:val="21"/>
                <w:highlight w:val="none"/>
              </w:rPr>
            </w:pPr>
          </w:p>
        </w:tc>
        <w:tc>
          <w:tcPr>
            <w:tcW w:w="1665" w:type="dxa"/>
            <w:tcBorders>
              <w:top w:val="single" w:color="000000" w:sz="4" w:space="0"/>
              <w:left w:val="single" w:color="000000" w:sz="4" w:space="0"/>
              <w:bottom w:val="single" w:color="000000" w:sz="4" w:space="0"/>
              <w:right w:val="single" w:color="auto" w:sz="4" w:space="0"/>
            </w:tcBorders>
            <w:noWrap/>
            <w:vAlign w:val="center"/>
          </w:tcPr>
          <w:p w14:paraId="53E7EAA2">
            <w:pPr>
              <w:pStyle w:val="15"/>
              <w:jc w:val="center"/>
              <w:rPr>
                <w:rFonts w:hAnsi="宋体"/>
                <w:highlight w:val="none"/>
              </w:rPr>
            </w:pPr>
          </w:p>
        </w:tc>
        <w:tc>
          <w:tcPr>
            <w:tcW w:w="1203" w:type="dxa"/>
            <w:tcBorders>
              <w:top w:val="single" w:color="000000" w:sz="4" w:space="0"/>
              <w:left w:val="single" w:color="auto" w:sz="4" w:space="0"/>
              <w:bottom w:val="single" w:color="000000" w:sz="4" w:space="0"/>
              <w:right w:val="single" w:color="000000" w:sz="4" w:space="0"/>
            </w:tcBorders>
            <w:noWrap/>
            <w:vAlign w:val="center"/>
          </w:tcPr>
          <w:p w14:paraId="7F0619AF">
            <w:pPr>
              <w:pStyle w:val="15"/>
              <w:jc w:val="center"/>
              <w:rPr>
                <w:rFonts w:hAnsi="宋体"/>
                <w:highlight w:val="none"/>
              </w:rPr>
            </w:pPr>
          </w:p>
        </w:tc>
        <w:tc>
          <w:tcPr>
            <w:tcW w:w="1573" w:type="dxa"/>
            <w:tcBorders>
              <w:top w:val="single" w:color="000000" w:sz="4" w:space="0"/>
              <w:left w:val="single" w:color="000000" w:sz="4" w:space="0"/>
              <w:bottom w:val="single" w:color="000000" w:sz="4" w:space="0"/>
              <w:right w:val="single" w:color="000000" w:sz="4" w:space="0"/>
            </w:tcBorders>
            <w:noWrap/>
            <w:vAlign w:val="center"/>
          </w:tcPr>
          <w:p w14:paraId="0D45D4F9">
            <w:pPr>
              <w:pStyle w:val="15"/>
              <w:jc w:val="center"/>
              <w:rPr>
                <w:rFonts w:hAnsi="宋体"/>
                <w:highlight w:val="none"/>
              </w:rPr>
            </w:pPr>
          </w:p>
        </w:tc>
        <w:tc>
          <w:tcPr>
            <w:tcW w:w="1825" w:type="dxa"/>
            <w:tcBorders>
              <w:top w:val="single" w:color="000000" w:sz="4" w:space="0"/>
              <w:left w:val="single" w:color="000000" w:sz="4" w:space="0"/>
              <w:bottom w:val="single" w:color="000000" w:sz="4" w:space="0"/>
              <w:right w:val="single" w:color="000000" w:sz="4" w:space="0"/>
            </w:tcBorders>
            <w:noWrap/>
            <w:vAlign w:val="center"/>
          </w:tcPr>
          <w:p w14:paraId="195A5F99">
            <w:pPr>
              <w:pStyle w:val="15"/>
              <w:jc w:val="center"/>
              <w:rPr>
                <w:rFonts w:hAnsi="宋体"/>
                <w:highlight w:val="none"/>
              </w:rPr>
            </w:pPr>
          </w:p>
        </w:tc>
        <w:tc>
          <w:tcPr>
            <w:tcW w:w="2344" w:type="dxa"/>
            <w:tcBorders>
              <w:top w:val="single" w:color="000000" w:sz="4" w:space="0"/>
              <w:left w:val="single" w:color="auto" w:sz="4" w:space="0"/>
              <w:bottom w:val="single" w:color="000000" w:sz="4" w:space="0"/>
              <w:right w:val="single" w:color="000000" w:sz="4" w:space="0"/>
            </w:tcBorders>
            <w:noWrap/>
            <w:vAlign w:val="center"/>
          </w:tcPr>
          <w:p w14:paraId="51C19DD6">
            <w:pPr>
              <w:pStyle w:val="15"/>
              <w:jc w:val="center"/>
              <w:rPr>
                <w:rFonts w:hAnsi="宋体"/>
                <w:highlight w:val="none"/>
              </w:rPr>
            </w:pPr>
          </w:p>
        </w:tc>
      </w:tr>
      <w:tr w14:paraId="43027331">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1149" w:type="dxa"/>
            <w:vMerge w:val="continue"/>
            <w:tcBorders>
              <w:top w:val="single" w:color="000000" w:sz="4" w:space="0"/>
              <w:left w:val="single" w:color="000000" w:sz="4" w:space="0"/>
              <w:bottom w:val="single" w:color="000000" w:sz="4" w:space="0"/>
              <w:right w:val="single" w:color="000000" w:sz="4" w:space="0"/>
            </w:tcBorders>
            <w:noWrap/>
            <w:vAlign w:val="center"/>
          </w:tcPr>
          <w:p w14:paraId="52B6B1E1">
            <w:pPr>
              <w:widowControl/>
              <w:jc w:val="left"/>
              <w:rPr>
                <w:rFonts w:ascii="宋体" w:hAnsi="宋体" w:eastAsia="宋体" w:cs="宋体"/>
                <w:szCs w:val="21"/>
                <w:highlight w:val="none"/>
              </w:rPr>
            </w:pPr>
          </w:p>
        </w:tc>
        <w:tc>
          <w:tcPr>
            <w:tcW w:w="1665" w:type="dxa"/>
            <w:tcBorders>
              <w:top w:val="single" w:color="000000" w:sz="4" w:space="0"/>
              <w:left w:val="single" w:color="000000" w:sz="4" w:space="0"/>
              <w:bottom w:val="single" w:color="000000" w:sz="4" w:space="0"/>
              <w:right w:val="single" w:color="auto" w:sz="4" w:space="0"/>
            </w:tcBorders>
            <w:noWrap/>
            <w:vAlign w:val="center"/>
          </w:tcPr>
          <w:p w14:paraId="4398937A">
            <w:pPr>
              <w:pStyle w:val="15"/>
              <w:jc w:val="center"/>
              <w:rPr>
                <w:rFonts w:hAnsi="宋体"/>
                <w:highlight w:val="none"/>
              </w:rPr>
            </w:pPr>
          </w:p>
        </w:tc>
        <w:tc>
          <w:tcPr>
            <w:tcW w:w="1203" w:type="dxa"/>
            <w:tcBorders>
              <w:top w:val="single" w:color="000000" w:sz="4" w:space="0"/>
              <w:left w:val="single" w:color="auto" w:sz="4" w:space="0"/>
              <w:bottom w:val="single" w:color="000000" w:sz="4" w:space="0"/>
              <w:right w:val="single" w:color="000000" w:sz="4" w:space="0"/>
            </w:tcBorders>
            <w:noWrap/>
            <w:vAlign w:val="center"/>
          </w:tcPr>
          <w:p w14:paraId="03EC233B">
            <w:pPr>
              <w:pStyle w:val="15"/>
              <w:jc w:val="center"/>
              <w:rPr>
                <w:rFonts w:hAnsi="宋体"/>
                <w:highlight w:val="none"/>
              </w:rPr>
            </w:pPr>
          </w:p>
        </w:tc>
        <w:tc>
          <w:tcPr>
            <w:tcW w:w="1573" w:type="dxa"/>
            <w:tcBorders>
              <w:top w:val="single" w:color="000000" w:sz="4" w:space="0"/>
              <w:left w:val="single" w:color="000000" w:sz="4" w:space="0"/>
              <w:bottom w:val="single" w:color="000000" w:sz="4" w:space="0"/>
              <w:right w:val="single" w:color="000000" w:sz="4" w:space="0"/>
            </w:tcBorders>
            <w:noWrap/>
            <w:vAlign w:val="center"/>
          </w:tcPr>
          <w:p w14:paraId="7E5864A4">
            <w:pPr>
              <w:pStyle w:val="15"/>
              <w:jc w:val="center"/>
              <w:rPr>
                <w:rFonts w:hAnsi="宋体"/>
                <w:highlight w:val="none"/>
              </w:rPr>
            </w:pPr>
          </w:p>
        </w:tc>
        <w:tc>
          <w:tcPr>
            <w:tcW w:w="1825" w:type="dxa"/>
            <w:tcBorders>
              <w:top w:val="single" w:color="000000" w:sz="4" w:space="0"/>
              <w:left w:val="single" w:color="000000" w:sz="4" w:space="0"/>
              <w:bottom w:val="single" w:color="000000" w:sz="4" w:space="0"/>
              <w:right w:val="single" w:color="000000" w:sz="4" w:space="0"/>
            </w:tcBorders>
            <w:noWrap/>
            <w:vAlign w:val="center"/>
          </w:tcPr>
          <w:p w14:paraId="1A412B1F">
            <w:pPr>
              <w:pStyle w:val="15"/>
              <w:jc w:val="center"/>
              <w:rPr>
                <w:rFonts w:hAnsi="宋体"/>
                <w:highlight w:val="none"/>
              </w:rPr>
            </w:pPr>
          </w:p>
        </w:tc>
        <w:tc>
          <w:tcPr>
            <w:tcW w:w="2344" w:type="dxa"/>
            <w:tcBorders>
              <w:top w:val="single" w:color="000000" w:sz="4" w:space="0"/>
              <w:left w:val="single" w:color="auto" w:sz="4" w:space="0"/>
              <w:bottom w:val="single" w:color="000000" w:sz="4" w:space="0"/>
              <w:right w:val="single" w:color="000000" w:sz="4" w:space="0"/>
            </w:tcBorders>
            <w:noWrap/>
            <w:vAlign w:val="center"/>
          </w:tcPr>
          <w:p w14:paraId="5AFF3417">
            <w:pPr>
              <w:pStyle w:val="15"/>
              <w:jc w:val="center"/>
              <w:rPr>
                <w:rFonts w:hAnsi="宋体"/>
                <w:highlight w:val="none"/>
              </w:rPr>
            </w:pPr>
          </w:p>
        </w:tc>
      </w:tr>
      <w:tr w14:paraId="6459D575">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1149" w:type="dxa"/>
            <w:vMerge w:val="continue"/>
            <w:tcBorders>
              <w:top w:val="single" w:color="000000" w:sz="4" w:space="0"/>
              <w:left w:val="single" w:color="000000" w:sz="4" w:space="0"/>
              <w:bottom w:val="single" w:color="000000" w:sz="4" w:space="0"/>
              <w:right w:val="single" w:color="000000" w:sz="4" w:space="0"/>
            </w:tcBorders>
            <w:noWrap/>
            <w:vAlign w:val="center"/>
          </w:tcPr>
          <w:p w14:paraId="36E4158B">
            <w:pPr>
              <w:widowControl/>
              <w:jc w:val="left"/>
              <w:rPr>
                <w:rFonts w:ascii="宋体" w:hAnsi="宋体" w:eastAsia="宋体" w:cs="宋体"/>
                <w:szCs w:val="21"/>
                <w:highlight w:val="none"/>
              </w:rPr>
            </w:pPr>
          </w:p>
        </w:tc>
        <w:tc>
          <w:tcPr>
            <w:tcW w:w="1665" w:type="dxa"/>
            <w:tcBorders>
              <w:top w:val="single" w:color="000000" w:sz="4" w:space="0"/>
              <w:left w:val="single" w:color="000000" w:sz="4" w:space="0"/>
              <w:bottom w:val="single" w:color="000000" w:sz="4" w:space="0"/>
              <w:right w:val="single" w:color="auto" w:sz="4" w:space="0"/>
            </w:tcBorders>
            <w:noWrap/>
            <w:vAlign w:val="center"/>
          </w:tcPr>
          <w:p w14:paraId="690FB9BD">
            <w:pPr>
              <w:pStyle w:val="15"/>
              <w:jc w:val="center"/>
              <w:rPr>
                <w:rFonts w:hAnsi="宋体"/>
                <w:highlight w:val="none"/>
              </w:rPr>
            </w:pPr>
          </w:p>
        </w:tc>
        <w:tc>
          <w:tcPr>
            <w:tcW w:w="1203" w:type="dxa"/>
            <w:tcBorders>
              <w:top w:val="single" w:color="000000" w:sz="4" w:space="0"/>
              <w:left w:val="single" w:color="auto" w:sz="4" w:space="0"/>
              <w:bottom w:val="single" w:color="000000" w:sz="4" w:space="0"/>
              <w:right w:val="single" w:color="000000" w:sz="4" w:space="0"/>
            </w:tcBorders>
            <w:noWrap/>
            <w:vAlign w:val="center"/>
          </w:tcPr>
          <w:p w14:paraId="57CF8B0C">
            <w:pPr>
              <w:pStyle w:val="15"/>
              <w:jc w:val="center"/>
              <w:rPr>
                <w:rFonts w:hAnsi="宋体"/>
                <w:highlight w:val="none"/>
              </w:rPr>
            </w:pPr>
          </w:p>
        </w:tc>
        <w:tc>
          <w:tcPr>
            <w:tcW w:w="1573" w:type="dxa"/>
            <w:tcBorders>
              <w:top w:val="single" w:color="000000" w:sz="4" w:space="0"/>
              <w:left w:val="single" w:color="000000" w:sz="4" w:space="0"/>
              <w:bottom w:val="single" w:color="000000" w:sz="4" w:space="0"/>
              <w:right w:val="single" w:color="000000" w:sz="4" w:space="0"/>
            </w:tcBorders>
            <w:noWrap/>
            <w:vAlign w:val="center"/>
          </w:tcPr>
          <w:p w14:paraId="67F03A40">
            <w:pPr>
              <w:pStyle w:val="15"/>
              <w:jc w:val="center"/>
              <w:rPr>
                <w:rFonts w:hAnsi="宋体"/>
                <w:highlight w:val="none"/>
              </w:rPr>
            </w:pPr>
          </w:p>
        </w:tc>
        <w:tc>
          <w:tcPr>
            <w:tcW w:w="1825" w:type="dxa"/>
            <w:tcBorders>
              <w:top w:val="single" w:color="000000" w:sz="4" w:space="0"/>
              <w:left w:val="single" w:color="000000" w:sz="4" w:space="0"/>
              <w:bottom w:val="single" w:color="000000" w:sz="4" w:space="0"/>
              <w:right w:val="single" w:color="000000" w:sz="4" w:space="0"/>
            </w:tcBorders>
            <w:noWrap/>
            <w:vAlign w:val="center"/>
          </w:tcPr>
          <w:p w14:paraId="606B8C57">
            <w:pPr>
              <w:pStyle w:val="15"/>
              <w:jc w:val="center"/>
              <w:rPr>
                <w:rFonts w:hAnsi="宋体"/>
                <w:highlight w:val="none"/>
              </w:rPr>
            </w:pPr>
          </w:p>
        </w:tc>
        <w:tc>
          <w:tcPr>
            <w:tcW w:w="2344" w:type="dxa"/>
            <w:tcBorders>
              <w:top w:val="single" w:color="000000" w:sz="4" w:space="0"/>
              <w:left w:val="single" w:color="auto" w:sz="4" w:space="0"/>
              <w:bottom w:val="single" w:color="000000" w:sz="4" w:space="0"/>
              <w:right w:val="single" w:color="000000" w:sz="4" w:space="0"/>
            </w:tcBorders>
            <w:noWrap/>
            <w:vAlign w:val="center"/>
          </w:tcPr>
          <w:p w14:paraId="134BF447">
            <w:pPr>
              <w:pStyle w:val="15"/>
              <w:jc w:val="center"/>
              <w:rPr>
                <w:rFonts w:hAnsi="宋体"/>
                <w:highlight w:val="none"/>
              </w:rPr>
            </w:pPr>
          </w:p>
        </w:tc>
      </w:tr>
      <w:tr w14:paraId="6988EF3C">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1149" w:type="dxa"/>
            <w:vMerge w:val="continue"/>
            <w:tcBorders>
              <w:top w:val="single" w:color="000000" w:sz="4" w:space="0"/>
              <w:left w:val="single" w:color="000000" w:sz="4" w:space="0"/>
              <w:bottom w:val="single" w:color="000000" w:sz="4" w:space="0"/>
              <w:right w:val="single" w:color="000000" w:sz="4" w:space="0"/>
            </w:tcBorders>
            <w:noWrap/>
            <w:vAlign w:val="center"/>
          </w:tcPr>
          <w:p w14:paraId="4403C21C">
            <w:pPr>
              <w:widowControl/>
              <w:jc w:val="left"/>
              <w:rPr>
                <w:rFonts w:ascii="宋体" w:hAnsi="宋体" w:eastAsia="宋体" w:cs="宋体"/>
                <w:szCs w:val="21"/>
                <w:highlight w:val="none"/>
              </w:rPr>
            </w:pPr>
          </w:p>
        </w:tc>
        <w:tc>
          <w:tcPr>
            <w:tcW w:w="1665" w:type="dxa"/>
            <w:tcBorders>
              <w:top w:val="single" w:color="000000" w:sz="4" w:space="0"/>
              <w:left w:val="single" w:color="000000" w:sz="4" w:space="0"/>
              <w:bottom w:val="single" w:color="000000" w:sz="4" w:space="0"/>
              <w:right w:val="single" w:color="auto" w:sz="4" w:space="0"/>
            </w:tcBorders>
            <w:noWrap/>
            <w:vAlign w:val="center"/>
          </w:tcPr>
          <w:p w14:paraId="2EC1A00F">
            <w:pPr>
              <w:pStyle w:val="15"/>
              <w:jc w:val="center"/>
              <w:rPr>
                <w:rFonts w:hAnsi="宋体"/>
                <w:highlight w:val="none"/>
              </w:rPr>
            </w:pPr>
          </w:p>
        </w:tc>
        <w:tc>
          <w:tcPr>
            <w:tcW w:w="1203" w:type="dxa"/>
            <w:tcBorders>
              <w:top w:val="single" w:color="000000" w:sz="4" w:space="0"/>
              <w:left w:val="single" w:color="auto" w:sz="4" w:space="0"/>
              <w:bottom w:val="single" w:color="000000" w:sz="4" w:space="0"/>
              <w:right w:val="single" w:color="000000" w:sz="4" w:space="0"/>
            </w:tcBorders>
            <w:noWrap/>
            <w:vAlign w:val="center"/>
          </w:tcPr>
          <w:p w14:paraId="51B73F7B">
            <w:pPr>
              <w:pStyle w:val="15"/>
              <w:jc w:val="center"/>
              <w:rPr>
                <w:rFonts w:hAnsi="宋体"/>
                <w:highlight w:val="none"/>
              </w:rPr>
            </w:pPr>
          </w:p>
        </w:tc>
        <w:tc>
          <w:tcPr>
            <w:tcW w:w="1573" w:type="dxa"/>
            <w:tcBorders>
              <w:top w:val="single" w:color="000000" w:sz="4" w:space="0"/>
              <w:left w:val="single" w:color="000000" w:sz="4" w:space="0"/>
              <w:bottom w:val="single" w:color="000000" w:sz="4" w:space="0"/>
              <w:right w:val="single" w:color="000000" w:sz="4" w:space="0"/>
            </w:tcBorders>
            <w:noWrap/>
            <w:vAlign w:val="center"/>
          </w:tcPr>
          <w:p w14:paraId="19872AEC">
            <w:pPr>
              <w:pStyle w:val="15"/>
              <w:jc w:val="center"/>
              <w:rPr>
                <w:rFonts w:hAnsi="宋体"/>
                <w:highlight w:val="none"/>
              </w:rPr>
            </w:pPr>
          </w:p>
        </w:tc>
        <w:tc>
          <w:tcPr>
            <w:tcW w:w="1825" w:type="dxa"/>
            <w:tcBorders>
              <w:top w:val="single" w:color="000000" w:sz="4" w:space="0"/>
              <w:left w:val="single" w:color="000000" w:sz="4" w:space="0"/>
              <w:bottom w:val="single" w:color="000000" w:sz="4" w:space="0"/>
              <w:right w:val="single" w:color="000000" w:sz="4" w:space="0"/>
            </w:tcBorders>
            <w:noWrap/>
            <w:vAlign w:val="center"/>
          </w:tcPr>
          <w:p w14:paraId="6290393E">
            <w:pPr>
              <w:pStyle w:val="15"/>
              <w:jc w:val="center"/>
              <w:rPr>
                <w:rFonts w:hAnsi="宋体"/>
                <w:highlight w:val="none"/>
              </w:rPr>
            </w:pPr>
          </w:p>
        </w:tc>
        <w:tc>
          <w:tcPr>
            <w:tcW w:w="2344" w:type="dxa"/>
            <w:tcBorders>
              <w:top w:val="single" w:color="000000" w:sz="4" w:space="0"/>
              <w:left w:val="single" w:color="auto" w:sz="4" w:space="0"/>
              <w:bottom w:val="single" w:color="000000" w:sz="4" w:space="0"/>
              <w:right w:val="single" w:color="000000" w:sz="4" w:space="0"/>
            </w:tcBorders>
            <w:noWrap/>
            <w:vAlign w:val="center"/>
          </w:tcPr>
          <w:p w14:paraId="6D060AE1">
            <w:pPr>
              <w:pStyle w:val="15"/>
              <w:jc w:val="center"/>
              <w:rPr>
                <w:rFonts w:hAnsi="宋体"/>
                <w:highlight w:val="none"/>
              </w:rPr>
            </w:pPr>
          </w:p>
        </w:tc>
      </w:tr>
      <w:tr w14:paraId="06FD27C7">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1149" w:type="dxa"/>
            <w:vMerge w:val="continue"/>
            <w:tcBorders>
              <w:top w:val="single" w:color="000000" w:sz="4" w:space="0"/>
              <w:left w:val="single" w:color="000000" w:sz="4" w:space="0"/>
              <w:bottom w:val="single" w:color="000000" w:sz="4" w:space="0"/>
              <w:right w:val="single" w:color="000000" w:sz="4" w:space="0"/>
            </w:tcBorders>
            <w:noWrap/>
            <w:vAlign w:val="center"/>
          </w:tcPr>
          <w:p w14:paraId="23F01180">
            <w:pPr>
              <w:widowControl/>
              <w:jc w:val="left"/>
              <w:rPr>
                <w:rFonts w:ascii="宋体" w:hAnsi="宋体" w:eastAsia="宋体" w:cs="宋体"/>
                <w:szCs w:val="21"/>
                <w:highlight w:val="none"/>
              </w:rPr>
            </w:pPr>
          </w:p>
        </w:tc>
        <w:tc>
          <w:tcPr>
            <w:tcW w:w="1665" w:type="dxa"/>
            <w:tcBorders>
              <w:top w:val="single" w:color="000000" w:sz="4" w:space="0"/>
              <w:left w:val="single" w:color="000000" w:sz="4" w:space="0"/>
              <w:bottom w:val="single" w:color="000000" w:sz="4" w:space="0"/>
              <w:right w:val="single" w:color="auto" w:sz="4" w:space="0"/>
            </w:tcBorders>
            <w:noWrap/>
            <w:vAlign w:val="center"/>
          </w:tcPr>
          <w:p w14:paraId="300D4C09">
            <w:pPr>
              <w:pStyle w:val="15"/>
              <w:jc w:val="center"/>
              <w:rPr>
                <w:rFonts w:hAnsi="宋体"/>
                <w:highlight w:val="none"/>
              </w:rPr>
            </w:pPr>
          </w:p>
        </w:tc>
        <w:tc>
          <w:tcPr>
            <w:tcW w:w="1203" w:type="dxa"/>
            <w:tcBorders>
              <w:top w:val="single" w:color="000000" w:sz="4" w:space="0"/>
              <w:left w:val="single" w:color="auto" w:sz="4" w:space="0"/>
              <w:bottom w:val="single" w:color="000000" w:sz="4" w:space="0"/>
              <w:right w:val="single" w:color="000000" w:sz="4" w:space="0"/>
            </w:tcBorders>
            <w:noWrap/>
            <w:vAlign w:val="center"/>
          </w:tcPr>
          <w:p w14:paraId="48DA4052">
            <w:pPr>
              <w:pStyle w:val="15"/>
              <w:jc w:val="center"/>
              <w:rPr>
                <w:rFonts w:hAnsi="宋体"/>
                <w:highlight w:val="none"/>
              </w:rPr>
            </w:pPr>
          </w:p>
        </w:tc>
        <w:tc>
          <w:tcPr>
            <w:tcW w:w="1573" w:type="dxa"/>
            <w:tcBorders>
              <w:top w:val="single" w:color="000000" w:sz="4" w:space="0"/>
              <w:left w:val="single" w:color="000000" w:sz="4" w:space="0"/>
              <w:bottom w:val="single" w:color="000000" w:sz="4" w:space="0"/>
              <w:right w:val="single" w:color="000000" w:sz="4" w:space="0"/>
            </w:tcBorders>
            <w:noWrap/>
            <w:vAlign w:val="center"/>
          </w:tcPr>
          <w:p w14:paraId="4542D91B">
            <w:pPr>
              <w:pStyle w:val="15"/>
              <w:jc w:val="center"/>
              <w:rPr>
                <w:rFonts w:hAnsi="宋体"/>
                <w:highlight w:val="none"/>
              </w:rPr>
            </w:pPr>
          </w:p>
        </w:tc>
        <w:tc>
          <w:tcPr>
            <w:tcW w:w="1825" w:type="dxa"/>
            <w:tcBorders>
              <w:top w:val="single" w:color="000000" w:sz="4" w:space="0"/>
              <w:left w:val="single" w:color="000000" w:sz="4" w:space="0"/>
              <w:bottom w:val="single" w:color="000000" w:sz="4" w:space="0"/>
              <w:right w:val="single" w:color="000000" w:sz="4" w:space="0"/>
            </w:tcBorders>
            <w:noWrap/>
            <w:vAlign w:val="center"/>
          </w:tcPr>
          <w:p w14:paraId="03E51C02">
            <w:pPr>
              <w:pStyle w:val="15"/>
              <w:jc w:val="center"/>
              <w:rPr>
                <w:rFonts w:hAnsi="宋体"/>
                <w:highlight w:val="none"/>
              </w:rPr>
            </w:pPr>
          </w:p>
        </w:tc>
        <w:tc>
          <w:tcPr>
            <w:tcW w:w="2344" w:type="dxa"/>
            <w:tcBorders>
              <w:top w:val="single" w:color="000000" w:sz="4" w:space="0"/>
              <w:left w:val="single" w:color="auto" w:sz="4" w:space="0"/>
              <w:bottom w:val="single" w:color="000000" w:sz="4" w:space="0"/>
              <w:right w:val="single" w:color="000000" w:sz="4" w:space="0"/>
            </w:tcBorders>
            <w:noWrap/>
            <w:vAlign w:val="center"/>
          </w:tcPr>
          <w:p w14:paraId="37BB7A7D">
            <w:pPr>
              <w:pStyle w:val="15"/>
              <w:jc w:val="center"/>
              <w:rPr>
                <w:rFonts w:hAnsi="宋体"/>
                <w:highlight w:val="none"/>
              </w:rPr>
            </w:pPr>
          </w:p>
        </w:tc>
      </w:tr>
      <w:tr w14:paraId="5D06398D">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1149" w:type="dxa"/>
            <w:vMerge w:val="continue"/>
            <w:tcBorders>
              <w:top w:val="single" w:color="000000" w:sz="4" w:space="0"/>
              <w:left w:val="single" w:color="000000" w:sz="4" w:space="0"/>
              <w:bottom w:val="single" w:color="000000" w:sz="4" w:space="0"/>
              <w:right w:val="single" w:color="000000" w:sz="4" w:space="0"/>
            </w:tcBorders>
            <w:noWrap/>
            <w:vAlign w:val="center"/>
          </w:tcPr>
          <w:p w14:paraId="0FBC1420">
            <w:pPr>
              <w:widowControl/>
              <w:jc w:val="left"/>
              <w:rPr>
                <w:rFonts w:ascii="宋体" w:hAnsi="宋体" w:eastAsia="宋体" w:cs="宋体"/>
                <w:szCs w:val="21"/>
                <w:highlight w:val="none"/>
              </w:rPr>
            </w:pPr>
          </w:p>
        </w:tc>
        <w:tc>
          <w:tcPr>
            <w:tcW w:w="1665" w:type="dxa"/>
            <w:tcBorders>
              <w:top w:val="single" w:color="000000" w:sz="4" w:space="0"/>
              <w:left w:val="single" w:color="000000" w:sz="4" w:space="0"/>
              <w:bottom w:val="single" w:color="000000" w:sz="4" w:space="0"/>
              <w:right w:val="single" w:color="auto" w:sz="4" w:space="0"/>
            </w:tcBorders>
            <w:noWrap/>
            <w:vAlign w:val="center"/>
          </w:tcPr>
          <w:p w14:paraId="0E3F4BD7">
            <w:pPr>
              <w:pStyle w:val="15"/>
              <w:jc w:val="center"/>
              <w:rPr>
                <w:rFonts w:hAnsi="宋体"/>
                <w:highlight w:val="none"/>
              </w:rPr>
            </w:pPr>
            <w:r>
              <w:rPr>
                <w:rFonts w:hint="eastAsia" w:hAnsi="宋体"/>
                <w:highlight w:val="none"/>
              </w:rPr>
              <w:t>…</w:t>
            </w:r>
          </w:p>
        </w:tc>
        <w:tc>
          <w:tcPr>
            <w:tcW w:w="1203" w:type="dxa"/>
            <w:tcBorders>
              <w:top w:val="single" w:color="000000" w:sz="4" w:space="0"/>
              <w:left w:val="single" w:color="auto" w:sz="4" w:space="0"/>
              <w:bottom w:val="single" w:color="000000" w:sz="4" w:space="0"/>
              <w:right w:val="single" w:color="000000" w:sz="4" w:space="0"/>
            </w:tcBorders>
            <w:noWrap/>
            <w:vAlign w:val="center"/>
          </w:tcPr>
          <w:p w14:paraId="2FD7A4D9">
            <w:pPr>
              <w:pStyle w:val="15"/>
              <w:jc w:val="center"/>
              <w:rPr>
                <w:rFonts w:hAnsi="宋体"/>
                <w:highlight w:val="none"/>
              </w:rPr>
            </w:pPr>
          </w:p>
        </w:tc>
        <w:tc>
          <w:tcPr>
            <w:tcW w:w="1573" w:type="dxa"/>
            <w:tcBorders>
              <w:top w:val="single" w:color="000000" w:sz="4" w:space="0"/>
              <w:left w:val="single" w:color="000000" w:sz="4" w:space="0"/>
              <w:bottom w:val="single" w:color="000000" w:sz="4" w:space="0"/>
              <w:right w:val="single" w:color="000000" w:sz="4" w:space="0"/>
            </w:tcBorders>
            <w:noWrap/>
            <w:vAlign w:val="center"/>
          </w:tcPr>
          <w:p w14:paraId="77056361">
            <w:pPr>
              <w:pStyle w:val="15"/>
              <w:jc w:val="center"/>
              <w:rPr>
                <w:rFonts w:hAnsi="宋体"/>
                <w:highlight w:val="none"/>
              </w:rPr>
            </w:pPr>
          </w:p>
        </w:tc>
        <w:tc>
          <w:tcPr>
            <w:tcW w:w="1825" w:type="dxa"/>
            <w:tcBorders>
              <w:top w:val="single" w:color="000000" w:sz="4" w:space="0"/>
              <w:left w:val="single" w:color="000000" w:sz="4" w:space="0"/>
              <w:bottom w:val="single" w:color="000000" w:sz="4" w:space="0"/>
              <w:right w:val="single" w:color="000000" w:sz="4" w:space="0"/>
            </w:tcBorders>
            <w:noWrap/>
            <w:vAlign w:val="center"/>
          </w:tcPr>
          <w:p w14:paraId="31A96156">
            <w:pPr>
              <w:pStyle w:val="15"/>
              <w:jc w:val="center"/>
              <w:rPr>
                <w:rFonts w:hAnsi="宋体"/>
                <w:highlight w:val="none"/>
              </w:rPr>
            </w:pPr>
          </w:p>
        </w:tc>
        <w:tc>
          <w:tcPr>
            <w:tcW w:w="2344" w:type="dxa"/>
            <w:tcBorders>
              <w:top w:val="single" w:color="000000" w:sz="4" w:space="0"/>
              <w:left w:val="single" w:color="auto" w:sz="4" w:space="0"/>
              <w:bottom w:val="single" w:color="000000" w:sz="4" w:space="0"/>
              <w:right w:val="single" w:color="000000" w:sz="4" w:space="0"/>
            </w:tcBorders>
            <w:noWrap/>
            <w:vAlign w:val="center"/>
          </w:tcPr>
          <w:p w14:paraId="2F7F5D93">
            <w:pPr>
              <w:pStyle w:val="15"/>
              <w:jc w:val="center"/>
              <w:rPr>
                <w:rFonts w:hAnsi="宋体"/>
                <w:highlight w:val="none"/>
              </w:rPr>
            </w:pPr>
          </w:p>
        </w:tc>
      </w:tr>
    </w:tbl>
    <w:p w14:paraId="6E02FB68">
      <w:pPr>
        <w:pStyle w:val="4"/>
        <w:keepNext/>
        <w:spacing w:beforeLines="0" w:line="460" w:lineRule="exact"/>
        <w:ind w:firstLine="420"/>
        <w:rPr>
          <w:rFonts w:hAnsi="宋体" w:cs="宋体"/>
          <w:highlight w:val="none"/>
        </w:rPr>
      </w:pPr>
      <w:r>
        <w:rPr>
          <w:rFonts w:hint="eastAsia" w:hAnsi="宋体" w:cs="宋体"/>
          <w:highlight w:val="none"/>
        </w:rPr>
        <w:t>注：提供每个人员的学历证、职称证（如有）、执业或职业或注册资格证书（如有）、身份证、人员在职证明材料（如近半年内的社保证明或劳动合同、事业单位聘用证明材料等）等相关资料复印件。</w:t>
      </w:r>
    </w:p>
    <w:p w14:paraId="57FD9BCF">
      <w:pPr>
        <w:spacing w:line="460" w:lineRule="exact"/>
        <w:ind w:firstLine="279" w:firstLineChars="133"/>
        <w:rPr>
          <w:rFonts w:ascii="宋体" w:hAnsi="宋体" w:eastAsia="宋体" w:cs="宋体"/>
          <w:szCs w:val="21"/>
          <w:highlight w:val="none"/>
        </w:rPr>
      </w:pPr>
    </w:p>
    <w:p w14:paraId="711403FA">
      <w:pPr>
        <w:spacing w:line="460" w:lineRule="exact"/>
        <w:ind w:firstLine="279" w:firstLineChars="133"/>
        <w:rPr>
          <w:rFonts w:ascii="宋体" w:hAnsi="宋体" w:eastAsia="宋体" w:cs="宋体"/>
          <w:szCs w:val="21"/>
          <w:highlight w:val="none"/>
        </w:rPr>
      </w:pPr>
      <w:r>
        <w:rPr>
          <w:rFonts w:hint="eastAsia" w:ascii="宋体" w:hAnsi="宋体" w:eastAsia="宋体" w:cs="宋体"/>
          <w:szCs w:val="21"/>
          <w:highlight w:val="none"/>
        </w:rPr>
        <w:t>磋商申请人：</w:t>
      </w:r>
      <w:r>
        <w:rPr>
          <w:rFonts w:hint="eastAsia" w:ascii="宋体" w:hAnsi="宋体" w:eastAsia="宋体" w:cs="宋体"/>
          <w:szCs w:val="21"/>
          <w:highlight w:val="none"/>
          <w:u w:val="single"/>
        </w:rPr>
        <w:t xml:space="preserve">        （全称）      </w:t>
      </w:r>
      <w:r>
        <w:rPr>
          <w:rFonts w:hint="eastAsia" w:ascii="宋体" w:hAnsi="宋体" w:eastAsia="宋体" w:cs="宋体"/>
          <w:szCs w:val="21"/>
          <w:highlight w:val="none"/>
        </w:rPr>
        <w:t>（加盖单位公章）</w:t>
      </w:r>
    </w:p>
    <w:p w14:paraId="3F35D6E5">
      <w:pPr>
        <w:spacing w:line="460" w:lineRule="exact"/>
        <w:ind w:firstLine="279" w:firstLineChars="133"/>
        <w:rPr>
          <w:rFonts w:ascii="宋体" w:hAnsi="宋体" w:eastAsia="宋体" w:cs="宋体"/>
          <w:szCs w:val="21"/>
          <w:highlight w:val="none"/>
        </w:rPr>
      </w:pPr>
      <w:r>
        <w:rPr>
          <w:rFonts w:hint="eastAsia" w:ascii="宋体" w:hAnsi="宋体" w:eastAsia="宋体" w:cs="宋体"/>
          <w:szCs w:val="21"/>
          <w:highlight w:val="none"/>
        </w:rPr>
        <w:t>法定代表人（负责人）或委托代理人：</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（签字或加盖个人印章）</w:t>
      </w:r>
    </w:p>
    <w:p w14:paraId="23782EF2">
      <w:pPr>
        <w:spacing w:line="460" w:lineRule="exact"/>
        <w:ind w:firstLine="279" w:firstLineChars="133"/>
        <w:rPr>
          <w:rFonts w:ascii="宋体" w:hAnsi="宋体" w:eastAsia="宋体" w:cs="宋体"/>
          <w:highlight w:val="none"/>
        </w:rPr>
      </w:pPr>
      <w:r>
        <w:rPr>
          <w:rFonts w:hint="eastAsia" w:ascii="宋体" w:hAnsi="宋体" w:eastAsia="宋体" w:cs="宋体"/>
          <w:szCs w:val="21"/>
          <w:highlight w:val="none"/>
        </w:rPr>
        <w:t>日期：</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年</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月</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日</w:t>
      </w:r>
    </w:p>
    <w:p w14:paraId="28492B1D">
      <w:pPr>
        <w:spacing w:line="360" w:lineRule="auto"/>
        <w:ind w:firstLine="420" w:firstLineChars="200"/>
        <w:rPr>
          <w:rFonts w:ascii="宋体" w:hAnsi="宋体" w:eastAsia="宋体" w:cs="宋体"/>
          <w:szCs w:val="21"/>
          <w:highlight w:val="none"/>
        </w:rPr>
      </w:pPr>
    </w:p>
    <w:p w14:paraId="40D00427">
      <w:pPr>
        <w:spacing w:line="360" w:lineRule="auto"/>
        <w:ind w:firstLine="420" w:firstLineChars="200"/>
        <w:jc w:val="center"/>
        <w:rPr>
          <w:rFonts w:ascii="宋体" w:hAnsi="宋体" w:eastAsia="宋体" w:cs="宋体"/>
          <w:kern w:val="0"/>
          <w:szCs w:val="21"/>
          <w:highlight w:val="none"/>
        </w:rPr>
      </w:pPr>
      <w:r>
        <w:rPr>
          <w:rFonts w:hint="eastAsia" w:ascii="宋体" w:hAnsi="宋体" w:eastAsia="宋体" w:cs="宋体"/>
          <w:szCs w:val="21"/>
          <w:highlight w:val="none"/>
        </w:rPr>
        <w:br w:type="page"/>
      </w:r>
    </w:p>
    <w:p w14:paraId="5A7BD644">
      <w:pPr>
        <w:spacing w:line="360" w:lineRule="auto"/>
        <w:jc w:val="center"/>
        <w:rPr>
          <w:rFonts w:ascii="宋体" w:hAnsi="宋体" w:eastAsia="宋体" w:cs="宋体"/>
          <w:b/>
          <w:bCs/>
          <w:sz w:val="28"/>
          <w:szCs w:val="28"/>
          <w:highlight w:val="none"/>
        </w:rPr>
      </w:pPr>
      <w:r>
        <w:rPr>
          <w:rFonts w:hint="eastAsia" w:ascii="宋体" w:hAnsi="宋体" w:eastAsia="宋体" w:cs="宋体"/>
          <w:b/>
          <w:bCs/>
          <w:sz w:val="28"/>
          <w:szCs w:val="28"/>
          <w:highlight w:val="none"/>
        </w:rPr>
        <w:t>格式6：项目经验的证明材料</w:t>
      </w:r>
    </w:p>
    <w:p w14:paraId="3511DEFC">
      <w:pPr>
        <w:spacing w:line="360" w:lineRule="auto"/>
        <w:ind w:left="-7" w:leftChars="-6" w:right="-178" w:rightChars="-85" w:hanging="6" w:hangingChars="3"/>
        <w:jc w:val="center"/>
        <w:rPr>
          <w:rFonts w:ascii="宋体" w:hAnsi="宋体" w:eastAsia="宋体" w:cs="宋体"/>
          <w:b/>
          <w:bCs/>
          <w:szCs w:val="21"/>
          <w:highlight w:val="none"/>
        </w:rPr>
      </w:pPr>
      <w:r>
        <w:rPr>
          <w:rFonts w:hint="eastAsia" w:ascii="宋体" w:hAnsi="宋体" w:eastAsia="宋体" w:cs="宋体"/>
          <w:b/>
          <w:bCs/>
          <w:szCs w:val="21"/>
          <w:highlight w:val="none"/>
        </w:rPr>
        <w:t>（2023年1月1日至今正在经营或已完成同类项目经验证明材料）</w:t>
      </w:r>
    </w:p>
    <w:tbl>
      <w:tblPr>
        <w:tblStyle w:val="27"/>
        <w:tblW w:w="9995"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371"/>
        <w:gridCol w:w="1843"/>
        <w:gridCol w:w="1620"/>
        <w:gridCol w:w="1620"/>
        <w:gridCol w:w="1620"/>
        <w:gridCol w:w="1093"/>
      </w:tblGrid>
      <w:tr w14:paraId="7AD0ED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trPr>
        <w:tc>
          <w:tcPr>
            <w:tcW w:w="828" w:type="dxa"/>
            <w:vAlign w:val="center"/>
          </w:tcPr>
          <w:p w14:paraId="70570AE4">
            <w:pPr>
              <w:jc w:val="center"/>
              <w:rPr>
                <w:rFonts w:ascii="宋体" w:hAnsi="宋体" w:eastAsia="宋体" w:cs="宋体"/>
                <w:szCs w:val="21"/>
                <w:highlight w:val="none"/>
              </w:rPr>
            </w:pPr>
            <w:r>
              <w:rPr>
                <w:rFonts w:hint="eastAsia" w:ascii="宋体" w:hAnsi="宋体" w:eastAsia="宋体" w:cs="宋体"/>
                <w:szCs w:val="21"/>
                <w:highlight w:val="none"/>
              </w:rPr>
              <w:t>序号</w:t>
            </w:r>
          </w:p>
        </w:tc>
        <w:tc>
          <w:tcPr>
            <w:tcW w:w="1371" w:type="dxa"/>
            <w:vAlign w:val="center"/>
          </w:tcPr>
          <w:p w14:paraId="13127C82">
            <w:pPr>
              <w:jc w:val="center"/>
              <w:rPr>
                <w:rFonts w:ascii="宋体" w:hAnsi="宋体" w:eastAsia="宋体" w:cs="宋体"/>
                <w:szCs w:val="21"/>
                <w:highlight w:val="none"/>
              </w:rPr>
            </w:pPr>
            <w:r>
              <w:rPr>
                <w:rFonts w:hint="eastAsia" w:ascii="宋体" w:hAnsi="宋体" w:eastAsia="宋体" w:cs="宋体"/>
                <w:szCs w:val="21"/>
                <w:highlight w:val="none"/>
              </w:rPr>
              <w:t>项目名称</w:t>
            </w:r>
          </w:p>
        </w:tc>
        <w:tc>
          <w:tcPr>
            <w:tcW w:w="1843" w:type="dxa"/>
            <w:vAlign w:val="center"/>
          </w:tcPr>
          <w:p w14:paraId="2EC96F04">
            <w:pPr>
              <w:jc w:val="center"/>
              <w:rPr>
                <w:rFonts w:ascii="宋体" w:hAnsi="宋体" w:eastAsia="宋体" w:cs="宋体"/>
                <w:szCs w:val="21"/>
                <w:highlight w:val="none"/>
              </w:rPr>
            </w:pPr>
            <w:r>
              <w:rPr>
                <w:rFonts w:hint="eastAsia" w:ascii="宋体" w:hAnsi="宋体" w:eastAsia="宋体" w:cs="宋体"/>
                <w:szCs w:val="21"/>
                <w:highlight w:val="none"/>
              </w:rPr>
              <w:t>业主单位</w:t>
            </w:r>
          </w:p>
        </w:tc>
        <w:tc>
          <w:tcPr>
            <w:tcW w:w="1620" w:type="dxa"/>
            <w:vAlign w:val="center"/>
          </w:tcPr>
          <w:p w14:paraId="1B493839">
            <w:pPr>
              <w:jc w:val="center"/>
              <w:rPr>
                <w:rFonts w:ascii="宋体" w:hAnsi="宋体" w:eastAsia="宋体" w:cs="宋体"/>
                <w:szCs w:val="21"/>
                <w:highlight w:val="none"/>
              </w:rPr>
            </w:pPr>
            <w:r>
              <w:rPr>
                <w:rFonts w:hint="eastAsia" w:ascii="宋体" w:hAnsi="宋体" w:eastAsia="宋体" w:cs="宋体"/>
                <w:szCs w:val="21"/>
                <w:highlight w:val="none"/>
              </w:rPr>
              <w:t>项目负责人</w:t>
            </w:r>
          </w:p>
        </w:tc>
        <w:tc>
          <w:tcPr>
            <w:tcW w:w="1620" w:type="dxa"/>
            <w:vAlign w:val="center"/>
          </w:tcPr>
          <w:p w14:paraId="08BD3887">
            <w:pPr>
              <w:jc w:val="center"/>
              <w:rPr>
                <w:rFonts w:ascii="宋体" w:hAnsi="宋体" w:eastAsia="宋体" w:cs="宋体"/>
                <w:szCs w:val="21"/>
                <w:highlight w:val="none"/>
              </w:rPr>
            </w:pPr>
            <w:r>
              <w:rPr>
                <w:rFonts w:hint="eastAsia" w:ascii="宋体" w:hAnsi="宋体" w:eastAsia="宋体" w:cs="宋体"/>
                <w:szCs w:val="21"/>
                <w:highlight w:val="none"/>
              </w:rPr>
              <w:t>合同总价</w:t>
            </w:r>
          </w:p>
        </w:tc>
        <w:tc>
          <w:tcPr>
            <w:tcW w:w="1620" w:type="dxa"/>
            <w:vAlign w:val="center"/>
          </w:tcPr>
          <w:p w14:paraId="184E2110">
            <w:pPr>
              <w:jc w:val="center"/>
              <w:rPr>
                <w:rFonts w:ascii="宋体" w:hAnsi="宋体" w:eastAsia="宋体" w:cs="宋体"/>
                <w:szCs w:val="21"/>
                <w:highlight w:val="none"/>
              </w:rPr>
            </w:pPr>
            <w:r>
              <w:rPr>
                <w:rFonts w:hint="eastAsia" w:ascii="宋体" w:hAnsi="宋体" w:eastAsia="宋体" w:cs="宋体"/>
                <w:szCs w:val="21"/>
                <w:highlight w:val="none"/>
              </w:rPr>
              <w:t>完成情况</w:t>
            </w:r>
          </w:p>
        </w:tc>
        <w:tc>
          <w:tcPr>
            <w:tcW w:w="1093" w:type="dxa"/>
            <w:vAlign w:val="center"/>
          </w:tcPr>
          <w:p w14:paraId="4E0EE08A">
            <w:pPr>
              <w:jc w:val="center"/>
              <w:rPr>
                <w:rFonts w:ascii="宋体" w:hAnsi="宋体" w:eastAsia="宋体" w:cs="宋体"/>
                <w:szCs w:val="21"/>
                <w:highlight w:val="none"/>
              </w:rPr>
            </w:pPr>
            <w:r>
              <w:rPr>
                <w:rFonts w:hint="eastAsia" w:ascii="宋体" w:hAnsi="宋体" w:eastAsia="宋体" w:cs="宋体"/>
                <w:szCs w:val="21"/>
                <w:highlight w:val="none"/>
              </w:rPr>
              <w:t>备注</w:t>
            </w:r>
          </w:p>
        </w:tc>
      </w:tr>
      <w:tr w14:paraId="4113CB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trPr>
        <w:tc>
          <w:tcPr>
            <w:tcW w:w="828" w:type="dxa"/>
            <w:vAlign w:val="center"/>
          </w:tcPr>
          <w:p w14:paraId="4AF268A0">
            <w:pPr>
              <w:jc w:val="center"/>
              <w:rPr>
                <w:rFonts w:ascii="宋体" w:hAnsi="宋体" w:eastAsia="宋体" w:cs="宋体"/>
                <w:szCs w:val="21"/>
                <w:highlight w:val="none"/>
              </w:rPr>
            </w:pPr>
            <w:r>
              <w:rPr>
                <w:rFonts w:hint="eastAsia" w:ascii="宋体" w:hAnsi="宋体" w:eastAsia="宋体" w:cs="宋体"/>
                <w:szCs w:val="21"/>
                <w:highlight w:val="none"/>
              </w:rPr>
              <w:t>1</w:t>
            </w:r>
          </w:p>
        </w:tc>
        <w:tc>
          <w:tcPr>
            <w:tcW w:w="1371" w:type="dxa"/>
            <w:vAlign w:val="center"/>
          </w:tcPr>
          <w:p w14:paraId="25481A24">
            <w:pPr>
              <w:jc w:val="center"/>
              <w:rPr>
                <w:rFonts w:ascii="宋体" w:hAnsi="宋体" w:eastAsia="宋体" w:cs="宋体"/>
                <w:szCs w:val="21"/>
                <w:highlight w:val="none"/>
              </w:rPr>
            </w:pPr>
          </w:p>
        </w:tc>
        <w:tc>
          <w:tcPr>
            <w:tcW w:w="1843" w:type="dxa"/>
            <w:vAlign w:val="center"/>
          </w:tcPr>
          <w:p w14:paraId="0E5B8823">
            <w:pPr>
              <w:jc w:val="center"/>
              <w:rPr>
                <w:rFonts w:ascii="宋体" w:hAnsi="宋体" w:eastAsia="宋体" w:cs="宋体"/>
                <w:szCs w:val="21"/>
                <w:highlight w:val="none"/>
              </w:rPr>
            </w:pPr>
          </w:p>
        </w:tc>
        <w:tc>
          <w:tcPr>
            <w:tcW w:w="1620" w:type="dxa"/>
            <w:vAlign w:val="center"/>
          </w:tcPr>
          <w:p w14:paraId="3090BC93">
            <w:pPr>
              <w:jc w:val="center"/>
              <w:rPr>
                <w:rFonts w:ascii="宋体" w:hAnsi="宋体" w:eastAsia="宋体" w:cs="宋体"/>
                <w:szCs w:val="21"/>
                <w:highlight w:val="none"/>
              </w:rPr>
            </w:pPr>
          </w:p>
        </w:tc>
        <w:tc>
          <w:tcPr>
            <w:tcW w:w="1620" w:type="dxa"/>
            <w:vAlign w:val="center"/>
          </w:tcPr>
          <w:p w14:paraId="0483E56B">
            <w:pPr>
              <w:jc w:val="center"/>
              <w:rPr>
                <w:rFonts w:ascii="宋体" w:hAnsi="宋体" w:eastAsia="宋体" w:cs="宋体"/>
                <w:szCs w:val="21"/>
                <w:highlight w:val="none"/>
              </w:rPr>
            </w:pPr>
          </w:p>
        </w:tc>
        <w:tc>
          <w:tcPr>
            <w:tcW w:w="1620" w:type="dxa"/>
            <w:vAlign w:val="center"/>
          </w:tcPr>
          <w:p w14:paraId="174CC186">
            <w:pPr>
              <w:jc w:val="center"/>
              <w:rPr>
                <w:rFonts w:ascii="宋体" w:hAnsi="宋体" w:eastAsia="宋体" w:cs="宋体"/>
                <w:szCs w:val="21"/>
                <w:highlight w:val="none"/>
              </w:rPr>
            </w:pPr>
          </w:p>
        </w:tc>
        <w:tc>
          <w:tcPr>
            <w:tcW w:w="1093" w:type="dxa"/>
            <w:vAlign w:val="center"/>
          </w:tcPr>
          <w:p w14:paraId="3217979E">
            <w:pPr>
              <w:jc w:val="center"/>
              <w:rPr>
                <w:rFonts w:ascii="宋体" w:hAnsi="宋体" w:eastAsia="宋体" w:cs="宋体"/>
                <w:szCs w:val="21"/>
                <w:highlight w:val="none"/>
              </w:rPr>
            </w:pPr>
          </w:p>
        </w:tc>
      </w:tr>
      <w:tr w14:paraId="346E63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trPr>
        <w:tc>
          <w:tcPr>
            <w:tcW w:w="828" w:type="dxa"/>
            <w:vAlign w:val="center"/>
          </w:tcPr>
          <w:p w14:paraId="5CE90C94">
            <w:pPr>
              <w:jc w:val="center"/>
              <w:rPr>
                <w:rFonts w:ascii="宋体" w:hAnsi="宋体" w:eastAsia="宋体" w:cs="宋体"/>
                <w:szCs w:val="21"/>
                <w:highlight w:val="none"/>
              </w:rPr>
            </w:pPr>
            <w:r>
              <w:rPr>
                <w:rFonts w:hint="eastAsia" w:ascii="宋体" w:hAnsi="宋体" w:eastAsia="宋体" w:cs="宋体"/>
                <w:szCs w:val="21"/>
                <w:highlight w:val="none"/>
              </w:rPr>
              <w:t>2</w:t>
            </w:r>
          </w:p>
        </w:tc>
        <w:tc>
          <w:tcPr>
            <w:tcW w:w="1371" w:type="dxa"/>
            <w:vAlign w:val="center"/>
          </w:tcPr>
          <w:p w14:paraId="1601E09B">
            <w:pPr>
              <w:jc w:val="center"/>
              <w:rPr>
                <w:rFonts w:ascii="宋体" w:hAnsi="宋体" w:eastAsia="宋体" w:cs="宋体"/>
                <w:szCs w:val="21"/>
                <w:highlight w:val="none"/>
              </w:rPr>
            </w:pPr>
          </w:p>
        </w:tc>
        <w:tc>
          <w:tcPr>
            <w:tcW w:w="1843" w:type="dxa"/>
            <w:vAlign w:val="center"/>
          </w:tcPr>
          <w:p w14:paraId="2B787F6B">
            <w:pPr>
              <w:jc w:val="center"/>
              <w:rPr>
                <w:rFonts w:ascii="宋体" w:hAnsi="宋体" w:eastAsia="宋体" w:cs="宋体"/>
                <w:szCs w:val="21"/>
                <w:highlight w:val="none"/>
              </w:rPr>
            </w:pPr>
          </w:p>
        </w:tc>
        <w:tc>
          <w:tcPr>
            <w:tcW w:w="1620" w:type="dxa"/>
            <w:vAlign w:val="center"/>
          </w:tcPr>
          <w:p w14:paraId="646ADDEA">
            <w:pPr>
              <w:jc w:val="center"/>
              <w:rPr>
                <w:rFonts w:ascii="宋体" w:hAnsi="宋体" w:eastAsia="宋体" w:cs="宋体"/>
                <w:szCs w:val="21"/>
                <w:highlight w:val="none"/>
              </w:rPr>
            </w:pPr>
          </w:p>
        </w:tc>
        <w:tc>
          <w:tcPr>
            <w:tcW w:w="1620" w:type="dxa"/>
            <w:vAlign w:val="center"/>
          </w:tcPr>
          <w:p w14:paraId="691D3B7D">
            <w:pPr>
              <w:jc w:val="center"/>
              <w:rPr>
                <w:rFonts w:ascii="宋体" w:hAnsi="宋体" w:eastAsia="宋体" w:cs="宋体"/>
                <w:szCs w:val="21"/>
                <w:highlight w:val="none"/>
              </w:rPr>
            </w:pPr>
          </w:p>
        </w:tc>
        <w:tc>
          <w:tcPr>
            <w:tcW w:w="1620" w:type="dxa"/>
            <w:vAlign w:val="center"/>
          </w:tcPr>
          <w:p w14:paraId="0A0ABE3B">
            <w:pPr>
              <w:jc w:val="center"/>
              <w:rPr>
                <w:rFonts w:ascii="宋体" w:hAnsi="宋体" w:eastAsia="宋体" w:cs="宋体"/>
                <w:szCs w:val="21"/>
                <w:highlight w:val="none"/>
              </w:rPr>
            </w:pPr>
          </w:p>
        </w:tc>
        <w:tc>
          <w:tcPr>
            <w:tcW w:w="1093" w:type="dxa"/>
            <w:vAlign w:val="center"/>
          </w:tcPr>
          <w:p w14:paraId="38D3536A">
            <w:pPr>
              <w:jc w:val="center"/>
              <w:rPr>
                <w:rFonts w:ascii="宋体" w:hAnsi="宋体" w:eastAsia="宋体" w:cs="宋体"/>
                <w:szCs w:val="21"/>
                <w:highlight w:val="none"/>
              </w:rPr>
            </w:pPr>
          </w:p>
        </w:tc>
      </w:tr>
      <w:tr w14:paraId="71E746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trPr>
        <w:tc>
          <w:tcPr>
            <w:tcW w:w="828" w:type="dxa"/>
            <w:vAlign w:val="center"/>
          </w:tcPr>
          <w:p w14:paraId="60FFB39F">
            <w:pPr>
              <w:jc w:val="center"/>
              <w:rPr>
                <w:rFonts w:ascii="宋体" w:hAnsi="宋体" w:eastAsia="宋体" w:cs="宋体"/>
                <w:szCs w:val="21"/>
                <w:highlight w:val="none"/>
              </w:rPr>
            </w:pPr>
            <w:r>
              <w:rPr>
                <w:rFonts w:hint="eastAsia" w:ascii="宋体" w:hAnsi="宋体" w:eastAsia="宋体" w:cs="宋体"/>
                <w:szCs w:val="21"/>
                <w:highlight w:val="none"/>
              </w:rPr>
              <w:t>3</w:t>
            </w:r>
          </w:p>
        </w:tc>
        <w:tc>
          <w:tcPr>
            <w:tcW w:w="1371" w:type="dxa"/>
            <w:vAlign w:val="center"/>
          </w:tcPr>
          <w:p w14:paraId="3229D37E">
            <w:pPr>
              <w:jc w:val="center"/>
              <w:rPr>
                <w:rFonts w:ascii="宋体" w:hAnsi="宋体" w:eastAsia="宋体" w:cs="宋体"/>
                <w:szCs w:val="21"/>
                <w:highlight w:val="none"/>
              </w:rPr>
            </w:pPr>
          </w:p>
        </w:tc>
        <w:tc>
          <w:tcPr>
            <w:tcW w:w="1843" w:type="dxa"/>
            <w:vAlign w:val="center"/>
          </w:tcPr>
          <w:p w14:paraId="68867B3D">
            <w:pPr>
              <w:jc w:val="center"/>
              <w:rPr>
                <w:rFonts w:ascii="宋体" w:hAnsi="宋体" w:eastAsia="宋体" w:cs="宋体"/>
                <w:szCs w:val="21"/>
                <w:highlight w:val="none"/>
              </w:rPr>
            </w:pPr>
          </w:p>
        </w:tc>
        <w:tc>
          <w:tcPr>
            <w:tcW w:w="1620" w:type="dxa"/>
            <w:vAlign w:val="center"/>
          </w:tcPr>
          <w:p w14:paraId="3FB7EBB9">
            <w:pPr>
              <w:jc w:val="center"/>
              <w:rPr>
                <w:rFonts w:ascii="宋体" w:hAnsi="宋体" w:eastAsia="宋体" w:cs="宋体"/>
                <w:szCs w:val="21"/>
                <w:highlight w:val="none"/>
              </w:rPr>
            </w:pPr>
          </w:p>
        </w:tc>
        <w:tc>
          <w:tcPr>
            <w:tcW w:w="1620" w:type="dxa"/>
            <w:vAlign w:val="center"/>
          </w:tcPr>
          <w:p w14:paraId="29C45FB4">
            <w:pPr>
              <w:jc w:val="center"/>
              <w:rPr>
                <w:rFonts w:ascii="宋体" w:hAnsi="宋体" w:eastAsia="宋体" w:cs="宋体"/>
                <w:szCs w:val="21"/>
                <w:highlight w:val="none"/>
              </w:rPr>
            </w:pPr>
          </w:p>
        </w:tc>
        <w:tc>
          <w:tcPr>
            <w:tcW w:w="1620" w:type="dxa"/>
            <w:vAlign w:val="center"/>
          </w:tcPr>
          <w:p w14:paraId="1C90445E">
            <w:pPr>
              <w:jc w:val="center"/>
              <w:rPr>
                <w:rFonts w:ascii="宋体" w:hAnsi="宋体" w:eastAsia="宋体" w:cs="宋体"/>
                <w:szCs w:val="21"/>
                <w:highlight w:val="none"/>
              </w:rPr>
            </w:pPr>
          </w:p>
        </w:tc>
        <w:tc>
          <w:tcPr>
            <w:tcW w:w="1093" w:type="dxa"/>
            <w:vAlign w:val="center"/>
          </w:tcPr>
          <w:p w14:paraId="4408D775">
            <w:pPr>
              <w:jc w:val="center"/>
              <w:rPr>
                <w:rFonts w:ascii="宋体" w:hAnsi="宋体" w:eastAsia="宋体" w:cs="宋体"/>
                <w:szCs w:val="21"/>
                <w:highlight w:val="none"/>
              </w:rPr>
            </w:pPr>
          </w:p>
        </w:tc>
      </w:tr>
      <w:tr w14:paraId="43E97B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trPr>
        <w:tc>
          <w:tcPr>
            <w:tcW w:w="828" w:type="dxa"/>
            <w:vAlign w:val="center"/>
          </w:tcPr>
          <w:p w14:paraId="087E075A">
            <w:pPr>
              <w:jc w:val="center"/>
              <w:rPr>
                <w:rFonts w:ascii="宋体" w:hAnsi="宋体" w:eastAsia="宋体" w:cs="宋体"/>
                <w:szCs w:val="21"/>
                <w:highlight w:val="none"/>
              </w:rPr>
            </w:pPr>
            <w:r>
              <w:rPr>
                <w:rFonts w:hint="eastAsia" w:ascii="宋体" w:hAnsi="宋体" w:eastAsia="宋体" w:cs="宋体"/>
                <w:szCs w:val="21"/>
                <w:highlight w:val="none"/>
              </w:rPr>
              <w:t>4</w:t>
            </w:r>
          </w:p>
        </w:tc>
        <w:tc>
          <w:tcPr>
            <w:tcW w:w="1371" w:type="dxa"/>
            <w:vAlign w:val="center"/>
          </w:tcPr>
          <w:p w14:paraId="55F08FA7">
            <w:pPr>
              <w:jc w:val="center"/>
              <w:rPr>
                <w:rFonts w:ascii="宋体" w:hAnsi="宋体" w:eastAsia="宋体" w:cs="宋体"/>
                <w:szCs w:val="21"/>
                <w:highlight w:val="none"/>
              </w:rPr>
            </w:pPr>
          </w:p>
        </w:tc>
        <w:tc>
          <w:tcPr>
            <w:tcW w:w="1843" w:type="dxa"/>
            <w:vAlign w:val="center"/>
          </w:tcPr>
          <w:p w14:paraId="75938507">
            <w:pPr>
              <w:jc w:val="center"/>
              <w:rPr>
                <w:rFonts w:ascii="宋体" w:hAnsi="宋体" w:eastAsia="宋体" w:cs="宋体"/>
                <w:szCs w:val="21"/>
                <w:highlight w:val="none"/>
              </w:rPr>
            </w:pPr>
          </w:p>
        </w:tc>
        <w:tc>
          <w:tcPr>
            <w:tcW w:w="1620" w:type="dxa"/>
            <w:vAlign w:val="center"/>
          </w:tcPr>
          <w:p w14:paraId="1D515670">
            <w:pPr>
              <w:jc w:val="center"/>
              <w:rPr>
                <w:rFonts w:ascii="宋体" w:hAnsi="宋体" w:eastAsia="宋体" w:cs="宋体"/>
                <w:szCs w:val="21"/>
                <w:highlight w:val="none"/>
              </w:rPr>
            </w:pPr>
          </w:p>
        </w:tc>
        <w:tc>
          <w:tcPr>
            <w:tcW w:w="1620" w:type="dxa"/>
            <w:vAlign w:val="center"/>
          </w:tcPr>
          <w:p w14:paraId="3D6B3CE5">
            <w:pPr>
              <w:jc w:val="center"/>
              <w:rPr>
                <w:rFonts w:ascii="宋体" w:hAnsi="宋体" w:eastAsia="宋体" w:cs="宋体"/>
                <w:szCs w:val="21"/>
                <w:highlight w:val="none"/>
              </w:rPr>
            </w:pPr>
          </w:p>
        </w:tc>
        <w:tc>
          <w:tcPr>
            <w:tcW w:w="1620" w:type="dxa"/>
            <w:vAlign w:val="center"/>
          </w:tcPr>
          <w:p w14:paraId="65BB81E2">
            <w:pPr>
              <w:jc w:val="center"/>
              <w:rPr>
                <w:rFonts w:ascii="宋体" w:hAnsi="宋体" w:eastAsia="宋体" w:cs="宋体"/>
                <w:szCs w:val="21"/>
                <w:highlight w:val="none"/>
              </w:rPr>
            </w:pPr>
          </w:p>
        </w:tc>
        <w:tc>
          <w:tcPr>
            <w:tcW w:w="1093" w:type="dxa"/>
            <w:vAlign w:val="center"/>
          </w:tcPr>
          <w:p w14:paraId="50004A6C">
            <w:pPr>
              <w:jc w:val="center"/>
              <w:rPr>
                <w:rFonts w:ascii="宋体" w:hAnsi="宋体" w:eastAsia="宋体" w:cs="宋体"/>
                <w:szCs w:val="21"/>
                <w:highlight w:val="none"/>
              </w:rPr>
            </w:pPr>
          </w:p>
        </w:tc>
      </w:tr>
      <w:tr w14:paraId="5241B1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trPr>
        <w:tc>
          <w:tcPr>
            <w:tcW w:w="828" w:type="dxa"/>
            <w:vAlign w:val="center"/>
          </w:tcPr>
          <w:p w14:paraId="7F3A2DF6">
            <w:pPr>
              <w:jc w:val="center"/>
              <w:rPr>
                <w:rFonts w:ascii="宋体" w:hAnsi="宋体" w:eastAsia="宋体" w:cs="宋体"/>
                <w:szCs w:val="21"/>
                <w:highlight w:val="none"/>
              </w:rPr>
            </w:pPr>
            <w:r>
              <w:rPr>
                <w:rFonts w:hint="eastAsia" w:ascii="宋体" w:hAnsi="宋体" w:eastAsia="宋体" w:cs="宋体"/>
                <w:szCs w:val="21"/>
                <w:highlight w:val="none"/>
              </w:rPr>
              <w:t>…</w:t>
            </w:r>
          </w:p>
        </w:tc>
        <w:tc>
          <w:tcPr>
            <w:tcW w:w="1371" w:type="dxa"/>
            <w:vAlign w:val="center"/>
          </w:tcPr>
          <w:p w14:paraId="226BC65B">
            <w:pPr>
              <w:jc w:val="center"/>
              <w:rPr>
                <w:rFonts w:ascii="宋体" w:hAnsi="宋体" w:eastAsia="宋体" w:cs="宋体"/>
                <w:szCs w:val="21"/>
                <w:highlight w:val="none"/>
              </w:rPr>
            </w:pPr>
          </w:p>
        </w:tc>
        <w:tc>
          <w:tcPr>
            <w:tcW w:w="1843" w:type="dxa"/>
            <w:vAlign w:val="center"/>
          </w:tcPr>
          <w:p w14:paraId="6E1FBAA6">
            <w:pPr>
              <w:jc w:val="center"/>
              <w:rPr>
                <w:rFonts w:ascii="宋体" w:hAnsi="宋体" w:eastAsia="宋体" w:cs="宋体"/>
                <w:szCs w:val="21"/>
                <w:highlight w:val="none"/>
              </w:rPr>
            </w:pPr>
          </w:p>
        </w:tc>
        <w:tc>
          <w:tcPr>
            <w:tcW w:w="1620" w:type="dxa"/>
            <w:vAlign w:val="center"/>
          </w:tcPr>
          <w:p w14:paraId="1B3385EB">
            <w:pPr>
              <w:jc w:val="center"/>
              <w:rPr>
                <w:rFonts w:ascii="宋体" w:hAnsi="宋体" w:eastAsia="宋体" w:cs="宋体"/>
                <w:szCs w:val="21"/>
                <w:highlight w:val="none"/>
              </w:rPr>
            </w:pPr>
          </w:p>
        </w:tc>
        <w:tc>
          <w:tcPr>
            <w:tcW w:w="1620" w:type="dxa"/>
            <w:vAlign w:val="center"/>
          </w:tcPr>
          <w:p w14:paraId="129278BF">
            <w:pPr>
              <w:jc w:val="center"/>
              <w:rPr>
                <w:rFonts w:ascii="宋体" w:hAnsi="宋体" w:eastAsia="宋体" w:cs="宋体"/>
                <w:szCs w:val="21"/>
                <w:highlight w:val="none"/>
              </w:rPr>
            </w:pPr>
          </w:p>
        </w:tc>
        <w:tc>
          <w:tcPr>
            <w:tcW w:w="1620" w:type="dxa"/>
            <w:vAlign w:val="center"/>
          </w:tcPr>
          <w:p w14:paraId="7AB1D201">
            <w:pPr>
              <w:jc w:val="center"/>
              <w:rPr>
                <w:rFonts w:ascii="宋体" w:hAnsi="宋体" w:eastAsia="宋体" w:cs="宋体"/>
                <w:szCs w:val="21"/>
                <w:highlight w:val="none"/>
              </w:rPr>
            </w:pPr>
          </w:p>
        </w:tc>
        <w:tc>
          <w:tcPr>
            <w:tcW w:w="1093" w:type="dxa"/>
            <w:vAlign w:val="center"/>
          </w:tcPr>
          <w:p w14:paraId="19005965">
            <w:pPr>
              <w:jc w:val="center"/>
              <w:rPr>
                <w:rFonts w:ascii="宋体" w:hAnsi="宋体" w:eastAsia="宋体" w:cs="宋体"/>
                <w:szCs w:val="21"/>
                <w:highlight w:val="none"/>
              </w:rPr>
            </w:pPr>
          </w:p>
        </w:tc>
      </w:tr>
    </w:tbl>
    <w:p w14:paraId="10A52AC2">
      <w:pPr>
        <w:spacing w:line="360" w:lineRule="auto"/>
        <w:ind w:left="-105" w:leftChars="-50" w:firstLine="105" w:firstLineChars="50"/>
        <w:rPr>
          <w:rFonts w:ascii="宋体" w:hAnsi="宋体" w:eastAsia="宋体" w:cs="宋体"/>
          <w:szCs w:val="21"/>
          <w:highlight w:val="none"/>
        </w:rPr>
      </w:pPr>
      <w:r>
        <w:rPr>
          <w:rFonts w:hint="eastAsia" w:ascii="宋体" w:hAnsi="宋体" w:eastAsia="宋体" w:cs="宋体"/>
          <w:szCs w:val="21"/>
          <w:highlight w:val="none"/>
        </w:rPr>
        <w:t>注：1.磋商申请人应在本表中列出正在经营地及已完成项目经验案例，如有虚假，一经查实将导致其磋商被拒绝。</w:t>
      </w:r>
    </w:p>
    <w:p w14:paraId="76A9D6A5">
      <w:pPr>
        <w:spacing w:line="360" w:lineRule="auto"/>
        <w:ind w:firstLine="420" w:firstLineChars="200"/>
        <w:rPr>
          <w:rFonts w:ascii="宋体" w:hAnsi="宋体" w:eastAsia="宋体" w:cs="宋体"/>
          <w:b/>
          <w:bCs/>
          <w:kern w:val="0"/>
          <w:szCs w:val="21"/>
          <w:highlight w:val="none"/>
        </w:rPr>
      </w:pPr>
      <w:r>
        <w:rPr>
          <w:rFonts w:hint="eastAsia" w:ascii="宋体" w:hAnsi="宋体" w:eastAsia="宋体" w:cs="宋体"/>
          <w:szCs w:val="21"/>
          <w:highlight w:val="none"/>
        </w:rPr>
        <w:t>2.磋商申请人应附合同或验收报告复印件为证明文件，证明文件缺漏的项目实施经验在评审时将不予考虑。</w:t>
      </w:r>
    </w:p>
    <w:p w14:paraId="0F44CA62">
      <w:pPr>
        <w:spacing w:line="360" w:lineRule="auto"/>
        <w:ind w:firstLine="420" w:firstLineChars="200"/>
        <w:rPr>
          <w:rFonts w:ascii="宋体" w:hAnsi="宋体" w:eastAsia="宋体" w:cs="宋体"/>
          <w:szCs w:val="21"/>
          <w:highlight w:val="none"/>
        </w:rPr>
      </w:pPr>
    </w:p>
    <w:p w14:paraId="6EC74167">
      <w:pPr>
        <w:pStyle w:val="15"/>
        <w:spacing w:line="480" w:lineRule="exact"/>
        <w:ind w:firstLine="575"/>
        <w:rPr>
          <w:rFonts w:hAnsi="宋体"/>
          <w:highlight w:val="none"/>
        </w:rPr>
      </w:pPr>
      <w:r>
        <w:rPr>
          <w:rFonts w:hint="eastAsia" w:hAnsi="宋体"/>
          <w:highlight w:val="none"/>
        </w:rPr>
        <w:t>磋商申请人：</w:t>
      </w:r>
      <w:r>
        <w:rPr>
          <w:rFonts w:hint="eastAsia" w:hAnsi="宋体"/>
          <w:highlight w:val="none"/>
          <w:u w:val="single"/>
        </w:rPr>
        <w:t xml:space="preserve">        （全称）      </w:t>
      </w:r>
      <w:r>
        <w:rPr>
          <w:rFonts w:hint="eastAsia" w:hAnsi="宋体"/>
          <w:highlight w:val="none"/>
        </w:rPr>
        <w:t>（加盖单位公章）</w:t>
      </w:r>
    </w:p>
    <w:p w14:paraId="19CD7F28">
      <w:pPr>
        <w:pStyle w:val="15"/>
        <w:spacing w:line="480" w:lineRule="exact"/>
        <w:ind w:firstLine="575"/>
        <w:rPr>
          <w:rFonts w:hAnsi="宋体"/>
          <w:highlight w:val="none"/>
        </w:rPr>
      </w:pPr>
      <w:r>
        <w:rPr>
          <w:rFonts w:hint="eastAsia" w:hAnsi="宋体"/>
          <w:highlight w:val="none"/>
        </w:rPr>
        <w:t>法定代表人（负责人）或委托代理人：</w:t>
      </w:r>
      <w:r>
        <w:rPr>
          <w:rFonts w:hint="eastAsia" w:hAnsi="宋体"/>
          <w:highlight w:val="none"/>
          <w:u w:val="single"/>
        </w:rPr>
        <w:t xml:space="preserve">          </w:t>
      </w:r>
      <w:r>
        <w:rPr>
          <w:rFonts w:hint="eastAsia" w:hAnsi="宋体"/>
          <w:highlight w:val="none"/>
        </w:rPr>
        <w:t>（签字或加盖个人印章）</w:t>
      </w:r>
    </w:p>
    <w:p w14:paraId="2A7FE9B8">
      <w:pPr>
        <w:pStyle w:val="15"/>
        <w:spacing w:line="480" w:lineRule="exact"/>
        <w:ind w:firstLine="575"/>
        <w:rPr>
          <w:rFonts w:hAnsi="宋体"/>
          <w:b/>
          <w:sz w:val="28"/>
          <w:szCs w:val="28"/>
          <w:highlight w:val="none"/>
        </w:rPr>
      </w:pPr>
      <w:r>
        <w:rPr>
          <w:rFonts w:hint="eastAsia" w:hAnsi="宋体"/>
          <w:highlight w:val="none"/>
        </w:rPr>
        <w:t>日期：</w:t>
      </w:r>
      <w:r>
        <w:rPr>
          <w:rFonts w:hint="eastAsia" w:hAnsi="宋体"/>
          <w:highlight w:val="none"/>
          <w:u w:val="single"/>
        </w:rPr>
        <w:t xml:space="preserve">        </w:t>
      </w:r>
      <w:r>
        <w:rPr>
          <w:rFonts w:hint="eastAsia" w:hAnsi="宋体"/>
          <w:highlight w:val="none"/>
        </w:rPr>
        <w:t>年</w:t>
      </w:r>
      <w:r>
        <w:rPr>
          <w:rFonts w:hint="eastAsia" w:hAnsi="宋体"/>
          <w:highlight w:val="none"/>
          <w:u w:val="single"/>
        </w:rPr>
        <w:t xml:space="preserve">     </w:t>
      </w:r>
      <w:r>
        <w:rPr>
          <w:rFonts w:hint="eastAsia" w:hAnsi="宋体"/>
          <w:highlight w:val="none"/>
        </w:rPr>
        <w:t>月</w:t>
      </w:r>
      <w:r>
        <w:rPr>
          <w:rFonts w:hint="eastAsia" w:hAnsi="宋体"/>
          <w:highlight w:val="none"/>
          <w:u w:val="single"/>
        </w:rPr>
        <w:t xml:space="preserve">     </w:t>
      </w:r>
      <w:r>
        <w:rPr>
          <w:rFonts w:hint="eastAsia" w:hAnsi="宋体"/>
          <w:highlight w:val="none"/>
        </w:rPr>
        <w:t>日</w:t>
      </w:r>
    </w:p>
    <w:p w14:paraId="464CFE0A">
      <w:pPr>
        <w:rPr>
          <w:rFonts w:ascii="宋体" w:hAnsi="宋体" w:eastAsia="宋体" w:cs="宋体"/>
          <w:b/>
          <w:sz w:val="28"/>
          <w:szCs w:val="28"/>
          <w:highlight w:val="none"/>
        </w:rPr>
      </w:pPr>
      <w:r>
        <w:rPr>
          <w:rFonts w:hint="eastAsia" w:ascii="宋体" w:hAnsi="宋体" w:eastAsia="宋体" w:cs="宋体"/>
          <w:b/>
          <w:sz w:val="28"/>
          <w:szCs w:val="28"/>
          <w:highlight w:val="none"/>
        </w:rPr>
        <w:br w:type="page"/>
      </w:r>
    </w:p>
    <w:p w14:paraId="35BC7C13">
      <w:pPr>
        <w:spacing w:line="360" w:lineRule="auto"/>
        <w:jc w:val="center"/>
        <w:rPr>
          <w:rFonts w:ascii="宋体" w:hAnsi="宋体" w:eastAsia="宋体" w:cs="宋体"/>
          <w:b/>
          <w:bCs/>
          <w:sz w:val="28"/>
          <w:szCs w:val="28"/>
          <w:highlight w:val="none"/>
        </w:rPr>
      </w:pPr>
      <w:r>
        <w:rPr>
          <w:rFonts w:hint="eastAsia" w:ascii="宋体" w:hAnsi="宋体" w:eastAsia="宋体" w:cs="宋体"/>
          <w:b/>
          <w:bCs/>
          <w:sz w:val="28"/>
          <w:szCs w:val="28"/>
          <w:highlight w:val="none"/>
        </w:rPr>
        <w:t>格式7：磋商申请人认为需要提供的其他商务相关材料</w:t>
      </w:r>
      <w:r>
        <w:rPr>
          <w:rFonts w:hint="eastAsia" w:ascii="宋体" w:hAnsi="宋体" w:eastAsia="宋体" w:cs="宋体"/>
          <w:b/>
          <w:bCs/>
          <w:sz w:val="28"/>
          <w:szCs w:val="28"/>
          <w:highlight w:val="none"/>
        </w:rPr>
        <w:br w:type="page"/>
      </w:r>
      <w:r>
        <w:rPr>
          <w:rFonts w:hint="eastAsia" w:ascii="宋体" w:hAnsi="宋体" w:eastAsia="宋体" w:cs="宋体"/>
          <w:b/>
          <w:bCs/>
          <w:sz w:val="28"/>
          <w:szCs w:val="28"/>
          <w:highlight w:val="none"/>
        </w:rPr>
        <w:t>（二）技术文件</w:t>
      </w:r>
    </w:p>
    <w:p w14:paraId="7476649E">
      <w:pPr>
        <w:spacing w:line="360" w:lineRule="auto"/>
        <w:ind w:firstLine="562" w:firstLineChars="200"/>
        <w:jc w:val="center"/>
        <w:rPr>
          <w:rFonts w:ascii="宋体" w:hAnsi="宋体" w:eastAsia="宋体" w:cs="宋体"/>
          <w:b/>
          <w:bCs/>
          <w:sz w:val="28"/>
          <w:szCs w:val="28"/>
          <w:highlight w:val="none"/>
        </w:rPr>
      </w:pPr>
      <w:r>
        <w:rPr>
          <w:rFonts w:hint="eastAsia" w:ascii="宋体" w:hAnsi="宋体" w:eastAsia="宋体" w:cs="宋体"/>
          <w:b/>
          <w:bCs/>
          <w:sz w:val="28"/>
          <w:szCs w:val="28"/>
          <w:highlight w:val="none"/>
        </w:rPr>
        <w:t>格式1：开展本项目建设服务工作的理解和分析</w:t>
      </w:r>
    </w:p>
    <w:p w14:paraId="730BCF46">
      <w:pPr>
        <w:spacing w:line="360" w:lineRule="auto"/>
        <w:ind w:firstLine="420" w:firstLineChars="200"/>
        <w:jc w:val="left"/>
        <w:rPr>
          <w:rFonts w:ascii="宋体" w:hAnsi="宋体" w:eastAsia="宋体" w:cs="宋体"/>
          <w:kern w:val="0"/>
          <w:szCs w:val="21"/>
          <w:highlight w:val="none"/>
        </w:rPr>
      </w:pPr>
    </w:p>
    <w:p w14:paraId="72A3C864">
      <w:pPr>
        <w:spacing w:line="360" w:lineRule="auto"/>
        <w:jc w:val="center"/>
        <w:rPr>
          <w:rFonts w:ascii="宋体" w:hAnsi="宋体" w:eastAsia="宋体" w:cs="宋体"/>
          <w:szCs w:val="21"/>
          <w:highlight w:val="none"/>
        </w:rPr>
      </w:pPr>
      <w:r>
        <w:rPr>
          <w:rFonts w:hint="eastAsia" w:ascii="宋体" w:hAnsi="宋体" w:eastAsia="宋体" w:cs="宋体"/>
          <w:szCs w:val="21"/>
          <w:highlight w:val="none"/>
        </w:rPr>
        <w:t>（格式自拟）</w:t>
      </w:r>
    </w:p>
    <w:p w14:paraId="76282C28">
      <w:pPr>
        <w:spacing w:line="360" w:lineRule="auto"/>
        <w:ind w:firstLine="619" w:firstLineChars="295"/>
        <w:jc w:val="left"/>
        <w:rPr>
          <w:rFonts w:ascii="宋体" w:hAnsi="宋体" w:eastAsia="宋体" w:cs="宋体"/>
          <w:szCs w:val="21"/>
          <w:highlight w:val="none"/>
        </w:rPr>
      </w:pPr>
      <w:r>
        <w:rPr>
          <w:rFonts w:hint="eastAsia" w:ascii="宋体" w:hAnsi="宋体" w:eastAsia="宋体" w:cs="宋体"/>
          <w:szCs w:val="21"/>
          <w:highlight w:val="none"/>
        </w:rPr>
        <w:t>此部分内容应充分结合本项目采购需求的全部内容以及磋商程序和方法的评审要求进行综合分析后进行编制，此部分包含但不限于：</w:t>
      </w:r>
    </w:p>
    <w:p w14:paraId="4C073CAD">
      <w:pPr>
        <w:spacing w:line="360" w:lineRule="auto"/>
        <w:ind w:firstLine="619" w:firstLineChars="295"/>
        <w:jc w:val="left"/>
        <w:rPr>
          <w:rFonts w:ascii="宋体" w:hAnsi="宋体" w:eastAsia="宋体" w:cs="宋体"/>
          <w:szCs w:val="21"/>
          <w:highlight w:val="none"/>
        </w:rPr>
      </w:pPr>
      <w:r>
        <w:rPr>
          <w:rFonts w:hint="eastAsia" w:ascii="宋体" w:hAnsi="宋体" w:eastAsia="宋体" w:cs="宋体"/>
          <w:szCs w:val="21"/>
          <w:highlight w:val="none"/>
        </w:rPr>
        <w:t>①对医共体慢病管理信息系统业务需求理解和分析；</w:t>
      </w:r>
    </w:p>
    <w:p w14:paraId="721AE7B6">
      <w:pPr>
        <w:spacing w:line="360" w:lineRule="auto"/>
        <w:ind w:firstLine="619" w:firstLineChars="295"/>
        <w:jc w:val="left"/>
        <w:rPr>
          <w:rFonts w:ascii="宋体" w:hAnsi="宋体" w:eastAsia="宋体" w:cs="宋体"/>
          <w:szCs w:val="21"/>
          <w:highlight w:val="none"/>
        </w:rPr>
      </w:pPr>
      <w:r>
        <w:rPr>
          <w:rFonts w:hint="eastAsia" w:ascii="宋体" w:hAnsi="宋体" w:eastAsia="宋体" w:cs="宋体"/>
          <w:szCs w:val="21"/>
          <w:highlight w:val="none"/>
        </w:rPr>
        <w:t>②开展本项目系统建设和相关服务总体思路和工作目标方针；</w:t>
      </w:r>
    </w:p>
    <w:p w14:paraId="77C0055E">
      <w:pPr>
        <w:spacing w:line="360" w:lineRule="auto"/>
        <w:ind w:firstLine="619" w:firstLineChars="295"/>
        <w:jc w:val="left"/>
        <w:rPr>
          <w:rFonts w:ascii="宋体" w:hAnsi="宋体" w:eastAsia="宋体" w:cs="宋体"/>
          <w:szCs w:val="21"/>
          <w:highlight w:val="none"/>
        </w:rPr>
      </w:pPr>
      <w:r>
        <w:rPr>
          <w:rFonts w:hint="eastAsia" w:ascii="宋体" w:hAnsi="宋体" w:eastAsia="宋体" w:cs="宋体"/>
          <w:szCs w:val="21"/>
          <w:highlight w:val="none"/>
        </w:rPr>
        <w:t>③开展本项目系统建设和相关服务工作重难点分析及合理化建议。</w:t>
      </w:r>
    </w:p>
    <w:p w14:paraId="3AF1DB7D">
      <w:pPr>
        <w:pStyle w:val="25"/>
        <w:ind w:firstLine="210"/>
        <w:rPr>
          <w:rFonts w:ascii="宋体" w:hAnsi="宋体" w:cs="宋体"/>
          <w:sz w:val="21"/>
          <w:szCs w:val="21"/>
          <w:highlight w:val="none"/>
        </w:rPr>
      </w:pPr>
    </w:p>
    <w:p w14:paraId="4863A357">
      <w:pPr>
        <w:spacing w:line="360" w:lineRule="auto"/>
        <w:ind w:firstLine="420" w:firstLineChars="200"/>
        <w:rPr>
          <w:rFonts w:ascii="宋体" w:hAnsi="宋体" w:eastAsia="宋体" w:cs="宋体"/>
          <w:szCs w:val="21"/>
          <w:highlight w:val="none"/>
        </w:rPr>
      </w:pPr>
    </w:p>
    <w:p w14:paraId="29E9D9D8">
      <w:pPr>
        <w:spacing w:line="360" w:lineRule="auto"/>
        <w:ind w:firstLine="422" w:firstLineChars="200"/>
        <w:jc w:val="center"/>
        <w:rPr>
          <w:rFonts w:ascii="宋体" w:hAnsi="宋体" w:eastAsia="宋体" w:cs="宋体"/>
          <w:b/>
          <w:bCs/>
          <w:sz w:val="28"/>
          <w:szCs w:val="28"/>
          <w:highlight w:val="none"/>
        </w:rPr>
      </w:pPr>
      <w:r>
        <w:rPr>
          <w:rFonts w:hint="eastAsia" w:ascii="宋体" w:hAnsi="宋体" w:eastAsia="宋体" w:cs="宋体"/>
          <w:b/>
          <w:szCs w:val="21"/>
          <w:highlight w:val="none"/>
        </w:rPr>
        <w:br w:type="page"/>
      </w:r>
      <w:r>
        <w:rPr>
          <w:rFonts w:hint="eastAsia" w:ascii="宋体" w:hAnsi="宋体" w:eastAsia="宋体" w:cs="宋体"/>
          <w:b/>
          <w:bCs/>
          <w:sz w:val="28"/>
          <w:szCs w:val="28"/>
          <w:highlight w:val="none"/>
        </w:rPr>
        <w:t>格式2：昌宁县医共体总医院慢病管理信息系统建设项目开发设计方案</w:t>
      </w:r>
    </w:p>
    <w:p w14:paraId="135B4024">
      <w:pPr>
        <w:spacing w:line="360" w:lineRule="auto"/>
        <w:ind w:firstLine="619" w:firstLineChars="295"/>
        <w:jc w:val="left"/>
        <w:rPr>
          <w:rFonts w:ascii="宋体" w:hAnsi="宋体" w:eastAsia="宋体" w:cs="宋体"/>
          <w:szCs w:val="21"/>
          <w:highlight w:val="none"/>
        </w:rPr>
      </w:pPr>
    </w:p>
    <w:p w14:paraId="787347BA">
      <w:pPr>
        <w:spacing w:line="360" w:lineRule="auto"/>
        <w:jc w:val="center"/>
        <w:rPr>
          <w:rFonts w:ascii="宋体" w:hAnsi="宋体" w:eastAsia="宋体" w:cs="宋体"/>
          <w:szCs w:val="21"/>
          <w:highlight w:val="none"/>
        </w:rPr>
      </w:pPr>
      <w:r>
        <w:rPr>
          <w:rFonts w:hint="eastAsia" w:ascii="宋体" w:hAnsi="宋体" w:eastAsia="宋体" w:cs="宋体"/>
          <w:szCs w:val="21"/>
          <w:highlight w:val="none"/>
        </w:rPr>
        <w:t>（格式自拟）</w:t>
      </w:r>
    </w:p>
    <w:p w14:paraId="55707AF9">
      <w:pPr>
        <w:spacing w:line="360" w:lineRule="auto"/>
        <w:ind w:firstLine="619" w:firstLineChars="295"/>
        <w:jc w:val="left"/>
        <w:rPr>
          <w:rFonts w:ascii="宋体" w:hAnsi="宋体" w:eastAsia="宋体" w:cs="宋体"/>
          <w:szCs w:val="21"/>
          <w:highlight w:val="none"/>
        </w:rPr>
      </w:pPr>
      <w:r>
        <w:rPr>
          <w:rFonts w:hint="eastAsia" w:ascii="宋体" w:hAnsi="宋体" w:eastAsia="宋体" w:cs="宋体"/>
          <w:szCs w:val="21"/>
          <w:highlight w:val="none"/>
        </w:rPr>
        <w:t>此部分内容应充分结合本项目采购需求的全部内容以及磋商程序和方法的评审要求进行综合分析后进行编制，此部分包含但不限于：</w:t>
      </w:r>
    </w:p>
    <w:p w14:paraId="5B98E316">
      <w:pPr>
        <w:pStyle w:val="15"/>
        <w:spacing w:line="480" w:lineRule="exact"/>
        <w:ind w:firstLine="575"/>
        <w:rPr>
          <w:rFonts w:hAnsi="宋体"/>
          <w:highlight w:val="none"/>
        </w:rPr>
      </w:pPr>
      <w:r>
        <w:rPr>
          <w:rFonts w:hint="eastAsia" w:hAnsi="宋体"/>
          <w:highlight w:val="none"/>
        </w:rPr>
        <w:t>①系统开发设计方案、设计技术标准和规范原则介绍；</w:t>
      </w:r>
    </w:p>
    <w:p w14:paraId="20DBF9C8">
      <w:pPr>
        <w:pStyle w:val="15"/>
        <w:spacing w:line="480" w:lineRule="exact"/>
        <w:ind w:firstLine="575"/>
        <w:rPr>
          <w:rFonts w:hAnsi="宋体"/>
          <w:highlight w:val="none"/>
        </w:rPr>
      </w:pPr>
      <w:r>
        <w:rPr>
          <w:rFonts w:hint="eastAsia" w:hAnsi="宋体"/>
          <w:highlight w:val="none"/>
        </w:rPr>
        <w:t>②系统整体性能设计介绍（至少包含：架构体系性能设计、应用系统性能设计、数据存储性能设计等内容的技术路线和设计方案）；</w:t>
      </w:r>
    </w:p>
    <w:p w14:paraId="70C650C4">
      <w:pPr>
        <w:pStyle w:val="15"/>
        <w:spacing w:line="480" w:lineRule="exact"/>
        <w:ind w:firstLine="575"/>
        <w:rPr>
          <w:rFonts w:hAnsi="宋体"/>
          <w:highlight w:val="none"/>
        </w:rPr>
      </w:pPr>
      <w:r>
        <w:rPr>
          <w:rFonts w:hint="eastAsia" w:hAnsi="宋体"/>
          <w:highlight w:val="none"/>
        </w:rPr>
        <w:t>③系统架构设计介绍（至少包含：应用架构、技术架构、数据架构、逻辑架构、安全架构等内容的技术路线和设计方案）；</w:t>
      </w:r>
    </w:p>
    <w:p w14:paraId="2B170A24">
      <w:pPr>
        <w:pStyle w:val="15"/>
        <w:spacing w:line="480" w:lineRule="exact"/>
        <w:ind w:firstLine="575"/>
        <w:rPr>
          <w:rFonts w:hAnsi="宋体"/>
          <w:highlight w:val="none"/>
        </w:rPr>
      </w:pPr>
      <w:r>
        <w:rPr>
          <w:rFonts w:hint="eastAsia" w:hAnsi="宋体"/>
          <w:highlight w:val="none"/>
        </w:rPr>
        <w:t>④系统功能设计介绍（至少包含：各功能模块设计、各功能模块业务执行流程、原型设计图等内容的技术路线和设计方案）；</w:t>
      </w:r>
    </w:p>
    <w:p w14:paraId="5AB6A6FB">
      <w:pPr>
        <w:pStyle w:val="15"/>
        <w:spacing w:line="480" w:lineRule="exact"/>
        <w:ind w:firstLine="575"/>
        <w:rPr>
          <w:rFonts w:hAnsi="宋体"/>
          <w:b/>
          <w:bCs/>
          <w:highlight w:val="none"/>
        </w:rPr>
      </w:pPr>
      <w:r>
        <w:rPr>
          <w:rFonts w:hint="eastAsia" w:hAnsi="宋体"/>
          <w:highlight w:val="none"/>
        </w:rPr>
        <w:t>⑤数据接口开发设计介绍（至少包含：各类数据接口设计思路、技术路线和设计方案）。</w:t>
      </w:r>
    </w:p>
    <w:p w14:paraId="6D32E48A">
      <w:pPr>
        <w:spacing w:line="360" w:lineRule="auto"/>
        <w:ind w:firstLine="422" w:firstLineChars="200"/>
        <w:jc w:val="center"/>
        <w:rPr>
          <w:rFonts w:ascii="宋体" w:hAnsi="宋体" w:eastAsia="宋体" w:cs="宋体"/>
          <w:b/>
          <w:bCs/>
          <w:sz w:val="28"/>
          <w:szCs w:val="28"/>
          <w:highlight w:val="none"/>
        </w:rPr>
      </w:pPr>
      <w:r>
        <w:rPr>
          <w:rFonts w:hint="eastAsia" w:ascii="宋体" w:hAnsi="宋体" w:eastAsia="宋体" w:cs="宋体"/>
          <w:b/>
          <w:bCs/>
          <w:szCs w:val="21"/>
          <w:highlight w:val="none"/>
        </w:rPr>
        <w:br w:type="page"/>
      </w:r>
      <w:r>
        <w:rPr>
          <w:rFonts w:hint="eastAsia" w:ascii="宋体" w:hAnsi="宋体" w:eastAsia="宋体" w:cs="宋体"/>
          <w:b/>
          <w:bCs/>
          <w:sz w:val="28"/>
          <w:szCs w:val="28"/>
          <w:highlight w:val="none"/>
        </w:rPr>
        <w:t>格式3：昌宁县医共体总医院慢病管理信息系统建设技术方案</w:t>
      </w:r>
    </w:p>
    <w:p w14:paraId="3AE49987">
      <w:pPr>
        <w:widowControl/>
        <w:jc w:val="center"/>
        <w:rPr>
          <w:rFonts w:ascii="宋体" w:hAnsi="宋体" w:eastAsia="宋体" w:cs="宋体"/>
          <w:szCs w:val="21"/>
          <w:highlight w:val="none"/>
        </w:rPr>
      </w:pPr>
    </w:p>
    <w:p w14:paraId="32B004FE">
      <w:pPr>
        <w:widowControl/>
        <w:jc w:val="center"/>
        <w:rPr>
          <w:rFonts w:ascii="宋体" w:hAnsi="宋体" w:eastAsia="宋体" w:cs="宋体"/>
          <w:szCs w:val="21"/>
          <w:highlight w:val="none"/>
        </w:rPr>
      </w:pPr>
      <w:r>
        <w:rPr>
          <w:rFonts w:hint="eastAsia" w:ascii="宋体" w:hAnsi="宋体" w:eastAsia="宋体" w:cs="宋体"/>
          <w:szCs w:val="21"/>
          <w:highlight w:val="none"/>
        </w:rPr>
        <w:t>（格式自拟）</w:t>
      </w:r>
    </w:p>
    <w:p w14:paraId="472A6CD9">
      <w:pPr>
        <w:widowControl/>
        <w:jc w:val="center"/>
        <w:rPr>
          <w:rFonts w:ascii="宋体" w:hAnsi="宋体" w:eastAsia="宋体" w:cs="宋体"/>
          <w:b/>
          <w:bCs/>
          <w:szCs w:val="21"/>
          <w:highlight w:val="none"/>
        </w:rPr>
      </w:pPr>
    </w:p>
    <w:p w14:paraId="04895BC7">
      <w:pPr>
        <w:spacing w:line="360" w:lineRule="auto"/>
        <w:ind w:left="-21" w:leftChars="-10" w:firstLine="392" w:firstLineChars="187"/>
        <w:rPr>
          <w:rFonts w:ascii="宋体" w:hAnsi="宋体" w:eastAsia="宋体" w:cs="宋体"/>
          <w:szCs w:val="21"/>
          <w:highlight w:val="none"/>
        </w:rPr>
      </w:pPr>
      <w:r>
        <w:rPr>
          <w:rFonts w:hint="eastAsia" w:ascii="宋体" w:hAnsi="宋体" w:eastAsia="宋体" w:cs="宋体"/>
          <w:szCs w:val="21"/>
          <w:highlight w:val="none"/>
        </w:rPr>
        <w:t>此部分内容应充分结合本项目采购需求的全部内容以及磋商程序和方法的评审要求进行综合分析后进行编制，此部分包含但不限于：</w:t>
      </w:r>
    </w:p>
    <w:p w14:paraId="7F0E1951">
      <w:pPr>
        <w:spacing w:line="360" w:lineRule="auto"/>
        <w:ind w:left="-21" w:leftChars="-10" w:firstLine="392" w:firstLineChars="187"/>
        <w:rPr>
          <w:rFonts w:ascii="宋体" w:hAnsi="宋体" w:eastAsia="宋体" w:cs="宋体"/>
          <w:szCs w:val="21"/>
          <w:highlight w:val="none"/>
        </w:rPr>
      </w:pPr>
      <w:r>
        <w:rPr>
          <w:rFonts w:hint="eastAsia" w:ascii="宋体" w:hAnsi="宋体" w:eastAsia="宋体" w:cs="宋体"/>
          <w:szCs w:val="21"/>
          <w:highlight w:val="none"/>
        </w:rPr>
        <w:t>①系统及数据接口开发设计工作方案（至少包含各项工作技术实施方案、技术工作流程、工作管理机制等内容）；</w:t>
      </w:r>
    </w:p>
    <w:p w14:paraId="3AC88C2D">
      <w:pPr>
        <w:spacing w:line="360" w:lineRule="auto"/>
        <w:ind w:left="-21" w:leftChars="-10" w:firstLine="392" w:firstLineChars="187"/>
        <w:rPr>
          <w:rFonts w:ascii="宋体" w:hAnsi="宋体" w:eastAsia="宋体" w:cs="宋体"/>
          <w:szCs w:val="21"/>
          <w:highlight w:val="none"/>
        </w:rPr>
      </w:pPr>
      <w:r>
        <w:rPr>
          <w:rFonts w:hint="eastAsia" w:ascii="宋体" w:hAnsi="宋体" w:eastAsia="宋体" w:cs="宋体"/>
          <w:szCs w:val="21"/>
          <w:highlight w:val="none"/>
        </w:rPr>
        <w:t>②系统在各医共体各成员单位安装部署技术服务方案（至少包含各项工作技术实施方案、技术工作流程、工作管理机制等内容）；</w:t>
      </w:r>
    </w:p>
    <w:p w14:paraId="17F36E07">
      <w:pPr>
        <w:spacing w:line="360" w:lineRule="auto"/>
        <w:ind w:left="-21" w:leftChars="-10" w:firstLine="392" w:firstLineChars="187"/>
        <w:rPr>
          <w:rFonts w:ascii="宋体" w:hAnsi="宋体" w:eastAsia="宋体" w:cs="宋体"/>
          <w:szCs w:val="21"/>
          <w:highlight w:val="none"/>
        </w:rPr>
      </w:pPr>
      <w:r>
        <w:rPr>
          <w:rFonts w:hint="eastAsia" w:ascii="宋体" w:hAnsi="宋体" w:eastAsia="宋体" w:cs="宋体"/>
          <w:szCs w:val="21"/>
          <w:highlight w:val="none"/>
        </w:rPr>
        <w:t>③各医共体各成员单位相关信息系统集成、相关数据接口开发服务、新建系统与采购人指定相关系统数据对接和系统集成实施服务信息数据整合技术服务方案（至少包含各项工作技术实施方案、技术工作流程、工作管理机制等内容）；</w:t>
      </w:r>
    </w:p>
    <w:p w14:paraId="55C7B5A7">
      <w:pPr>
        <w:spacing w:line="360" w:lineRule="auto"/>
        <w:ind w:left="-21" w:leftChars="-10" w:firstLine="392" w:firstLineChars="187"/>
        <w:rPr>
          <w:rFonts w:ascii="宋体" w:hAnsi="宋体" w:eastAsia="宋体" w:cs="宋体"/>
          <w:szCs w:val="21"/>
          <w:highlight w:val="none"/>
        </w:rPr>
      </w:pPr>
      <w:r>
        <w:rPr>
          <w:rFonts w:hint="eastAsia" w:ascii="宋体" w:hAnsi="宋体" w:eastAsia="宋体" w:cs="宋体"/>
          <w:szCs w:val="21"/>
          <w:highlight w:val="none"/>
        </w:rPr>
        <w:t>④系统建设完成后开展测试、试运行、初验、终验技术方案，及针对项目验收提出相关问题的整改优化工作预案（至少包含各项工作技术实施方案、技术工作流程、工作管理机制等内容）；</w:t>
      </w:r>
    </w:p>
    <w:p w14:paraId="691452D1">
      <w:pPr>
        <w:spacing w:line="360" w:lineRule="auto"/>
        <w:ind w:left="-21" w:leftChars="-10" w:firstLine="392" w:firstLineChars="187"/>
        <w:rPr>
          <w:rFonts w:ascii="宋体" w:hAnsi="宋体" w:eastAsia="宋体" w:cs="宋体"/>
          <w:szCs w:val="21"/>
          <w:highlight w:val="none"/>
        </w:rPr>
      </w:pPr>
      <w:r>
        <w:rPr>
          <w:rFonts w:hint="eastAsia" w:ascii="宋体" w:hAnsi="宋体" w:eastAsia="宋体" w:cs="宋体"/>
          <w:szCs w:val="21"/>
          <w:highlight w:val="none"/>
        </w:rPr>
        <w:t>⑤项目实施进度计划安排（至少包含开展各阶段技术工作的工作进度安排、时间节点介绍、人力物力配备等内容）；</w:t>
      </w:r>
    </w:p>
    <w:p w14:paraId="5CCBB523">
      <w:pPr>
        <w:spacing w:line="360" w:lineRule="auto"/>
        <w:ind w:left="-21" w:leftChars="-10" w:firstLine="392" w:firstLineChars="187"/>
        <w:rPr>
          <w:rFonts w:ascii="宋体" w:hAnsi="宋体" w:eastAsia="宋体" w:cs="宋体"/>
          <w:szCs w:val="21"/>
          <w:highlight w:val="none"/>
        </w:rPr>
      </w:pPr>
      <w:r>
        <w:rPr>
          <w:rFonts w:hint="eastAsia" w:ascii="宋体" w:hAnsi="宋体" w:eastAsia="宋体" w:cs="宋体"/>
          <w:szCs w:val="21"/>
          <w:highlight w:val="none"/>
        </w:rPr>
        <w:t>⑥项目风险控制方案和应急处理方案（至少包含：风险和应急事项预见、应急响应时间情况介绍、风险和应急处理程序、相应的处置预案）。</w:t>
      </w:r>
    </w:p>
    <w:p w14:paraId="6023C335">
      <w:pPr>
        <w:spacing w:line="360" w:lineRule="auto"/>
        <w:ind w:left="-21" w:leftChars="-10" w:firstLine="392" w:firstLineChars="187"/>
        <w:rPr>
          <w:rFonts w:ascii="宋体" w:hAnsi="宋体" w:eastAsia="宋体" w:cs="宋体"/>
          <w:szCs w:val="21"/>
          <w:highlight w:val="none"/>
        </w:rPr>
      </w:pPr>
    </w:p>
    <w:p w14:paraId="2C2E5503">
      <w:pPr>
        <w:spacing w:line="360" w:lineRule="auto"/>
        <w:ind w:left="-21" w:leftChars="-10" w:firstLine="392" w:firstLineChars="187"/>
        <w:rPr>
          <w:rFonts w:ascii="宋体" w:hAnsi="宋体" w:eastAsia="宋体" w:cs="宋体"/>
          <w:szCs w:val="21"/>
          <w:highlight w:val="none"/>
        </w:rPr>
      </w:pPr>
    </w:p>
    <w:p w14:paraId="32E507A1">
      <w:pPr>
        <w:widowControl/>
        <w:jc w:val="center"/>
        <w:rPr>
          <w:rFonts w:ascii="宋体" w:hAnsi="宋体" w:eastAsia="宋体" w:cs="宋体"/>
          <w:b/>
          <w:bCs/>
          <w:szCs w:val="21"/>
          <w:highlight w:val="none"/>
        </w:rPr>
      </w:pPr>
    </w:p>
    <w:p w14:paraId="1D9940BD">
      <w:pPr>
        <w:spacing w:line="360" w:lineRule="auto"/>
        <w:ind w:firstLine="422" w:firstLineChars="200"/>
        <w:jc w:val="center"/>
        <w:rPr>
          <w:rFonts w:ascii="宋体" w:hAnsi="宋体" w:eastAsia="宋体" w:cs="宋体"/>
          <w:b/>
          <w:bCs/>
          <w:sz w:val="28"/>
          <w:szCs w:val="28"/>
          <w:highlight w:val="none"/>
        </w:rPr>
      </w:pPr>
      <w:r>
        <w:rPr>
          <w:rFonts w:hint="eastAsia" w:ascii="宋体" w:hAnsi="宋体" w:eastAsia="宋体" w:cs="宋体"/>
          <w:b/>
          <w:bCs/>
          <w:szCs w:val="21"/>
          <w:highlight w:val="none"/>
        </w:rPr>
        <w:br w:type="page"/>
      </w:r>
      <w:r>
        <w:rPr>
          <w:rFonts w:hint="eastAsia" w:ascii="宋体" w:hAnsi="宋体" w:eastAsia="宋体" w:cs="宋体"/>
          <w:b/>
          <w:bCs/>
          <w:sz w:val="28"/>
          <w:szCs w:val="28"/>
          <w:highlight w:val="none"/>
        </w:rPr>
        <w:t>格式4：项目技术培训服务方案</w:t>
      </w:r>
    </w:p>
    <w:p w14:paraId="1D313986">
      <w:pPr>
        <w:spacing w:line="360" w:lineRule="auto"/>
        <w:ind w:left="-21" w:leftChars="-10" w:firstLine="392" w:firstLineChars="187"/>
        <w:jc w:val="center"/>
        <w:rPr>
          <w:rFonts w:ascii="宋体" w:hAnsi="宋体" w:eastAsia="宋体" w:cs="宋体"/>
          <w:szCs w:val="21"/>
          <w:highlight w:val="none"/>
        </w:rPr>
      </w:pPr>
      <w:r>
        <w:rPr>
          <w:rFonts w:hint="eastAsia" w:ascii="宋体" w:hAnsi="宋体" w:eastAsia="宋体" w:cs="宋体"/>
          <w:szCs w:val="21"/>
          <w:highlight w:val="none"/>
        </w:rPr>
        <w:t>（格式自拟）</w:t>
      </w:r>
    </w:p>
    <w:p w14:paraId="028AA326">
      <w:pPr>
        <w:spacing w:line="360" w:lineRule="auto"/>
        <w:ind w:left="-21" w:leftChars="-10" w:firstLine="392" w:firstLineChars="187"/>
        <w:rPr>
          <w:rFonts w:ascii="宋体" w:hAnsi="宋体" w:eastAsia="宋体" w:cs="宋体"/>
          <w:szCs w:val="21"/>
          <w:highlight w:val="none"/>
        </w:rPr>
      </w:pPr>
      <w:r>
        <w:rPr>
          <w:rFonts w:hint="eastAsia" w:ascii="宋体" w:hAnsi="宋体" w:eastAsia="宋体" w:cs="宋体"/>
          <w:szCs w:val="21"/>
          <w:highlight w:val="none"/>
        </w:rPr>
        <w:t>此部分内容应充分结合本项目采购需求的全部内容以及磋商程序和方法的评审要求进行综合分析后进行编制，此部分包含但不限于：</w:t>
      </w:r>
    </w:p>
    <w:p w14:paraId="7DC03467">
      <w:pPr>
        <w:spacing w:line="360" w:lineRule="auto"/>
        <w:ind w:left="-21" w:leftChars="-10" w:firstLine="392" w:firstLineChars="187"/>
        <w:rPr>
          <w:rFonts w:ascii="宋体" w:hAnsi="宋体" w:eastAsia="宋体" w:cs="宋体"/>
          <w:szCs w:val="21"/>
          <w:highlight w:val="none"/>
        </w:rPr>
      </w:pPr>
      <w:r>
        <w:rPr>
          <w:rFonts w:hint="eastAsia" w:ascii="宋体" w:hAnsi="宋体" w:eastAsia="宋体" w:cs="宋体"/>
          <w:szCs w:val="21"/>
          <w:highlight w:val="none"/>
        </w:rPr>
        <w:t>①项目技术培训内容和培训课程设置；</w:t>
      </w:r>
    </w:p>
    <w:p w14:paraId="273CA1D6">
      <w:pPr>
        <w:spacing w:line="360" w:lineRule="auto"/>
        <w:ind w:left="-21" w:leftChars="-10" w:firstLine="392" w:firstLineChars="187"/>
        <w:rPr>
          <w:rFonts w:ascii="宋体" w:hAnsi="宋体" w:eastAsia="宋体" w:cs="宋体"/>
          <w:szCs w:val="21"/>
          <w:highlight w:val="none"/>
        </w:rPr>
      </w:pPr>
      <w:r>
        <w:rPr>
          <w:rFonts w:hint="eastAsia" w:ascii="宋体" w:hAnsi="宋体" w:eastAsia="宋体" w:cs="宋体"/>
          <w:szCs w:val="21"/>
          <w:highlight w:val="none"/>
        </w:rPr>
        <w:t>②项目技术培训计划安排（明确具体培训模式、培训工作时间安排和具体各项课程安排等）。</w:t>
      </w:r>
    </w:p>
    <w:p w14:paraId="71E0BC74">
      <w:pPr>
        <w:pStyle w:val="26"/>
        <w:ind w:firstLine="480"/>
        <w:rPr>
          <w:rFonts w:ascii="宋体" w:hAnsi="宋体" w:eastAsia="宋体" w:cs="宋体"/>
          <w:highlight w:val="none"/>
        </w:rPr>
      </w:pPr>
    </w:p>
    <w:p w14:paraId="7CE1C427">
      <w:pPr>
        <w:widowControl/>
        <w:jc w:val="center"/>
        <w:rPr>
          <w:rFonts w:ascii="宋体" w:hAnsi="宋体" w:eastAsia="宋体" w:cs="宋体"/>
          <w:b/>
          <w:bCs/>
          <w:szCs w:val="21"/>
          <w:highlight w:val="none"/>
        </w:rPr>
      </w:pPr>
    </w:p>
    <w:p w14:paraId="71540594">
      <w:pPr>
        <w:spacing w:line="360" w:lineRule="auto"/>
        <w:ind w:firstLine="422" w:firstLineChars="200"/>
        <w:jc w:val="center"/>
        <w:rPr>
          <w:rFonts w:ascii="宋体" w:hAnsi="宋体" w:eastAsia="宋体" w:cs="宋体"/>
          <w:b/>
          <w:bCs/>
          <w:sz w:val="28"/>
          <w:szCs w:val="28"/>
          <w:highlight w:val="none"/>
        </w:rPr>
      </w:pPr>
      <w:r>
        <w:rPr>
          <w:rFonts w:hint="eastAsia" w:ascii="宋体" w:hAnsi="宋体" w:eastAsia="宋体" w:cs="宋体"/>
          <w:b/>
          <w:bCs/>
          <w:szCs w:val="21"/>
          <w:highlight w:val="none"/>
        </w:rPr>
        <w:br w:type="page"/>
      </w:r>
      <w:r>
        <w:rPr>
          <w:rFonts w:hint="eastAsia" w:ascii="宋体" w:hAnsi="宋体" w:eastAsia="宋体" w:cs="宋体"/>
          <w:b/>
          <w:bCs/>
          <w:sz w:val="28"/>
          <w:szCs w:val="28"/>
          <w:highlight w:val="none"/>
        </w:rPr>
        <w:t>格式5：售后服务能力介绍及售后服务方案</w:t>
      </w:r>
    </w:p>
    <w:p w14:paraId="31A5C97E">
      <w:pPr>
        <w:spacing w:line="500" w:lineRule="exact"/>
        <w:ind w:firstLine="420" w:firstLineChars="200"/>
        <w:jc w:val="center"/>
        <w:rPr>
          <w:rFonts w:ascii="宋体" w:hAnsi="宋体" w:eastAsia="宋体" w:cs="宋体"/>
          <w:szCs w:val="21"/>
          <w:highlight w:val="none"/>
        </w:rPr>
      </w:pPr>
      <w:r>
        <w:rPr>
          <w:rFonts w:hint="eastAsia" w:ascii="宋体" w:hAnsi="宋体" w:eastAsia="宋体" w:cs="宋体"/>
          <w:szCs w:val="21"/>
          <w:highlight w:val="none"/>
        </w:rPr>
        <w:t>（格式自拟）</w:t>
      </w:r>
    </w:p>
    <w:p w14:paraId="45E4BBFC">
      <w:pPr>
        <w:spacing w:line="500" w:lineRule="exact"/>
        <w:ind w:firstLine="420" w:firstLineChars="200"/>
        <w:jc w:val="left"/>
        <w:rPr>
          <w:rFonts w:ascii="宋体" w:hAnsi="宋体" w:eastAsia="宋体" w:cs="宋体"/>
          <w:szCs w:val="21"/>
          <w:highlight w:val="none"/>
        </w:rPr>
      </w:pPr>
      <w:r>
        <w:rPr>
          <w:rFonts w:hint="eastAsia" w:ascii="宋体" w:hAnsi="宋体" w:eastAsia="宋体" w:cs="宋体"/>
          <w:szCs w:val="21"/>
          <w:highlight w:val="none"/>
        </w:rPr>
        <w:t>此部分内容应充分结合本项目采购需求的全部内容以及磋商程序和方法的评审要求进行综合分析后进行编制，此部分包含但不限于：</w:t>
      </w:r>
    </w:p>
    <w:p w14:paraId="2A8C38C6">
      <w:pPr>
        <w:spacing w:line="500" w:lineRule="exact"/>
        <w:ind w:firstLine="420" w:firstLineChars="200"/>
        <w:jc w:val="left"/>
        <w:rPr>
          <w:rFonts w:ascii="宋体" w:hAnsi="宋体" w:eastAsia="宋体" w:cs="宋体"/>
          <w:szCs w:val="21"/>
          <w:highlight w:val="none"/>
        </w:rPr>
      </w:pPr>
      <w:r>
        <w:rPr>
          <w:rFonts w:hint="eastAsia" w:ascii="宋体" w:hAnsi="宋体" w:eastAsia="宋体" w:cs="宋体"/>
          <w:szCs w:val="21"/>
          <w:highlight w:val="none"/>
        </w:rPr>
        <w:t>①售后服务体系介绍和售后技术团队设置情况（提供售后服务机构设置情况和本次采购产品的备件库设置情况介绍和证明材料，售后管理技术人员数量、技术分工和岗位情况介绍等内容）；</w:t>
      </w:r>
    </w:p>
    <w:p w14:paraId="0F1DFF63">
      <w:pPr>
        <w:spacing w:line="500" w:lineRule="exact"/>
        <w:ind w:firstLine="420" w:firstLineChars="200"/>
        <w:jc w:val="left"/>
        <w:rPr>
          <w:rFonts w:ascii="宋体" w:hAnsi="宋体" w:eastAsia="宋体" w:cs="宋体"/>
          <w:szCs w:val="21"/>
          <w:highlight w:val="none"/>
        </w:rPr>
      </w:pPr>
      <w:r>
        <w:rPr>
          <w:rFonts w:hint="eastAsia" w:ascii="宋体" w:hAnsi="宋体" w:eastAsia="宋体" w:cs="宋体"/>
          <w:szCs w:val="21"/>
          <w:highlight w:val="none"/>
        </w:rPr>
        <w:t>②项目售后运维服务期限介绍，系统运维巡检、运行维护、系统升级技术方案；</w:t>
      </w:r>
    </w:p>
    <w:p w14:paraId="1476B2A6">
      <w:pPr>
        <w:spacing w:line="500" w:lineRule="exact"/>
        <w:ind w:firstLine="420" w:firstLineChars="200"/>
        <w:jc w:val="left"/>
        <w:rPr>
          <w:rFonts w:ascii="宋体" w:hAnsi="宋体" w:eastAsia="宋体" w:cs="宋体"/>
          <w:szCs w:val="21"/>
          <w:highlight w:val="none"/>
        </w:rPr>
      </w:pPr>
      <w:r>
        <w:rPr>
          <w:rFonts w:hint="eastAsia" w:ascii="宋体" w:hAnsi="宋体" w:eastAsia="宋体" w:cs="宋体"/>
          <w:szCs w:val="21"/>
          <w:highlight w:val="none"/>
        </w:rPr>
        <w:t>③针对可能发生的各类售后服务问题进行解决、系统出现或者因外部原因形成的各类漏洞BUG进行系统修复和整改升级的工作机制、处理办法及响应（维修维护）时间安排。</w:t>
      </w:r>
    </w:p>
    <w:p w14:paraId="44A45334">
      <w:pPr>
        <w:spacing w:line="500" w:lineRule="exact"/>
        <w:ind w:firstLine="420" w:firstLineChars="200"/>
        <w:jc w:val="left"/>
        <w:rPr>
          <w:rFonts w:ascii="宋体" w:hAnsi="宋体" w:eastAsia="宋体" w:cs="宋体"/>
          <w:szCs w:val="21"/>
          <w:highlight w:val="none"/>
        </w:rPr>
      </w:pPr>
    </w:p>
    <w:p w14:paraId="7114A102">
      <w:pPr>
        <w:widowControl/>
        <w:jc w:val="center"/>
        <w:rPr>
          <w:rFonts w:ascii="宋体" w:hAnsi="宋体" w:eastAsia="宋体" w:cs="宋体"/>
          <w:szCs w:val="21"/>
          <w:highlight w:val="none"/>
        </w:rPr>
      </w:pPr>
    </w:p>
    <w:p w14:paraId="0BCA25D3">
      <w:pPr>
        <w:widowControl/>
        <w:jc w:val="center"/>
        <w:rPr>
          <w:rFonts w:ascii="宋体" w:hAnsi="宋体" w:eastAsia="宋体" w:cs="宋体"/>
          <w:szCs w:val="21"/>
          <w:highlight w:val="none"/>
        </w:rPr>
      </w:pPr>
    </w:p>
    <w:p w14:paraId="701A7291">
      <w:pPr>
        <w:widowControl/>
        <w:jc w:val="center"/>
        <w:rPr>
          <w:rFonts w:ascii="宋体" w:hAnsi="宋体" w:eastAsia="宋体" w:cs="宋体"/>
          <w:b/>
          <w:bCs/>
          <w:szCs w:val="21"/>
          <w:highlight w:val="none"/>
        </w:rPr>
      </w:pPr>
    </w:p>
    <w:p w14:paraId="41ADD1DF">
      <w:pPr>
        <w:widowControl/>
        <w:jc w:val="left"/>
        <w:rPr>
          <w:rFonts w:ascii="宋体" w:hAnsi="宋体" w:eastAsia="宋体" w:cs="宋体"/>
          <w:b/>
          <w:bCs/>
          <w:szCs w:val="21"/>
          <w:highlight w:val="none"/>
        </w:rPr>
      </w:pPr>
    </w:p>
    <w:p w14:paraId="63A3F572">
      <w:pPr>
        <w:widowControl/>
        <w:jc w:val="center"/>
        <w:rPr>
          <w:rFonts w:ascii="宋体" w:hAnsi="宋体" w:eastAsia="宋体" w:cs="宋体"/>
          <w:b/>
          <w:bCs/>
          <w:szCs w:val="21"/>
          <w:highlight w:val="none"/>
        </w:rPr>
      </w:pPr>
    </w:p>
    <w:p w14:paraId="7DDCEBED">
      <w:pPr>
        <w:widowControl/>
        <w:jc w:val="center"/>
        <w:rPr>
          <w:rFonts w:ascii="宋体" w:hAnsi="宋体" w:eastAsia="宋体" w:cs="宋体"/>
          <w:b/>
          <w:bCs/>
          <w:szCs w:val="21"/>
          <w:highlight w:val="none"/>
        </w:rPr>
      </w:pPr>
    </w:p>
    <w:p w14:paraId="49CE79B7">
      <w:pPr>
        <w:spacing w:line="360" w:lineRule="auto"/>
        <w:ind w:firstLine="422" w:firstLineChars="200"/>
        <w:jc w:val="center"/>
        <w:rPr>
          <w:rStyle w:val="98"/>
          <w:rFonts w:ascii="宋体" w:hAnsi="宋体" w:eastAsia="宋体" w:cs="宋体"/>
          <w:highlight w:val="none"/>
        </w:rPr>
      </w:pPr>
      <w:r>
        <w:rPr>
          <w:rFonts w:hint="eastAsia" w:ascii="宋体" w:hAnsi="宋体" w:eastAsia="宋体" w:cs="宋体"/>
          <w:b/>
          <w:bCs/>
          <w:szCs w:val="21"/>
          <w:highlight w:val="none"/>
        </w:rPr>
        <w:br w:type="page"/>
      </w:r>
      <w:bookmarkStart w:id="191" w:name="_Toc24082"/>
      <w:bookmarkStart w:id="192" w:name="_Toc24964"/>
      <w:r>
        <w:rPr>
          <w:rFonts w:hint="eastAsia" w:ascii="宋体" w:hAnsi="宋体" w:eastAsia="宋体" w:cs="宋体"/>
          <w:b/>
          <w:bCs/>
          <w:sz w:val="28"/>
          <w:szCs w:val="28"/>
          <w:highlight w:val="none"/>
        </w:rPr>
        <w:t>格式6：昌宁县医共体总医院慢病管理信息系统后期运维服务情况表</w:t>
      </w:r>
    </w:p>
    <w:bookmarkEnd w:id="191"/>
    <w:bookmarkEnd w:id="192"/>
    <w:p w14:paraId="3DDBB9A4">
      <w:pPr>
        <w:widowControl/>
        <w:spacing w:line="440" w:lineRule="exact"/>
        <w:ind w:firstLine="420" w:firstLineChars="200"/>
        <w:jc w:val="left"/>
        <w:rPr>
          <w:rFonts w:ascii="宋体" w:hAnsi="宋体" w:eastAsia="宋体" w:cs="宋体"/>
          <w:szCs w:val="21"/>
          <w:highlight w:val="none"/>
        </w:rPr>
      </w:pPr>
    </w:p>
    <w:p w14:paraId="4436E573">
      <w:pPr>
        <w:widowControl/>
        <w:spacing w:line="440" w:lineRule="exact"/>
        <w:ind w:firstLine="420" w:firstLineChars="200"/>
        <w:jc w:val="left"/>
        <w:rPr>
          <w:rFonts w:ascii="宋体" w:hAnsi="宋体" w:eastAsia="宋体" w:cs="宋体"/>
          <w:szCs w:val="21"/>
          <w:highlight w:val="none"/>
        </w:rPr>
      </w:pPr>
      <w:r>
        <w:rPr>
          <w:rFonts w:hint="eastAsia" w:ascii="宋体" w:hAnsi="宋体" w:eastAsia="宋体" w:cs="宋体"/>
          <w:szCs w:val="21"/>
          <w:highlight w:val="none"/>
        </w:rPr>
        <w:t>本次采购的昌宁县医共体总医院慢病管理信息系统需要长期的运行维护，采购人将考虑本项目的售后运维服务期满后的昌宁县医共体总医院慢病管理信息系统运行维护服务工作的实际需求，后续运维服务内容包含昌宁县医共体总医院慢病管理信息系统在运行中的故障排错、信息数据维护备份及恢复、系统及数据库适配调整、昌宁县医共体总医院慢病管理信息系统定期升级更新等工作。参与本项目的磋商申请人可根据项目实际情况填报后续运行维护服务费，此服务费将纳入合同签署的考虑范畴。磋商申请人针对昌宁县医共体总医院慢病管理信息系统后续运行维护服务填报的后续运行维护服务费基于</w:t>
      </w:r>
      <w:r>
        <w:rPr>
          <w:rFonts w:hint="eastAsia" w:ascii="宋体" w:hAnsi="宋体" w:eastAsia="宋体" w:cs="宋体"/>
          <w:kern w:val="0"/>
          <w:szCs w:val="21"/>
          <w:highlight w:val="none"/>
        </w:rPr>
        <w:t>磋商报价总价</w:t>
      </w:r>
      <w:r>
        <w:rPr>
          <w:rFonts w:hint="eastAsia" w:ascii="宋体" w:hAnsi="宋体" w:eastAsia="宋体" w:cs="宋体"/>
          <w:szCs w:val="21"/>
          <w:highlight w:val="none"/>
        </w:rPr>
        <w:t>比例不能高于</w:t>
      </w:r>
      <w:r>
        <w:rPr>
          <w:rFonts w:hint="eastAsia" w:ascii="宋体" w:hAnsi="宋体" w:eastAsia="宋体" w:cs="宋体"/>
          <w:kern w:val="0"/>
          <w:szCs w:val="21"/>
          <w:highlight w:val="none"/>
        </w:rPr>
        <w:t>磋商报价总价</w:t>
      </w:r>
      <w:r>
        <w:rPr>
          <w:rFonts w:hint="eastAsia" w:ascii="宋体" w:hAnsi="宋体" w:eastAsia="宋体" w:cs="宋体"/>
          <w:szCs w:val="21"/>
          <w:highlight w:val="none"/>
        </w:rPr>
        <w:t>的</w:t>
      </w:r>
      <w:r>
        <w:rPr>
          <w:rFonts w:hint="eastAsia" w:ascii="宋体" w:hAnsi="宋体" w:eastAsia="宋体" w:cs="宋体"/>
          <w:szCs w:val="21"/>
          <w:highlight w:val="none"/>
          <w:lang w:val="en-US" w:eastAsia="zh-CN"/>
        </w:rPr>
        <w:t>8</w:t>
      </w:r>
      <w:r>
        <w:rPr>
          <w:rFonts w:hint="eastAsia" w:ascii="宋体" w:hAnsi="宋体" w:eastAsia="宋体" w:cs="宋体"/>
          <w:szCs w:val="21"/>
          <w:highlight w:val="none"/>
        </w:rPr>
        <w:t>%。</w:t>
      </w:r>
    </w:p>
    <w:tbl>
      <w:tblPr>
        <w:tblStyle w:val="27"/>
        <w:tblW w:w="98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630"/>
        <w:gridCol w:w="1821"/>
        <w:gridCol w:w="1520"/>
        <w:gridCol w:w="1820"/>
        <w:gridCol w:w="3476"/>
        <w:gridCol w:w="542"/>
      </w:tblGrid>
      <w:tr w14:paraId="4795B3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23" w:hRule="atLeast"/>
          <w:tblHeader/>
          <w:jc w:val="center"/>
        </w:trPr>
        <w:tc>
          <w:tcPr>
            <w:tcW w:w="630" w:type="dxa"/>
            <w:vMerge w:val="restart"/>
            <w:vAlign w:val="center"/>
          </w:tcPr>
          <w:p w14:paraId="6D8533CC">
            <w:pPr>
              <w:topLinePunct/>
              <w:jc w:val="center"/>
              <w:rPr>
                <w:rFonts w:ascii="宋体" w:hAnsi="宋体" w:eastAsia="宋体" w:cs="宋体"/>
                <w:szCs w:val="21"/>
                <w:highlight w:val="none"/>
              </w:rPr>
            </w:pPr>
            <w:r>
              <w:rPr>
                <w:rFonts w:hint="eastAsia" w:ascii="宋体" w:hAnsi="宋体" w:eastAsia="宋体" w:cs="宋体"/>
                <w:szCs w:val="21"/>
                <w:highlight w:val="none"/>
              </w:rPr>
              <w:t>序号</w:t>
            </w:r>
          </w:p>
        </w:tc>
        <w:tc>
          <w:tcPr>
            <w:tcW w:w="1821" w:type="dxa"/>
            <w:vMerge w:val="restart"/>
            <w:vAlign w:val="center"/>
          </w:tcPr>
          <w:p w14:paraId="28C5FF4D">
            <w:pPr>
              <w:topLinePunct/>
              <w:jc w:val="center"/>
              <w:rPr>
                <w:rFonts w:ascii="宋体" w:hAnsi="宋体" w:eastAsia="宋体" w:cs="宋体"/>
                <w:szCs w:val="21"/>
                <w:highlight w:val="none"/>
              </w:rPr>
            </w:pPr>
            <w:r>
              <w:rPr>
                <w:rFonts w:hint="eastAsia" w:ascii="宋体" w:hAnsi="宋体" w:eastAsia="宋体" w:cs="宋体"/>
                <w:szCs w:val="21"/>
                <w:highlight w:val="none"/>
              </w:rPr>
              <w:t>项目名称</w:t>
            </w:r>
          </w:p>
        </w:tc>
        <w:tc>
          <w:tcPr>
            <w:tcW w:w="1520" w:type="dxa"/>
            <w:vMerge w:val="restart"/>
            <w:vAlign w:val="center"/>
          </w:tcPr>
          <w:p w14:paraId="7DE55ADA">
            <w:pPr>
              <w:topLinePunct/>
              <w:jc w:val="center"/>
              <w:rPr>
                <w:rFonts w:ascii="宋体" w:hAnsi="宋体" w:eastAsia="宋体" w:cs="宋体"/>
                <w:szCs w:val="21"/>
                <w:highlight w:val="none"/>
              </w:rPr>
            </w:pPr>
            <w:r>
              <w:rPr>
                <w:rFonts w:hint="eastAsia" w:ascii="宋体" w:hAnsi="宋体" w:eastAsia="宋体" w:cs="宋体"/>
                <w:szCs w:val="21"/>
                <w:highlight w:val="none"/>
              </w:rPr>
              <w:t>后期运维服务机构名称</w:t>
            </w:r>
          </w:p>
        </w:tc>
        <w:tc>
          <w:tcPr>
            <w:tcW w:w="1820" w:type="dxa"/>
            <w:vMerge w:val="restart"/>
            <w:tcBorders>
              <w:right w:val="single" w:color="auto" w:sz="4" w:space="0"/>
            </w:tcBorders>
            <w:vAlign w:val="center"/>
          </w:tcPr>
          <w:p w14:paraId="0AD39AFD">
            <w:pPr>
              <w:topLinePunct/>
              <w:jc w:val="center"/>
              <w:rPr>
                <w:rFonts w:ascii="宋体" w:hAnsi="宋体" w:eastAsia="宋体" w:cs="宋体"/>
                <w:szCs w:val="21"/>
                <w:highlight w:val="none"/>
              </w:rPr>
            </w:pPr>
            <w:r>
              <w:rPr>
                <w:rFonts w:hint="eastAsia" w:ascii="宋体" w:hAnsi="宋体" w:eastAsia="宋体" w:cs="宋体"/>
                <w:szCs w:val="21"/>
                <w:highlight w:val="none"/>
              </w:rPr>
              <w:t>计划投入的人力物力情况介绍</w:t>
            </w:r>
          </w:p>
        </w:tc>
        <w:tc>
          <w:tcPr>
            <w:tcW w:w="3476" w:type="dxa"/>
            <w:vAlign w:val="center"/>
          </w:tcPr>
          <w:p w14:paraId="01E41A06">
            <w:pPr>
              <w:topLinePunct/>
              <w:jc w:val="center"/>
              <w:rPr>
                <w:rFonts w:ascii="宋体" w:hAnsi="宋体" w:eastAsia="宋体" w:cs="宋体"/>
                <w:szCs w:val="21"/>
                <w:highlight w:val="none"/>
              </w:rPr>
            </w:pPr>
            <w:r>
              <w:rPr>
                <w:rFonts w:hint="eastAsia" w:ascii="宋体" w:hAnsi="宋体" w:eastAsia="宋体" w:cs="宋体"/>
                <w:szCs w:val="21"/>
                <w:highlight w:val="none"/>
              </w:rPr>
              <w:t>后续运行维护服务费</w:t>
            </w:r>
          </w:p>
        </w:tc>
        <w:tc>
          <w:tcPr>
            <w:tcW w:w="542" w:type="dxa"/>
            <w:vMerge w:val="restart"/>
            <w:vAlign w:val="center"/>
          </w:tcPr>
          <w:p w14:paraId="41D3E914">
            <w:pPr>
              <w:topLinePunct/>
              <w:jc w:val="center"/>
              <w:rPr>
                <w:rFonts w:ascii="宋体" w:hAnsi="宋体" w:eastAsia="宋体" w:cs="宋体"/>
                <w:szCs w:val="21"/>
                <w:highlight w:val="none"/>
              </w:rPr>
            </w:pPr>
            <w:r>
              <w:rPr>
                <w:rFonts w:hint="eastAsia" w:ascii="宋体" w:hAnsi="宋体" w:eastAsia="宋体" w:cs="宋体"/>
                <w:szCs w:val="21"/>
                <w:highlight w:val="none"/>
              </w:rPr>
              <w:t>备注</w:t>
            </w:r>
          </w:p>
        </w:tc>
      </w:tr>
      <w:tr w14:paraId="6B9A1C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23" w:hRule="atLeast"/>
          <w:tblHeader/>
          <w:jc w:val="center"/>
        </w:trPr>
        <w:tc>
          <w:tcPr>
            <w:tcW w:w="630" w:type="dxa"/>
            <w:vMerge w:val="continue"/>
            <w:vAlign w:val="center"/>
          </w:tcPr>
          <w:p w14:paraId="7A5ACE9F">
            <w:pPr>
              <w:topLinePunct/>
              <w:jc w:val="center"/>
              <w:rPr>
                <w:rFonts w:ascii="宋体" w:hAnsi="宋体" w:eastAsia="宋体" w:cs="宋体"/>
                <w:highlight w:val="none"/>
              </w:rPr>
            </w:pPr>
          </w:p>
        </w:tc>
        <w:tc>
          <w:tcPr>
            <w:tcW w:w="1821" w:type="dxa"/>
            <w:vMerge w:val="continue"/>
            <w:vAlign w:val="center"/>
          </w:tcPr>
          <w:p w14:paraId="26361380">
            <w:pPr>
              <w:topLinePunct/>
              <w:jc w:val="center"/>
              <w:rPr>
                <w:rFonts w:ascii="宋体" w:hAnsi="宋体" w:eastAsia="宋体" w:cs="宋体"/>
                <w:highlight w:val="none"/>
              </w:rPr>
            </w:pPr>
          </w:p>
        </w:tc>
        <w:tc>
          <w:tcPr>
            <w:tcW w:w="1520" w:type="dxa"/>
            <w:vMerge w:val="continue"/>
            <w:vAlign w:val="center"/>
          </w:tcPr>
          <w:p w14:paraId="548ABB67">
            <w:pPr>
              <w:topLinePunct/>
              <w:jc w:val="center"/>
              <w:rPr>
                <w:rFonts w:ascii="宋体" w:hAnsi="宋体" w:eastAsia="宋体" w:cs="宋体"/>
                <w:highlight w:val="none"/>
              </w:rPr>
            </w:pPr>
          </w:p>
        </w:tc>
        <w:tc>
          <w:tcPr>
            <w:tcW w:w="1820" w:type="dxa"/>
            <w:vMerge w:val="continue"/>
            <w:tcBorders>
              <w:right w:val="single" w:color="auto" w:sz="4" w:space="0"/>
            </w:tcBorders>
            <w:vAlign w:val="center"/>
          </w:tcPr>
          <w:p w14:paraId="030A3046">
            <w:pPr>
              <w:topLinePunct/>
              <w:jc w:val="center"/>
              <w:rPr>
                <w:rFonts w:ascii="宋体" w:hAnsi="宋体" w:eastAsia="宋体" w:cs="宋体"/>
                <w:highlight w:val="none"/>
              </w:rPr>
            </w:pPr>
          </w:p>
        </w:tc>
        <w:tc>
          <w:tcPr>
            <w:tcW w:w="3476" w:type="dxa"/>
            <w:vAlign w:val="center"/>
          </w:tcPr>
          <w:p w14:paraId="02EE2766">
            <w:pPr>
              <w:topLinePunct/>
              <w:jc w:val="center"/>
              <w:rPr>
                <w:rFonts w:ascii="宋体" w:hAnsi="宋体" w:eastAsia="宋体" w:cs="宋体"/>
                <w:highlight w:val="none"/>
              </w:rPr>
            </w:pPr>
            <w:r>
              <w:rPr>
                <w:rFonts w:hint="eastAsia" w:ascii="宋体" w:hAnsi="宋体" w:eastAsia="宋体" w:cs="宋体"/>
                <w:szCs w:val="21"/>
                <w:highlight w:val="none"/>
              </w:rPr>
              <w:t>昌宁县医共体总医院慢病管理信息系统后期运维服务费基于磋商报价</w:t>
            </w:r>
            <w:r>
              <w:rPr>
                <w:rFonts w:hint="eastAsia" w:ascii="宋体" w:hAnsi="宋体" w:eastAsia="宋体" w:cs="宋体"/>
                <w:kern w:val="0"/>
                <w:szCs w:val="21"/>
                <w:highlight w:val="none"/>
              </w:rPr>
              <w:t>总价</w:t>
            </w:r>
            <w:r>
              <w:rPr>
                <w:rFonts w:hint="eastAsia" w:ascii="宋体" w:hAnsi="宋体" w:eastAsia="宋体" w:cs="宋体"/>
                <w:szCs w:val="21"/>
                <w:highlight w:val="none"/>
              </w:rPr>
              <w:t>比例</w:t>
            </w:r>
          </w:p>
        </w:tc>
        <w:tc>
          <w:tcPr>
            <w:tcW w:w="542" w:type="dxa"/>
            <w:vMerge w:val="continue"/>
            <w:vAlign w:val="center"/>
          </w:tcPr>
          <w:p w14:paraId="7F8C0BB5">
            <w:pPr>
              <w:topLinePunct/>
              <w:jc w:val="center"/>
              <w:rPr>
                <w:rFonts w:ascii="宋体" w:hAnsi="宋体" w:eastAsia="宋体" w:cs="宋体"/>
                <w:highlight w:val="none"/>
              </w:rPr>
            </w:pPr>
          </w:p>
        </w:tc>
      </w:tr>
      <w:tr w14:paraId="4E80BE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65" w:hRule="atLeast"/>
          <w:jc w:val="center"/>
        </w:trPr>
        <w:tc>
          <w:tcPr>
            <w:tcW w:w="630" w:type="dxa"/>
            <w:vAlign w:val="center"/>
          </w:tcPr>
          <w:p w14:paraId="33DB5D6C">
            <w:pPr>
              <w:topLinePunct/>
              <w:jc w:val="center"/>
              <w:rPr>
                <w:rFonts w:ascii="宋体" w:hAnsi="宋体" w:eastAsia="宋体" w:cs="宋体"/>
                <w:szCs w:val="21"/>
                <w:highlight w:val="none"/>
              </w:rPr>
            </w:pPr>
            <w:r>
              <w:rPr>
                <w:rFonts w:hint="eastAsia" w:ascii="宋体" w:hAnsi="宋体" w:eastAsia="宋体" w:cs="宋体"/>
                <w:szCs w:val="21"/>
                <w:highlight w:val="none"/>
              </w:rPr>
              <w:t>1</w:t>
            </w:r>
          </w:p>
        </w:tc>
        <w:tc>
          <w:tcPr>
            <w:tcW w:w="1821" w:type="dxa"/>
            <w:vAlign w:val="center"/>
          </w:tcPr>
          <w:p w14:paraId="78C54D60">
            <w:pPr>
              <w:topLinePunct/>
              <w:jc w:val="center"/>
              <w:rPr>
                <w:rFonts w:ascii="宋体" w:hAnsi="宋体" w:eastAsia="宋体" w:cs="宋体"/>
                <w:szCs w:val="21"/>
                <w:highlight w:val="none"/>
              </w:rPr>
            </w:pPr>
            <w:r>
              <w:rPr>
                <w:rFonts w:hint="eastAsia" w:ascii="宋体" w:hAnsi="宋体" w:eastAsia="宋体" w:cs="宋体"/>
                <w:szCs w:val="21"/>
                <w:highlight w:val="none"/>
              </w:rPr>
              <w:t>昌宁县医共体总医院慢病管理信息系统后期运维服务</w:t>
            </w:r>
          </w:p>
        </w:tc>
        <w:tc>
          <w:tcPr>
            <w:tcW w:w="1520" w:type="dxa"/>
            <w:vAlign w:val="center"/>
          </w:tcPr>
          <w:p w14:paraId="42B3C5BD">
            <w:pPr>
              <w:topLinePunct/>
              <w:jc w:val="center"/>
              <w:rPr>
                <w:rFonts w:ascii="宋体" w:hAnsi="宋体" w:eastAsia="宋体" w:cs="宋体"/>
                <w:szCs w:val="21"/>
                <w:highlight w:val="none"/>
              </w:rPr>
            </w:pPr>
          </w:p>
        </w:tc>
        <w:tc>
          <w:tcPr>
            <w:tcW w:w="1820" w:type="dxa"/>
            <w:tcBorders>
              <w:right w:val="single" w:color="auto" w:sz="4" w:space="0"/>
            </w:tcBorders>
            <w:vAlign w:val="center"/>
          </w:tcPr>
          <w:p w14:paraId="29F3870D">
            <w:pPr>
              <w:topLinePunct/>
              <w:jc w:val="center"/>
              <w:rPr>
                <w:rFonts w:ascii="宋体" w:hAnsi="宋体" w:eastAsia="宋体" w:cs="宋体"/>
                <w:szCs w:val="21"/>
                <w:highlight w:val="none"/>
              </w:rPr>
            </w:pPr>
          </w:p>
        </w:tc>
        <w:tc>
          <w:tcPr>
            <w:tcW w:w="3476" w:type="dxa"/>
            <w:vAlign w:val="center"/>
          </w:tcPr>
          <w:p w14:paraId="0AA9C5F6">
            <w:pPr>
              <w:topLinePunct/>
              <w:jc w:val="center"/>
              <w:rPr>
                <w:rFonts w:ascii="宋体" w:hAnsi="宋体" w:eastAsia="宋体" w:cs="宋体"/>
                <w:szCs w:val="21"/>
                <w:highlight w:val="none"/>
              </w:rPr>
            </w:pPr>
            <w:r>
              <w:rPr>
                <w:rFonts w:hint="eastAsia" w:ascii="宋体" w:hAnsi="宋体" w:eastAsia="宋体" w:cs="宋体"/>
                <w:szCs w:val="21"/>
                <w:highlight w:val="none"/>
              </w:rPr>
              <w:t>%</w:t>
            </w:r>
          </w:p>
        </w:tc>
        <w:tc>
          <w:tcPr>
            <w:tcW w:w="542" w:type="dxa"/>
            <w:vAlign w:val="center"/>
          </w:tcPr>
          <w:p w14:paraId="536B9296">
            <w:pPr>
              <w:topLinePunct/>
              <w:jc w:val="center"/>
              <w:rPr>
                <w:rFonts w:ascii="宋体" w:hAnsi="宋体" w:eastAsia="宋体" w:cs="宋体"/>
                <w:szCs w:val="21"/>
                <w:highlight w:val="none"/>
              </w:rPr>
            </w:pPr>
          </w:p>
        </w:tc>
      </w:tr>
    </w:tbl>
    <w:p w14:paraId="731E0BA0">
      <w:pPr>
        <w:widowControl/>
        <w:spacing w:line="440" w:lineRule="exact"/>
        <w:ind w:firstLine="420" w:firstLineChars="200"/>
        <w:jc w:val="left"/>
        <w:rPr>
          <w:rFonts w:ascii="宋体" w:hAnsi="宋体" w:eastAsia="宋体" w:cs="宋体"/>
          <w:kern w:val="0"/>
          <w:szCs w:val="21"/>
          <w:highlight w:val="none"/>
        </w:rPr>
      </w:pPr>
      <w:r>
        <w:rPr>
          <w:rFonts w:hint="eastAsia" w:ascii="宋体" w:hAnsi="宋体" w:eastAsia="宋体" w:cs="宋体"/>
          <w:kern w:val="0"/>
          <w:szCs w:val="21"/>
          <w:highlight w:val="none"/>
        </w:rPr>
        <w:t>注：计划昌宁县医共体总医院慢病管理信息系统后期运维服务费金额是指磋商申请人若有幸成交，计划在售后运维服务期满后为采购人继续提供后续运维服务的金额，昌宁县医共体总医院慢病管理信息系统后期运维服务费基于磋商报价总价比例是指计划昌宁县医共体总医院慢病管理信息系统后期运维服务费金额与磋商申请人本次填报的磋商报价总价的比值，即：昌宁县医共体总医院慢病管理信息系统后期运维服务费基于磋商报价总价比例=（昌宁县医共体总医院慢病管理信息系统后期运维服务费金额÷磋商申请人本次填报的磋商报价总价）×100%。</w:t>
      </w:r>
    </w:p>
    <w:p w14:paraId="365065B9">
      <w:pPr>
        <w:widowControl/>
        <w:spacing w:line="440" w:lineRule="exact"/>
        <w:ind w:firstLine="422" w:firstLineChars="200"/>
        <w:jc w:val="left"/>
        <w:rPr>
          <w:rFonts w:ascii="宋体" w:hAnsi="宋体" w:eastAsia="宋体" w:cs="宋体"/>
          <w:b/>
          <w:bCs/>
          <w:szCs w:val="21"/>
          <w:highlight w:val="none"/>
        </w:rPr>
      </w:pPr>
    </w:p>
    <w:p w14:paraId="487F7F7B">
      <w:pPr>
        <w:spacing w:line="460" w:lineRule="exact"/>
        <w:ind w:firstLine="279" w:firstLineChars="133"/>
        <w:rPr>
          <w:rFonts w:ascii="宋体" w:hAnsi="宋体" w:eastAsia="宋体" w:cs="宋体"/>
          <w:szCs w:val="21"/>
          <w:highlight w:val="none"/>
        </w:rPr>
      </w:pPr>
      <w:r>
        <w:rPr>
          <w:rFonts w:hint="eastAsia" w:ascii="宋体" w:hAnsi="宋体" w:eastAsia="宋体" w:cs="宋体"/>
          <w:szCs w:val="21"/>
          <w:highlight w:val="none"/>
        </w:rPr>
        <w:t>磋商申请人：</w:t>
      </w:r>
      <w:r>
        <w:rPr>
          <w:rFonts w:hint="eastAsia" w:ascii="宋体" w:hAnsi="宋体" w:eastAsia="宋体" w:cs="宋体"/>
          <w:szCs w:val="21"/>
          <w:highlight w:val="none"/>
          <w:u w:val="single"/>
        </w:rPr>
        <w:t xml:space="preserve">        （全称）      </w:t>
      </w:r>
      <w:r>
        <w:rPr>
          <w:rFonts w:hint="eastAsia" w:ascii="宋体" w:hAnsi="宋体" w:eastAsia="宋体" w:cs="宋体"/>
          <w:szCs w:val="21"/>
          <w:highlight w:val="none"/>
        </w:rPr>
        <w:t>（加盖单位公章）</w:t>
      </w:r>
    </w:p>
    <w:p w14:paraId="77D8440A">
      <w:pPr>
        <w:spacing w:line="460" w:lineRule="exact"/>
        <w:ind w:firstLine="279" w:firstLineChars="133"/>
        <w:rPr>
          <w:rFonts w:ascii="宋体" w:hAnsi="宋体" w:eastAsia="宋体" w:cs="宋体"/>
          <w:szCs w:val="21"/>
          <w:highlight w:val="none"/>
        </w:rPr>
      </w:pPr>
      <w:r>
        <w:rPr>
          <w:rFonts w:hint="eastAsia" w:ascii="宋体" w:hAnsi="宋体" w:eastAsia="宋体" w:cs="宋体"/>
          <w:szCs w:val="21"/>
          <w:highlight w:val="none"/>
        </w:rPr>
        <w:t>法定代表人（负责人）或委托代理人：</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（签字或加盖个人印章）</w:t>
      </w:r>
    </w:p>
    <w:p w14:paraId="2E7DEE13">
      <w:pPr>
        <w:spacing w:line="460" w:lineRule="exact"/>
        <w:ind w:firstLine="279" w:firstLineChars="133"/>
        <w:rPr>
          <w:rFonts w:ascii="宋体" w:hAnsi="宋体" w:eastAsia="宋体" w:cs="宋体"/>
          <w:b/>
          <w:bCs/>
          <w:szCs w:val="21"/>
          <w:highlight w:val="none"/>
        </w:rPr>
      </w:pPr>
      <w:r>
        <w:rPr>
          <w:rFonts w:hint="eastAsia" w:ascii="宋体" w:hAnsi="宋体" w:eastAsia="宋体" w:cs="宋体"/>
          <w:szCs w:val="21"/>
          <w:highlight w:val="none"/>
        </w:rPr>
        <w:t>日期：</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年</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月</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日</w:t>
      </w:r>
    </w:p>
    <w:p w14:paraId="615DA602">
      <w:pPr>
        <w:widowControl/>
        <w:spacing w:line="440" w:lineRule="exact"/>
        <w:ind w:firstLine="422" w:firstLineChars="200"/>
        <w:jc w:val="left"/>
        <w:rPr>
          <w:rFonts w:ascii="宋体" w:hAnsi="宋体" w:eastAsia="宋体" w:cs="宋体"/>
          <w:b/>
          <w:bCs/>
          <w:szCs w:val="21"/>
          <w:highlight w:val="none"/>
        </w:rPr>
      </w:pPr>
      <w:r>
        <w:rPr>
          <w:rFonts w:hint="eastAsia" w:ascii="宋体" w:hAnsi="宋体" w:eastAsia="宋体" w:cs="宋体"/>
          <w:b/>
          <w:bCs/>
          <w:szCs w:val="21"/>
          <w:highlight w:val="none"/>
        </w:rPr>
        <w:br w:type="page"/>
      </w:r>
    </w:p>
    <w:p w14:paraId="573201AF">
      <w:pPr>
        <w:spacing w:line="360" w:lineRule="auto"/>
        <w:ind w:firstLine="562" w:firstLineChars="200"/>
        <w:jc w:val="center"/>
        <w:rPr>
          <w:rFonts w:ascii="宋体" w:hAnsi="宋体" w:eastAsia="宋体" w:cs="宋体"/>
          <w:b/>
          <w:bCs/>
          <w:sz w:val="28"/>
          <w:szCs w:val="28"/>
          <w:highlight w:val="none"/>
        </w:rPr>
      </w:pPr>
      <w:r>
        <w:rPr>
          <w:rFonts w:hint="eastAsia" w:ascii="宋体" w:hAnsi="宋体" w:eastAsia="宋体" w:cs="宋体"/>
          <w:b/>
          <w:bCs/>
          <w:sz w:val="28"/>
          <w:szCs w:val="28"/>
          <w:highlight w:val="none"/>
        </w:rPr>
        <w:t>格式7：承担本项目的相关承诺及保证措施</w:t>
      </w:r>
    </w:p>
    <w:p w14:paraId="7EF10635">
      <w:pPr>
        <w:spacing w:line="500" w:lineRule="exact"/>
        <w:ind w:firstLine="420" w:firstLineChars="200"/>
        <w:jc w:val="center"/>
        <w:rPr>
          <w:rFonts w:ascii="宋体" w:hAnsi="宋体" w:eastAsia="宋体" w:cs="宋体"/>
          <w:szCs w:val="21"/>
          <w:highlight w:val="none"/>
        </w:rPr>
      </w:pPr>
      <w:r>
        <w:rPr>
          <w:rFonts w:hint="eastAsia" w:ascii="宋体" w:hAnsi="宋体" w:eastAsia="宋体" w:cs="宋体"/>
          <w:szCs w:val="21"/>
          <w:highlight w:val="none"/>
        </w:rPr>
        <w:t>（格式自拟）</w:t>
      </w:r>
    </w:p>
    <w:p w14:paraId="6545093E">
      <w:pPr>
        <w:spacing w:line="360" w:lineRule="auto"/>
        <w:ind w:left="-21" w:leftChars="-10" w:firstLine="392" w:firstLineChars="187"/>
        <w:rPr>
          <w:rFonts w:ascii="宋体" w:hAnsi="宋体" w:eastAsia="宋体" w:cs="宋体"/>
          <w:szCs w:val="21"/>
          <w:highlight w:val="none"/>
        </w:rPr>
      </w:pPr>
      <w:r>
        <w:rPr>
          <w:rFonts w:hint="eastAsia" w:ascii="宋体" w:hAnsi="宋体" w:eastAsia="宋体" w:cs="宋体"/>
          <w:szCs w:val="21"/>
          <w:highlight w:val="none"/>
        </w:rPr>
        <w:t>此部分内容应充分结合本项目采购需求的全部内容以及磋商程序和方法的评审要求进行综合分析后进行编制，此部分包含但不限于：</w:t>
      </w:r>
    </w:p>
    <w:p w14:paraId="4BABD7BD">
      <w:pPr>
        <w:spacing w:line="360" w:lineRule="auto"/>
        <w:ind w:left="-21" w:leftChars="-10" w:firstLine="392" w:firstLineChars="187"/>
        <w:rPr>
          <w:rFonts w:ascii="宋体" w:hAnsi="宋体" w:eastAsia="宋体" w:cs="宋体"/>
          <w:szCs w:val="21"/>
          <w:highlight w:val="none"/>
        </w:rPr>
      </w:pPr>
      <w:r>
        <w:rPr>
          <w:rFonts w:hint="eastAsia" w:ascii="宋体" w:hAnsi="宋体" w:eastAsia="宋体" w:cs="宋体"/>
          <w:szCs w:val="21"/>
          <w:highlight w:val="none"/>
        </w:rPr>
        <w:t>①针对未按合同履行期限规定的时间完成本项目所有采购任务的违约承诺；</w:t>
      </w:r>
    </w:p>
    <w:p w14:paraId="35C5BF38">
      <w:pPr>
        <w:spacing w:line="360" w:lineRule="auto"/>
        <w:ind w:left="-21" w:leftChars="-10" w:firstLine="392" w:firstLineChars="187"/>
        <w:rPr>
          <w:rFonts w:ascii="宋体" w:hAnsi="宋体" w:eastAsia="宋体" w:cs="宋体"/>
          <w:szCs w:val="21"/>
          <w:highlight w:val="none"/>
        </w:rPr>
      </w:pPr>
      <w:r>
        <w:rPr>
          <w:rFonts w:hint="eastAsia" w:ascii="宋体" w:hAnsi="宋体" w:eastAsia="宋体" w:cs="宋体"/>
          <w:szCs w:val="21"/>
          <w:highlight w:val="none"/>
        </w:rPr>
        <w:t>②针对发生本项目采购系统验收不合格的违约承诺；</w:t>
      </w:r>
    </w:p>
    <w:p w14:paraId="102500E3">
      <w:pPr>
        <w:spacing w:line="360" w:lineRule="auto"/>
        <w:ind w:left="-21" w:leftChars="-10" w:firstLine="392" w:firstLineChars="187"/>
        <w:rPr>
          <w:rFonts w:ascii="宋体" w:hAnsi="宋体" w:eastAsia="宋体" w:cs="宋体"/>
          <w:szCs w:val="21"/>
          <w:highlight w:val="none"/>
        </w:rPr>
      </w:pPr>
      <w:r>
        <w:rPr>
          <w:rFonts w:hint="eastAsia" w:ascii="宋体" w:hAnsi="宋体" w:eastAsia="宋体" w:cs="宋体"/>
          <w:szCs w:val="21"/>
          <w:highlight w:val="none"/>
        </w:rPr>
        <w:t>③针对提供的各项售后服务工作质量不达标的违约承诺；</w:t>
      </w:r>
    </w:p>
    <w:p w14:paraId="4DC713B9">
      <w:pPr>
        <w:spacing w:line="360" w:lineRule="auto"/>
        <w:ind w:left="-21" w:leftChars="-10" w:firstLine="392" w:firstLineChars="187"/>
        <w:rPr>
          <w:rFonts w:ascii="宋体" w:hAnsi="宋体" w:eastAsia="宋体" w:cs="宋体"/>
          <w:b/>
          <w:bCs/>
          <w:szCs w:val="21"/>
          <w:highlight w:val="none"/>
        </w:rPr>
      </w:pPr>
      <w:r>
        <w:rPr>
          <w:rFonts w:hint="eastAsia" w:ascii="宋体" w:hAnsi="宋体" w:eastAsia="宋体" w:cs="宋体"/>
          <w:szCs w:val="21"/>
          <w:highlight w:val="none"/>
        </w:rPr>
        <w:t>④针对发生项目管理问题（如项目信息数据安全问题、知识产权问题、廉政问题）的违约承诺。</w:t>
      </w:r>
    </w:p>
    <w:p w14:paraId="255819B8">
      <w:pPr>
        <w:spacing w:line="360" w:lineRule="auto"/>
        <w:ind w:left="-21" w:leftChars="-10" w:firstLine="394" w:firstLineChars="187"/>
        <w:rPr>
          <w:rFonts w:ascii="宋体" w:hAnsi="宋体" w:eastAsia="宋体" w:cs="宋体"/>
          <w:b/>
          <w:bCs/>
          <w:szCs w:val="21"/>
          <w:highlight w:val="none"/>
        </w:rPr>
      </w:pPr>
    </w:p>
    <w:p w14:paraId="56E4D730">
      <w:pPr>
        <w:spacing w:line="360" w:lineRule="auto"/>
        <w:ind w:firstLine="422" w:firstLineChars="200"/>
        <w:jc w:val="center"/>
        <w:rPr>
          <w:rFonts w:ascii="宋体" w:hAnsi="宋体" w:eastAsia="宋体" w:cs="宋体"/>
          <w:b/>
          <w:sz w:val="28"/>
          <w:szCs w:val="28"/>
          <w:highlight w:val="none"/>
        </w:rPr>
      </w:pPr>
      <w:r>
        <w:rPr>
          <w:rFonts w:hint="eastAsia" w:ascii="宋体" w:hAnsi="宋体" w:eastAsia="宋体" w:cs="宋体"/>
          <w:b/>
          <w:bCs/>
          <w:szCs w:val="21"/>
          <w:highlight w:val="none"/>
        </w:rPr>
        <w:br w:type="page"/>
      </w:r>
      <w:r>
        <w:rPr>
          <w:rFonts w:hint="eastAsia" w:ascii="宋体" w:hAnsi="宋体" w:eastAsia="宋体" w:cs="宋体"/>
          <w:b/>
          <w:bCs/>
          <w:sz w:val="28"/>
          <w:szCs w:val="28"/>
          <w:highlight w:val="none"/>
        </w:rPr>
        <w:t>格式8：磋商申请人认为需要提供的其他技术文件</w:t>
      </w:r>
      <w:r>
        <w:rPr>
          <w:rFonts w:hint="eastAsia" w:ascii="宋体" w:hAnsi="宋体" w:eastAsia="宋体" w:cs="宋体"/>
          <w:b/>
          <w:sz w:val="28"/>
          <w:szCs w:val="28"/>
          <w:highlight w:val="none"/>
        </w:rPr>
        <w:br w:type="page"/>
      </w:r>
    </w:p>
    <w:p w14:paraId="782FAED0">
      <w:pPr>
        <w:pStyle w:val="2"/>
        <w:spacing w:line="360" w:lineRule="auto"/>
        <w:jc w:val="center"/>
        <w:rPr>
          <w:rFonts w:ascii="宋体" w:hAnsi="宋体" w:eastAsia="宋体" w:cs="宋体"/>
          <w:color w:val="auto"/>
          <w:sz w:val="32"/>
          <w:szCs w:val="32"/>
          <w:highlight w:val="none"/>
        </w:rPr>
      </w:pPr>
      <w:bookmarkStart w:id="193" w:name="_Toc7252790"/>
      <w:bookmarkStart w:id="194" w:name="_Toc39092140"/>
      <w:r>
        <w:rPr>
          <w:rFonts w:hint="eastAsia" w:ascii="宋体" w:hAnsi="宋体" w:eastAsia="宋体" w:cs="宋体"/>
          <w:color w:val="auto"/>
          <w:sz w:val="32"/>
          <w:szCs w:val="32"/>
          <w:highlight w:val="none"/>
        </w:rPr>
        <w:t xml:space="preserve">第五章  </w:t>
      </w:r>
      <w:bookmarkEnd w:id="193"/>
      <w:bookmarkEnd w:id="194"/>
      <w:r>
        <w:rPr>
          <w:rFonts w:hint="eastAsia" w:ascii="宋体" w:hAnsi="宋体" w:eastAsia="宋体" w:cs="宋体"/>
          <w:color w:val="auto"/>
          <w:sz w:val="32"/>
          <w:szCs w:val="32"/>
          <w:highlight w:val="none"/>
        </w:rPr>
        <w:t>采购需求</w:t>
      </w:r>
    </w:p>
    <w:p w14:paraId="27A82671">
      <w:pPr>
        <w:spacing w:line="440" w:lineRule="exact"/>
        <w:ind w:firstLine="420" w:firstLineChars="200"/>
        <w:rPr>
          <w:rFonts w:ascii="宋体" w:hAnsi="宋体" w:eastAsia="宋体" w:cs="宋体"/>
          <w:szCs w:val="21"/>
          <w:highlight w:val="none"/>
        </w:rPr>
      </w:pPr>
    </w:p>
    <w:p w14:paraId="4F017D48">
      <w:pPr>
        <w:spacing w:line="460" w:lineRule="exact"/>
        <w:ind w:firstLine="420" w:firstLineChars="200"/>
        <w:rPr>
          <w:rFonts w:ascii="宋体" w:hAnsi="宋体" w:eastAsia="宋体" w:cs="宋体"/>
          <w:b/>
          <w:bCs/>
          <w:kern w:val="0"/>
          <w:szCs w:val="21"/>
          <w:highlight w:val="none"/>
        </w:rPr>
      </w:pPr>
      <w:r>
        <w:rPr>
          <w:rFonts w:hint="eastAsia" w:ascii="宋体" w:hAnsi="宋体" w:eastAsia="宋体" w:cs="宋体"/>
          <w:szCs w:val="21"/>
          <w:highlight w:val="none"/>
        </w:rPr>
        <w:t>一、</w:t>
      </w:r>
      <w:r>
        <w:rPr>
          <w:rFonts w:hint="eastAsia" w:ascii="宋体" w:hAnsi="宋体" w:eastAsia="宋体" w:cs="宋体"/>
          <w:b/>
          <w:bCs/>
          <w:kern w:val="0"/>
          <w:szCs w:val="21"/>
          <w:highlight w:val="none"/>
        </w:rPr>
        <w:t>项目基本情况：</w:t>
      </w:r>
    </w:p>
    <w:p w14:paraId="163058AB">
      <w:pPr>
        <w:widowControl/>
        <w:spacing w:line="440" w:lineRule="exact"/>
        <w:ind w:firstLine="424" w:firstLineChars="202"/>
        <w:rPr>
          <w:rFonts w:ascii="宋体" w:hAnsi="宋体" w:eastAsia="宋体" w:cs="宋体"/>
          <w:kern w:val="0"/>
          <w:szCs w:val="21"/>
          <w:highlight w:val="none"/>
        </w:rPr>
      </w:pPr>
      <w:r>
        <w:rPr>
          <w:rFonts w:hint="eastAsia" w:ascii="宋体" w:hAnsi="宋体" w:eastAsia="宋体" w:cs="宋体"/>
          <w:kern w:val="0"/>
          <w:szCs w:val="21"/>
          <w:highlight w:val="none"/>
        </w:rPr>
        <w:t>1.项目编号：TRZBC2026-75（</w:t>
      </w:r>
      <w:r>
        <w:rPr>
          <w:rFonts w:hint="eastAsia" w:ascii="宋体" w:hAnsi="宋体" w:eastAsia="宋体" w:cs="宋体"/>
          <w:kern w:val="0"/>
          <w:szCs w:val="21"/>
          <w:highlight w:val="none"/>
          <w:lang w:eastAsia="zh-CN"/>
        </w:rPr>
        <w:t>电子交易平台项目编号：BSZC2026-C3-00679-BSTR-0046</w:t>
      </w:r>
      <w:r>
        <w:rPr>
          <w:rFonts w:hint="eastAsia" w:ascii="宋体" w:hAnsi="宋体" w:eastAsia="宋体" w:cs="宋体"/>
          <w:kern w:val="0"/>
          <w:szCs w:val="21"/>
          <w:highlight w:val="none"/>
        </w:rPr>
        <w:t>）</w:t>
      </w:r>
    </w:p>
    <w:p w14:paraId="253EFF66">
      <w:pPr>
        <w:widowControl/>
        <w:spacing w:line="440" w:lineRule="exact"/>
        <w:ind w:firstLine="424" w:firstLineChars="202"/>
        <w:rPr>
          <w:rFonts w:ascii="宋体" w:hAnsi="宋体" w:eastAsia="宋体" w:cs="宋体"/>
          <w:kern w:val="0"/>
          <w:szCs w:val="21"/>
          <w:highlight w:val="none"/>
        </w:rPr>
      </w:pPr>
      <w:r>
        <w:rPr>
          <w:rFonts w:hint="eastAsia" w:ascii="宋体" w:hAnsi="宋体" w:eastAsia="宋体" w:cs="宋体"/>
          <w:kern w:val="0"/>
          <w:szCs w:val="21"/>
          <w:highlight w:val="none"/>
        </w:rPr>
        <w:t>2.项目名称：昌宁县医共体总医院慢病管理信息系统采购项目</w:t>
      </w:r>
    </w:p>
    <w:p w14:paraId="3404B398">
      <w:pPr>
        <w:widowControl/>
        <w:spacing w:line="440" w:lineRule="exact"/>
        <w:ind w:firstLine="424" w:firstLineChars="202"/>
        <w:rPr>
          <w:rFonts w:ascii="宋体" w:hAnsi="宋体" w:eastAsia="宋体" w:cs="宋体"/>
          <w:kern w:val="0"/>
          <w:szCs w:val="21"/>
          <w:highlight w:val="none"/>
        </w:rPr>
      </w:pPr>
      <w:r>
        <w:rPr>
          <w:rFonts w:hint="eastAsia" w:ascii="宋体" w:hAnsi="宋体" w:eastAsia="宋体" w:cs="宋体"/>
          <w:kern w:val="0"/>
          <w:szCs w:val="21"/>
          <w:highlight w:val="none"/>
        </w:rPr>
        <w:t>3.采购方式：竞争性磋商</w:t>
      </w:r>
    </w:p>
    <w:p w14:paraId="1ABBC00F">
      <w:pPr>
        <w:widowControl/>
        <w:spacing w:line="440" w:lineRule="exact"/>
        <w:ind w:firstLine="424" w:firstLineChars="202"/>
        <w:rPr>
          <w:rFonts w:ascii="宋体" w:hAnsi="宋体" w:eastAsia="宋体" w:cs="宋体"/>
          <w:kern w:val="0"/>
          <w:highlight w:val="none"/>
        </w:rPr>
      </w:pPr>
      <w:r>
        <w:rPr>
          <w:rFonts w:hint="eastAsia" w:ascii="宋体" w:hAnsi="宋体" w:eastAsia="宋体" w:cs="宋体"/>
          <w:kern w:val="0"/>
          <w:szCs w:val="21"/>
          <w:highlight w:val="none"/>
        </w:rPr>
        <w:t>4.预算金额：70.00万元</w:t>
      </w:r>
      <w:r>
        <w:rPr>
          <w:rFonts w:hint="eastAsia" w:ascii="宋体" w:hAnsi="宋体" w:eastAsia="宋体" w:cs="宋体"/>
          <w:kern w:val="0"/>
          <w:highlight w:val="none"/>
        </w:rPr>
        <w:t>。</w:t>
      </w:r>
    </w:p>
    <w:p w14:paraId="1616B3EF">
      <w:pPr>
        <w:spacing w:line="440" w:lineRule="exact"/>
        <w:ind w:firstLine="420" w:firstLineChars="200"/>
        <w:rPr>
          <w:rFonts w:ascii="宋体" w:hAnsi="宋体" w:eastAsia="宋体" w:cs="宋体"/>
          <w:szCs w:val="21"/>
          <w:highlight w:val="none"/>
        </w:rPr>
      </w:pPr>
      <w:r>
        <w:rPr>
          <w:rFonts w:hint="eastAsia" w:ascii="宋体" w:hAnsi="宋体" w:eastAsia="宋体" w:cs="宋体"/>
          <w:szCs w:val="21"/>
          <w:highlight w:val="none"/>
        </w:rPr>
        <w:t>5.最高限价：70.00万元。</w:t>
      </w:r>
    </w:p>
    <w:p w14:paraId="515E3C99">
      <w:pPr>
        <w:spacing w:line="440" w:lineRule="exact"/>
        <w:ind w:firstLine="420" w:firstLineChars="200"/>
        <w:rPr>
          <w:rFonts w:ascii="宋体" w:hAnsi="宋体" w:eastAsia="宋体" w:cs="宋体"/>
          <w:szCs w:val="21"/>
          <w:highlight w:val="none"/>
        </w:rPr>
      </w:pPr>
      <w:r>
        <w:rPr>
          <w:rFonts w:hint="eastAsia" w:ascii="宋体" w:hAnsi="宋体" w:eastAsia="宋体" w:cs="宋体"/>
          <w:szCs w:val="21"/>
          <w:highlight w:val="none"/>
        </w:rPr>
        <w:t>6.采购需求：</w:t>
      </w:r>
    </w:p>
    <w:p w14:paraId="7CA40ABD">
      <w:pPr>
        <w:widowControl/>
        <w:spacing w:line="440" w:lineRule="exact"/>
        <w:ind w:firstLine="424" w:firstLineChars="202"/>
        <w:rPr>
          <w:rFonts w:ascii="宋体" w:hAnsi="宋体" w:eastAsia="宋体" w:cs="宋体"/>
          <w:szCs w:val="21"/>
          <w:highlight w:val="none"/>
        </w:rPr>
      </w:pPr>
      <w:r>
        <w:rPr>
          <w:rFonts w:hint="eastAsia" w:ascii="宋体" w:hAnsi="宋体" w:eastAsia="宋体" w:cs="宋体"/>
          <w:szCs w:val="21"/>
          <w:highlight w:val="none"/>
        </w:rPr>
        <w:t>6.1采购内容：昌宁县人民医院统筹搭建县域医共体慢病管理信息系统，根据项目采购需求开发设计“</w:t>
      </w:r>
      <w:r>
        <w:rPr>
          <w:rFonts w:hint="eastAsia" w:ascii="宋体" w:hAnsi="宋体" w:eastAsia="宋体" w:cs="宋体"/>
          <w:kern w:val="0"/>
          <w:szCs w:val="21"/>
          <w:highlight w:val="none"/>
        </w:rPr>
        <w:t>昌宁县医共体总医院慢病管理信息系统</w:t>
      </w:r>
      <w:r>
        <w:rPr>
          <w:rFonts w:hint="eastAsia" w:ascii="宋体" w:hAnsi="宋体" w:eastAsia="宋体" w:cs="宋体"/>
          <w:szCs w:val="21"/>
          <w:highlight w:val="none"/>
        </w:rPr>
        <w:t>”，并将系统安装部署至昌宁县人民医院、昌宁县中医院、昌宁县妇幼保健计划生育服务中心及12个乡镇卫生院。根据项目实际情况开展各医共体各成员单位相关信息系统集成和相关数据接口开发服务，开展新建系统与采购人指定相关系统数据对接和系统集成实施、相关信息数据整合等服务工作，开展系统上线前的试运行和优化适配，整体系统测试验收，项目技术培训指导、售后运维服务等。</w:t>
      </w:r>
    </w:p>
    <w:p w14:paraId="2598C9AB">
      <w:pPr>
        <w:widowControl/>
        <w:spacing w:line="440" w:lineRule="exact"/>
        <w:ind w:firstLine="424" w:firstLineChars="202"/>
        <w:rPr>
          <w:rFonts w:ascii="宋体" w:hAnsi="宋体" w:eastAsia="宋体" w:cs="宋体"/>
          <w:szCs w:val="21"/>
          <w:highlight w:val="none"/>
        </w:rPr>
      </w:pPr>
      <w:r>
        <w:rPr>
          <w:rFonts w:hint="eastAsia" w:ascii="宋体" w:hAnsi="宋体" w:eastAsia="宋体" w:cs="宋体"/>
          <w:szCs w:val="21"/>
          <w:highlight w:val="none"/>
        </w:rPr>
        <w:t>6.2采购清单</w:t>
      </w:r>
    </w:p>
    <w:tbl>
      <w:tblPr>
        <w:tblStyle w:val="27"/>
        <w:tblW w:w="10042" w:type="dxa"/>
        <w:tblInd w:w="-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0"/>
        <w:gridCol w:w="4392"/>
        <w:gridCol w:w="750"/>
        <w:gridCol w:w="820"/>
        <w:gridCol w:w="1170"/>
        <w:gridCol w:w="2430"/>
      </w:tblGrid>
      <w:tr w14:paraId="46CD42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480" w:type="dxa"/>
            <w:noWrap/>
            <w:vAlign w:val="center"/>
          </w:tcPr>
          <w:p w14:paraId="39347589">
            <w:pPr>
              <w:widowControl/>
              <w:jc w:val="center"/>
              <w:textAlignment w:val="center"/>
              <w:rPr>
                <w:rFonts w:ascii="宋体" w:hAnsi="宋体" w:eastAsia="宋体" w:cs="宋体"/>
                <w:szCs w:val="21"/>
                <w:highlight w:val="none"/>
              </w:rPr>
            </w:pPr>
            <w:r>
              <w:rPr>
                <w:rFonts w:hint="eastAsia" w:ascii="宋体" w:hAnsi="宋体" w:eastAsia="宋体" w:cs="宋体"/>
                <w:kern w:val="0"/>
                <w:szCs w:val="21"/>
                <w:highlight w:val="none"/>
              </w:rPr>
              <w:t>序号</w:t>
            </w:r>
          </w:p>
        </w:tc>
        <w:tc>
          <w:tcPr>
            <w:tcW w:w="4392" w:type="dxa"/>
            <w:vAlign w:val="center"/>
          </w:tcPr>
          <w:p w14:paraId="2156AA5B">
            <w:pPr>
              <w:widowControl/>
              <w:jc w:val="center"/>
              <w:textAlignment w:val="center"/>
              <w:rPr>
                <w:rFonts w:ascii="宋体" w:hAnsi="宋体" w:eastAsia="宋体" w:cs="宋体"/>
                <w:kern w:val="0"/>
                <w:szCs w:val="21"/>
                <w:highlight w:val="none"/>
              </w:rPr>
            </w:pPr>
            <w:r>
              <w:rPr>
                <w:rFonts w:hint="eastAsia" w:ascii="宋体" w:hAnsi="宋体" w:eastAsia="宋体" w:cs="宋体"/>
                <w:kern w:val="0"/>
                <w:szCs w:val="21"/>
                <w:highlight w:val="none"/>
              </w:rPr>
              <w:t>项目名称</w:t>
            </w:r>
          </w:p>
        </w:tc>
        <w:tc>
          <w:tcPr>
            <w:tcW w:w="750" w:type="dxa"/>
            <w:vAlign w:val="center"/>
          </w:tcPr>
          <w:p w14:paraId="5A9014A0">
            <w:pPr>
              <w:widowControl/>
              <w:jc w:val="center"/>
              <w:textAlignment w:val="center"/>
              <w:rPr>
                <w:rFonts w:ascii="宋体" w:hAnsi="宋体" w:eastAsia="宋体" w:cs="宋体"/>
                <w:szCs w:val="21"/>
                <w:highlight w:val="none"/>
              </w:rPr>
            </w:pPr>
            <w:r>
              <w:rPr>
                <w:rFonts w:hint="eastAsia" w:ascii="宋体" w:hAnsi="宋体" w:eastAsia="宋体" w:cs="宋体"/>
                <w:kern w:val="0"/>
                <w:szCs w:val="21"/>
                <w:highlight w:val="none"/>
              </w:rPr>
              <w:t>数量</w:t>
            </w:r>
          </w:p>
        </w:tc>
        <w:tc>
          <w:tcPr>
            <w:tcW w:w="820" w:type="dxa"/>
            <w:vAlign w:val="center"/>
          </w:tcPr>
          <w:p w14:paraId="068E9EEF">
            <w:pPr>
              <w:widowControl/>
              <w:jc w:val="center"/>
              <w:textAlignment w:val="center"/>
              <w:rPr>
                <w:rFonts w:ascii="宋体" w:hAnsi="宋体" w:eastAsia="宋体" w:cs="宋体"/>
                <w:szCs w:val="21"/>
                <w:highlight w:val="none"/>
              </w:rPr>
            </w:pPr>
            <w:r>
              <w:rPr>
                <w:rFonts w:hint="eastAsia" w:ascii="宋体" w:hAnsi="宋体" w:eastAsia="宋体" w:cs="宋体"/>
                <w:kern w:val="0"/>
                <w:szCs w:val="21"/>
                <w:highlight w:val="none"/>
              </w:rPr>
              <w:t>计量单位</w:t>
            </w:r>
          </w:p>
        </w:tc>
        <w:tc>
          <w:tcPr>
            <w:tcW w:w="1170" w:type="dxa"/>
            <w:vAlign w:val="center"/>
          </w:tcPr>
          <w:p w14:paraId="2302AA8F">
            <w:pPr>
              <w:widowControl/>
              <w:jc w:val="center"/>
              <w:textAlignment w:val="center"/>
              <w:rPr>
                <w:rFonts w:ascii="宋体" w:hAnsi="宋体" w:eastAsia="宋体" w:cs="宋体"/>
                <w:kern w:val="0"/>
                <w:szCs w:val="21"/>
                <w:highlight w:val="none"/>
              </w:rPr>
            </w:pPr>
            <w:r>
              <w:rPr>
                <w:rFonts w:hint="eastAsia" w:ascii="宋体" w:hAnsi="宋体" w:eastAsia="宋体" w:cs="宋体"/>
                <w:kern w:val="0"/>
                <w:szCs w:val="21"/>
                <w:highlight w:val="none"/>
              </w:rPr>
              <w:t>预算金额（万元）</w:t>
            </w:r>
          </w:p>
        </w:tc>
        <w:tc>
          <w:tcPr>
            <w:tcW w:w="2430" w:type="dxa"/>
            <w:vAlign w:val="center"/>
          </w:tcPr>
          <w:p w14:paraId="78619319">
            <w:pPr>
              <w:widowControl/>
              <w:jc w:val="center"/>
              <w:textAlignment w:val="center"/>
              <w:rPr>
                <w:rFonts w:ascii="宋体" w:hAnsi="宋体" w:eastAsia="宋体" w:cs="宋体"/>
                <w:kern w:val="0"/>
                <w:szCs w:val="21"/>
                <w:highlight w:val="none"/>
              </w:rPr>
            </w:pPr>
            <w:r>
              <w:rPr>
                <w:rFonts w:hint="eastAsia" w:ascii="宋体" w:hAnsi="宋体" w:eastAsia="宋体" w:cs="宋体"/>
                <w:kern w:val="0"/>
                <w:szCs w:val="21"/>
                <w:highlight w:val="none"/>
              </w:rPr>
              <w:t>项目售后运维服务期限</w:t>
            </w:r>
          </w:p>
        </w:tc>
      </w:tr>
      <w:tr w14:paraId="4A4B5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80" w:type="dxa"/>
            <w:noWrap/>
            <w:vAlign w:val="center"/>
          </w:tcPr>
          <w:p w14:paraId="7685FEFA">
            <w:pPr>
              <w:widowControl/>
              <w:jc w:val="center"/>
              <w:textAlignment w:val="top"/>
              <w:rPr>
                <w:rFonts w:ascii="宋体" w:hAnsi="宋体" w:eastAsia="宋体" w:cs="宋体"/>
                <w:szCs w:val="21"/>
                <w:highlight w:val="none"/>
              </w:rPr>
            </w:pPr>
            <w:r>
              <w:rPr>
                <w:rFonts w:hint="eastAsia" w:ascii="宋体" w:hAnsi="宋体" w:eastAsia="宋体" w:cs="宋体"/>
                <w:kern w:val="0"/>
                <w:szCs w:val="21"/>
                <w:highlight w:val="none"/>
                <w:lang w:bidi="ar"/>
              </w:rPr>
              <w:t>1</w:t>
            </w:r>
          </w:p>
        </w:tc>
        <w:tc>
          <w:tcPr>
            <w:tcW w:w="4392" w:type="dxa"/>
            <w:vAlign w:val="center"/>
          </w:tcPr>
          <w:p w14:paraId="12F24572">
            <w:pPr>
              <w:widowControl/>
              <w:jc w:val="center"/>
              <w:textAlignment w:val="center"/>
              <w:rPr>
                <w:rFonts w:ascii="宋体" w:hAnsi="宋体" w:eastAsia="宋体" w:cs="宋体"/>
                <w:kern w:val="0"/>
                <w:szCs w:val="21"/>
                <w:highlight w:val="none"/>
              </w:rPr>
            </w:pPr>
            <w:r>
              <w:rPr>
                <w:rFonts w:hint="eastAsia" w:ascii="宋体" w:hAnsi="宋体" w:eastAsia="宋体" w:cs="宋体"/>
                <w:kern w:val="0"/>
                <w:szCs w:val="21"/>
                <w:highlight w:val="none"/>
              </w:rPr>
              <w:t>昌宁县医共体总医院慢病管理信息系统采购项目</w:t>
            </w:r>
          </w:p>
        </w:tc>
        <w:tc>
          <w:tcPr>
            <w:tcW w:w="750" w:type="dxa"/>
            <w:vAlign w:val="center"/>
          </w:tcPr>
          <w:p w14:paraId="7C616064">
            <w:pPr>
              <w:widowControl/>
              <w:snapToGrid w:val="0"/>
              <w:jc w:val="center"/>
              <w:textAlignment w:val="center"/>
              <w:rPr>
                <w:rFonts w:ascii="宋体" w:hAnsi="宋体" w:eastAsia="宋体" w:cs="宋体"/>
                <w:szCs w:val="21"/>
                <w:highlight w:val="none"/>
              </w:rPr>
            </w:pPr>
            <w:r>
              <w:rPr>
                <w:rFonts w:hint="eastAsia" w:ascii="宋体" w:hAnsi="宋体" w:eastAsia="宋体" w:cs="宋体"/>
                <w:kern w:val="0"/>
                <w:szCs w:val="21"/>
                <w:highlight w:val="none"/>
                <w:lang w:bidi="ar"/>
              </w:rPr>
              <w:t>1</w:t>
            </w:r>
          </w:p>
        </w:tc>
        <w:tc>
          <w:tcPr>
            <w:tcW w:w="820" w:type="dxa"/>
            <w:vAlign w:val="center"/>
          </w:tcPr>
          <w:p w14:paraId="710CB378">
            <w:pPr>
              <w:widowControl/>
              <w:snapToGrid w:val="0"/>
              <w:jc w:val="center"/>
              <w:textAlignment w:val="center"/>
              <w:rPr>
                <w:rFonts w:ascii="宋体" w:hAnsi="宋体" w:eastAsia="宋体" w:cs="宋体"/>
                <w:szCs w:val="21"/>
                <w:highlight w:val="none"/>
              </w:rPr>
            </w:pPr>
            <w:r>
              <w:rPr>
                <w:rFonts w:hint="eastAsia" w:ascii="宋体" w:hAnsi="宋体" w:eastAsia="宋体" w:cs="宋体"/>
                <w:kern w:val="0"/>
                <w:szCs w:val="21"/>
                <w:highlight w:val="none"/>
                <w:lang w:bidi="ar"/>
              </w:rPr>
              <w:t>项</w:t>
            </w:r>
          </w:p>
        </w:tc>
        <w:tc>
          <w:tcPr>
            <w:tcW w:w="1170" w:type="dxa"/>
            <w:vAlign w:val="center"/>
          </w:tcPr>
          <w:p w14:paraId="7F5820FA">
            <w:pPr>
              <w:widowControl/>
              <w:snapToGrid w:val="0"/>
              <w:jc w:val="center"/>
              <w:textAlignment w:val="center"/>
              <w:rPr>
                <w:rFonts w:ascii="宋体" w:hAnsi="宋体" w:eastAsia="宋体" w:cs="宋体"/>
                <w:kern w:val="0"/>
                <w:szCs w:val="21"/>
                <w:highlight w:val="none"/>
              </w:rPr>
            </w:pPr>
            <w:r>
              <w:rPr>
                <w:rFonts w:hint="eastAsia" w:ascii="宋体" w:hAnsi="宋体" w:eastAsia="宋体" w:cs="宋体"/>
                <w:kern w:val="0"/>
                <w:szCs w:val="21"/>
                <w:highlight w:val="none"/>
              </w:rPr>
              <w:t>70.00</w:t>
            </w:r>
          </w:p>
        </w:tc>
        <w:tc>
          <w:tcPr>
            <w:tcW w:w="2430" w:type="dxa"/>
            <w:vAlign w:val="center"/>
          </w:tcPr>
          <w:p w14:paraId="4A115E50">
            <w:pPr>
              <w:widowControl/>
              <w:snapToGrid w:val="0"/>
              <w:jc w:val="center"/>
              <w:textAlignment w:val="center"/>
              <w:rPr>
                <w:rFonts w:ascii="宋体" w:hAnsi="宋体" w:eastAsia="宋体" w:cs="宋体"/>
                <w:kern w:val="0"/>
                <w:szCs w:val="21"/>
                <w:highlight w:val="none"/>
              </w:rPr>
            </w:pPr>
            <w:r>
              <w:rPr>
                <w:rFonts w:hint="eastAsia" w:ascii="宋体" w:hAnsi="宋体" w:eastAsia="宋体" w:cs="宋体"/>
                <w:kern w:val="0"/>
                <w:szCs w:val="21"/>
                <w:highlight w:val="none"/>
              </w:rPr>
              <w:t>自项目整体验收合格之日起不少于1年。</w:t>
            </w:r>
          </w:p>
        </w:tc>
      </w:tr>
    </w:tbl>
    <w:p w14:paraId="61F81D99">
      <w:pPr>
        <w:spacing w:line="460" w:lineRule="exact"/>
        <w:ind w:firstLine="420" w:firstLineChars="200"/>
        <w:rPr>
          <w:rFonts w:ascii="宋体" w:hAnsi="宋体" w:eastAsia="宋体" w:cs="宋体"/>
          <w:szCs w:val="21"/>
          <w:highlight w:val="none"/>
        </w:rPr>
      </w:pPr>
      <w:r>
        <w:rPr>
          <w:rFonts w:hint="eastAsia" w:ascii="宋体" w:hAnsi="宋体" w:eastAsia="宋体" w:cs="宋体"/>
          <w:szCs w:val="21"/>
          <w:highlight w:val="none"/>
        </w:rPr>
        <w:t>6.3项目服务地点：采购人指定地点。</w:t>
      </w:r>
    </w:p>
    <w:p w14:paraId="7B701727">
      <w:pPr>
        <w:spacing w:line="460" w:lineRule="exact"/>
        <w:ind w:firstLine="420" w:firstLineChars="200"/>
        <w:rPr>
          <w:rFonts w:ascii="宋体" w:hAnsi="宋体" w:eastAsia="宋体" w:cs="宋体"/>
          <w:szCs w:val="21"/>
          <w:highlight w:val="none"/>
        </w:rPr>
      </w:pPr>
      <w:r>
        <w:rPr>
          <w:rFonts w:hint="eastAsia" w:ascii="宋体" w:hAnsi="宋体" w:eastAsia="宋体" w:cs="宋体"/>
          <w:szCs w:val="21"/>
          <w:highlight w:val="none"/>
        </w:rPr>
        <w:t>6.4标段划分：本项目共划分为一个标段，拟参与采购活动的磋商申请人必须整体报价不得拆分。</w:t>
      </w:r>
    </w:p>
    <w:p w14:paraId="775F141A">
      <w:pPr>
        <w:spacing w:line="460" w:lineRule="exact"/>
        <w:ind w:firstLine="420" w:firstLineChars="200"/>
        <w:rPr>
          <w:rFonts w:ascii="宋体" w:hAnsi="宋体" w:eastAsia="宋体" w:cs="宋体"/>
          <w:szCs w:val="21"/>
          <w:highlight w:val="none"/>
        </w:rPr>
      </w:pPr>
      <w:r>
        <w:rPr>
          <w:rFonts w:hint="eastAsia" w:ascii="宋体" w:hAnsi="宋体" w:eastAsia="宋体" w:cs="宋体"/>
          <w:szCs w:val="21"/>
          <w:highlight w:val="none"/>
        </w:rPr>
        <w:t>6.5磋商报价说明和要求：</w:t>
      </w:r>
    </w:p>
    <w:p w14:paraId="46869D2B">
      <w:pPr>
        <w:spacing w:line="460" w:lineRule="exact"/>
        <w:ind w:firstLine="420" w:firstLineChars="200"/>
        <w:rPr>
          <w:rFonts w:ascii="宋体" w:hAnsi="宋体" w:eastAsia="宋体" w:cs="宋体"/>
          <w:szCs w:val="21"/>
          <w:highlight w:val="none"/>
        </w:rPr>
      </w:pPr>
      <w:r>
        <w:rPr>
          <w:rFonts w:hint="eastAsia" w:ascii="宋体" w:hAnsi="宋体" w:eastAsia="宋体" w:cs="宋体"/>
          <w:szCs w:val="21"/>
          <w:highlight w:val="none"/>
        </w:rPr>
        <w:t>（1）</w:t>
      </w:r>
      <w:r>
        <w:rPr>
          <w:rFonts w:hint="eastAsia" w:ascii="宋体" w:hAnsi="宋体" w:eastAsia="宋体" w:cs="宋体"/>
          <w:kern w:val="0"/>
          <w:szCs w:val="21"/>
          <w:highlight w:val="none"/>
        </w:rPr>
        <w:t>磋商报价要求：</w:t>
      </w:r>
      <w:r>
        <w:rPr>
          <w:rFonts w:hint="eastAsia" w:ascii="宋体" w:hAnsi="宋体" w:eastAsia="宋体" w:cs="宋体"/>
          <w:szCs w:val="21"/>
          <w:highlight w:val="none"/>
        </w:rPr>
        <w:t>参与本项目的磋商申请人须根据竞争性磋商文件要求分别填报磋商报价总价、分项报价等信息，磋商报价须包含本项目采购所涉及的“</w:t>
      </w:r>
      <w:r>
        <w:rPr>
          <w:rFonts w:hint="eastAsia" w:ascii="宋体" w:hAnsi="宋体" w:eastAsia="宋体" w:cs="宋体"/>
          <w:kern w:val="0"/>
          <w:szCs w:val="21"/>
          <w:highlight w:val="none"/>
        </w:rPr>
        <w:t>昌宁县医共体总医院慢病管理信息系统</w:t>
      </w:r>
      <w:r>
        <w:rPr>
          <w:rFonts w:hint="eastAsia" w:ascii="宋体" w:hAnsi="宋体" w:eastAsia="宋体" w:cs="宋体"/>
          <w:szCs w:val="21"/>
          <w:highlight w:val="none"/>
        </w:rPr>
        <w:t>”开发设计费、根据采购人要求进行系统安装部署服务费，信息系统集成服务费、相关数据接口开发服务费、新建系统与采购人指定相关系统数据对接和系统集成实施服务费、信息数据整合服务费、系统初验及终验的优化适配服务费、项目测试验收服务费，项目技术支持服务费、技术培训及售后运维服务费，以及为开展本项目服务工作必需的项目管理费、人工费、差旅费，必需的税、费（参与本项目采购活动所必须的相关费用）、风险（含不可预见费）等所有费用，以上各项费用应核算到项目的单价和总价报价中，无需单列。</w:t>
      </w:r>
    </w:p>
    <w:p w14:paraId="6346EEB4">
      <w:pPr>
        <w:spacing w:line="460" w:lineRule="exact"/>
        <w:ind w:firstLine="420" w:firstLineChars="200"/>
        <w:rPr>
          <w:rFonts w:ascii="宋体" w:hAnsi="宋体" w:eastAsia="宋体" w:cs="宋体"/>
          <w:szCs w:val="21"/>
          <w:highlight w:val="none"/>
        </w:rPr>
      </w:pPr>
      <w:r>
        <w:rPr>
          <w:rFonts w:hint="eastAsia" w:ascii="宋体" w:hAnsi="宋体" w:eastAsia="宋体" w:cs="宋体"/>
          <w:kern w:val="0"/>
          <w:szCs w:val="21"/>
          <w:highlight w:val="none"/>
        </w:rPr>
        <w:t>（2）磋商报价其他说明：以上磋商报价视为包含竞争性磋商文件规定的其他项目和服务等方面内容，都应包含在磋商报价中（包括竞争性磋商文件中提到的或没有提到的产品按照过程中所必备各种配套辅助材料及配件和项目实施发生其他技术服务工作等）。即凡磋商申请人在竞争性磋商文件中承诺或涉及的或者是完成本项目交付使用必需的费用，磋商申请人为完成本项目交付使用存在漏报费用时，均视为已包括在磋商总报价或相应项目的单价及总价中。</w:t>
      </w:r>
    </w:p>
    <w:p w14:paraId="20C77892">
      <w:pPr>
        <w:spacing w:line="460" w:lineRule="exact"/>
        <w:ind w:firstLine="420" w:firstLineChars="200"/>
        <w:rPr>
          <w:rFonts w:ascii="宋体" w:hAnsi="宋体" w:eastAsia="宋体" w:cs="宋体"/>
          <w:szCs w:val="21"/>
          <w:highlight w:val="none"/>
        </w:rPr>
      </w:pPr>
      <w:r>
        <w:rPr>
          <w:rFonts w:hint="eastAsia" w:ascii="宋体" w:hAnsi="宋体" w:eastAsia="宋体" w:cs="宋体"/>
          <w:szCs w:val="21"/>
          <w:highlight w:val="none"/>
        </w:rPr>
        <w:t>6.6付款方式：采购人根据项目进度分阶段支付合同价款。</w:t>
      </w:r>
    </w:p>
    <w:p w14:paraId="429B03B4">
      <w:pPr>
        <w:spacing w:line="460" w:lineRule="exact"/>
        <w:ind w:firstLine="420" w:firstLineChars="200"/>
        <w:rPr>
          <w:rFonts w:ascii="宋体" w:hAnsi="宋体" w:eastAsia="宋体" w:cs="宋体"/>
          <w:szCs w:val="21"/>
          <w:highlight w:val="none"/>
        </w:rPr>
      </w:pPr>
      <w:r>
        <w:rPr>
          <w:rFonts w:hint="eastAsia" w:ascii="宋体" w:hAnsi="宋体" w:eastAsia="宋体" w:cs="宋体"/>
          <w:szCs w:val="21"/>
          <w:highlight w:val="none"/>
        </w:rPr>
        <w:t>7.合同履行期限：合同签订后60日历天内完成系统开发建设任务工作并达到初步验收标准，根据项目初检的要求开展相应的系统优化整改直至完全达标通过最终验收。项目验收合格后提供不少于1年的系统售后运维服务。</w:t>
      </w:r>
    </w:p>
    <w:p w14:paraId="481EFB16">
      <w:pPr>
        <w:widowControl/>
        <w:spacing w:line="460" w:lineRule="exact"/>
        <w:ind w:firstLine="424" w:firstLineChars="202"/>
        <w:rPr>
          <w:rFonts w:ascii="宋体" w:hAnsi="宋体" w:eastAsia="宋体" w:cs="宋体"/>
          <w:szCs w:val="21"/>
          <w:highlight w:val="none"/>
        </w:rPr>
      </w:pPr>
      <w:r>
        <w:rPr>
          <w:rFonts w:hint="eastAsia" w:ascii="宋体" w:hAnsi="宋体" w:eastAsia="宋体" w:cs="宋体"/>
          <w:szCs w:val="21"/>
          <w:highlight w:val="none"/>
        </w:rPr>
        <w:t>8.本项目不接受联合体。</w:t>
      </w:r>
    </w:p>
    <w:p w14:paraId="1129CFE8">
      <w:pPr>
        <w:spacing w:line="460" w:lineRule="exact"/>
        <w:ind w:firstLine="422" w:firstLineChars="200"/>
        <w:rPr>
          <w:rFonts w:ascii="宋体" w:hAnsi="宋体" w:eastAsia="宋体" w:cs="宋体"/>
          <w:b/>
          <w:bCs/>
          <w:kern w:val="0"/>
          <w:highlight w:val="none"/>
        </w:rPr>
      </w:pPr>
      <w:r>
        <w:rPr>
          <w:rFonts w:hint="eastAsia" w:ascii="宋体" w:hAnsi="宋体" w:eastAsia="宋体" w:cs="宋体"/>
          <w:b/>
          <w:bCs/>
          <w:kern w:val="0"/>
          <w:highlight w:val="none"/>
        </w:rPr>
        <w:t>二、昌宁县医共体总医院慢病管理信息系统建设要求</w:t>
      </w:r>
    </w:p>
    <w:p w14:paraId="72C709A7">
      <w:pPr>
        <w:spacing w:line="460" w:lineRule="exact"/>
        <w:ind w:firstLine="420" w:firstLineChars="200"/>
        <w:rPr>
          <w:rFonts w:ascii="宋体" w:hAnsi="宋体" w:eastAsia="宋体" w:cs="宋体"/>
          <w:kern w:val="0"/>
          <w:highlight w:val="none"/>
        </w:rPr>
      </w:pPr>
      <w:r>
        <w:rPr>
          <w:rFonts w:hint="eastAsia" w:ascii="宋体" w:hAnsi="宋体" w:eastAsia="宋体" w:cs="宋体"/>
          <w:kern w:val="0"/>
          <w:highlight w:val="none"/>
        </w:rPr>
        <w:t>（一）项目建设总体要求</w:t>
      </w:r>
      <w:r>
        <w:rPr>
          <w:rFonts w:hint="eastAsia" w:ascii="宋体" w:hAnsi="宋体" w:eastAsia="宋体" w:cs="宋体"/>
          <w:kern w:val="0"/>
          <w:highlight w:val="none"/>
        </w:rPr>
        <w:tab/>
      </w:r>
      <w:r>
        <w:rPr>
          <w:rFonts w:hint="eastAsia" w:ascii="宋体" w:hAnsi="宋体" w:eastAsia="宋体" w:cs="宋体"/>
          <w:kern w:val="0"/>
          <w:highlight w:val="none"/>
        </w:rPr>
        <w:tab/>
      </w:r>
      <w:r>
        <w:rPr>
          <w:rFonts w:hint="eastAsia" w:ascii="宋体" w:hAnsi="宋体" w:eastAsia="宋体" w:cs="宋体"/>
          <w:kern w:val="0"/>
          <w:highlight w:val="none"/>
        </w:rPr>
        <w:tab/>
      </w:r>
    </w:p>
    <w:p w14:paraId="4563A43A">
      <w:pPr>
        <w:spacing w:line="460" w:lineRule="exact"/>
        <w:ind w:firstLine="420" w:firstLineChars="200"/>
        <w:rPr>
          <w:rFonts w:ascii="宋体" w:hAnsi="宋体" w:eastAsia="宋体" w:cs="宋体"/>
          <w:kern w:val="0"/>
          <w:highlight w:val="none"/>
        </w:rPr>
      </w:pPr>
      <w:r>
        <w:rPr>
          <w:rFonts w:hint="eastAsia" w:ascii="宋体" w:hAnsi="宋体" w:eastAsia="宋体" w:cs="宋体"/>
          <w:kern w:val="0"/>
          <w:highlight w:val="none"/>
        </w:rPr>
        <w:t xml:space="preserve"> 1.本项目建设须严格遵循国家、云南省、保山市关于医疗卫生信息化建设的相关标准和规范，符合《全国医疗卫生服务体系规划纲要》《"健康中国2030"规划纲要》等政策要求。</w:t>
      </w:r>
    </w:p>
    <w:p w14:paraId="3A59940A">
      <w:pPr>
        <w:spacing w:line="460" w:lineRule="exact"/>
        <w:ind w:firstLine="420" w:firstLineChars="200"/>
        <w:rPr>
          <w:rFonts w:ascii="宋体" w:hAnsi="宋体" w:eastAsia="宋体" w:cs="宋体"/>
          <w:kern w:val="0"/>
          <w:highlight w:val="none"/>
        </w:rPr>
      </w:pPr>
      <w:r>
        <w:rPr>
          <w:rFonts w:hint="eastAsia" w:ascii="宋体" w:hAnsi="宋体" w:eastAsia="宋体" w:cs="宋体"/>
          <w:kern w:val="0"/>
          <w:highlight w:val="none"/>
        </w:rPr>
        <w:t>2.系统建设须充分结合昌宁县慢病管理实际需求，覆盖昌宁县人民医院、昌宁县中医院、昌宁县妇幼保健计划生育服务中心及12个乡镇卫生院的全部慢病管理业务场景，实现区域内慢病管理业务的全流程覆盖。</w:t>
      </w:r>
      <w:r>
        <w:rPr>
          <w:rFonts w:hint="eastAsia" w:ascii="宋体" w:hAnsi="宋体" w:eastAsia="宋体" w:cs="宋体"/>
          <w:kern w:val="0"/>
          <w:highlight w:val="none"/>
        </w:rPr>
        <w:tab/>
      </w:r>
      <w:r>
        <w:rPr>
          <w:rFonts w:hint="eastAsia" w:ascii="宋体" w:hAnsi="宋体" w:eastAsia="宋体" w:cs="宋体"/>
          <w:kern w:val="0"/>
          <w:highlight w:val="none"/>
        </w:rPr>
        <w:tab/>
      </w:r>
    </w:p>
    <w:p w14:paraId="0517990A">
      <w:pPr>
        <w:spacing w:line="460" w:lineRule="exact"/>
        <w:ind w:firstLine="420" w:firstLineChars="200"/>
        <w:rPr>
          <w:rFonts w:ascii="宋体" w:hAnsi="宋体" w:eastAsia="宋体" w:cs="宋体"/>
          <w:kern w:val="0"/>
          <w:highlight w:val="none"/>
        </w:rPr>
      </w:pPr>
      <w:r>
        <w:rPr>
          <w:rFonts w:hint="eastAsia" w:ascii="宋体" w:hAnsi="宋体" w:eastAsia="宋体" w:cs="宋体"/>
          <w:kern w:val="0"/>
          <w:highlight w:val="none"/>
        </w:rPr>
        <w:t>3.系统须具备良好的兼容性和可扩展性，能够与昌宁县现有医疗卫生信息系统无缝对接，实现数据互通共享，同时能够满足未来业务发展的功能扩展需求。</w:t>
      </w:r>
      <w:r>
        <w:rPr>
          <w:rFonts w:hint="eastAsia" w:ascii="宋体" w:hAnsi="宋体" w:eastAsia="宋体" w:cs="宋体"/>
          <w:kern w:val="0"/>
          <w:highlight w:val="none"/>
        </w:rPr>
        <w:tab/>
      </w:r>
      <w:r>
        <w:rPr>
          <w:rFonts w:hint="eastAsia" w:ascii="宋体" w:hAnsi="宋体" w:eastAsia="宋体" w:cs="宋体"/>
          <w:kern w:val="0"/>
          <w:highlight w:val="none"/>
        </w:rPr>
        <w:tab/>
      </w:r>
    </w:p>
    <w:p w14:paraId="69D6732C">
      <w:pPr>
        <w:spacing w:line="460" w:lineRule="exact"/>
        <w:ind w:firstLine="420" w:firstLineChars="200"/>
        <w:rPr>
          <w:rFonts w:ascii="宋体" w:hAnsi="宋体" w:eastAsia="宋体" w:cs="宋体"/>
          <w:kern w:val="0"/>
          <w:highlight w:val="none"/>
        </w:rPr>
      </w:pPr>
      <w:r>
        <w:rPr>
          <w:rFonts w:hint="eastAsia" w:ascii="宋体" w:hAnsi="宋体" w:eastAsia="宋体" w:cs="宋体"/>
          <w:kern w:val="0"/>
          <w:highlight w:val="none"/>
        </w:rPr>
        <w:t>4.系统建设须严格遵守网络安全、数据安全相关法律法规，保障医疗数据的安全、合规使用，杜绝数据泄露、丢失等安全事件。</w:t>
      </w:r>
      <w:r>
        <w:rPr>
          <w:rFonts w:hint="eastAsia" w:ascii="宋体" w:hAnsi="宋体" w:eastAsia="宋体" w:cs="宋体"/>
          <w:kern w:val="0"/>
          <w:highlight w:val="none"/>
        </w:rPr>
        <w:tab/>
      </w:r>
      <w:r>
        <w:rPr>
          <w:rFonts w:hint="eastAsia" w:ascii="宋体" w:hAnsi="宋体" w:eastAsia="宋体" w:cs="宋体"/>
          <w:kern w:val="0"/>
          <w:highlight w:val="none"/>
        </w:rPr>
        <w:tab/>
      </w:r>
    </w:p>
    <w:p w14:paraId="2C9A239D">
      <w:pPr>
        <w:spacing w:line="460" w:lineRule="exact"/>
        <w:ind w:firstLine="420" w:firstLineChars="200"/>
        <w:rPr>
          <w:rFonts w:ascii="宋体" w:hAnsi="宋体" w:eastAsia="宋体" w:cs="宋体"/>
          <w:kern w:val="0"/>
          <w:highlight w:val="none"/>
        </w:rPr>
      </w:pPr>
      <w:r>
        <w:rPr>
          <w:rFonts w:hint="eastAsia" w:ascii="宋体" w:hAnsi="宋体" w:eastAsia="宋体" w:cs="宋体"/>
          <w:kern w:val="0"/>
          <w:highlight w:val="none"/>
        </w:rPr>
        <w:t>（二）项目建设目标</w:t>
      </w:r>
      <w:r>
        <w:rPr>
          <w:rFonts w:hint="eastAsia" w:ascii="宋体" w:hAnsi="宋体" w:eastAsia="宋体" w:cs="宋体"/>
          <w:kern w:val="0"/>
          <w:highlight w:val="none"/>
        </w:rPr>
        <w:tab/>
      </w:r>
      <w:r>
        <w:rPr>
          <w:rFonts w:hint="eastAsia" w:ascii="宋体" w:hAnsi="宋体" w:eastAsia="宋体" w:cs="宋体"/>
          <w:kern w:val="0"/>
          <w:highlight w:val="none"/>
        </w:rPr>
        <w:tab/>
      </w:r>
      <w:r>
        <w:rPr>
          <w:rFonts w:hint="eastAsia" w:ascii="宋体" w:hAnsi="宋体" w:eastAsia="宋体" w:cs="宋体"/>
          <w:kern w:val="0"/>
          <w:highlight w:val="none"/>
        </w:rPr>
        <w:tab/>
      </w:r>
    </w:p>
    <w:p w14:paraId="1C1F6779">
      <w:pPr>
        <w:spacing w:line="460" w:lineRule="exact"/>
        <w:ind w:firstLine="420" w:firstLineChars="200"/>
        <w:rPr>
          <w:rFonts w:ascii="宋体" w:hAnsi="宋体" w:eastAsia="宋体" w:cs="宋体"/>
          <w:kern w:val="0"/>
          <w:highlight w:val="none"/>
        </w:rPr>
      </w:pPr>
      <w:r>
        <w:rPr>
          <w:rFonts w:hint="eastAsia" w:ascii="宋体" w:hAnsi="宋体" w:eastAsia="宋体" w:cs="宋体"/>
          <w:kern w:val="0"/>
          <w:highlight w:val="none"/>
        </w:rPr>
        <w:t>1.构建统一的区域慢病管理体系</w:t>
      </w:r>
      <w:r>
        <w:rPr>
          <w:rFonts w:hint="eastAsia" w:ascii="宋体" w:hAnsi="宋体" w:eastAsia="宋体" w:cs="宋体"/>
          <w:kern w:val="0"/>
          <w:highlight w:val="none"/>
        </w:rPr>
        <w:tab/>
      </w:r>
      <w:r>
        <w:rPr>
          <w:rFonts w:hint="eastAsia" w:ascii="宋体" w:hAnsi="宋体" w:eastAsia="宋体" w:cs="宋体"/>
          <w:kern w:val="0"/>
          <w:highlight w:val="none"/>
        </w:rPr>
        <w:tab/>
      </w:r>
      <w:r>
        <w:rPr>
          <w:rFonts w:hint="eastAsia" w:ascii="宋体" w:hAnsi="宋体" w:eastAsia="宋体" w:cs="宋体"/>
          <w:kern w:val="0"/>
          <w:highlight w:val="none"/>
        </w:rPr>
        <w:tab/>
      </w:r>
    </w:p>
    <w:p w14:paraId="5B14E512">
      <w:pPr>
        <w:spacing w:line="460" w:lineRule="exact"/>
        <w:ind w:firstLine="420" w:firstLineChars="200"/>
        <w:rPr>
          <w:rFonts w:ascii="宋体" w:hAnsi="宋体" w:eastAsia="宋体" w:cs="宋体"/>
          <w:kern w:val="0"/>
          <w:highlight w:val="none"/>
        </w:rPr>
      </w:pPr>
      <w:r>
        <w:rPr>
          <w:rFonts w:hint="eastAsia" w:ascii="宋体" w:hAnsi="宋体" w:eastAsia="宋体" w:cs="宋体"/>
          <w:kern w:val="0"/>
          <w:highlight w:val="none"/>
        </w:rPr>
        <w:tab/>
      </w:r>
      <w:r>
        <w:rPr>
          <w:rFonts w:hint="eastAsia" w:ascii="宋体" w:hAnsi="宋体" w:eastAsia="宋体" w:cs="宋体"/>
          <w:kern w:val="0"/>
          <w:highlight w:val="none"/>
        </w:rPr>
        <w:t>打通县级医疗机构与乡镇卫生院的慢病管理数据壁垒，建立覆盖全县的慢病管理协同机制，实现慢病、肿瘤患者在县域内的分级诊疗、双向转诊、上下联动的全流程管理。</w:t>
      </w:r>
      <w:r>
        <w:rPr>
          <w:rFonts w:hint="eastAsia" w:ascii="宋体" w:hAnsi="宋体" w:eastAsia="宋体" w:cs="宋体"/>
          <w:kern w:val="0"/>
          <w:highlight w:val="none"/>
        </w:rPr>
        <w:tab/>
      </w:r>
    </w:p>
    <w:p w14:paraId="35BDDCEE">
      <w:pPr>
        <w:spacing w:line="460" w:lineRule="exact"/>
        <w:ind w:firstLine="420" w:firstLineChars="200"/>
        <w:rPr>
          <w:rFonts w:ascii="宋体" w:hAnsi="宋体" w:eastAsia="宋体" w:cs="宋体"/>
          <w:kern w:val="0"/>
          <w:highlight w:val="none"/>
        </w:rPr>
      </w:pPr>
      <w:r>
        <w:rPr>
          <w:rFonts w:hint="eastAsia" w:ascii="宋体" w:hAnsi="宋体" w:eastAsia="宋体" w:cs="宋体"/>
          <w:kern w:val="0"/>
          <w:highlight w:val="none"/>
        </w:rPr>
        <w:t>2.实现慢病全流程闭环管理</w:t>
      </w:r>
      <w:r>
        <w:rPr>
          <w:rFonts w:hint="eastAsia" w:ascii="宋体" w:hAnsi="宋体" w:eastAsia="宋体" w:cs="宋体"/>
          <w:kern w:val="0"/>
          <w:highlight w:val="none"/>
        </w:rPr>
        <w:tab/>
      </w:r>
      <w:r>
        <w:rPr>
          <w:rFonts w:hint="eastAsia" w:ascii="宋体" w:hAnsi="宋体" w:eastAsia="宋体" w:cs="宋体"/>
          <w:kern w:val="0"/>
          <w:highlight w:val="none"/>
        </w:rPr>
        <w:tab/>
      </w:r>
      <w:r>
        <w:rPr>
          <w:rFonts w:hint="eastAsia" w:ascii="宋体" w:hAnsi="宋体" w:eastAsia="宋体" w:cs="宋体"/>
          <w:kern w:val="0"/>
          <w:highlight w:val="none"/>
        </w:rPr>
        <w:tab/>
      </w:r>
    </w:p>
    <w:p w14:paraId="7B92AD6E">
      <w:pPr>
        <w:spacing w:line="460" w:lineRule="exact"/>
        <w:ind w:firstLine="420" w:firstLineChars="200"/>
        <w:rPr>
          <w:rFonts w:ascii="宋体" w:hAnsi="宋体" w:eastAsia="宋体" w:cs="宋体"/>
          <w:kern w:val="0"/>
          <w:highlight w:val="none"/>
        </w:rPr>
      </w:pPr>
      <w:r>
        <w:rPr>
          <w:rFonts w:hint="eastAsia" w:ascii="宋体" w:hAnsi="宋体" w:eastAsia="宋体" w:cs="宋体"/>
          <w:kern w:val="0"/>
          <w:highlight w:val="none"/>
        </w:rPr>
        <w:tab/>
      </w:r>
      <w:r>
        <w:rPr>
          <w:rFonts w:hint="eastAsia" w:ascii="宋体" w:hAnsi="宋体" w:eastAsia="宋体" w:cs="宋体"/>
          <w:kern w:val="0"/>
          <w:highlight w:val="none"/>
        </w:rPr>
        <w:t>覆盖慢病、肿瘤高危人群筛查、风险评估、确诊登记、治疗方案制定、随访管理、康复指导、并发症防控等全流程环节，实现慢病管理的标准化、规范化。</w:t>
      </w:r>
      <w:r>
        <w:rPr>
          <w:rFonts w:hint="eastAsia" w:ascii="宋体" w:hAnsi="宋体" w:eastAsia="宋体" w:cs="宋体"/>
          <w:kern w:val="0"/>
          <w:highlight w:val="none"/>
        </w:rPr>
        <w:tab/>
      </w:r>
      <w:r>
        <w:rPr>
          <w:rFonts w:hint="eastAsia" w:ascii="宋体" w:hAnsi="宋体" w:eastAsia="宋体" w:cs="宋体"/>
          <w:kern w:val="0"/>
          <w:highlight w:val="none"/>
        </w:rPr>
        <w:tab/>
      </w:r>
    </w:p>
    <w:p w14:paraId="40E34A0F">
      <w:pPr>
        <w:spacing w:line="460" w:lineRule="exact"/>
        <w:ind w:firstLine="420" w:firstLineChars="200"/>
        <w:rPr>
          <w:rFonts w:ascii="宋体" w:hAnsi="宋体" w:eastAsia="宋体" w:cs="宋体"/>
          <w:kern w:val="0"/>
          <w:highlight w:val="none"/>
        </w:rPr>
      </w:pPr>
      <w:r>
        <w:rPr>
          <w:rFonts w:hint="eastAsia" w:ascii="宋体" w:hAnsi="宋体" w:eastAsia="宋体" w:cs="宋体"/>
          <w:kern w:val="0"/>
          <w:highlight w:val="none"/>
        </w:rPr>
        <w:t>3.提升慢病管理服务能力</w:t>
      </w:r>
      <w:r>
        <w:rPr>
          <w:rFonts w:hint="eastAsia" w:ascii="宋体" w:hAnsi="宋体" w:eastAsia="宋体" w:cs="宋体"/>
          <w:kern w:val="0"/>
          <w:highlight w:val="none"/>
        </w:rPr>
        <w:tab/>
      </w:r>
      <w:r>
        <w:rPr>
          <w:rFonts w:hint="eastAsia" w:ascii="宋体" w:hAnsi="宋体" w:eastAsia="宋体" w:cs="宋体"/>
          <w:kern w:val="0"/>
          <w:highlight w:val="none"/>
        </w:rPr>
        <w:tab/>
      </w:r>
      <w:r>
        <w:rPr>
          <w:rFonts w:hint="eastAsia" w:ascii="宋体" w:hAnsi="宋体" w:eastAsia="宋体" w:cs="宋体"/>
          <w:kern w:val="0"/>
          <w:highlight w:val="none"/>
        </w:rPr>
        <w:tab/>
      </w:r>
    </w:p>
    <w:p w14:paraId="439274F4">
      <w:pPr>
        <w:spacing w:line="460" w:lineRule="exact"/>
        <w:ind w:firstLine="420" w:firstLineChars="200"/>
        <w:rPr>
          <w:rFonts w:ascii="宋体" w:hAnsi="宋体" w:eastAsia="宋体" w:cs="宋体"/>
          <w:kern w:val="0"/>
          <w:highlight w:val="none"/>
        </w:rPr>
      </w:pPr>
      <w:r>
        <w:rPr>
          <w:rFonts w:hint="eastAsia" w:ascii="宋体" w:hAnsi="宋体" w:eastAsia="宋体" w:cs="宋体"/>
          <w:kern w:val="0"/>
          <w:highlight w:val="none"/>
        </w:rPr>
        <w:tab/>
      </w:r>
      <w:r>
        <w:rPr>
          <w:rFonts w:hint="eastAsia" w:ascii="宋体" w:hAnsi="宋体" w:eastAsia="宋体" w:cs="宋体"/>
          <w:kern w:val="0"/>
          <w:highlight w:val="none"/>
        </w:rPr>
        <w:t>为临床医生提供的慢病诊疗辅助工具，为公共卫生人员提供标准化的慢病随访管理工具，为居民提供便捷的慢病自我管理服务，全面提升县域慢病管理的效率和质量。</w:t>
      </w:r>
    </w:p>
    <w:p w14:paraId="1FFFA81C">
      <w:pPr>
        <w:spacing w:line="460" w:lineRule="exact"/>
        <w:ind w:firstLine="420" w:firstLineChars="200"/>
        <w:rPr>
          <w:rFonts w:ascii="宋体" w:hAnsi="宋体" w:eastAsia="宋体" w:cs="宋体"/>
          <w:kern w:val="0"/>
          <w:highlight w:val="none"/>
        </w:rPr>
      </w:pPr>
      <w:r>
        <w:rPr>
          <w:rFonts w:hint="eastAsia" w:ascii="宋体" w:hAnsi="宋体" w:eastAsia="宋体" w:cs="宋体"/>
          <w:kern w:val="0"/>
          <w:highlight w:val="none"/>
        </w:rPr>
        <w:t>4.实现慢病管理数据化决策</w:t>
      </w:r>
      <w:r>
        <w:rPr>
          <w:rFonts w:hint="eastAsia" w:ascii="宋体" w:hAnsi="宋体" w:eastAsia="宋体" w:cs="宋体"/>
          <w:kern w:val="0"/>
          <w:highlight w:val="none"/>
        </w:rPr>
        <w:tab/>
      </w:r>
      <w:r>
        <w:rPr>
          <w:rFonts w:hint="eastAsia" w:ascii="宋体" w:hAnsi="宋体" w:eastAsia="宋体" w:cs="宋体"/>
          <w:kern w:val="0"/>
          <w:highlight w:val="none"/>
        </w:rPr>
        <w:tab/>
      </w:r>
      <w:r>
        <w:rPr>
          <w:rFonts w:hint="eastAsia" w:ascii="宋体" w:hAnsi="宋体" w:eastAsia="宋体" w:cs="宋体"/>
          <w:kern w:val="0"/>
          <w:highlight w:val="none"/>
        </w:rPr>
        <w:tab/>
      </w:r>
    </w:p>
    <w:p w14:paraId="1C0DB7AF">
      <w:pPr>
        <w:spacing w:line="460" w:lineRule="exact"/>
        <w:ind w:firstLine="420" w:firstLineChars="200"/>
        <w:rPr>
          <w:rFonts w:ascii="宋体" w:hAnsi="宋体" w:eastAsia="宋体" w:cs="宋体"/>
          <w:kern w:val="0"/>
          <w:highlight w:val="none"/>
        </w:rPr>
      </w:pPr>
      <w:r>
        <w:rPr>
          <w:rFonts w:hint="eastAsia" w:ascii="宋体" w:hAnsi="宋体" w:eastAsia="宋体" w:cs="宋体"/>
          <w:kern w:val="0"/>
          <w:highlight w:val="none"/>
        </w:rPr>
        <w:tab/>
      </w:r>
      <w:r>
        <w:rPr>
          <w:rFonts w:hint="eastAsia" w:ascii="宋体" w:hAnsi="宋体" w:eastAsia="宋体" w:cs="宋体"/>
          <w:kern w:val="0"/>
          <w:highlight w:val="none"/>
        </w:rPr>
        <w:t>建立县域慢病管理数据中心，实现慢病数据的统一采集、分析、展示，为卫生健康行政部门制定慢病防控政策、优化医疗资源配置提供数据支撑和决策依据。</w:t>
      </w:r>
      <w:r>
        <w:rPr>
          <w:rFonts w:hint="eastAsia" w:ascii="宋体" w:hAnsi="宋体" w:eastAsia="宋体" w:cs="宋体"/>
          <w:kern w:val="0"/>
          <w:highlight w:val="none"/>
        </w:rPr>
        <w:tab/>
      </w:r>
      <w:r>
        <w:rPr>
          <w:rFonts w:hint="eastAsia" w:ascii="宋体" w:hAnsi="宋体" w:eastAsia="宋体" w:cs="宋体"/>
          <w:kern w:val="0"/>
          <w:highlight w:val="none"/>
        </w:rPr>
        <w:tab/>
      </w:r>
      <w:r>
        <w:rPr>
          <w:rFonts w:hint="eastAsia" w:ascii="宋体" w:hAnsi="宋体" w:eastAsia="宋体" w:cs="宋体"/>
          <w:kern w:val="0"/>
          <w:highlight w:val="none"/>
        </w:rPr>
        <w:tab/>
      </w:r>
      <w:r>
        <w:rPr>
          <w:rFonts w:hint="eastAsia" w:ascii="宋体" w:hAnsi="宋体" w:eastAsia="宋体" w:cs="宋体"/>
          <w:kern w:val="0"/>
          <w:highlight w:val="none"/>
        </w:rPr>
        <w:tab/>
      </w:r>
    </w:p>
    <w:p w14:paraId="36A8106A">
      <w:pPr>
        <w:spacing w:line="460" w:lineRule="exact"/>
        <w:ind w:firstLine="420" w:firstLineChars="200"/>
        <w:rPr>
          <w:rFonts w:ascii="宋体" w:hAnsi="宋体" w:eastAsia="宋体" w:cs="宋体"/>
          <w:kern w:val="0"/>
          <w:highlight w:val="none"/>
        </w:rPr>
      </w:pPr>
      <w:r>
        <w:rPr>
          <w:rFonts w:hint="eastAsia" w:ascii="宋体" w:hAnsi="宋体" w:eastAsia="宋体" w:cs="宋体"/>
          <w:kern w:val="0"/>
          <w:highlight w:val="none"/>
        </w:rPr>
        <w:t>（三）项目建设原则</w:t>
      </w:r>
      <w:r>
        <w:rPr>
          <w:rFonts w:hint="eastAsia" w:ascii="宋体" w:hAnsi="宋体" w:eastAsia="宋体" w:cs="宋体"/>
          <w:kern w:val="0"/>
          <w:highlight w:val="none"/>
        </w:rPr>
        <w:tab/>
      </w:r>
      <w:r>
        <w:rPr>
          <w:rFonts w:hint="eastAsia" w:ascii="宋体" w:hAnsi="宋体" w:eastAsia="宋体" w:cs="宋体"/>
          <w:kern w:val="0"/>
          <w:highlight w:val="none"/>
        </w:rPr>
        <w:tab/>
      </w:r>
      <w:r>
        <w:rPr>
          <w:rFonts w:hint="eastAsia" w:ascii="宋体" w:hAnsi="宋体" w:eastAsia="宋体" w:cs="宋体"/>
          <w:kern w:val="0"/>
          <w:highlight w:val="none"/>
        </w:rPr>
        <w:tab/>
      </w:r>
    </w:p>
    <w:p w14:paraId="6C390E5C">
      <w:pPr>
        <w:spacing w:line="460" w:lineRule="exact"/>
        <w:ind w:firstLine="420" w:firstLineChars="200"/>
        <w:rPr>
          <w:rFonts w:ascii="宋体" w:hAnsi="宋体" w:eastAsia="宋体" w:cs="宋体"/>
          <w:kern w:val="0"/>
          <w:highlight w:val="none"/>
        </w:rPr>
      </w:pPr>
      <w:r>
        <w:rPr>
          <w:rFonts w:hint="eastAsia" w:ascii="宋体" w:hAnsi="宋体" w:eastAsia="宋体" w:cs="宋体"/>
          <w:kern w:val="0"/>
          <w:highlight w:val="none"/>
        </w:rPr>
        <w:t>1.实用性原则</w:t>
      </w:r>
      <w:r>
        <w:rPr>
          <w:rFonts w:hint="eastAsia" w:ascii="宋体" w:hAnsi="宋体" w:eastAsia="宋体" w:cs="宋体"/>
          <w:kern w:val="0"/>
          <w:highlight w:val="none"/>
        </w:rPr>
        <w:tab/>
      </w:r>
      <w:r>
        <w:rPr>
          <w:rFonts w:hint="eastAsia" w:ascii="宋体" w:hAnsi="宋体" w:eastAsia="宋体" w:cs="宋体"/>
          <w:kern w:val="0"/>
          <w:highlight w:val="none"/>
        </w:rPr>
        <w:tab/>
      </w:r>
      <w:r>
        <w:rPr>
          <w:rFonts w:hint="eastAsia" w:ascii="宋体" w:hAnsi="宋体" w:eastAsia="宋体" w:cs="宋体"/>
          <w:kern w:val="0"/>
          <w:highlight w:val="none"/>
        </w:rPr>
        <w:tab/>
      </w:r>
    </w:p>
    <w:p w14:paraId="5E34C8A4">
      <w:pPr>
        <w:spacing w:line="460" w:lineRule="exact"/>
        <w:ind w:firstLine="420" w:firstLineChars="200"/>
        <w:rPr>
          <w:rFonts w:ascii="宋体" w:hAnsi="宋体" w:eastAsia="宋体" w:cs="宋体"/>
          <w:kern w:val="0"/>
          <w:highlight w:val="none"/>
        </w:rPr>
      </w:pPr>
      <w:r>
        <w:rPr>
          <w:rFonts w:hint="eastAsia" w:ascii="宋体" w:hAnsi="宋体" w:eastAsia="宋体" w:cs="宋体"/>
          <w:kern w:val="0"/>
          <w:highlight w:val="none"/>
        </w:rPr>
        <w:tab/>
      </w:r>
      <w:r>
        <w:rPr>
          <w:rFonts w:hint="eastAsia" w:ascii="宋体" w:hAnsi="宋体" w:eastAsia="宋体" w:cs="宋体"/>
          <w:kern w:val="0"/>
          <w:highlight w:val="none"/>
        </w:rPr>
        <w:t>系统设计须充分贴合昌宁县慢病管理的实际业务场景，功能设置符合临床医生、公卫人员、居民的实际使用需求，操作简便易用，避免冗余功能，确保系统能够快速落地、有效使用。</w:t>
      </w:r>
      <w:r>
        <w:rPr>
          <w:rFonts w:hint="eastAsia" w:ascii="宋体" w:hAnsi="宋体" w:eastAsia="宋体" w:cs="宋体"/>
          <w:kern w:val="0"/>
          <w:highlight w:val="none"/>
        </w:rPr>
        <w:tab/>
      </w:r>
      <w:r>
        <w:rPr>
          <w:rFonts w:hint="eastAsia" w:ascii="宋体" w:hAnsi="宋体" w:eastAsia="宋体" w:cs="宋体"/>
          <w:kern w:val="0"/>
          <w:highlight w:val="none"/>
        </w:rPr>
        <w:tab/>
      </w:r>
    </w:p>
    <w:p w14:paraId="3FEB4724">
      <w:pPr>
        <w:spacing w:line="460" w:lineRule="exact"/>
        <w:ind w:firstLine="420" w:firstLineChars="200"/>
        <w:rPr>
          <w:rFonts w:ascii="宋体" w:hAnsi="宋体" w:eastAsia="宋体" w:cs="宋体"/>
          <w:kern w:val="0"/>
          <w:highlight w:val="none"/>
        </w:rPr>
      </w:pPr>
      <w:r>
        <w:rPr>
          <w:rFonts w:hint="eastAsia" w:ascii="宋体" w:hAnsi="宋体" w:eastAsia="宋体" w:cs="宋体"/>
          <w:kern w:val="0"/>
          <w:highlight w:val="none"/>
        </w:rPr>
        <w:t>2.先进性原则</w:t>
      </w:r>
      <w:r>
        <w:rPr>
          <w:rFonts w:hint="eastAsia" w:ascii="宋体" w:hAnsi="宋体" w:eastAsia="宋体" w:cs="宋体"/>
          <w:kern w:val="0"/>
          <w:highlight w:val="none"/>
        </w:rPr>
        <w:tab/>
      </w:r>
      <w:r>
        <w:rPr>
          <w:rFonts w:hint="eastAsia" w:ascii="宋体" w:hAnsi="宋体" w:eastAsia="宋体" w:cs="宋体"/>
          <w:kern w:val="0"/>
          <w:highlight w:val="none"/>
        </w:rPr>
        <w:tab/>
      </w:r>
      <w:r>
        <w:rPr>
          <w:rFonts w:hint="eastAsia" w:ascii="宋体" w:hAnsi="宋体" w:eastAsia="宋体" w:cs="宋体"/>
          <w:kern w:val="0"/>
          <w:highlight w:val="none"/>
        </w:rPr>
        <w:tab/>
      </w:r>
    </w:p>
    <w:p w14:paraId="1FBF7FE2">
      <w:pPr>
        <w:spacing w:line="460" w:lineRule="exact"/>
        <w:ind w:firstLine="420" w:firstLineChars="200"/>
        <w:rPr>
          <w:rFonts w:ascii="宋体" w:hAnsi="宋体" w:eastAsia="宋体" w:cs="宋体"/>
          <w:kern w:val="0"/>
          <w:highlight w:val="none"/>
        </w:rPr>
      </w:pPr>
      <w:r>
        <w:rPr>
          <w:rFonts w:hint="eastAsia" w:ascii="宋体" w:hAnsi="宋体" w:eastAsia="宋体" w:cs="宋体"/>
          <w:kern w:val="0"/>
          <w:highlight w:val="none"/>
        </w:rPr>
        <w:tab/>
      </w:r>
      <w:r>
        <w:rPr>
          <w:rFonts w:hint="eastAsia" w:ascii="宋体" w:hAnsi="宋体" w:eastAsia="宋体" w:cs="宋体"/>
          <w:kern w:val="0"/>
          <w:highlight w:val="none"/>
        </w:rPr>
        <w:t>系统采用成熟、先进的技术架构，支持云计算、大数据等新技术的应用，能够满足未来5年的业务发展需求，避免技术落后导致的系统重复建设。</w:t>
      </w:r>
      <w:r>
        <w:rPr>
          <w:rFonts w:hint="eastAsia" w:ascii="宋体" w:hAnsi="宋体" w:eastAsia="宋体" w:cs="宋体"/>
          <w:kern w:val="0"/>
          <w:highlight w:val="none"/>
        </w:rPr>
        <w:tab/>
      </w:r>
      <w:r>
        <w:rPr>
          <w:rFonts w:hint="eastAsia" w:ascii="宋体" w:hAnsi="宋体" w:eastAsia="宋体" w:cs="宋体"/>
          <w:kern w:val="0"/>
          <w:highlight w:val="none"/>
        </w:rPr>
        <w:tab/>
      </w:r>
    </w:p>
    <w:p w14:paraId="5C598048">
      <w:pPr>
        <w:spacing w:line="460" w:lineRule="exact"/>
        <w:ind w:firstLine="420" w:firstLineChars="200"/>
        <w:rPr>
          <w:rFonts w:ascii="宋体" w:hAnsi="宋体" w:eastAsia="宋体" w:cs="宋体"/>
          <w:kern w:val="0"/>
          <w:highlight w:val="none"/>
        </w:rPr>
      </w:pPr>
      <w:r>
        <w:rPr>
          <w:rFonts w:hint="eastAsia" w:ascii="宋体" w:hAnsi="宋体" w:eastAsia="宋体" w:cs="宋体"/>
          <w:kern w:val="0"/>
          <w:highlight w:val="none"/>
        </w:rPr>
        <w:t>3.安全性原则</w:t>
      </w:r>
      <w:r>
        <w:rPr>
          <w:rFonts w:hint="eastAsia" w:ascii="宋体" w:hAnsi="宋体" w:eastAsia="宋体" w:cs="宋体"/>
          <w:kern w:val="0"/>
          <w:highlight w:val="none"/>
        </w:rPr>
        <w:tab/>
      </w:r>
      <w:r>
        <w:rPr>
          <w:rFonts w:hint="eastAsia" w:ascii="宋体" w:hAnsi="宋体" w:eastAsia="宋体" w:cs="宋体"/>
          <w:kern w:val="0"/>
          <w:highlight w:val="none"/>
        </w:rPr>
        <w:tab/>
      </w:r>
      <w:r>
        <w:rPr>
          <w:rFonts w:hint="eastAsia" w:ascii="宋体" w:hAnsi="宋体" w:eastAsia="宋体" w:cs="宋体"/>
          <w:kern w:val="0"/>
          <w:highlight w:val="none"/>
        </w:rPr>
        <w:tab/>
      </w:r>
    </w:p>
    <w:p w14:paraId="50EB18C7">
      <w:pPr>
        <w:spacing w:line="460" w:lineRule="exact"/>
        <w:ind w:firstLine="420" w:firstLineChars="200"/>
        <w:rPr>
          <w:rFonts w:ascii="宋体" w:hAnsi="宋体" w:eastAsia="宋体" w:cs="宋体"/>
          <w:kern w:val="0"/>
          <w:highlight w:val="none"/>
        </w:rPr>
      </w:pPr>
      <w:r>
        <w:rPr>
          <w:rFonts w:hint="eastAsia" w:ascii="宋体" w:hAnsi="宋体" w:eastAsia="宋体" w:cs="宋体"/>
          <w:kern w:val="0"/>
          <w:highlight w:val="none"/>
        </w:rPr>
        <w:tab/>
      </w:r>
      <w:r>
        <w:rPr>
          <w:rFonts w:hint="eastAsia" w:ascii="宋体" w:hAnsi="宋体" w:eastAsia="宋体" w:cs="宋体"/>
          <w:kern w:val="0"/>
          <w:highlight w:val="none"/>
        </w:rPr>
        <w:t>系统建设须严格遵循《网络安全法》《数据安全法》《个人信息保护法》《医疗卫生机构网络安全管理办法》等法律法规，建立完善的安全防护体系，保障数据在采集、传输、存储、使用、销毁全生命周期的安全。</w:t>
      </w:r>
      <w:r>
        <w:rPr>
          <w:rFonts w:hint="eastAsia" w:ascii="宋体" w:hAnsi="宋体" w:eastAsia="宋体" w:cs="宋体"/>
          <w:kern w:val="0"/>
          <w:highlight w:val="none"/>
        </w:rPr>
        <w:tab/>
      </w:r>
      <w:r>
        <w:rPr>
          <w:rFonts w:hint="eastAsia" w:ascii="宋体" w:hAnsi="宋体" w:eastAsia="宋体" w:cs="宋体"/>
          <w:kern w:val="0"/>
          <w:highlight w:val="none"/>
        </w:rPr>
        <w:tab/>
      </w:r>
    </w:p>
    <w:p w14:paraId="0108FD46">
      <w:pPr>
        <w:spacing w:line="460" w:lineRule="exact"/>
        <w:ind w:firstLine="420" w:firstLineChars="200"/>
        <w:rPr>
          <w:rFonts w:ascii="宋体" w:hAnsi="宋体" w:eastAsia="宋体" w:cs="宋体"/>
          <w:kern w:val="0"/>
          <w:highlight w:val="none"/>
        </w:rPr>
      </w:pPr>
      <w:r>
        <w:rPr>
          <w:rFonts w:hint="eastAsia" w:ascii="宋体" w:hAnsi="宋体" w:eastAsia="宋体" w:cs="宋体"/>
          <w:kern w:val="0"/>
          <w:highlight w:val="none"/>
        </w:rPr>
        <w:t>4.兼容性原则</w:t>
      </w:r>
      <w:r>
        <w:rPr>
          <w:rFonts w:hint="eastAsia" w:ascii="宋体" w:hAnsi="宋体" w:eastAsia="宋体" w:cs="宋体"/>
          <w:kern w:val="0"/>
          <w:highlight w:val="none"/>
        </w:rPr>
        <w:tab/>
      </w:r>
      <w:r>
        <w:rPr>
          <w:rFonts w:hint="eastAsia" w:ascii="宋体" w:hAnsi="宋体" w:eastAsia="宋体" w:cs="宋体"/>
          <w:kern w:val="0"/>
          <w:highlight w:val="none"/>
        </w:rPr>
        <w:tab/>
      </w:r>
      <w:r>
        <w:rPr>
          <w:rFonts w:hint="eastAsia" w:ascii="宋体" w:hAnsi="宋体" w:eastAsia="宋体" w:cs="宋体"/>
          <w:kern w:val="0"/>
          <w:highlight w:val="none"/>
        </w:rPr>
        <w:tab/>
      </w:r>
    </w:p>
    <w:p w14:paraId="79C8AA9C">
      <w:pPr>
        <w:spacing w:line="460" w:lineRule="exact"/>
        <w:ind w:firstLine="420" w:firstLineChars="200"/>
        <w:rPr>
          <w:rFonts w:ascii="宋体" w:hAnsi="宋体" w:eastAsia="宋体" w:cs="宋体"/>
          <w:kern w:val="0"/>
          <w:highlight w:val="none"/>
        </w:rPr>
      </w:pPr>
      <w:r>
        <w:rPr>
          <w:rFonts w:hint="eastAsia" w:ascii="宋体" w:hAnsi="宋体" w:eastAsia="宋体" w:cs="宋体"/>
          <w:kern w:val="0"/>
          <w:highlight w:val="none"/>
        </w:rPr>
        <w:tab/>
      </w:r>
      <w:r>
        <w:rPr>
          <w:rFonts w:hint="eastAsia" w:ascii="宋体" w:hAnsi="宋体" w:eastAsia="宋体" w:cs="宋体"/>
          <w:kern w:val="0"/>
          <w:highlight w:val="none"/>
        </w:rPr>
        <w:t>系统须支持与昌宁县现有HIS、EMR、公卫系统等医疗卫生信息系统的无缝对接，实现数据的互通共享，避免形成信息孤岛。</w:t>
      </w:r>
      <w:r>
        <w:rPr>
          <w:rFonts w:hint="eastAsia" w:ascii="宋体" w:hAnsi="宋体" w:eastAsia="宋体" w:cs="宋体"/>
          <w:kern w:val="0"/>
          <w:highlight w:val="none"/>
        </w:rPr>
        <w:tab/>
      </w:r>
      <w:r>
        <w:rPr>
          <w:rFonts w:hint="eastAsia" w:ascii="宋体" w:hAnsi="宋体" w:eastAsia="宋体" w:cs="宋体"/>
          <w:kern w:val="0"/>
          <w:highlight w:val="none"/>
        </w:rPr>
        <w:tab/>
      </w:r>
    </w:p>
    <w:p w14:paraId="130132AE">
      <w:pPr>
        <w:spacing w:line="460" w:lineRule="exact"/>
        <w:ind w:firstLine="420" w:firstLineChars="200"/>
        <w:rPr>
          <w:rFonts w:ascii="宋体" w:hAnsi="宋体" w:eastAsia="宋体" w:cs="宋体"/>
          <w:kern w:val="0"/>
          <w:highlight w:val="none"/>
        </w:rPr>
      </w:pPr>
      <w:r>
        <w:rPr>
          <w:rFonts w:hint="eastAsia" w:ascii="宋体" w:hAnsi="宋体" w:eastAsia="宋体" w:cs="宋体"/>
          <w:kern w:val="0"/>
          <w:highlight w:val="none"/>
        </w:rPr>
        <w:t>5.可扩展性原则</w:t>
      </w:r>
      <w:r>
        <w:rPr>
          <w:rFonts w:hint="eastAsia" w:ascii="宋体" w:hAnsi="宋体" w:eastAsia="宋体" w:cs="宋体"/>
          <w:kern w:val="0"/>
          <w:highlight w:val="none"/>
        </w:rPr>
        <w:tab/>
      </w:r>
      <w:r>
        <w:rPr>
          <w:rFonts w:hint="eastAsia" w:ascii="宋体" w:hAnsi="宋体" w:eastAsia="宋体" w:cs="宋体"/>
          <w:kern w:val="0"/>
          <w:highlight w:val="none"/>
        </w:rPr>
        <w:tab/>
      </w:r>
      <w:r>
        <w:rPr>
          <w:rFonts w:hint="eastAsia" w:ascii="宋体" w:hAnsi="宋体" w:eastAsia="宋体" w:cs="宋体"/>
          <w:kern w:val="0"/>
          <w:highlight w:val="none"/>
        </w:rPr>
        <w:tab/>
      </w:r>
    </w:p>
    <w:p w14:paraId="135E98AA">
      <w:pPr>
        <w:spacing w:line="460" w:lineRule="exact"/>
        <w:ind w:firstLine="420" w:firstLineChars="200"/>
        <w:rPr>
          <w:rFonts w:ascii="宋体" w:hAnsi="宋体" w:eastAsia="宋体" w:cs="宋体"/>
          <w:kern w:val="0"/>
          <w:highlight w:val="none"/>
        </w:rPr>
      </w:pPr>
      <w:r>
        <w:rPr>
          <w:rFonts w:hint="eastAsia" w:ascii="宋体" w:hAnsi="宋体" w:eastAsia="宋体" w:cs="宋体"/>
          <w:kern w:val="0"/>
          <w:highlight w:val="none"/>
        </w:rPr>
        <w:tab/>
      </w:r>
      <w:r>
        <w:rPr>
          <w:rFonts w:hint="eastAsia" w:ascii="宋体" w:hAnsi="宋体" w:eastAsia="宋体" w:cs="宋体"/>
          <w:kern w:val="0"/>
          <w:highlight w:val="none"/>
        </w:rPr>
        <w:t>系统采用模块化、组件化的设计架构，功能模块可灵活配置、快速扩展，能够根据业务发展需求，快速新增功能模块、调整业务流程，满足未来慢病管理业务的发展需求。</w:t>
      </w:r>
      <w:r>
        <w:rPr>
          <w:rFonts w:hint="eastAsia" w:ascii="宋体" w:hAnsi="宋体" w:eastAsia="宋体" w:cs="宋体"/>
          <w:kern w:val="0"/>
          <w:highlight w:val="none"/>
        </w:rPr>
        <w:tab/>
      </w:r>
    </w:p>
    <w:p w14:paraId="5B376071">
      <w:pPr>
        <w:spacing w:line="460" w:lineRule="exact"/>
        <w:ind w:firstLine="420" w:firstLineChars="200"/>
        <w:rPr>
          <w:rFonts w:ascii="宋体" w:hAnsi="宋体" w:eastAsia="宋体" w:cs="宋体"/>
          <w:kern w:val="0"/>
          <w:highlight w:val="none"/>
        </w:rPr>
      </w:pPr>
      <w:r>
        <w:rPr>
          <w:rFonts w:hint="eastAsia" w:ascii="宋体" w:hAnsi="宋体" w:eastAsia="宋体" w:cs="宋体"/>
          <w:kern w:val="0"/>
          <w:highlight w:val="none"/>
        </w:rPr>
        <w:t>6.易用性原则</w:t>
      </w:r>
      <w:r>
        <w:rPr>
          <w:rFonts w:hint="eastAsia" w:ascii="宋体" w:hAnsi="宋体" w:eastAsia="宋体" w:cs="宋体"/>
          <w:kern w:val="0"/>
          <w:highlight w:val="none"/>
        </w:rPr>
        <w:tab/>
      </w:r>
      <w:r>
        <w:rPr>
          <w:rFonts w:hint="eastAsia" w:ascii="宋体" w:hAnsi="宋体" w:eastAsia="宋体" w:cs="宋体"/>
          <w:kern w:val="0"/>
          <w:highlight w:val="none"/>
        </w:rPr>
        <w:tab/>
      </w:r>
      <w:r>
        <w:rPr>
          <w:rFonts w:hint="eastAsia" w:ascii="宋体" w:hAnsi="宋体" w:eastAsia="宋体" w:cs="宋体"/>
          <w:kern w:val="0"/>
          <w:highlight w:val="none"/>
        </w:rPr>
        <w:tab/>
      </w:r>
    </w:p>
    <w:p w14:paraId="249EF6E3">
      <w:pPr>
        <w:spacing w:line="460" w:lineRule="exact"/>
        <w:ind w:firstLine="420" w:firstLineChars="200"/>
        <w:rPr>
          <w:rFonts w:ascii="宋体" w:hAnsi="宋体" w:eastAsia="宋体" w:cs="宋体"/>
          <w:kern w:val="0"/>
          <w:highlight w:val="none"/>
        </w:rPr>
      </w:pPr>
      <w:r>
        <w:rPr>
          <w:rFonts w:hint="eastAsia" w:ascii="宋体" w:hAnsi="宋体" w:eastAsia="宋体" w:cs="宋体"/>
          <w:kern w:val="0"/>
          <w:highlight w:val="none"/>
        </w:rPr>
        <w:tab/>
      </w:r>
      <w:r>
        <w:rPr>
          <w:rFonts w:hint="eastAsia" w:ascii="宋体" w:hAnsi="宋体" w:eastAsia="宋体" w:cs="宋体"/>
          <w:kern w:val="0"/>
          <w:highlight w:val="none"/>
        </w:rPr>
        <w:t>系统界面设计简洁直观，操作流程符合用户的使用习惯，支持多终端访问，能够快速完成用户培训，降低使用门槛，确保不同层级的用户都能够熟练使用系统。</w:t>
      </w:r>
      <w:r>
        <w:rPr>
          <w:rFonts w:hint="eastAsia" w:ascii="宋体" w:hAnsi="宋体" w:eastAsia="宋体" w:cs="宋体"/>
          <w:kern w:val="0"/>
          <w:highlight w:val="none"/>
        </w:rPr>
        <w:tab/>
      </w:r>
      <w:r>
        <w:rPr>
          <w:rFonts w:hint="eastAsia" w:ascii="宋体" w:hAnsi="宋体" w:eastAsia="宋体" w:cs="宋体"/>
          <w:kern w:val="0"/>
          <w:highlight w:val="none"/>
        </w:rPr>
        <w:tab/>
      </w:r>
      <w:r>
        <w:rPr>
          <w:rFonts w:hint="eastAsia" w:ascii="宋体" w:hAnsi="宋体" w:eastAsia="宋体" w:cs="宋体"/>
          <w:kern w:val="0"/>
          <w:highlight w:val="none"/>
        </w:rPr>
        <w:tab/>
      </w:r>
    </w:p>
    <w:p w14:paraId="0A6DE79E">
      <w:pPr>
        <w:spacing w:line="460" w:lineRule="exact"/>
        <w:ind w:firstLine="420" w:firstLineChars="200"/>
        <w:rPr>
          <w:rFonts w:ascii="宋体" w:hAnsi="宋体" w:eastAsia="宋体" w:cs="宋体"/>
          <w:kern w:val="0"/>
          <w:highlight w:val="none"/>
        </w:rPr>
      </w:pPr>
      <w:r>
        <w:rPr>
          <w:rFonts w:hint="eastAsia" w:ascii="宋体" w:hAnsi="宋体" w:eastAsia="宋体" w:cs="宋体"/>
          <w:kern w:val="0"/>
          <w:highlight w:val="none"/>
        </w:rPr>
        <w:t>（四）项目建设范围</w:t>
      </w:r>
      <w:r>
        <w:rPr>
          <w:rFonts w:hint="eastAsia" w:ascii="宋体" w:hAnsi="宋体" w:eastAsia="宋体" w:cs="宋体"/>
          <w:kern w:val="0"/>
          <w:highlight w:val="none"/>
        </w:rPr>
        <w:tab/>
      </w:r>
      <w:r>
        <w:rPr>
          <w:rFonts w:hint="eastAsia" w:ascii="宋体" w:hAnsi="宋体" w:eastAsia="宋体" w:cs="宋体"/>
          <w:kern w:val="0"/>
          <w:highlight w:val="none"/>
        </w:rPr>
        <w:tab/>
      </w:r>
      <w:r>
        <w:rPr>
          <w:rFonts w:hint="eastAsia" w:ascii="宋体" w:hAnsi="宋体" w:eastAsia="宋体" w:cs="宋体"/>
          <w:kern w:val="0"/>
          <w:highlight w:val="none"/>
        </w:rPr>
        <w:tab/>
      </w:r>
    </w:p>
    <w:p w14:paraId="40DA04B7">
      <w:pPr>
        <w:spacing w:line="460" w:lineRule="exact"/>
        <w:ind w:firstLine="420" w:firstLineChars="200"/>
        <w:rPr>
          <w:rFonts w:ascii="宋体" w:hAnsi="宋体" w:eastAsia="宋体" w:cs="宋体"/>
          <w:kern w:val="0"/>
          <w:highlight w:val="none"/>
        </w:rPr>
      </w:pPr>
      <w:r>
        <w:rPr>
          <w:rFonts w:hint="eastAsia" w:ascii="宋体" w:hAnsi="宋体" w:eastAsia="宋体" w:cs="宋体"/>
          <w:kern w:val="0"/>
          <w:highlight w:val="none"/>
        </w:rPr>
        <w:t>1.覆盖机构范围</w:t>
      </w:r>
      <w:r>
        <w:rPr>
          <w:rFonts w:hint="eastAsia" w:ascii="宋体" w:hAnsi="宋体" w:eastAsia="宋体" w:cs="宋体"/>
          <w:kern w:val="0"/>
          <w:highlight w:val="none"/>
        </w:rPr>
        <w:tab/>
      </w:r>
      <w:r>
        <w:rPr>
          <w:rFonts w:hint="eastAsia" w:ascii="宋体" w:hAnsi="宋体" w:eastAsia="宋体" w:cs="宋体"/>
          <w:kern w:val="0"/>
          <w:highlight w:val="none"/>
        </w:rPr>
        <w:tab/>
      </w:r>
      <w:r>
        <w:rPr>
          <w:rFonts w:hint="eastAsia" w:ascii="宋体" w:hAnsi="宋体" w:eastAsia="宋体" w:cs="宋体"/>
          <w:kern w:val="0"/>
          <w:highlight w:val="none"/>
        </w:rPr>
        <w:tab/>
      </w:r>
    </w:p>
    <w:p w14:paraId="4974461C">
      <w:pPr>
        <w:spacing w:line="460" w:lineRule="exact"/>
        <w:ind w:firstLine="420" w:firstLineChars="200"/>
        <w:rPr>
          <w:rFonts w:ascii="宋体" w:hAnsi="宋体" w:eastAsia="宋体" w:cs="宋体"/>
          <w:kern w:val="0"/>
          <w:highlight w:val="none"/>
        </w:rPr>
      </w:pPr>
      <w:r>
        <w:rPr>
          <w:rFonts w:hint="eastAsia" w:ascii="宋体" w:hAnsi="宋体" w:eastAsia="宋体" w:cs="宋体"/>
          <w:kern w:val="0"/>
          <w:highlight w:val="none"/>
        </w:rPr>
        <w:t>1.1县级医疗机构：昌宁县人民医院、昌宁县中医院、昌宁县妇幼保健计划生育服务中心；</w:t>
      </w:r>
      <w:r>
        <w:rPr>
          <w:rFonts w:hint="eastAsia" w:ascii="宋体" w:hAnsi="宋体" w:eastAsia="宋体" w:cs="宋体"/>
          <w:kern w:val="0"/>
          <w:highlight w:val="none"/>
        </w:rPr>
        <w:tab/>
      </w:r>
      <w:r>
        <w:rPr>
          <w:rFonts w:hint="eastAsia" w:ascii="宋体" w:hAnsi="宋体" w:eastAsia="宋体" w:cs="宋体"/>
          <w:kern w:val="0"/>
          <w:highlight w:val="none"/>
        </w:rPr>
        <w:tab/>
      </w:r>
    </w:p>
    <w:p w14:paraId="3E93D824">
      <w:pPr>
        <w:spacing w:line="460" w:lineRule="exact"/>
        <w:ind w:firstLine="420" w:firstLineChars="200"/>
        <w:rPr>
          <w:rFonts w:ascii="宋体" w:hAnsi="宋体" w:eastAsia="宋体" w:cs="宋体"/>
          <w:kern w:val="0"/>
          <w:highlight w:val="none"/>
        </w:rPr>
      </w:pPr>
      <w:r>
        <w:rPr>
          <w:rFonts w:hint="eastAsia" w:ascii="宋体" w:hAnsi="宋体" w:eastAsia="宋体" w:cs="宋体"/>
          <w:kern w:val="0"/>
          <w:highlight w:val="none"/>
        </w:rPr>
        <w:t>1.2乡镇卫生院：昌宁县12个乡镇卫生院；</w:t>
      </w:r>
      <w:r>
        <w:rPr>
          <w:rFonts w:hint="eastAsia" w:ascii="宋体" w:hAnsi="宋体" w:eastAsia="宋体" w:cs="宋体"/>
          <w:kern w:val="0"/>
          <w:highlight w:val="none"/>
        </w:rPr>
        <w:tab/>
      </w:r>
      <w:r>
        <w:rPr>
          <w:rFonts w:hint="eastAsia" w:ascii="宋体" w:hAnsi="宋体" w:eastAsia="宋体" w:cs="宋体"/>
          <w:kern w:val="0"/>
          <w:highlight w:val="none"/>
        </w:rPr>
        <w:tab/>
      </w:r>
    </w:p>
    <w:p w14:paraId="0771E0DB">
      <w:pPr>
        <w:spacing w:line="460" w:lineRule="exact"/>
        <w:ind w:firstLine="420" w:firstLineChars="200"/>
        <w:rPr>
          <w:rFonts w:ascii="宋体" w:hAnsi="宋体" w:eastAsia="宋体" w:cs="宋体"/>
          <w:kern w:val="0"/>
          <w:highlight w:val="none"/>
        </w:rPr>
      </w:pPr>
      <w:r>
        <w:rPr>
          <w:rFonts w:hint="eastAsia" w:ascii="宋体" w:hAnsi="宋体" w:eastAsia="宋体" w:cs="宋体"/>
          <w:kern w:val="0"/>
          <w:highlight w:val="none"/>
        </w:rPr>
        <w:t>1.3 覆盖全县所有村卫生室的慢病管理业务协同。</w:t>
      </w:r>
      <w:r>
        <w:rPr>
          <w:rFonts w:hint="eastAsia" w:ascii="宋体" w:hAnsi="宋体" w:eastAsia="宋体" w:cs="宋体"/>
          <w:kern w:val="0"/>
          <w:highlight w:val="none"/>
        </w:rPr>
        <w:tab/>
      </w:r>
      <w:r>
        <w:rPr>
          <w:rFonts w:hint="eastAsia" w:ascii="宋体" w:hAnsi="宋体" w:eastAsia="宋体" w:cs="宋体"/>
          <w:kern w:val="0"/>
          <w:highlight w:val="none"/>
        </w:rPr>
        <w:tab/>
      </w:r>
    </w:p>
    <w:p w14:paraId="08BFDB7C">
      <w:pPr>
        <w:spacing w:line="460" w:lineRule="exact"/>
        <w:ind w:firstLine="420" w:firstLineChars="200"/>
        <w:rPr>
          <w:rFonts w:ascii="宋体" w:hAnsi="宋体" w:eastAsia="宋体" w:cs="宋体"/>
          <w:kern w:val="0"/>
          <w:highlight w:val="none"/>
        </w:rPr>
      </w:pPr>
      <w:r>
        <w:rPr>
          <w:rFonts w:hint="eastAsia" w:ascii="宋体" w:hAnsi="宋体" w:eastAsia="宋体" w:cs="宋体"/>
          <w:kern w:val="0"/>
          <w:highlight w:val="none"/>
        </w:rPr>
        <w:t>2.系统功能范围</w:t>
      </w:r>
      <w:r>
        <w:rPr>
          <w:rFonts w:hint="eastAsia" w:ascii="宋体" w:hAnsi="宋体" w:eastAsia="宋体" w:cs="宋体"/>
          <w:kern w:val="0"/>
          <w:highlight w:val="none"/>
        </w:rPr>
        <w:tab/>
      </w:r>
      <w:r>
        <w:rPr>
          <w:rFonts w:hint="eastAsia" w:ascii="宋体" w:hAnsi="宋体" w:eastAsia="宋体" w:cs="宋体"/>
          <w:kern w:val="0"/>
          <w:highlight w:val="none"/>
        </w:rPr>
        <w:tab/>
      </w:r>
      <w:r>
        <w:rPr>
          <w:rFonts w:hint="eastAsia" w:ascii="宋体" w:hAnsi="宋体" w:eastAsia="宋体" w:cs="宋体"/>
          <w:kern w:val="0"/>
          <w:highlight w:val="none"/>
        </w:rPr>
        <w:tab/>
      </w:r>
    </w:p>
    <w:p w14:paraId="7F789D97">
      <w:pPr>
        <w:spacing w:line="460" w:lineRule="exact"/>
        <w:ind w:firstLine="420" w:firstLineChars="200"/>
        <w:rPr>
          <w:rFonts w:ascii="宋体" w:hAnsi="宋体" w:eastAsia="宋体" w:cs="宋体"/>
          <w:kern w:val="0"/>
          <w:highlight w:val="none"/>
        </w:rPr>
      </w:pPr>
      <w:r>
        <w:rPr>
          <w:rFonts w:hint="eastAsia" w:ascii="宋体" w:hAnsi="宋体" w:eastAsia="宋体" w:cs="宋体"/>
          <w:kern w:val="0"/>
          <w:highlight w:val="none"/>
        </w:rPr>
        <w:t>2.1慢病管理中心管理端：面向医疗机构医生、护士、公共卫生人员、卫生健康行政部门管理人员，提供工作台、数据管理、慢病管理、肿瘤管理、高危人群管理、随访管理、统计分析、系统管理等全功能模块；</w:t>
      </w:r>
      <w:r>
        <w:rPr>
          <w:rFonts w:hint="eastAsia" w:ascii="宋体" w:hAnsi="宋体" w:eastAsia="宋体" w:cs="宋体"/>
          <w:kern w:val="0"/>
          <w:highlight w:val="none"/>
        </w:rPr>
        <w:tab/>
      </w:r>
      <w:r>
        <w:rPr>
          <w:rFonts w:hint="eastAsia" w:ascii="宋体" w:hAnsi="宋体" w:eastAsia="宋体" w:cs="宋体"/>
          <w:kern w:val="0"/>
          <w:highlight w:val="none"/>
        </w:rPr>
        <w:tab/>
      </w:r>
    </w:p>
    <w:p w14:paraId="453794DF">
      <w:pPr>
        <w:spacing w:line="460" w:lineRule="exact"/>
        <w:ind w:firstLine="420" w:firstLineChars="200"/>
        <w:rPr>
          <w:rFonts w:ascii="宋体" w:hAnsi="宋体" w:eastAsia="宋体" w:cs="宋体"/>
          <w:kern w:val="0"/>
          <w:highlight w:val="none"/>
        </w:rPr>
      </w:pPr>
      <w:r>
        <w:rPr>
          <w:rFonts w:hint="eastAsia" w:ascii="宋体" w:hAnsi="宋体" w:eastAsia="宋体" w:cs="宋体"/>
          <w:kern w:val="0"/>
          <w:highlight w:val="none"/>
        </w:rPr>
        <w:t>2.2慢病管理中心居民端：面向辖区居民，提供健康咨询、健康档案、健康课堂、慢病自我管理、随访提醒、预约挂号等功能模块。</w:t>
      </w:r>
      <w:r>
        <w:rPr>
          <w:rFonts w:hint="eastAsia" w:ascii="宋体" w:hAnsi="宋体" w:eastAsia="宋体" w:cs="宋体"/>
          <w:kern w:val="0"/>
          <w:highlight w:val="none"/>
        </w:rPr>
        <w:tab/>
      </w:r>
      <w:r>
        <w:rPr>
          <w:rFonts w:hint="eastAsia" w:ascii="宋体" w:hAnsi="宋体" w:eastAsia="宋体" w:cs="宋体"/>
          <w:kern w:val="0"/>
          <w:highlight w:val="none"/>
        </w:rPr>
        <w:tab/>
      </w:r>
    </w:p>
    <w:p w14:paraId="1B2CFDA2">
      <w:pPr>
        <w:spacing w:line="460" w:lineRule="exact"/>
        <w:ind w:firstLine="420" w:firstLineChars="200"/>
        <w:rPr>
          <w:rFonts w:ascii="宋体" w:hAnsi="宋体" w:eastAsia="宋体" w:cs="宋体"/>
          <w:kern w:val="0"/>
          <w:highlight w:val="none"/>
        </w:rPr>
      </w:pPr>
      <w:r>
        <w:rPr>
          <w:rFonts w:hint="eastAsia" w:ascii="宋体" w:hAnsi="宋体" w:eastAsia="宋体" w:cs="宋体"/>
          <w:kern w:val="0"/>
          <w:highlight w:val="none"/>
        </w:rPr>
        <w:t>3.服务范围</w:t>
      </w:r>
      <w:r>
        <w:rPr>
          <w:rFonts w:hint="eastAsia" w:ascii="宋体" w:hAnsi="宋体" w:eastAsia="宋体" w:cs="宋体"/>
          <w:kern w:val="0"/>
          <w:highlight w:val="none"/>
        </w:rPr>
        <w:tab/>
      </w:r>
      <w:r>
        <w:rPr>
          <w:rFonts w:hint="eastAsia" w:ascii="宋体" w:hAnsi="宋体" w:eastAsia="宋体" w:cs="宋体"/>
          <w:kern w:val="0"/>
          <w:highlight w:val="none"/>
        </w:rPr>
        <w:tab/>
      </w:r>
      <w:r>
        <w:rPr>
          <w:rFonts w:hint="eastAsia" w:ascii="宋体" w:hAnsi="宋体" w:eastAsia="宋体" w:cs="宋体"/>
          <w:kern w:val="0"/>
          <w:highlight w:val="none"/>
        </w:rPr>
        <w:tab/>
      </w:r>
    </w:p>
    <w:p w14:paraId="0DABE88C">
      <w:pPr>
        <w:spacing w:line="460" w:lineRule="exact"/>
        <w:ind w:firstLine="420" w:firstLineChars="200"/>
        <w:rPr>
          <w:rFonts w:ascii="宋体" w:hAnsi="宋体" w:eastAsia="宋体" w:cs="宋体"/>
          <w:kern w:val="0"/>
          <w:highlight w:val="none"/>
        </w:rPr>
      </w:pPr>
      <w:r>
        <w:rPr>
          <w:rFonts w:hint="eastAsia" w:ascii="宋体" w:hAnsi="宋体" w:eastAsia="宋体" w:cs="宋体"/>
          <w:kern w:val="0"/>
          <w:highlight w:val="none"/>
        </w:rPr>
        <w:t>3.1系统实施服务：包括系统部署、调试、配置、数据对接、试运行、验收等全流程实施服务；</w:t>
      </w:r>
      <w:r>
        <w:rPr>
          <w:rFonts w:hint="eastAsia" w:ascii="宋体" w:hAnsi="宋体" w:eastAsia="宋体" w:cs="宋体"/>
          <w:kern w:val="0"/>
          <w:highlight w:val="none"/>
        </w:rPr>
        <w:tab/>
      </w:r>
      <w:r>
        <w:rPr>
          <w:rFonts w:hint="eastAsia" w:ascii="宋体" w:hAnsi="宋体" w:eastAsia="宋体" w:cs="宋体"/>
          <w:kern w:val="0"/>
          <w:highlight w:val="none"/>
        </w:rPr>
        <w:tab/>
      </w:r>
    </w:p>
    <w:p w14:paraId="01F67B97">
      <w:pPr>
        <w:spacing w:line="460" w:lineRule="exact"/>
        <w:ind w:firstLine="420" w:firstLineChars="200"/>
        <w:rPr>
          <w:rFonts w:ascii="宋体" w:hAnsi="宋体" w:eastAsia="宋体" w:cs="宋体"/>
          <w:kern w:val="0"/>
          <w:highlight w:val="none"/>
        </w:rPr>
      </w:pPr>
      <w:r>
        <w:rPr>
          <w:rFonts w:hint="eastAsia" w:ascii="宋体" w:hAnsi="宋体" w:eastAsia="宋体" w:cs="宋体"/>
          <w:kern w:val="0"/>
          <w:highlight w:val="none"/>
        </w:rPr>
        <w:t>3.2培训服务：针对不同用户角色的分层分类培训服务，确保所有用户能够熟练使用系统；</w:t>
      </w:r>
      <w:r>
        <w:rPr>
          <w:rFonts w:hint="eastAsia" w:ascii="宋体" w:hAnsi="宋体" w:eastAsia="宋体" w:cs="宋体"/>
          <w:kern w:val="0"/>
          <w:highlight w:val="none"/>
        </w:rPr>
        <w:tab/>
      </w:r>
      <w:r>
        <w:rPr>
          <w:rFonts w:hint="eastAsia" w:ascii="宋体" w:hAnsi="宋体" w:eastAsia="宋体" w:cs="宋体"/>
          <w:kern w:val="0"/>
          <w:highlight w:val="none"/>
        </w:rPr>
        <w:tab/>
      </w:r>
    </w:p>
    <w:p w14:paraId="7DBE02B5">
      <w:pPr>
        <w:spacing w:line="460" w:lineRule="exact"/>
        <w:ind w:firstLine="420" w:firstLineChars="200"/>
        <w:rPr>
          <w:rFonts w:ascii="宋体" w:hAnsi="宋体" w:eastAsia="宋体" w:cs="宋体"/>
          <w:kern w:val="0"/>
          <w:highlight w:val="none"/>
        </w:rPr>
      </w:pPr>
      <w:r>
        <w:rPr>
          <w:rFonts w:hint="eastAsia" w:ascii="宋体" w:hAnsi="宋体" w:eastAsia="宋体" w:cs="宋体"/>
          <w:kern w:val="0"/>
          <w:highlight w:val="none"/>
        </w:rPr>
        <w:t>3.3运维服务：提供质保期内的7*24小时技术支持、故障排查、系统巡检、数据备份等运维服务；</w:t>
      </w:r>
    </w:p>
    <w:p w14:paraId="7F22AE80">
      <w:pPr>
        <w:spacing w:line="460" w:lineRule="exact"/>
        <w:ind w:firstLine="420" w:firstLineChars="200"/>
        <w:rPr>
          <w:rFonts w:ascii="宋体" w:hAnsi="宋体" w:eastAsia="宋体" w:cs="宋体"/>
          <w:kern w:val="0"/>
          <w:highlight w:val="none"/>
        </w:rPr>
      </w:pPr>
      <w:r>
        <w:rPr>
          <w:rFonts w:hint="eastAsia" w:ascii="宋体" w:hAnsi="宋体" w:eastAsia="宋体" w:cs="宋体"/>
          <w:kern w:val="0"/>
          <w:highlight w:val="none"/>
        </w:rPr>
        <w:t>3.4升级服务：提供质保期内的系统功能升级、版本更新服务，保障系统的持续适用性。</w:t>
      </w:r>
    </w:p>
    <w:p w14:paraId="7D283047">
      <w:pPr>
        <w:spacing w:line="460" w:lineRule="exact"/>
        <w:ind w:firstLine="420" w:firstLineChars="200"/>
        <w:outlineLvl w:val="1"/>
        <w:rPr>
          <w:rFonts w:ascii="宋体" w:hAnsi="宋体" w:eastAsia="宋体" w:cs="宋体"/>
          <w:kern w:val="0"/>
          <w:highlight w:val="none"/>
        </w:rPr>
      </w:pPr>
      <w:r>
        <w:rPr>
          <w:rFonts w:hint="eastAsia" w:ascii="宋体" w:hAnsi="宋体" w:eastAsia="宋体" w:cs="宋体"/>
          <w:kern w:val="0"/>
          <w:highlight w:val="none"/>
        </w:rPr>
        <w:t>（五）慢病管理信息系统功能技术要求</w:t>
      </w:r>
    </w:p>
    <w:p w14:paraId="27E73131">
      <w:pPr>
        <w:spacing w:line="460" w:lineRule="exact"/>
        <w:ind w:firstLine="420" w:firstLineChars="200"/>
        <w:outlineLvl w:val="1"/>
        <w:rPr>
          <w:rFonts w:ascii="宋体" w:hAnsi="宋体" w:eastAsia="宋体" w:cs="宋体"/>
          <w:kern w:val="0"/>
          <w:highlight w:val="none"/>
        </w:rPr>
      </w:pPr>
      <w:r>
        <w:rPr>
          <w:rFonts w:hint="eastAsia" w:ascii="宋体" w:hAnsi="宋体" w:eastAsia="宋体" w:cs="宋体"/>
          <w:kern w:val="0"/>
          <w:highlight w:val="none"/>
        </w:rPr>
        <w:t>1.慢病管理信息系统功能清单及技术要求</w:t>
      </w:r>
    </w:p>
    <w:tbl>
      <w:tblPr>
        <w:tblStyle w:val="27"/>
        <w:tblW w:w="9487" w:type="dxa"/>
        <w:tblInd w:w="96" w:type="dxa"/>
        <w:tblLayout w:type="fixed"/>
        <w:tblCellMar>
          <w:top w:w="0" w:type="dxa"/>
          <w:left w:w="108" w:type="dxa"/>
          <w:bottom w:w="0" w:type="dxa"/>
          <w:right w:w="108" w:type="dxa"/>
        </w:tblCellMar>
      </w:tblPr>
      <w:tblGrid>
        <w:gridCol w:w="705"/>
        <w:gridCol w:w="1189"/>
        <w:gridCol w:w="1154"/>
        <w:gridCol w:w="1223"/>
        <w:gridCol w:w="5216"/>
      </w:tblGrid>
      <w:tr w14:paraId="1B5D4525">
        <w:tblPrEx>
          <w:tblCellMar>
            <w:top w:w="0" w:type="dxa"/>
            <w:left w:w="108" w:type="dxa"/>
            <w:bottom w:w="0" w:type="dxa"/>
            <w:right w:w="108" w:type="dxa"/>
          </w:tblCellMar>
        </w:tblPrEx>
        <w:trPr>
          <w:trHeight w:val="402" w:hRule="atLeast"/>
        </w:trPr>
        <w:tc>
          <w:tcPr>
            <w:tcW w:w="705" w:type="dxa"/>
            <w:tcBorders>
              <w:top w:val="single" w:color="000000" w:sz="4" w:space="0"/>
              <w:left w:val="single" w:color="000000" w:sz="4" w:space="0"/>
              <w:bottom w:val="single" w:color="000000" w:sz="4" w:space="0"/>
              <w:right w:val="single" w:color="000000" w:sz="4" w:space="0"/>
            </w:tcBorders>
            <w:shd w:val="clear" w:color="auto" w:fill="FFFF00"/>
            <w:vAlign w:val="center"/>
          </w:tcPr>
          <w:p w14:paraId="7AC1A1A0">
            <w:pPr>
              <w:keepNext w:val="0"/>
              <w:keepLines w:val="0"/>
              <w:widowControl/>
              <w:suppressLineNumbers w:val="0"/>
              <w:jc w:val="center"/>
              <w:textAlignment w:val="center"/>
              <w:rPr>
                <w:rFonts w:ascii="宋体" w:hAnsi="宋体" w:eastAsia="宋体" w:cs="宋体"/>
                <w:b/>
                <w:bCs/>
                <w:color w:val="000000"/>
                <w:sz w:val="21"/>
                <w:szCs w:val="21"/>
                <w:highlight w:val="none"/>
              </w:rPr>
            </w:pPr>
            <w:r>
              <w:rPr>
                <w:rFonts w:hint="eastAsia" w:ascii="宋体" w:hAnsi="宋体" w:eastAsia="宋体" w:cs="宋体"/>
                <w:b/>
                <w:bCs/>
                <w:i w:val="0"/>
                <w:iCs w:val="0"/>
                <w:color w:val="000000"/>
                <w:kern w:val="0"/>
                <w:sz w:val="21"/>
                <w:szCs w:val="21"/>
                <w:highlight w:val="none"/>
                <w:u w:val="none"/>
                <w:lang w:val="en-US" w:eastAsia="zh-CN" w:bidi="ar"/>
              </w:rPr>
              <w:t>系统</w:t>
            </w:r>
          </w:p>
        </w:tc>
        <w:tc>
          <w:tcPr>
            <w:tcW w:w="1189" w:type="dxa"/>
            <w:tcBorders>
              <w:top w:val="single" w:color="000000" w:sz="4" w:space="0"/>
              <w:left w:val="single" w:color="000000" w:sz="4" w:space="0"/>
              <w:bottom w:val="single" w:color="000000" w:sz="4" w:space="0"/>
              <w:right w:val="single" w:color="000000" w:sz="4" w:space="0"/>
            </w:tcBorders>
            <w:shd w:val="clear" w:color="auto" w:fill="FFFF00"/>
            <w:vAlign w:val="center"/>
          </w:tcPr>
          <w:p w14:paraId="6AF28366">
            <w:pPr>
              <w:keepNext w:val="0"/>
              <w:keepLines w:val="0"/>
              <w:widowControl/>
              <w:suppressLineNumbers w:val="0"/>
              <w:jc w:val="center"/>
              <w:textAlignment w:val="center"/>
              <w:rPr>
                <w:rFonts w:ascii="宋体" w:hAnsi="宋体" w:eastAsia="宋体" w:cs="宋体"/>
                <w:b/>
                <w:bCs/>
                <w:color w:val="000000"/>
                <w:sz w:val="21"/>
                <w:szCs w:val="21"/>
                <w:highlight w:val="none"/>
              </w:rPr>
            </w:pPr>
            <w:r>
              <w:rPr>
                <w:rFonts w:hint="eastAsia" w:ascii="宋体" w:hAnsi="宋体" w:eastAsia="宋体" w:cs="宋体"/>
                <w:b/>
                <w:bCs/>
                <w:i w:val="0"/>
                <w:iCs w:val="0"/>
                <w:color w:val="000000"/>
                <w:kern w:val="0"/>
                <w:sz w:val="21"/>
                <w:szCs w:val="21"/>
                <w:highlight w:val="none"/>
                <w:u w:val="none"/>
                <w:lang w:val="en-US" w:eastAsia="zh-CN" w:bidi="ar"/>
              </w:rPr>
              <w:t>一级功能</w:t>
            </w:r>
          </w:p>
        </w:tc>
        <w:tc>
          <w:tcPr>
            <w:tcW w:w="1154" w:type="dxa"/>
            <w:tcBorders>
              <w:top w:val="single" w:color="000000" w:sz="4" w:space="0"/>
              <w:left w:val="single" w:color="000000" w:sz="4" w:space="0"/>
              <w:bottom w:val="single" w:color="000000" w:sz="4" w:space="0"/>
              <w:right w:val="single" w:color="000000" w:sz="4" w:space="0"/>
            </w:tcBorders>
            <w:shd w:val="clear" w:color="auto" w:fill="FFFF00"/>
            <w:vAlign w:val="center"/>
          </w:tcPr>
          <w:p w14:paraId="5FA2DD8B">
            <w:pPr>
              <w:keepNext w:val="0"/>
              <w:keepLines w:val="0"/>
              <w:widowControl/>
              <w:suppressLineNumbers w:val="0"/>
              <w:jc w:val="center"/>
              <w:textAlignment w:val="center"/>
              <w:rPr>
                <w:rFonts w:ascii="宋体" w:hAnsi="宋体" w:eastAsia="宋体" w:cs="宋体"/>
                <w:b/>
                <w:bCs/>
                <w:color w:val="000000"/>
                <w:sz w:val="21"/>
                <w:szCs w:val="21"/>
                <w:highlight w:val="none"/>
              </w:rPr>
            </w:pPr>
            <w:r>
              <w:rPr>
                <w:rFonts w:hint="eastAsia" w:ascii="宋体" w:hAnsi="宋体" w:eastAsia="宋体" w:cs="宋体"/>
                <w:b/>
                <w:bCs/>
                <w:i w:val="0"/>
                <w:iCs w:val="0"/>
                <w:color w:val="000000"/>
                <w:kern w:val="0"/>
                <w:sz w:val="21"/>
                <w:szCs w:val="21"/>
                <w:highlight w:val="none"/>
                <w:u w:val="none"/>
                <w:lang w:val="en-US" w:eastAsia="zh-CN" w:bidi="ar"/>
              </w:rPr>
              <w:t>二级功能</w:t>
            </w:r>
          </w:p>
        </w:tc>
        <w:tc>
          <w:tcPr>
            <w:tcW w:w="1223" w:type="dxa"/>
            <w:tcBorders>
              <w:top w:val="single" w:color="000000" w:sz="4" w:space="0"/>
              <w:left w:val="single" w:color="000000" w:sz="4" w:space="0"/>
              <w:bottom w:val="single" w:color="000000" w:sz="4" w:space="0"/>
              <w:right w:val="single" w:color="000000" w:sz="4" w:space="0"/>
            </w:tcBorders>
            <w:shd w:val="clear" w:color="auto" w:fill="FFFF00"/>
            <w:vAlign w:val="center"/>
          </w:tcPr>
          <w:p w14:paraId="3ED1CF91">
            <w:pPr>
              <w:keepNext w:val="0"/>
              <w:keepLines w:val="0"/>
              <w:widowControl/>
              <w:suppressLineNumbers w:val="0"/>
              <w:jc w:val="center"/>
              <w:textAlignment w:val="center"/>
              <w:rPr>
                <w:rFonts w:ascii="宋体" w:hAnsi="宋体" w:eastAsia="宋体" w:cs="宋体"/>
                <w:b/>
                <w:bCs/>
                <w:color w:val="000000"/>
                <w:sz w:val="21"/>
                <w:szCs w:val="21"/>
                <w:highlight w:val="none"/>
              </w:rPr>
            </w:pPr>
            <w:r>
              <w:rPr>
                <w:rFonts w:hint="eastAsia" w:ascii="宋体" w:hAnsi="宋体" w:eastAsia="宋体" w:cs="宋体"/>
                <w:b/>
                <w:bCs/>
                <w:i w:val="0"/>
                <w:iCs w:val="0"/>
                <w:color w:val="000000"/>
                <w:kern w:val="0"/>
                <w:sz w:val="21"/>
                <w:szCs w:val="21"/>
                <w:highlight w:val="none"/>
                <w:u w:val="none"/>
                <w:lang w:val="en-US" w:eastAsia="zh-CN" w:bidi="ar"/>
              </w:rPr>
              <w:t>三级功能</w:t>
            </w:r>
          </w:p>
        </w:tc>
        <w:tc>
          <w:tcPr>
            <w:tcW w:w="5216" w:type="dxa"/>
            <w:tcBorders>
              <w:top w:val="single" w:color="000000" w:sz="4" w:space="0"/>
              <w:left w:val="single" w:color="000000" w:sz="4" w:space="0"/>
              <w:bottom w:val="single" w:color="000000" w:sz="4" w:space="0"/>
              <w:right w:val="single" w:color="000000" w:sz="4" w:space="0"/>
            </w:tcBorders>
            <w:shd w:val="clear" w:color="auto" w:fill="FFFF00"/>
            <w:vAlign w:val="center"/>
          </w:tcPr>
          <w:p w14:paraId="2918DB23">
            <w:pPr>
              <w:keepNext w:val="0"/>
              <w:keepLines w:val="0"/>
              <w:widowControl/>
              <w:suppressLineNumbers w:val="0"/>
              <w:jc w:val="center"/>
              <w:textAlignment w:val="center"/>
              <w:rPr>
                <w:rFonts w:ascii="宋体" w:hAnsi="宋体" w:eastAsia="宋体" w:cs="宋体"/>
                <w:b/>
                <w:bCs/>
                <w:color w:val="000000"/>
                <w:sz w:val="21"/>
                <w:szCs w:val="21"/>
                <w:highlight w:val="none"/>
              </w:rPr>
            </w:pPr>
            <w:r>
              <w:rPr>
                <w:rFonts w:hint="eastAsia" w:ascii="宋体" w:hAnsi="宋体" w:eastAsia="宋体" w:cs="宋体"/>
                <w:b/>
                <w:bCs/>
                <w:i w:val="0"/>
                <w:iCs w:val="0"/>
                <w:color w:val="000000"/>
                <w:kern w:val="0"/>
                <w:sz w:val="21"/>
                <w:szCs w:val="21"/>
                <w:highlight w:val="none"/>
                <w:u w:val="none"/>
                <w:lang w:val="en-US" w:eastAsia="zh-CN" w:bidi="ar"/>
              </w:rPr>
              <w:t>功能/系统描述</w:t>
            </w:r>
          </w:p>
        </w:tc>
      </w:tr>
      <w:tr w14:paraId="33F6B365">
        <w:tblPrEx>
          <w:tblCellMar>
            <w:top w:w="0" w:type="dxa"/>
            <w:left w:w="108" w:type="dxa"/>
            <w:bottom w:w="0" w:type="dxa"/>
            <w:right w:w="108" w:type="dxa"/>
          </w:tblCellMar>
        </w:tblPrEx>
        <w:trPr>
          <w:trHeight w:val="730" w:hRule="atLeast"/>
        </w:trPr>
        <w:tc>
          <w:tcPr>
            <w:tcW w:w="705" w:type="dxa"/>
            <w:vMerge w:val="restart"/>
            <w:tcBorders>
              <w:top w:val="single" w:color="000000" w:sz="4" w:space="0"/>
              <w:left w:val="single" w:color="000000" w:sz="4" w:space="0"/>
              <w:bottom w:val="single" w:color="000000" w:sz="4" w:space="0"/>
              <w:right w:val="single" w:color="000000" w:sz="4" w:space="0"/>
            </w:tcBorders>
            <w:vAlign w:val="center"/>
          </w:tcPr>
          <w:p w14:paraId="53A94E2A">
            <w:pPr>
              <w:keepNext w:val="0"/>
              <w:keepLines w:val="0"/>
              <w:widowControl/>
              <w:suppressLineNumbers w:val="0"/>
              <w:jc w:val="center"/>
              <w:textAlignment w:val="center"/>
              <w:rPr>
                <w:rFonts w:ascii="宋体" w:hAnsi="宋体" w:eastAsia="宋体" w:cs="宋体"/>
                <w:b/>
                <w:bCs/>
                <w:color w:val="000000"/>
                <w:sz w:val="21"/>
                <w:szCs w:val="21"/>
                <w:highlight w:val="none"/>
              </w:rPr>
            </w:pPr>
            <w:r>
              <w:rPr>
                <w:rFonts w:hint="eastAsia" w:ascii="宋体" w:hAnsi="宋体" w:eastAsia="宋体" w:cs="宋体"/>
                <w:b/>
                <w:bCs/>
                <w:i w:val="0"/>
                <w:iCs w:val="0"/>
                <w:color w:val="000000"/>
                <w:kern w:val="0"/>
                <w:sz w:val="21"/>
                <w:szCs w:val="21"/>
                <w:highlight w:val="none"/>
                <w:u w:val="none"/>
                <w:lang w:val="en-US" w:eastAsia="zh-CN" w:bidi="ar"/>
              </w:rPr>
              <w:t>慢病管理中心管理端</w:t>
            </w:r>
          </w:p>
        </w:tc>
        <w:tc>
          <w:tcPr>
            <w:tcW w:w="1189" w:type="dxa"/>
            <w:tcBorders>
              <w:top w:val="single" w:color="000000" w:sz="4" w:space="0"/>
              <w:left w:val="single" w:color="000000" w:sz="4" w:space="0"/>
              <w:bottom w:val="single" w:color="000000" w:sz="4" w:space="0"/>
              <w:right w:val="single" w:color="000000" w:sz="4" w:space="0"/>
            </w:tcBorders>
            <w:vAlign w:val="center"/>
          </w:tcPr>
          <w:p w14:paraId="1FF58CCC">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工作台</w:t>
            </w:r>
          </w:p>
        </w:tc>
        <w:tc>
          <w:tcPr>
            <w:tcW w:w="1154" w:type="dxa"/>
            <w:tcBorders>
              <w:top w:val="single" w:color="000000" w:sz="4" w:space="0"/>
              <w:left w:val="single" w:color="000000" w:sz="4" w:space="0"/>
              <w:bottom w:val="single" w:color="000000" w:sz="4" w:space="0"/>
              <w:right w:val="single" w:color="000000" w:sz="4" w:space="0"/>
            </w:tcBorders>
            <w:vAlign w:val="center"/>
          </w:tcPr>
          <w:p w14:paraId="4E2F95E9">
            <w:pPr>
              <w:rPr>
                <w:rFonts w:ascii="宋体" w:hAnsi="宋体" w:eastAsia="宋体" w:cs="宋体"/>
                <w:color w:val="000000"/>
                <w:sz w:val="21"/>
                <w:szCs w:val="21"/>
                <w:highlight w:val="none"/>
              </w:rPr>
            </w:pPr>
          </w:p>
        </w:tc>
        <w:tc>
          <w:tcPr>
            <w:tcW w:w="1223" w:type="dxa"/>
            <w:tcBorders>
              <w:top w:val="single" w:color="000000" w:sz="4" w:space="0"/>
              <w:left w:val="single" w:color="000000" w:sz="4" w:space="0"/>
              <w:bottom w:val="single" w:color="000000" w:sz="4" w:space="0"/>
              <w:right w:val="single" w:color="000000" w:sz="4" w:space="0"/>
            </w:tcBorders>
            <w:vAlign w:val="center"/>
          </w:tcPr>
          <w:p w14:paraId="668E46A0">
            <w:pPr>
              <w:rPr>
                <w:rFonts w:ascii="宋体" w:hAnsi="宋体" w:eastAsia="宋体" w:cs="宋体"/>
                <w:color w:val="000000"/>
                <w:sz w:val="21"/>
                <w:szCs w:val="21"/>
                <w:highlight w:val="none"/>
              </w:rPr>
            </w:pPr>
          </w:p>
        </w:tc>
        <w:tc>
          <w:tcPr>
            <w:tcW w:w="5216" w:type="dxa"/>
            <w:tcBorders>
              <w:top w:val="single" w:color="000000" w:sz="4" w:space="0"/>
              <w:left w:val="single" w:color="000000" w:sz="4" w:space="0"/>
              <w:bottom w:val="single" w:color="000000" w:sz="4" w:space="0"/>
              <w:right w:val="single" w:color="000000" w:sz="4" w:space="0"/>
            </w:tcBorders>
            <w:vAlign w:val="center"/>
          </w:tcPr>
          <w:p w14:paraId="4E318F25">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▲对用户的今日待办事项、已办事项进行提醒展示。涉及慢病与肿瘤的事项，其中包含：待分管数、疾病专案评估数、疾病状态待评估数、高危提醒数、疾病提醒数、随访提醒数指标。</w:t>
            </w:r>
          </w:p>
        </w:tc>
      </w:tr>
      <w:tr w14:paraId="315F8495">
        <w:tblPrEx>
          <w:tblCellMar>
            <w:top w:w="0" w:type="dxa"/>
            <w:left w:w="108" w:type="dxa"/>
            <w:bottom w:w="0" w:type="dxa"/>
            <w:right w:w="108" w:type="dxa"/>
          </w:tblCellMar>
        </w:tblPrEx>
        <w:trPr>
          <w:trHeight w:val="378" w:hRule="atLeast"/>
        </w:trPr>
        <w:tc>
          <w:tcPr>
            <w:tcW w:w="705" w:type="dxa"/>
            <w:vMerge w:val="continue"/>
            <w:tcBorders>
              <w:top w:val="single" w:color="000000" w:sz="4" w:space="0"/>
              <w:left w:val="single" w:color="000000" w:sz="4" w:space="0"/>
              <w:bottom w:val="single" w:color="000000" w:sz="4" w:space="0"/>
              <w:right w:val="single" w:color="000000" w:sz="4" w:space="0"/>
            </w:tcBorders>
            <w:vAlign w:val="center"/>
          </w:tcPr>
          <w:p w14:paraId="1FC82DF4">
            <w:pPr>
              <w:jc w:val="center"/>
              <w:rPr>
                <w:rFonts w:ascii="宋体" w:hAnsi="宋体" w:eastAsia="宋体" w:cs="宋体"/>
                <w:b/>
                <w:bCs/>
                <w:color w:val="000000"/>
                <w:sz w:val="21"/>
                <w:szCs w:val="21"/>
                <w:highlight w:val="none"/>
              </w:rPr>
            </w:pPr>
          </w:p>
        </w:tc>
        <w:tc>
          <w:tcPr>
            <w:tcW w:w="1189" w:type="dxa"/>
            <w:vMerge w:val="restart"/>
            <w:tcBorders>
              <w:top w:val="single" w:color="000000" w:sz="4" w:space="0"/>
              <w:left w:val="single" w:color="000000" w:sz="4" w:space="0"/>
              <w:bottom w:val="single" w:color="000000" w:sz="4" w:space="0"/>
              <w:right w:val="single" w:color="000000" w:sz="4" w:space="0"/>
            </w:tcBorders>
            <w:vAlign w:val="center"/>
          </w:tcPr>
          <w:p w14:paraId="2F635164">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数据管理</w:t>
            </w:r>
          </w:p>
        </w:tc>
        <w:tc>
          <w:tcPr>
            <w:tcW w:w="1154" w:type="dxa"/>
            <w:vMerge w:val="restart"/>
            <w:tcBorders>
              <w:top w:val="single" w:color="000000" w:sz="4" w:space="0"/>
              <w:left w:val="single" w:color="000000" w:sz="4" w:space="0"/>
              <w:bottom w:val="single" w:color="000000" w:sz="4" w:space="0"/>
              <w:right w:val="single" w:color="000000" w:sz="4" w:space="0"/>
            </w:tcBorders>
            <w:vAlign w:val="center"/>
          </w:tcPr>
          <w:p w14:paraId="7A8AB44B">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数据分类</w:t>
            </w:r>
          </w:p>
        </w:tc>
        <w:tc>
          <w:tcPr>
            <w:tcW w:w="1223" w:type="dxa"/>
            <w:tcBorders>
              <w:top w:val="single" w:color="000000" w:sz="4" w:space="0"/>
              <w:left w:val="single" w:color="000000" w:sz="4" w:space="0"/>
              <w:bottom w:val="single" w:color="000000" w:sz="4" w:space="0"/>
              <w:right w:val="single" w:color="000000" w:sz="4" w:space="0"/>
            </w:tcBorders>
            <w:vAlign w:val="center"/>
          </w:tcPr>
          <w:p w14:paraId="0E834332">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门诊记录</w:t>
            </w:r>
          </w:p>
        </w:tc>
        <w:tc>
          <w:tcPr>
            <w:tcW w:w="5216" w:type="dxa"/>
            <w:tcBorders>
              <w:top w:val="single" w:color="000000" w:sz="4" w:space="0"/>
              <w:left w:val="single" w:color="000000" w:sz="4" w:space="0"/>
              <w:bottom w:val="single" w:color="000000" w:sz="4" w:space="0"/>
              <w:right w:val="single" w:color="000000" w:sz="4" w:space="0"/>
            </w:tcBorders>
            <w:vAlign w:val="center"/>
          </w:tcPr>
          <w:p w14:paraId="6EF1E001">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对下达慢病/肿瘤诊断的门诊记录，可以进行门诊记录查看操作。</w:t>
            </w:r>
          </w:p>
        </w:tc>
      </w:tr>
      <w:tr w14:paraId="6F961CF1">
        <w:tblPrEx>
          <w:tblCellMar>
            <w:top w:w="0" w:type="dxa"/>
            <w:left w:w="108" w:type="dxa"/>
            <w:bottom w:w="0" w:type="dxa"/>
            <w:right w:w="108" w:type="dxa"/>
          </w:tblCellMar>
        </w:tblPrEx>
        <w:trPr>
          <w:trHeight w:val="378" w:hRule="atLeast"/>
        </w:trPr>
        <w:tc>
          <w:tcPr>
            <w:tcW w:w="705" w:type="dxa"/>
            <w:vMerge w:val="continue"/>
            <w:tcBorders>
              <w:top w:val="single" w:color="000000" w:sz="4" w:space="0"/>
              <w:left w:val="single" w:color="000000" w:sz="4" w:space="0"/>
              <w:bottom w:val="single" w:color="000000" w:sz="4" w:space="0"/>
              <w:right w:val="single" w:color="000000" w:sz="4" w:space="0"/>
            </w:tcBorders>
            <w:vAlign w:val="center"/>
          </w:tcPr>
          <w:p w14:paraId="1A082728">
            <w:pPr>
              <w:jc w:val="center"/>
              <w:rPr>
                <w:rFonts w:ascii="宋体" w:hAnsi="宋体" w:eastAsia="宋体" w:cs="宋体"/>
                <w:b/>
                <w:bCs/>
                <w:color w:val="000000"/>
                <w:sz w:val="21"/>
                <w:szCs w:val="21"/>
                <w:highlight w:val="none"/>
              </w:rPr>
            </w:pPr>
          </w:p>
        </w:tc>
        <w:tc>
          <w:tcPr>
            <w:tcW w:w="1189" w:type="dxa"/>
            <w:vMerge w:val="continue"/>
            <w:tcBorders>
              <w:top w:val="single" w:color="000000" w:sz="4" w:space="0"/>
              <w:left w:val="single" w:color="000000" w:sz="4" w:space="0"/>
              <w:bottom w:val="single" w:color="000000" w:sz="4" w:space="0"/>
              <w:right w:val="single" w:color="000000" w:sz="4" w:space="0"/>
            </w:tcBorders>
            <w:vAlign w:val="center"/>
          </w:tcPr>
          <w:p w14:paraId="359D9015">
            <w:pPr>
              <w:jc w:val="left"/>
              <w:rPr>
                <w:rFonts w:ascii="宋体" w:hAnsi="宋体" w:eastAsia="宋体" w:cs="宋体"/>
                <w:color w:val="000000"/>
                <w:sz w:val="21"/>
                <w:szCs w:val="21"/>
                <w:highlight w:val="none"/>
              </w:rPr>
            </w:pPr>
          </w:p>
        </w:tc>
        <w:tc>
          <w:tcPr>
            <w:tcW w:w="1154" w:type="dxa"/>
            <w:vMerge w:val="continue"/>
            <w:tcBorders>
              <w:top w:val="single" w:color="000000" w:sz="4" w:space="0"/>
              <w:left w:val="single" w:color="000000" w:sz="4" w:space="0"/>
              <w:bottom w:val="single" w:color="000000" w:sz="4" w:space="0"/>
              <w:right w:val="single" w:color="000000" w:sz="4" w:space="0"/>
            </w:tcBorders>
            <w:vAlign w:val="center"/>
          </w:tcPr>
          <w:p w14:paraId="5629212F">
            <w:pPr>
              <w:jc w:val="left"/>
              <w:rPr>
                <w:rFonts w:ascii="宋体" w:hAnsi="宋体" w:eastAsia="宋体" w:cs="宋体"/>
                <w:color w:val="000000"/>
                <w:sz w:val="21"/>
                <w:szCs w:val="21"/>
                <w:highlight w:val="none"/>
              </w:rPr>
            </w:pPr>
          </w:p>
        </w:tc>
        <w:tc>
          <w:tcPr>
            <w:tcW w:w="1223" w:type="dxa"/>
            <w:tcBorders>
              <w:top w:val="single" w:color="000000" w:sz="4" w:space="0"/>
              <w:left w:val="single" w:color="000000" w:sz="4" w:space="0"/>
              <w:bottom w:val="single" w:color="000000" w:sz="4" w:space="0"/>
              <w:right w:val="single" w:color="000000" w:sz="4" w:space="0"/>
            </w:tcBorders>
            <w:vAlign w:val="center"/>
          </w:tcPr>
          <w:p w14:paraId="29E11AE6">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住院记录</w:t>
            </w:r>
          </w:p>
        </w:tc>
        <w:tc>
          <w:tcPr>
            <w:tcW w:w="5216" w:type="dxa"/>
            <w:tcBorders>
              <w:top w:val="single" w:color="000000" w:sz="4" w:space="0"/>
              <w:left w:val="single" w:color="000000" w:sz="4" w:space="0"/>
              <w:bottom w:val="single" w:color="000000" w:sz="4" w:space="0"/>
              <w:right w:val="single" w:color="000000" w:sz="4" w:space="0"/>
            </w:tcBorders>
            <w:vAlign w:val="center"/>
          </w:tcPr>
          <w:p w14:paraId="3940B08D">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对下达慢病/肿瘤诊断的住院记录，可以进行住院记录查看操作。</w:t>
            </w:r>
          </w:p>
        </w:tc>
      </w:tr>
      <w:tr w14:paraId="1FEBCF24">
        <w:tblPrEx>
          <w:tblCellMar>
            <w:top w:w="0" w:type="dxa"/>
            <w:left w:w="108" w:type="dxa"/>
            <w:bottom w:w="0" w:type="dxa"/>
            <w:right w:w="108" w:type="dxa"/>
          </w:tblCellMar>
        </w:tblPrEx>
        <w:trPr>
          <w:trHeight w:val="378" w:hRule="atLeast"/>
        </w:trPr>
        <w:tc>
          <w:tcPr>
            <w:tcW w:w="705" w:type="dxa"/>
            <w:vMerge w:val="continue"/>
            <w:tcBorders>
              <w:top w:val="single" w:color="000000" w:sz="4" w:space="0"/>
              <w:left w:val="single" w:color="000000" w:sz="4" w:space="0"/>
              <w:bottom w:val="single" w:color="000000" w:sz="4" w:space="0"/>
              <w:right w:val="single" w:color="000000" w:sz="4" w:space="0"/>
            </w:tcBorders>
            <w:vAlign w:val="center"/>
          </w:tcPr>
          <w:p w14:paraId="5B670653">
            <w:pPr>
              <w:jc w:val="center"/>
              <w:rPr>
                <w:rFonts w:ascii="宋体" w:hAnsi="宋体" w:eastAsia="宋体" w:cs="宋体"/>
                <w:b/>
                <w:bCs/>
                <w:color w:val="000000"/>
                <w:sz w:val="21"/>
                <w:szCs w:val="21"/>
                <w:highlight w:val="none"/>
              </w:rPr>
            </w:pPr>
          </w:p>
        </w:tc>
        <w:tc>
          <w:tcPr>
            <w:tcW w:w="1189" w:type="dxa"/>
            <w:vMerge w:val="continue"/>
            <w:tcBorders>
              <w:top w:val="single" w:color="000000" w:sz="4" w:space="0"/>
              <w:left w:val="single" w:color="000000" w:sz="4" w:space="0"/>
              <w:bottom w:val="single" w:color="000000" w:sz="4" w:space="0"/>
              <w:right w:val="single" w:color="000000" w:sz="4" w:space="0"/>
            </w:tcBorders>
            <w:vAlign w:val="center"/>
          </w:tcPr>
          <w:p w14:paraId="320B4348">
            <w:pPr>
              <w:jc w:val="left"/>
              <w:rPr>
                <w:rFonts w:ascii="宋体" w:hAnsi="宋体" w:eastAsia="宋体" w:cs="宋体"/>
                <w:color w:val="000000"/>
                <w:sz w:val="21"/>
                <w:szCs w:val="21"/>
                <w:highlight w:val="none"/>
              </w:rPr>
            </w:pPr>
          </w:p>
        </w:tc>
        <w:tc>
          <w:tcPr>
            <w:tcW w:w="1154" w:type="dxa"/>
            <w:vMerge w:val="continue"/>
            <w:tcBorders>
              <w:top w:val="single" w:color="000000" w:sz="4" w:space="0"/>
              <w:left w:val="single" w:color="000000" w:sz="4" w:space="0"/>
              <w:bottom w:val="single" w:color="000000" w:sz="4" w:space="0"/>
              <w:right w:val="single" w:color="000000" w:sz="4" w:space="0"/>
            </w:tcBorders>
            <w:vAlign w:val="center"/>
          </w:tcPr>
          <w:p w14:paraId="3347FB44">
            <w:pPr>
              <w:jc w:val="left"/>
              <w:rPr>
                <w:rFonts w:ascii="宋体" w:hAnsi="宋体" w:eastAsia="宋体" w:cs="宋体"/>
                <w:color w:val="000000"/>
                <w:sz w:val="21"/>
                <w:szCs w:val="21"/>
                <w:highlight w:val="none"/>
              </w:rPr>
            </w:pPr>
          </w:p>
        </w:tc>
        <w:tc>
          <w:tcPr>
            <w:tcW w:w="1223" w:type="dxa"/>
            <w:tcBorders>
              <w:top w:val="single" w:color="000000" w:sz="4" w:space="0"/>
              <w:left w:val="single" w:color="000000" w:sz="4" w:space="0"/>
              <w:bottom w:val="single" w:color="000000" w:sz="4" w:space="0"/>
              <w:right w:val="single" w:color="000000" w:sz="4" w:space="0"/>
            </w:tcBorders>
            <w:vAlign w:val="center"/>
          </w:tcPr>
          <w:p w14:paraId="7CBEF124">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检查记录</w:t>
            </w:r>
          </w:p>
        </w:tc>
        <w:tc>
          <w:tcPr>
            <w:tcW w:w="5216" w:type="dxa"/>
            <w:tcBorders>
              <w:top w:val="single" w:color="000000" w:sz="4" w:space="0"/>
              <w:left w:val="single" w:color="000000" w:sz="4" w:space="0"/>
              <w:bottom w:val="single" w:color="000000" w:sz="4" w:space="0"/>
              <w:right w:val="single" w:color="000000" w:sz="4" w:space="0"/>
            </w:tcBorders>
            <w:vAlign w:val="center"/>
          </w:tcPr>
          <w:p w14:paraId="3FA3D5EC">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对下达慢病/肿瘤诊断的门诊/住院记录中的检查信息，可以进行检查记录查看操作。</w:t>
            </w:r>
          </w:p>
        </w:tc>
      </w:tr>
      <w:tr w14:paraId="564E8C27">
        <w:tblPrEx>
          <w:tblCellMar>
            <w:top w:w="0" w:type="dxa"/>
            <w:left w:w="108" w:type="dxa"/>
            <w:bottom w:w="0" w:type="dxa"/>
            <w:right w:w="108" w:type="dxa"/>
          </w:tblCellMar>
        </w:tblPrEx>
        <w:trPr>
          <w:trHeight w:val="378" w:hRule="atLeast"/>
        </w:trPr>
        <w:tc>
          <w:tcPr>
            <w:tcW w:w="705" w:type="dxa"/>
            <w:vMerge w:val="continue"/>
            <w:tcBorders>
              <w:top w:val="single" w:color="000000" w:sz="4" w:space="0"/>
              <w:left w:val="single" w:color="000000" w:sz="4" w:space="0"/>
              <w:bottom w:val="single" w:color="000000" w:sz="4" w:space="0"/>
              <w:right w:val="single" w:color="000000" w:sz="4" w:space="0"/>
            </w:tcBorders>
            <w:vAlign w:val="center"/>
          </w:tcPr>
          <w:p w14:paraId="3BA49C57">
            <w:pPr>
              <w:jc w:val="center"/>
              <w:rPr>
                <w:rFonts w:ascii="宋体" w:hAnsi="宋体" w:eastAsia="宋体" w:cs="宋体"/>
                <w:b/>
                <w:bCs/>
                <w:color w:val="000000"/>
                <w:sz w:val="21"/>
                <w:szCs w:val="21"/>
                <w:highlight w:val="none"/>
              </w:rPr>
            </w:pPr>
          </w:p>
        </w:tc>
        <w:tc>
          <w:tcPr>
            <w:tcW w:w="1189" w:type="dxa"/>
            <w:vMerge w:val="continue"/>
            <w:tcBorders>
              <w:top w:val="single" w:color="000000" w:sz="4" w:space="0"/>
              <w:left w:val="single" w:color="000000" w:sz="4" w:space="0"/>
              <w:bottom w:val="single" w:color="000000" w:sz="4" w:space="0"/>
              <w:right w:val="single" w:color="000000" w:sz="4" w:space="0"/>
            </w:tcBorders>
            <w:vAlign w:val="center"/>
          </w:tcPr>
          <w:p w14:paraId="1F7E02E5">
            <w:pPr>
              <w:jc w:val="left"/>
              <w:rPr>
                <w:rFonts w:ascii="宋体" w:hAnsi="宋体" w:eastAsia="宋体" w:cs="宋体"/>
                <w:color w:val="000000"/>
                <w:sz w:val="21"/>
                <w:szCs w:val="21"/>
                <w:highlight w:val="none"/>
              </w:rPr>
            </w:pPr>
          </w:p>
        </w:tc>
        <w:tc>
          <w:tcPr>
            <w:tcW w:w="1154" w:type="dxa"/>
            <w:vMerge w:val="continue"/>
            <w:tcBorders>
              <w:top w:val="single" w:color="000000" w:sz="4" w:space="0"/>
              <w:left w:val="single" w:color="000000" w:sz="4" w:space="0"/>
              <w:bottom w:val="single" w:color="000000" w:sz="4" w:space="0"/>
              <w:right w:val="single" w:color="000000" w:sz="4" w:space="0"/>
            </w:tcBorders>
            <w:vAlign w:val="center"/>
          </w:tcPr>
          <w:p w14:paraId="1D984FD0">
            <w:pPr>
              <w:jc w:val="left"/>
              <w:rPr>
                <w:rFonts w:ascii="宋体" w:hAnsi="宋体" w:eastAsia="宋体" w:cs="宋体"/>
                <w:color w:val="000000"/>
                <w:sz w:val="21"/>
                <w:szCs w:val="21"/>
                <w:highlight w:val="none"/>
              </w:rPr>
            </w:pPr>
          </w:p>
        </w:tc>
        <w:tc>
          <w:tcPr>
            <w:tcW w:w="1223" w:type="dxa"/>
            <w:tcBorders>
              <w:top w:val="single" w:color="000000" w:sz="4" w:space="0"/>
              <w:left w:val="single" w:color="000000" w:sz="4" w:space="0"/>
              <w:bottom w:val="single" w:color="000000" w:sz="4" w:space="0"/>
              <w:right w:val="single" w:color="000000" w:sz="4" w:space="0"/>
            </w:tcBorders>
            <w:vAlign w:val="center"/>
          </w:tcPr>
          <w:p w14:paraId="1F1B5915">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检验记录</w:t>
            </w:r>
          </w:p>
        </w:tc>
        <w:tc>
          <w:tcPr>
            <w:tcW w:w="5216" w:type="dxa"/>
            <w:tcBorders>
              <w:top w:val="single" w:color="000000" w:sz="4" w:space="0"/>
              <w:left w:val="single" w:color="000000" w:sz="4" w:space="0"/>
              <w:bottom w:val="single" w:color="000000" w:sz="4" w:space="0"/>
              <w:right w:val="single" w:color="000000" w:sz="4" w:space="0"/>
            </w:tcBorders>
            <w:vAlign w:val="center"/>
          </w:tcPr>
          <w:p w14:paraId="78065026">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对下达慢病/肿瘤诊断的门诊/住院记录中的检验信息，可以进行检验记录查看操作。</w:t>
            </w:r>
          </w:p>
        </w:tc>
      </w:tr>
      <w:tr w14:paraId="6138A4F6">
        <w:tblPrEx>
          <w:tblCellMar>
            <w:top w:w="0" w:type="dxa"/>
            <w:left w:w="108" w:type="dxa"/>
            <w:bottom w:w="0" w:type="dxa"/>
            <w:right w:w="108" w:type="dxa"/>
          </w:tblCellMar>
        </w:tblPrEx>
        <w:trPr>
          <w:trHeight w:val="378" w:hRule="atLeast"/>
        </w:trPr>
        <w:tc>
          <w:tcPr>
            <w:tcW w:w="705" w:type="dxa"/>
            <w:vMerge w:val="continue"/>
            <w:tcBorders>
              <w:top w:val="single" w:color="000000" w:sz="4" w:space="0"/>
              <w:left w:val="single" w:color="000000" w:sz="4" w:space="0"/>
              <w:bottom w:val="single" w:color="000000" w:sz="4" w:space="0"/>
              <w:right w:val="single" w:color="000000" w:sz="4" w:space="0"/>
            </w:tcBorders>
            <w:vAlign w:val="center"/>
          </w:tcPr>
          <w:p w14:paraId="35765CB4">
            <w:pPr>
              <w:jc w:val="center"/>
              <w:rPr>
                <w:rFonts w:ascii="宋体" w:hAnsi="宋体" w:eastAsia="宋体" w:cs="宋体"/>
                <w:b/>
                <w:bCs/>
                <w:color w:val="000000"/>
                <w:sz w:val="21"/>
                <w:szCs w:val="21"/>
                <w:highlight w:val="none"/>
              </w:rPr>
            </w:pPr>
          </w:p>
        </w:tc>
        <w:tc>
          <w:tcPr>
            <w:tcW w:w="1189" w:type="dxa"/>
            <w:vMerge w:val="continue"/>
            <w:tcBorders>
              <w:top w:val="single" w:color="000000" w:sz="4" w:space="0"/>
              <w:left w:val="single" w:color="000000" w:sz="4" w:space="0"/>
              <w:bottom w:val="single" w:color="000000" w:sz="4" w:space="0"/>
              <w:right w:val="single" w:color="000000" w:sz="4" w:space="0"/>
            </w:tcBorders>
            <w:vAlign w:val="center"/>
          </w:tcPr>
          <w:p w14:paraId="4FCA4409">
            <w:pPr>
              <w:jc w:val="left"/>
              <w:rPr>
                <w:rFonts w:ascii="宋体" w:hAnsi="宋体" w:eastAsia="宋体" w:cs="宋体"/>
                <w:color w:val="000000"/>
                <w:sz w:val="21"/>
                <w:szCs w:val="21"/>
                <w:highlight w:val="none"/>
              </w:rPr>
            </w:pPr>
          </w:p>
        </w:tc>
        <w:tc>
          <w:tcPr>
            <w:tcW w:w="1154" w:type="dxa"/>
            <w:vMerge w:val="continue"/>
            <w:tcBorders>
              <w:top w:val="single" w:color="000000" w:sz="4" w:space="0"/>
              <w:left w:val="single" w:color="000000" w:sz="4" w:space="0"/>
              <w:bottom w:val="single" w:color="000000" w:sz="4" w:space="0"/>
              <w:right w:val="single" w:color="000000" w:sz="4" w:space="0"/>
            </w:tcBorders>
            <w:vAlign w:val="center"/>
          </w:tcPr>
          <w:p w14:paraId="7EEA01D6">
            <w:pPr>
              <w:jc w:val="left"/>
              <w:rPr>
                <w:rFonts w:ascii="宋体" w:hAnsi="宋体" w:eastAsia="宋体" w:cs="宋体"/>
                <w:color w:val="000000"/>
                <w:sz w:val="21"/>
                <w:szCs w:val="21"/>
                <w:highlight w:val="none"/>
              </w:rPr>
            </w:pPr>
          </w:p>
        </w:tc>
        <w:tc>
          <w:tcPr>
            <w:tcW w:w="1223" w:type="dxa"/>
            <w:tcBorders>
              <w:top w:val="single" w:color="000000" w:sz="4" w:space="0"/>
              <w:left w:val="single" w:color="000000" w:sz="4" w:space="0"/>
              <w:bottom w:val="single" w:color="000000" w:sz="4" w:space="0"/>
              <w:right w:val="single" w:color="000000" w:sz="4" w:space="0"/>
            </w:tcBorders>
            <w:vAlign w:val="center"/>
          </w:tcPr>
          <w:p w14:paraId="2380F84B">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用药记录</w:t>
            </w:r>
          </w:p>
        </w:tc>
        <w:tc>
          <w:tcPr>
            <w:tcW w:w="5216" w:type="dxa"/>
            <w:tcBorders>
              <w:top w:val="single" w:color="000000" w:sz="4" w:space="0"/>
              <w:left w:val="single" w:color="000000" w:sz="4" w:space="0"/>
              <w:bottom w:val="single" w:color="000000" w:sz="4" w:space="0"/>
              <w:right w:val="single" w:color="000000" w:sz="4" w:space="0"/>
            </w:tcBorders>
            <w:vAlign w:val="center"/>
          </w:tcPr>
          <w:p w14:paraId="63671EFC">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对下达慢病/肿瘤诊断的门诊/住院记录中的用药信息，可以进行用药记录查看操作。</w:t>
            </w:r>
          </w:p>
        </w:tc>
      </w:tr>
      <w:tr w14:paraId="1964F785">
        <w:tblPrEx>
          <w:tblCellMar>
            <w:top w:w="0" w:type="dxa"/>
            <w:left w:w="108" w:type="dxa"/>
            <w:bottom w:w="0" w:type="dxa"/>
            <w:right w:w="108" w:type="dxa"/>
          </w:tblCellMar>
        </w:tblPrEx>
        <w:trPr>
          <w:trHeight w:val="378" w:hRule="atLeast"/>
        </w:trPr>
        <w:tc>
          <w:tcPr>
            <w:tcW w:w="705" w:type="dxa"/>
            <w:vMerge w:val="continue"/>
            <w:tcBorders>
              <w:top w:val="single" w:color="000000" w:sz="4" w:space="0"/>
              <w:left w:val="single" w:color="000000" w:sz="4" w:space="0"/>
              <w:bottom w:val="single" w:color="000000" w:sz="4" w:space="0"/>
              <w:right w:val="single" w:color="000000" w:sz="4" w:space="0"/>
            </w:tcBorders>
            <w:vAlign w:val="center"/>
          </w:tcPr>
          <w:p w14:paraId="55A3421C">
            <w:pPr>
              <w:jc w:val="center"/>
              <w:rPr>
                <w:rFonts w:ascii="宋体" w:hAnsi="宋体" w:eastAsia="宋体" w:cs="宋体"/>
                <w:b/>
                <w:bCs/>
                <w:color w:val="000000"/>
                <w:sz w:val="21"/>
                <w:szCs w:val="21"/>
                <w:highlight w:val="none"/>
              </w:rPr>
            </w:pPr>
          </w:p>
        </w:tc>
        <w:tc>
          <w:tcPr>
            <w:tcW w:w="1189" w:type="dxa"/>
            <w:vMerge w:val="continue"/>
            <w:tcBorders>
              <w:top w:val="single" w:color="000000" w:sz="4" w:space="0"/>
              <w:left w:val="single" w:color="000000" w:sz="4" w:space="0"/>
              <w:bottom w:val="single" w:color="000000" w:sz="4" w:space="0"/>
              <w:right w:val="single" w:color="000000" w:sz="4" w:space="0"/>
            </w:tcBorders>
            <w:vAlign w:val="center"/>
          </w:tcPr>
          <w:p w14:paraId="4407E36F">
            <w:pPr>
              <w:jc w:val="left"/>
              <w:rPr>
                <w:rFonts w:ascii="宋体" w:hAnsi="宋体" w:eastAsia="宋体" w:cs="宋体"/>
                <w:color w:val="000000"/>
                <w:sz w:val="21"/>
                <w:szCs w:val="21"/>
                <w:highlight w:val="none"/>
              </w:rPr>
            </w:pPr>
          </w:p>
        </w:tc>
        <w:tc>
          <w:tcPr>
            <w:tcW w:w="1154" w:type="dxa"/>
            <w:vMerge w:val="continue"/>
            <w:tcBorders>
              <w:top w:val="single" w:color="000000" w:sz="4" w:space="0"/>
              <w:left w:val="single" w:color="000000" w:sz="4" w:space="0"/>
              <w:bottom w:val="single" w:color="000000" w:sz="4" w:space="0"/>
              <w:right w:val="single" w:color="000000" w:sz="4" w:space="0"/>
            </w:tcBorders>
            <w:vAlign w:val="center"/>
          </w:tcPr>
          <w:p w14:paraId="18F55A08">
            <w:pPr>
              <w:jc w:val="left"/>
              <w:rPr>
                <w:rFonts w:ascii="宋体" w:hAnsi="宋体" w:eastAsia="宋体" w:cs="宋体"/>
                <w:color w:val="000000"/>
                <w:sz w:val="21"/>
                <w:szCs w:val="21"/>
                <w:highlight w:val="none"/>
              </w:rPr>
            </w:pPr>
          </w:p>
        </w:tc>
        <w:tc>
          <w:tcPr>
            <w:tcW w:w="1223" w:type="dxa"/>
            <w:tcBorders>
              <w:top w:val="single" w:color="000000" w:sz="4" w:space="0"/>
              <w:left w:val="single" w:color="000000" w:sz="4" w:space="0"/>
              <w:bottom w:val="single" w:color="000000" w:sz="4" w:space="0"/>
              <w:right w:val="single" w:color="000000" w:sz="4" w:space="0"/>
            </w:tcBorders>
            <w:vAlign w:val="center"/>
          </w:tcPr>
          <w:p w14:paraId="388A4F52">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健康体检</w:t>
            </w:r>
          </w:p>
        </w:tc>
        <w:tc>
          <w:tcPr>
            <w:tcW w:w="5216" w:type="dxa"/>
            <w:tcBorders>
              <w:top w:val="single" w:color="000000" w:sz="4" w:space="0"/>
              <w:left w:val="single" w:color="000000" w:sz="4" w:space="0"/>
              <w:bottom w:val="single" w:color="000000" w:sz="4" w:space="0"/>
              <w:right w:val="single" w:color="000000" w:sz="4" w:space="0"/>
            </w:tcBorders>
            <w:vAlign w:val="center"/>
          </w:tcPr>
          <w:p w14:paraId="0D2AD0C4">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针对建立慢病/肿瘤档案的居民，增加健康体检的数据接入，按照体检报告进行信息采集</w:t>
            </w:r>
          </w:p>
        </w:tc>
      </w:tr>
      <w:tr w14:paraId="1D2E209D">
        <w:tblPrEx>
          <w:tblCellMar>
            <w:top w:w="0" w:type="dxa"/>
            <w:left w:w="108" w:type="dxa"/>
            <w:bottom w:w="0" w:type="dxa"/>
            <w:right w:w="108" w:type="dxa"/>
          </w:tblCellMar>
        </w:tblPrEx>
        <w:trPr>
          <w:trHeight w:val="730" w:hRule="atLeast"/>
        </w:trPr>
        <w:tc>
          <w:tcPr>
            <w:tcW w:w="705" w:type="dxa"/>
            <w:vMerge w:val="continue"/>
            <w:tcBorders>
              <w:top w:val="single" w:color="000000" w:sz="4" w:space="0"/>
              <w:left w:val="single" w:color="000000" w:sz="4" w:space="0"/>
              <w:bottom w:val="single" w:color="000000" w:sz="4" w:space="0"/>
              <w:right w:val="single" w:color="000000" w:sz="4" w:space="0"/>
            </w:tcBorders>
            <w:vAlign w:val="center"/>
          </w:tcPr>
          <w:p w14:paraId="21D585C8">
            <w:pPr>
              <w:jc w:val="center"/>
              <w:rPr>
                <w:rFonts w:ascii="宋体" w:hAnsi="宋体" w:eastAsia="宋体" w:cs="宋体"/>
                <w:b/>
                <w:bCs/>
                <w:color w:val="000000"/>
                <w:sz w:val="21"/>
                <w:szCs w:val="21"/>
                <w:highlight w:val="none"/>
              </w:rPr>
            </w:pPr>
          </w:p>
        </w:tc>
        <w:tc>
          <w:tcPr>
            <w:tcW w:w="1189" w:type="dxa"/>
            <w:vMerge w:val="continue"/>
            <w:tcBorders>
              <w:top w:val="single" w:color="000000" w:sz="4" w:space="0"/>
              <w:left w:val="single" w:color="000000" w:sz="4" w:space="0"/>
              <w:bottom w:val="single" w:color="000000" w:sz="4" w:space="0"/>
              <w:right w:val="single" w:color="000000" w:sz="4" w:space="0"/>
            </w:tcBorders>
            <w:vAlign w:val="center"/>
          </w:tcPr>
          <w:p w14:paraId="3814637F">
            <w:pPr>
              <w:jc w:val="left"/>
              <w:rPr>
                <w:rFonts w:ascii="宋体" w:hAnsi="宋体" w:eastAsia="宋体" w:cs="宋体"/>
                <w:color w:val="000000"/>
                <w:sz w:val="21"/>
                <w:szCs w:val="21"/>
                <w:highlight w:val="none"/>
              </w:rPr>
            </w:pPr>
          </w:p>
        </w:tc>
        <w:tc>
          <w:tcPr>
            <w:tcW w:w="1154" w:type="dxa"/>
            <w:tcBorders>
              <w:top w:val="single" w:color="000000" w:sz="4" w:space="0"/>
              <w:left w:val="single" w:color="000000" w:sz="4" w:space="0"/>
              <w:bottom w:val="single" w:color="000000" w:sz="4" w:space="0"/>
              <w:right w:val="single" w:color="000000" w:sz="4" w:space="0"/>
            </w:tcBorders>
            <w:vAlign w:val="center"/>
          </w:tcPr>
          <w:p w14:paraId="1ACA384C">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人群分管</w:t>
            </w:r>
          </w:p>
        </w:tc>
        <w:tc>
          <w:tcPr>
            <w:tcW w:w="1223" w:type="dxa"/>
            <w:tcBorders>
              <w:top w:val="single" w:color="000000" w:sz="4" w:space="0"/>
              <w:left w:val="single" w:color="000000" w:sz="4" w:space="0"/>
              <w:bottom w:val="single" w:color="000000" w:sz="4" w:space="0"/>
              <w:right w:val="single" w:color="000000" w:sz="4" w:space="0"/>
            </w:tcBorders>
            <w:vAlign w:val="center"/>
          </w:tcPr>
          <w:p w14:paraId="5458831C">
            <w:pPr>
              <w:rPr>
                <w:rFonts w:ascii="宋体" w:hAnsi="宋体" w:eastAsia="宋体" w:cs="宋体"/>
                <w:color w:val="000000"/>
                <w:sz w:val="21"/>
                <w:szCs w:val="21"/>
                <w:highlight w:val="none"/>
              </w:rPr>
            </w:pPr>
          </w:p>
        </w:tc>
        <w:tc>
          <w:tcPr>
            <w:tcW w:w="5216" w:type="dxa"/>
            <w:tcBorders>
              <w:top w:val="single" w:color="000000" w:sz="4" w:space="0"/>
              <w:left w:val="single" w:color="000000" w:sz="4" w:space="0"/>
              <w:bottom w:val="single" w:color="000000" w:sz="4" w:space="0"/>
              <w:right w:val="single" w:color="000000" w:sz="4" w:space="0"/>
            </w:tcBorders>
            <w:vAlign w:val="center"/>
          </w:tcPr>
          <w:p w14:paraId="3D5615DD">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▲可对慢病、肿瘤、慢病易患、肿瘤易患居民进行分管管理。系统默认将能识别的行政区划进行分管，不能分管的数据进入该列表由医生进行分管。支持分管、删除和查看操作。</w:t>
            </w:r>
          </w:p>
        </w:tc>
      </w:tr>
      <w:tr w14:paraId="5FC42F4A">
        <w:tblPrEx>
          <w:tblCellMar>
            <w:top w:w="0" w:type="dxa"/>
            <w:left w:w="108" w:type="dxa"/>
            <w:bottom w:w="0" w:type="dxa"/>
            <w:right w:w="108" w:type="dxa"/>
          </w:tblCellMar>
        </w:tblPrEx>
        <w:trPr>
          <w:trHeight w:val="1083" w:hRule="atLeast"/>
        </w:trPr>
        <w:tc>
          <w:tcPr>
            <w:tcW w:w="705" w:type="dxa"/>
            <w:vMerge w:val="continue"/>
            <w:tcBorders>
              <w:top w:val="single" w:color="000000" w:sz="4" w:space="0"/>
              <w:left w:val="single" w:color="000000" w:sz="4" w:space="0"/>
              <w:bottom w:val="single" w:color="000000" w:sz="4" w:space="0"/>
              <w:right w:val="single" w:color="000000" w:sz="4" w:space="0"/>
            </w:tcBorders>
            <w:vAlign w:val="center"/>
          </w:tcPr>
          <w:p w14:paraId="53499D5A">
            <w:pPr>
              <w:jc w:val="center"/>
              <w:rPr>
                <w:rFonts w:ascii="宋体" w:hAnsi="宋体" w:eastAsia="宋体" w:cs="宋体"/>
                <w:b/>
                <w:bCs/>
                <w:color w:val="000000"/>
                <w:sz w:val="21"/>
                <w:szCs w:val="21"/>
                <w:highlight w:val="none"/>
              </w:rPr>
            </w:pPr>
          </w:p>
        </w:tc>
        <w:tc>
          <w:tcPr>
            <w:tcW w:w="1189" w:type="dxa"/>
            <w:vMerge w:val="continue"/>
            <w:tcBorders>
              <w:top w:val="single" w:color="000000" w:sz="4" w:space="0"/>
              <w:left w:val="single" w:color="000000" w:sz="4" w:space="0"/>
              <w:bottom w:val="single" w:color="000000" w:sz="4" w:space="0"/>
              <w:right w:val="single" w:color="000000" w:sz="4" w:space="0"/>
            </w:tcBorders>
            <w:vAlign w:val="center"/>
          </w:tcPr>
          <w:p w14:paraId="2208399C">
            <w:pPr>
              <w:jc w:val="left"/>
              <w:rPr>
                <w:rFonts w:ascii="宋体" w:hAnsi="宋体" w:eastAsia="宋体" w:cs="宋体"/>
                <w:color w:val="000000"/>
                <w:sz w:val="21"/>
                <w:szCs w:val="21"/>
                <w:highlight w:val="none"/>
              </w:rPr>
            </w:pPr>
          </w:p>
        </w:tc>
        <w:tc>
          <w:tcPr>
            <w:tcW w:w="1154" w:type="dxa"/>
            <w:vMerge w:val="restart"/>
            <w:tcBorders>
              <w:top w:val="single" w:color="000000" w:sz="4" w:space="0"/>
              <w:left w:val="single" w:color="000000" w:sz="4" w:space="0"/>
              <w:bottom w:val="single" w:color="000000" w:sz="4" w:space="0"/>
              <w:right w:val="single" w:color="000000" w:sz="4" w:space="0"/>
            </w:tcBorders>
            <w:vAlign w:val="center"/>
          </w:tcPr>
          <w:p w14:paraId="1953E0C7">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疾病提醒</w:t>
            </w:r>
          </w:p>
        </w:tc>
        <w:tc>
          <w:tcPr>
            <w:tcW w:w="1223" w:type="dxa"/>
            <w:tcBorders>
              <w:top w:val="single" w:color="000000" w:sz="4" w:space="0"/>
              <w:left w:val="single" w:color="000000" w:sz="4" w:space="0"/>
              <w:bottom w:val="single" w:color="000000" w:sz="4" w:space="0"/>
              <w:right w:val="single" w:color="000000" w:sz="4" w:space="0"/>
            </w:tcBorders>
            <w:vAlign w:val="center"/>
          </w:tcPr>
          <w:p w14:paraId="76ECAF19">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慢病提醒</w:t>
            </w:r>
          </w:p>
        </w:tc>
        <w:tc>
          <w:tcPr>
            <w:tcW w:w="5216" w:type="dxa"/>
            <w:tcBorders>
              <w:top w:val="single" w:color="000000" w:sz="4" w:space="0"/>
              <w:left w:val="single" w:color="000000" w:sz="4" w:space="0"/>
              <w:bottom w:val="single" w:color="000000" w:sz="4" w:space="0"/>
              <w:right w:val="single" w:color="000000" w:sz="4" w:space="0"/>
            </w:tcBorders>
            <w:vAlign w:val="center"/>
          </w:tcPr>
          <w:p w14:paraId="04F7C340">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可对确诊患有慢病但未建立对应慢病专项的患者，可对责任医生进行提醒。支持建专项、删除和查看操作。</w:t>
            </w:r>
          </w:p>
        </w:tc>
      </w:tr>
      <w:tr w14:paraId="53E58F0E">
        <w:tblPrEx>
          <w:tblCellMar>
            <w:top w:w="0" w:type="dxa"/>
            <w:left w:w="108" w:type="dxa"/>
            <w:bottom w:w="0" w:type="dxa"/>
            <w:right w:w="108" w:type="dxa"/>
          </w:tblCellMar>
        </w:tblPrEx>
        <w:trPr>
          <w:trHeight w:val="1083" w:hRule="atLeast"/>
        </w:trPr>
        <w:tc>
          <w:tcPr>
            <w:tcW w:w="705" w:type="dxa"/>
            <w:vMerge w:val="continue"/>
            <w:tcBorders>
              <w:top w:val="single" w:color="000000" w:sz="4" w:space="0"/>
              <w:left w:val="single" w:color="000000" w:sz="4" w:space="0"/>
              <w:bottom w:val="single" w:color="000000" w:sz="4" w:space="0"/>
              <w:right w:val="single" w:color="000000" w:sz="4" w:space="0"/>
            </w:tcBorders>
            <w:vAlign w:val="center"/>
          </w:tcPr>
          <w:p w14:paraId="17FA2CFD">
            <w:pPr>
              <w:jc w:val="center"/>
              <w:rPr>
                <w:rFonts w:ascii="宋体" w:hAnsi="宋体" w:eastAsia="宋体" w:cs="宋体"/>
                <w:b/>
                <w:bCs/>
                <w:color w:val="000000"/>
                <w:sz w:val="21"/>
                <w:szCs w:val="21"/>
                <w:highlight w:val="none"/>
              </w:rPr>
            </w:pPr>
          </w:p>
        </w:tc>
        <w:tc>
          <w:tcPr>
            <w:tcW w:w="1189" w:type="dxa"/>
            <w:vMerge w:val="continue"/>
            <w:tcBorders>
              <w:top w:val="single" w:color="000000" w:sz="4" w:space="0"/>
              <w:left w:val="single" w:color="000000" w:sz="4" w:space="0"/>
              <w:bottom w:val="single" w:color="000000" w:sz="4" w:space="0"/>
              <w:right w:val="single" w:color="000000" w:sz="4" w:space="0"/>
            </w:tcBorders>
            <w:vAlign w:val="center"/>
          </w:tcPr>
          <w:p w14:paraId="2DDEDF96">
            <w:pPr>
              <w:jc w:val="left"/>
              <w:rPr>
                <w:rFonts w:ascii="宋体" w:hAnsi="宋体" w:eastAsia="宋体" w:cs="宋体"/>
                <w:color w:val="000000"/>
                <w:sz w:val="21"/>
                <w:szCs w:val="21"/>
                <w:highlight w:val="none"/>
              </w:rPr>
            </w:pPr>
          </w:p>
        </w:tc>
        <w:tc>
          <w:tcPr>
            <w:tcW w:w="1154" w:type="dxa"/>
            <w:vMerge w:val="continue"/>
            <w:tcBorders>
              <w:top w:val="single" w:color="000000" w:sz="4" w:space="0"/>
              <w:left w:val="single" w:color="000000" w:sz="4" w:space="0"/>
              <w:bottom w:val="single" w:color="000000" w:sz="4" w:space="0"/>
              <w:right w:val="single" w:color="000000" w:sz="4" w:space="0"/>
            </w:tcBorders>
            <w:vAlign w:val="center"/>
          </w:tcPr>
          <w:p w14:paraId="12E365E4">
            <w:pPr>
              <w:jc w:val="left"/>
              <w:rPr>
                <w:rFonts w:ascii="宋体" w:hAnsi="宋体" w:eastAsia="宋体" w:cs="宋体"/>
                <w:color w:val="000000"/>
                <w:sz w:val="21"/>
                <w:szCs w:val="21"/>
                <w:highlight w:val="none"/>
              </w:rPr>
            </w:pPr>
          </w:p>
        </w:tc>
        <w:tc>
          <w:tcPr>
            <w:tcW w:w="1223" w:type="dxa"/>
            <w:tcBorders>
              <w:top w:val="single" w:color="000000" w:sz="4" w:space="0"/>
              <w:left w:val="single" w:color="000000" w:sz="4" w:space="0"/>
              <w:bottom w:val="single" w:color="000000" w:sz="4" w:space="0"/>
              <w:right w:val="single" w:color="000000" w:sz="4" w:space="0"/>
            </w:tcBorders>
            <w:vAlign w:val="center"/>
          </w:tcPr>
          <w:p w14:paraId="12714AC6">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肿瘤提醒</w:t>
            </w:r>
          </w:p>
        </w:tc>
        <w:tc>
          <w:tcPr>
            <w:tcW w:w="5216" w:type="dxa"/>
            <w:tcBorders>
              <w:top w:val="single" w:color="000000" w:sz="4" w:space="0"/>
              <w:left w:val="single" w:color="000000" w:sz="4" w:space="0"/>
              <w:bottom w:val="single" w:color="000000" w:sz="4" w:space="0"/>
              <w:right w:val="single" w:color="000000" w:sz="4" w:space="0"/>
            </w:tcBorders>
            <w:vAlign w:val="center"/>
          </w:tcPr>
          <w:p w14:paraId="7F4613C2">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可对确诊患有肿瘤但未建立对应肿瘤专项的患者，可对责任医生进行提醒。支持建专项、删除和查看操作。</w:t>
            </w:r>
          </w:p>
        </w:tc>
      </w:tr>
      <w:tr w14:paraId="498EE3E6">
        <w:tblPrEx>
          <w:tblCellMar>
            <w:top w:w="0" w:type="dxa"/>
            <w:left w:w="108" w:type="dxa"/>
            <w:bottom w:w="0" w:type="dxa"/>
            <w:right w:w="108" w:type="dxa"/>
          </w:tblCellMar>
        </w:tblPrEx>
        <w:trPr>
          <w:trHeight w:val="730" w:hRule="atLeast"/>
        </w:trPr>
        <w:tc>
          <w:tcPr>
            <w:tcW w:w="705" w:type="dxa"/>
            <w:vMerge w:val="continue"/>
            <w:tcBorders>
              <w:top w:val="single" w:color="000000" w:sz="4" w:space="0"/>
              <w:left w:val="single" w:color="000000" w:sz="4" w:space="0"/>
              <w:bottom w:val="single" w:color="000000" w:sz="4" w:space="0"/>
              <w:right w:val="single" w:color="000000" w:sz="4" w:space="0"/>
            </w:tcBorders>
            <w:vAlign w:val="center"/>
          </w:tcPr>
          <w:p w14:paraId="6EB2C462">
            <w:pPr>
              <w:jc w:val="center"/>
              <w:rPr>
                <w:rFonts w:ascii="宋体" w:hAnsi="宋体" w:eastAsia="宋体" w:cs="宋体"/>
                <w:b/>
                <w:bCs/>
                <w:color w:val="000000"/>
                <w:sz w:val="21"/>
                <w:szCs w:val="21"/>
                <w:highlight w:val="none"/>
              </w:rPr>
            </w:pPr>
          </w:p>
        </w:tc>
        <w:tc>
          <w:tcPr>
            <w:tcW w:w="1189" w:type="dxa"/>
            <w:vMerge w:val="continue"/>
            <w:tcBorders>
              <w:top w:val="single" w:color="000000" w:sz="4" w:space="0"/>
              <w:left w:val="single" w:color="000000" w:sz="4" w:space="0"/>
              <w:bottom w:val="single" w:color="000000" w:sz="4" w:space="0"/>
              <w:right w:val="single" w:color="000000" w:sz="4" w:space="0"/>
            </w:tcBorders>
            <w:vAlign w:val="center"/>
          </w:tcPr>
          <w:p w14:paraId="4390186B">
            <w:pPr>
              <w:jc w:val="left"/>
              <w:rPr>
                <w:rFonts w:ascii="宋体" w:hAnsi="宋体" w:eastAsia="宋体" w:cs="宋体"/>
                <w:color w:val="000000"/>
                <w:sz w:val="21"/>
                <w:szCs w:val="21"/>
                <w:highlight w:val="none"/>
              </w:rPr>
            </w:pPr>
          </w:p>
        </w:tc>
        <w:tc>
          <w:tcPr>
            <w:tcW w:w="1154" w:type="dxa"/>
            <w:vMerge w:val="continue"/>
            <w:tcBorders>
              <w:top w:val="single" w:color="000000" w:sz="4" w:space="0"/>
              <w:left w:val="single" w:color="000000" w:sz="4" w:space="0"/>
              <w:bottom w:val="single" w:color="000000" w:sz="4" w:space="0"/>
              <w:right w:val="single" w:color="000000" w:sz="4" w:space="0"/>
            </w:tcBorders>
            <w:vAlign w:val="center"/>
          </w:tcPr>
          <w:p w14:paraId="0F0E728C">
            <w:pPr>
              <w:jc w:val="left"/>
              <w:rPr>
                <w:rFonts w:ascii="宋体" w:hAnsi="宋体" w:eastAsia="宋体" w:cs="宋体"/>
                <w:color w:val="000000"/>
                <w:sz w:val="21"/>
                <w:szCs w:val="21"/>
                <w:highlight w:val="none"/>
              </w:rPr>
            </w:pPr>
          </w:p>
        </w:tc>
        <w:tc>
          <w:tcPr>
            <w:tcW w:w="1223" w:type="dxa"/>
            <w:tcBorders>
              <w:top w:val="single" w:color="000000" w:sz="4" w:space="0"/>
              <w:left w:val="single" w:color="000000" w:sz="4" w:space="0"/>
              <w:bottom w:val="single" w:color="000000" w:sz="4" w:space="0"/>
              <w:right w:val="single" w:color="000000" w:sz="4" w:space="0"/>
            </w:tcBorders>
            <w:vAlign w:val="center"/>
          </w:tcPr>
          <w:p w14:paraId="304E9FDA">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易患提醒</w:t>
            </w:r>
          </w:p>
        </w:tc>
        <w:tc>
          <w:tcPr>
            <w:tcW w:w="5216" w:type="dxa"/>
            <w:tcBorders>
              <w:top w:val="single" w:color="000000" w:sz="4" w:space="0"/>
              <w:left w:val="single" w:color="000000" w:sz="4" w:space="0"/>
              <w:bottom w:val="single" w:color="000000" w:sz="4" w:space="0"/>
              <w:right w:val="single" w:color="000000" w:sz="4" w:space="0"/>
            </w:tcBorders>
            <w:vAlign w:val="center"/>
          </w:tcPr>
          <w:p w14:paraId="13BE0B82">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可对确诊患有慢病高危、肿瘤高危但未建立对应筛查的患者，可对责任医生进行提醒。支持建专项、删除和查看操作。</w:t>
            </w:r>
          </w:p>
        </w:tc>
      </w:tr>
      <w:tr w14:paraId="26D92F03">
        <w:tblPrEx>
          <w:tblCellMar>
            <w:top w:w="0" w:type="dxa"/>
            <w:left w:w="108" w:type="dxa"/>
            <w:bottom w:w="0" w:type="dxa"/>
            <w:right w:w="108" w:type="dxa"/>
          </w:tblCellMar>
        </w:tblPrEx>
        <w:trPr>
          <w:trHeight w:val="730" w:hRule="atLeast"/>
        </w:trPr>
        <w:tc>
          <w:tcPr>
            <w:tcW w:w="705" w:type="dxa"/>
            <w:vMerge w:val="continue"/>
            <w:tcBorders>
              <w:top w:val="single" w:color="000000" w:sz="4" w:space="0"/>
              <w:left w:val="single" w:color="000000" w:sz="4" w:space="0"/>
              <w:bottom w:val="single" w:color="000000" w:sz="4" w:space="0"/>
              <w:right w:val="single" w:color="000000" w:sz="4" w:space="0"/>
            </w:tcBorders>
            <w:vAlign w:val="center"/>
          </w:tcPr>
          <w:p w14:paraId="50B6CC9F">
            <w:pPr>
              <w:jc w:val="center"/>
              <w:rPr>
                <w:rFonts w:ascii="宋体" w:hAnsi="宋体" w:eastAsia="宋体" w:cs="宋体"/>
                <w:b/>
                <w:bCs/>
                <w:color w:val="000000"/>
                <w:sz w:val="21"/>
                <w:szCs w:val="21"/>
                <w:highlight w:val="none"/>
              </w:rPr>
            </w:pPr>
          </w:p>
        </w:tc>
        <w:tc>
          <w:tcPr>
            <w:tcW w:w="1189" w:type="dxa"/>
            <w:vMerge w:val="continue"/>
            <w:tcBorders>
              <w:top w:val="single" w:color="000000" w:sz="4" w:space="0"/>
              <w:left w:val="single" w:color="000000" w:sz="4" w:space="0"/>
              <w:bottom w:val="single" w:color="000000" w:sz="4" w:space="0"/>
              <w:right w:val="single" w:color="000000" w:sz="4" w:space="0"/>
            </w:tcBorders>
            <w:vAlign w:val="center"/>
          </w:tcPr>
          <w:p w14:paraId="2C3EBC95">
            <w:pPr>
              <w:jc w:val="left"/>
              <w:rPr>
                <w:rFonts w:ascii="宋体" w:hAnsi="宋体" w:eastAsia="宋体" w:cs="宋体"/>
                <w:color w:val="000000"/>
                <w:sz w:val="21"/>
                <w:szCs w:val="21"/>
                <w:highlight w:val="none"/>
              </w:rPr>
            </w:pPr>
          </w:p>
        </w:tc>
        <w:tc>
          <w:tcPr>
            <w:tcW w:w="1154" w:type="dxa"/>
            <w:tcBorders>
              <w:top w:val="nil"/>
              <w:left w:val="single" w:color="000000" w:sz="4" w:space="0"/>
              <w:bottom w:val="single" w:color="000000" w:sz="4" w:space="0"/>
              <w:right w:val="single" w:color="000000" w:sz="4" w:space="0"/>
            </w:tcBorders>
            <w:vAlign w:val="center"/>
          </w:tcPr>
          <w:p w14:paraId="57F08BEF">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疾病筛查</w:t>
            </w:r>
          </w:p>
        </w:tc>
        <w:tc>
          <w:tcPr>
            <w:tcW w:w="1223" w:type="dxa"/>
            <w:tcBorders>
              <w:top w:val="single" w:color="000000" w:sz="4" w:space="0"/>
              <w:left w:val="single" w:color="000000" w:sz="4" w:space="0"/>
              <w:bottom w:val="single" w:color="000000" w:sz="4" w:space="0"/>
              <w:right w:val="single" w:color="000000" w:sz="4" w:space="0"/>
            </w:tcBorders>
            <w:vAlign w:val="center"/>
          </w:tcPr>
          <w:p w14:paraId="6B1281D5">
            <w:pPr>
              <w:rPr>
                <w:rFonts w:ascii="宋体" w:hAnsi="宋体" w:eastAsia="宋体" w:cs="宋体"/>
                <w:color w:val="000000"/>
                <w:sz w:val="21"/>
                <w:szCs w:val="21"/>
                <w:highlight w:val="none"/>
              </w:rPr>
            </w:pPr>
          </w:p>
        </w:tc>
        <w:tc>
          <w:tcPr>
            <w:tcW w:w="5216" w:type="dxa"/>
            <w:tcBorders>
              <w:top w:val="single" w:color="000000" w:sz="4" w:space="0"/>
              <w:left w:val="single" w:color="000000" w:sz="4" w:space="0"/>
              <w:bottom w:val="single" w:color="000000" w:sz="4" w:space="0"/>
              <w:right w:val="single" w:color="000000" w:sz="4" w:space="0"/>
            </w:tcBorders>
            <w:vAlign w:val="center"/>
          </w:tcPr>
          <w:p w14:paraId="1E6CBD2A">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针对居民根据诊疗信息进行慢病、肿瘤的易患或疾病筛查，进行前期疾病筛查。支持对筛查进行新增、编辑、删除和查看操作。</w:t>
            </w:r>
          </w:p>
        </w:tc>
      </w:tr>
      <w:tr w14:paraId="4BF498D3">
        <w:tblPrEx>
          <w:tblCellMar>
            <w:top w:w="0" w:type="dxa"/>
            <w:left w:w="108" w:type="dxa"/>
            <w:bottom w:w="0" w:type="dxa"/>
            <w:right w:w="108" w:type="dxa"/>
          </w:tblCellMar>
        </w:tblPrEx>
        <w:trPr>
          <w:trHeight w:val="730" w:hRule="atLeast"/>
        </w:trPr>
        <w:tc>
          <w:tcPr>
            <w:tcW w:w="705" w:type="dxa"/>
            <w:vMerge w:val="continue"/>
            <w:tcBorders>
              <w:top w:val="single" w:color="000000" w:sz="4" w:space="0"/>
              <w:left w:val="single" w:color="000000" w:sz="4" w:space="0"/>
              <w:bottom w:val="single" w:color="000000" w:sz="4" w:space="0"/>
              <w:right w:val="single" w:color="000000" w:sz="4" w:space="0"/>
            </w:tcBorders>
            <w:vAlign w:val="center"/>
          </w:tcPr>
          <w:p w14:paraId="2063B02B">
            <w:pPr>
              <w:jc w:val="center"/>
              <w:rPr>
                <w:rFonts w:ascii="宋体" w:hAnsi="宋体" w:eastAsia="宋体" w:cs="宋体"/>
                <w:b/>
                <w:bCs/>
                <w:color w:val="000000"/>
                <w:sz w:val="21"/>
                <w:szCs w:val="21"/>
                <w:highlight w:val="none"/>
              </w:rPr>
            </w:pPr>
          </w:p>
        </w:tc>
        <w:tc>
          <w:tcPr>
            <w:tcW w:w="1189" w:type="dxa"/>
            <w:vMerge w:val="continue"/>
            <w:tcBorders>
              <w:top w:val="single" w:color="000000" w:sz="4" w:space="0"/>
              <w:left w:val="single" w:color="000000" w:sz="4" w:space="0"/>
              <w:bottom w:val="single" w:color="000000" w:sz="4" w:space="0"/>
              <w:right w:val="single" w:color="000000" w:sz="4" w:space="0"/>
            </w:tcBorders>
            <w:vAlign w:val="center"/>
          </w:tcPr>
          <w:p w14:paraId="1D88C206">
            <w:pPr>
              <w:jc w:val="left"/>
              <w:rPr>
                <w:rFonts w:ascii="宋体" w:hAnsi="宋体" w:eastAsia="宋体" w:cs="宋体"/>
                <w:color w:val="000000"/>
                <w:sz w:val="21"/>
                <w:szCs w:val="21"/>
                <w:highlight w:val="none"/>
              </w:rPr>
            </w:pPr>
          </w:p>
        </w:tc>
        <w:tc>
          <w:tcPr>
            <w:tcW w:w="1154" w:type="dxa"/>
            <w:tcBorders>
              <w:top w:val="single" w:color="000000" w:sz="4" w:space="0"/>
              <w:left w:val="single" w:color="000000" w:sz="4" w:space="0"/>
              <w:bottom w:val="single" w:color="000000" w:sz="4" w:space="0"/>
              <w:right w:val="single" w:color="000000" w:sz="4" w:space="0"/>
            </w:tcBorders>
            <w:vAlign w:val="center"/>
          </w:tcPr>
          <w:p w14:paraId="2D2C325D">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档案恢复</w:t>
            </w:r>
          </w:p>
        </w:tc>
        <w:tc>
          <w:tcPr>
            <w:tcW w:w="1223" w:type="dxa"/>
            <w:tcBorders>
              <w:top w:val="single" w:color="000000" w:sz="4" w:space="0"/>
              <w:left w:val="single" w:color="000000" w:sz="4" w:space="0"/>
              <w:bottom w:val="single" w:color="000000" w:sz="4" w:space="0"/>
              <w:right w:val="single" w:color="000000" w:sz="4" w:space="0"/>
            </w:tcBorders>
            <w:vAlign w:val="center"/>
          </w:tcPr>
          <w:p w14:paraId="375F9BD6">
            <w:pPr>
              <w:rPr>
                <w:rFonts w:ascii="宋体" w:hAnsi="宋体" w:eastAsia="宋体" w:cs="宋体"/>
                <w:color w:val="000000"/>
                <w:sz w:val="21"/>
                <w:szCs w:val="21"/>
                <w:highlight w:val="none"/>
              </w:rPr>
            </w:pPr>
          </w:p>
        </w:tc>
        <w:tc>
          <w:tcPr>
            <w:tcW w:w="5216" w:type="dxa"/>
            <w:tcBorders>
              <w:top w:val="single" w:color="000000" w:sz="4" w:space="0"/>
              <w:left w:val="single" w:color="000000" w:sz="4" w:space="0"/>
              <w:bottom w:val="single" w:color="000000" w:sz="4" w:space="0"/>
              <w:right w:val="single" w:color="000000" w:sz="4" w:space="0"/>
            </w:tcBorders>
            <w:vAlign w:val="center"/>
          </w:tcPr>
          <w:p w14:paraId="5EAF28EA">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删除的患者相关联的慢病或肿瘤的业务，以患者为维度进行呈现，支持对删除的数据进行恢复，亦支持多选档案进行恢复。</w:t>
            </w:r>
          </w:p>
        </w:tc>
      </w:tr>
      <w:tr w14:paraId="32E3ACCE">
        <w:tblPrEx>
          <w:tblCellMar>
            <w:top w:w="0" w:type="dxa"/>
            <w:left w:w="108" w:type="dxa"/>
            <w:bottom w:w="0" w:type="dxa"/>
            <w:right w:w="108" w:type="dxa"/>
          </w:tblCellMar>
        </w:tblPrEx>
        <w:trPr>
          <w:trHeight w:val="1083" w:hRule="atLeast"/>
        </w:trPr>
        <w:tc>
          <w:tcPr>
            <w:tcW w:w="705" w:type="dxa"/>
            <w:vMerge w:val="continue"/>
            <w:tcBorders>
              <w:top w:val="single" w:color="000000" w:sz="4" w:space="0"/>
              <w:left w:val="single" w:color="000000" w:sz="4" w:space="0"/>
              <w:bottom w:val="single" w:color="000000" w:sz="4" w:space="0"/>
              <w:right w:val="single" w:color="000000" w:sz="4" w:space="0"/>
            </w:tcBorders>
            <w:vAlign w:val="center"/>
          </w:tcPr>
          <w:p w14:paraId="54C64714">
            <w:pPr>
              <w:jc w:val="center"/>
              <w:rPr>
                <w:rFonts w:ascii="宋体" w:hAnsi="宋体" w:eastAsia="宋体" w:cs="宋体"/>
                <w:b/>
                <w:bCs/>
                <w:color w:val="000000"/>
                <w:sz w:val="21"/>
                <w:szCs w:val="21"/>
                <w:highlight w:val="none"/>
              </w:rPr>
            </w:pPr>
          </w:p>
        </w:tc>
        <w:tc>
          <w:tcPr>
            <w:tcW w:w="1189" w:type="dxa"/>
            <w:vMerge w:val="restart"/>
            <w:tcBorders>
              <w:top w:val="single" w:color="000000" w:sz="4" w:space="0"/>
              <w:left w:val="single" w:color="000000" w:sz="4" w:space="0"/>
              <w:bottom w:val="single" w:color="000000" w:sz="4" w:space="0"/>
              <w:right w:val="single" w:color="000000" w:sz="4" w:space="0"/>
            </w:tcBorders>
            <w:vAlign w:val="center"/>
          </w:tcPr>
          <w:p w14:paraId="123990B8">
            <w:pPr>
              <w:keepNext w:val="0"/>
              <w:keepLines w:val="0"/>
              <w:widowControl/>
              <w:suppressLineNumbers w:val="0"/>
              <w:jc w:val="center"/>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易患问卷管理</w:t>
            </w:r>
          </w:p>
        </w:tc>
        <w:tc>
          <w:tcPr>
            <w:tcW w:w="1154" w:type="dxa"/>
            <w:tcBorders>
              <w:top w:val="single" w:color="000000" w:sz="4" w:space="0"/>
              <w:left w:val="single" w:color="000000" w:sz="4" w:space="0"/>
              <w:bottom w:val="single" w:color="000000" w:sz="4" w:space="0"/>
              <w:right w:val="single" w:color="000000" w:sz="4" w:space="0"/>
            </w:tcBorders>
            <w:vAlign w:val="center"/>
          </w:tcPr>
          <w:p w14:paraId="25C478B1">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肺癌易患问卷</w:t>
            </w:r>
          </w:p>
        </w:tc>
        <w:tc>
          <w:tcPr>
            <w:tcW w:w="1223" w:type="dxa"/>
            <w:tcBorders>
              <w:top w:val="single" w:color="000000" w:sz="4" w:space="0"/>
              <w:left w:val="single" w:color="000000" w:sz="4" w:space="0"/>
              <w:bottom w:val="single" w:color="000000" w:sz="4" w:space="0"/>
              <w:right w:val="single" w:color="000000" w:sz="4" w:space="0"/>
            </w:tcBorders>
            <w:vAlign w:val="center"/>
          </w:tcPr>
          <w:p w14:paraId="48C4BD90">
            <w:pPr>
              <w:rPr>
                <w:rFonts w:ascii="宋体" w:hAnsi="宋体" w:eastAsia="宋体" w:cs="宋体"/>
                <w:color w:val="000000"/>
                <w:sz w:val="21"/>
                <w:szCs w:val="21"/>
                <w:highlight w:val="none"/>
              </w:rPr>
            </w:pPr>
          </w:p>
        </w:tc>
        <w:tc>
          <w:tcPr>
            <w:tcW w:w="5216" w:type="dxa"/>
            <w:tcBorders>
              <w:top w:val="single" w:color="000000" w:sz="4" w:space="0"/>
              <w:left w:val="single" w:color="000000" w:sz="4" w:space="0"/>
              <w:bottom w:val="single" w:color="000000" w:sz="4" w:space="0"/>
              <w:right w:val="single" w:color="000000" w:sz="4" w:space="0"/>
            </w:tcBorders>
            <w:vAlign w:val="center"/>
          </w:tcPr>
          <w:p w14:paraId="02218775">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针对居民进行肺癌易患问卷调查。支持对问卷进行新增、编辑、删除和查看操作。</w:t>
            </w:r>
          </w:p>
        </w:tc>
      </w:tr>
      <w:tr w14:paraId="3B7C225C">
        <w:tblPrEx>
          <w:tblCellMar>
            <w:top w:w="0" w:type="dxa"/>
            <w:left w:w="108" w:type="dxa"/>
            <w:bottom w:w="0" w:type="dxa"/>
            <w:right w:w="108" w:type="dxa"/>
          </w:tblCellMar>
        </w:tblPrEx>
        <w:trPr>
          <w:trHeight w:val="1083" w:hRule="atLeast"/>
        </w:trPr>
        <w:tc>
          <w:tcPr>
            <w:tcW w:w="705" w:type="dxa"/>
            <w:vMerge w:val="continue"/>
            <w:tcBorders>
              <w:top w:val="single" w:color="000000" w:sz="4" w:space="0"/>
              <w:left w:val="single" w:color="000000" w:sz="4" w:space="0"/>
              <w:bottom w:val="single" w:color="000000" w:sz="4" w:space="0"/>
              <w:right w:val="single" w:color="000000" w:sz="4" w:space="0"/>
            </w:tcBorders>
            <w:vAlign w:val="center"/>
          </w:tcPr>
          <w:p w14:paraId="62F04347">
            <w:pPr>
              <w:jc w:val="center"/>
              <w:rPr>
                <w:rFonts w:ascii="宋体" w:hAnsi="宋体" w:eastAsia="宋体" w:cs="宋体"/>
                <w:b/>
                <w:bCs/>
                <w:color w:val="000000"/>
                <w:sz w:val="21"/>
                <w:szCs w:val="21"/>
                <w:highlight w:val="none"/>
              </w:rPr>
            </w:pPr>
          </w:p>
        </w:tc>
        <w:tc>
          <w:tcPr>
            <w:tcW w:w="1189" w:type="dxa"/>
            <w:vMerge w:val="continue"/>
            <w:tcBorders>
              <w:top w:val="single" w:color="000000" w:sz="4" w:space="0"/>
              <w:left w:val="single" w:color="000000" w:sz="4" w:space="0"/>
              <w:bottom w:val="single" w:color="000000" w:sz="4" w:space="0"/>
              <w:right w:val="single" w:color="000000" w:sz="4" w:space="0"/>
            </w:tcBorders>
            <w:vAlign w:val="center"/>
          </w:tcPr>
          <w:p w14:paraId="488E2ECB">
            <w:pPr>
              <w:jc w:val="center"/>
              <w:rPr>
                <w:rFonts w:ascii="宋体" w:hAnsi="宋体" w:eastAsia="宋体" w:cs="宋体"/>
                <w:color w:val="000000"/>
                <w:sz w:val="21"/>
                <w:szCs w:val="21"/>
                <w:highlight w:val="none"/>
              </w:rPr>
            </w:pPr>
          </w:p>
        </w:tc>
        <w:tc>
          <w:tcPr>
            <w:tcW w:w="1154" w:type="dxa"/>
            <w:tcBorders>
              <w:top w:val="single" w:color="000000" w:sz="4" w:space="0"/>
              <w:left w:val="single" w:color="000000" w:sz="4" w:space="0"/>
              <w:bottom w:val="single" w:color="000000" w:sz="4" w:space="0"/>
              <w:right w:val="single" w:color="000000" w:sz="4" w:space="0"/>
            </w:tcBorders>
            <w:vAlign w:val="center"/>
          </w:tcPr>
          <w:p w14:paraId="7C27BC23">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乳腺癌易患问卷</w:t>
            </w:r>
          </w:p>
        </w:tc>
        <w:tc>
          <w:tcPr>
            <w:tcW w:w="1223" w:type="dxa"/>
            <w:tcBorders>
              <w:top w:val="single" w:color="000000" w:sz="4" w:space="0"/>
              <w:left w:val="single" w:color="000000" w:sz="4" w:space="0"/>
              <w:bottom w:val="single" w:color="000000" w:sz="4" w:space="0"/>
              <w:right w:val="single" w:color="000000" w:sz="4" w:space="0"/>
            </w:tcBorders>
            <w:vAlign w:val="center"/>
          </w:tcPr>
          <w:p w14:paraId="0F37B865">
            <w:pPr>
              <w:rPr>
                <w:rFonts w:ascii="宋体" w:hAnsi="宋体" w:eastAsia="宋体" w:cs="宋体"/>
                <w:color w:val="000000"/>
                <w:sz w:val="21"/>
                <w:szCs w:val="21"/>
                <w:highlight w:val="none"/>
              </w:rPr>
            </w:pPr>
          </w:p>
        </w:tc>
        <w:tc>
          <w:tcPr>
            <w:tcW w:w="5216" w:type="dxa"/>
            <w:tcBorders>
              <w:top w:val="single" w:color="000000" w:sz="4" w:space="0"/>
              <w:left w:val="single" w:color="000000" w:sz="4" w:space="0"/>
              <w:bottom w:val="single" w:color="000000" w:sz="4" w:space="0"/>
              <w:right w:val="single" w:color="000000" w:sz="4" w:space="0"/>
            </w:tcBorders>
            <w:vAlign w:val="center"/>
          </w:tcPr>
          <w:p w14:paraId="45C2ED9D">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针对居民进行乳腺癌易患问卷调查。支持对问卷进行新增、编辑、删除和查看操作。</w:t>
            </w:r>
          </w:p>
        </w:tc>
      </w:tr>
      <w:tr w14:paraId="0D912273">
        <w:tblPrEx>
          <w:tblCellMar>
            <w:top w:w="0" w:type="dxa"/>
            <w:left w:w="108" w:type="dxa"/>
            <w:bottom w:w="0" w:type="dxa"/>
            <w:right w:w="108" w:type="dxa"/>
          </w:tblCellMar>
        </w:tblPrEx>
        <w:trPr>
          <w:trHeight w:val="1083" w:hRule="atLeast"/>
        </w:trPr>
        <w:tc>
          <w:tcPr>
            <w:tcW w:w="705" w:type="dxa"/>
            <w:vMerge w:val="continue"/>
            <w:tcBorders>
              <w:top w:val="single" w:color="000000" w:sz="4" w:space="0"/>
              <w:left w:val="single" w:color="000000" w:sz="4" w:space="0"/>
              <w:bottom w:val="single" w:color="000000" w:sz="4" w:space="0"/>
              <w:right w:val="single" w:color="000000" w:sz="4" w:space="0"/>
            </w:tcBorders>
            <w:vAlign w:val="center"/>
          </w:tcPr>
          <w:p w14:paraId="58654B50">
            <w:pPr>
              <w:jc w:val="center"/>
              <w:rPr>
                <w:rFonts w:ascii="宋体" w:hAnsi="宋体" w:eastAsia="宋体" w:cs="宋体"/>
                <w:b/>
                <w:bCs/>
                <w:color w:val="000000"/>
                <w:sz w:val="21"/>
                <w:szCs w:val="21"/>
                <w:highlight w:val="none"/>
              </w:rPr>
            </w:pPr>
          </w:p>
        </w:tc>
        <w:tc>
          <w:tcPr>
            <w:tcW w:w="1189" w:type="dxa"/>
            <w:vMerge w:val="continue"/>
            <w:tcBorders>
              <w:top w:val="single" w:color="000000" w:sz="4" w:space="0"/>
              <w:left w:val="single" w:color="000000" w:sz="4" w:space="0"/>
              <w:bottom w:val="single" w:color="000000" w:sz="4" w:space="0"/>
              <w:right w:val="single" w:color="000000" w:sz="4" w:space="0"/>
            </w:tcBorders>
            <w:vAlign w:val="center"/>
          </w:tcPr>
          <w:p w14:paraId="23EA2481">
            <w:pPr>
              <w:jc w:val="center"/>
              <w:rPr>
                <w:rFonts w:ascii="宋体" w:hAnsi="宋体" w:eastAsia="宋体" w:cs="宋体"/>
                <w:color w:val="000000"/>
                <w:sz w:val="21"/>
                <w:szCs w:val="21"/>
                <w:highlight w:val="none"/>
              </w:rPr>
            </w:pPr>
          </w:p>
        </w:tc>
        <w:tc>
          <w:tcPr>
            <w:tcW w:w="1154" w:type="dxa"/>
            <w:tcBorders>
              <w:top w:val="single" w:color="000000" w:sz="4" w:space="0"/>
              <w:left w:val="single" w:color="000000" w:sz="4" w:space="0"/>
              <w:bottom w:val="single" w:color="000000" w:sz="4" w:space="0"/>
              <w:right w:val="single" w:color="000000" w:sz="4" w:space="0"/>
            </w:tcBorders>
            <w:vAlign w:val="center"/>
          </w:tcPr>
          <w:p w14:paraId="00791121">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肝癌易患问卷</w:t>
            </w:r>
          </w:p>
        </w:tc>
        <w:tc>
          <w:tcPr>
            <w:tcW w:w="1223" w:type="dxa"/>
            <w:tcBorders>
              <w:top w:val="single" w:color="000000" w:sz="4" w:space="0"/>
              <w:left w:val="single" w:color="000000" w:sz="4" w:space="0"/>
              <w:bottom w:val="single" w:color="000000" w:sz="4" w:space="0"/>
              <w:right w:val="single" w:color="000000" w:sz="4" w:space="0"/>
            </w:tcBorders>
            <w:vAlign w:val="center"/>
          </w:tcPr>
          <w:p w14:paraId="2628BE28">
            <w:pPr>
              <w:rPr>
                <w:rFonts w:ascii="宋体" w:hAnsi="宋体" w:eastAsia="宋体" w:cs="宋体"/>
                <w:color w:val="000000"/>
                <w:sz w:val="21"/>
                <w:szCs w:val="21"/>
                <w:highlight w:val="none"/>
              </w:rPr>
            </w:pPr>
          </w:p>
        </w:tc>
        <w:tc>
          <w:tcPr>
            <w:tcW w:w="5216" w:type="dxa"/>
            <w:tcBorders>
              <w:top w:val="single" w:color="000000" w:sz="4" w:space="0"/>
              <w:left w:val="single" w:color="000000" w:sz="4" w:space="0"/>
              <w:bottom w:val="single" w:color="000000" w:sz="4" w:space="0"/>
              <w:right w:val="single" w:color="000000" w:sz="4" w:space="0"/>
            </w:tcBorders>
            <w:vAlign w:val="center"/>
          </w:tcPr>
          <w:p w14:paraId="39E11843">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针对居民进行肝癌易患问卷调查。支持对问卷进行新增、编辑、删除和查看操作。</w:t>
            </w:r>
          </w:p>
        </w:tc>
      </w:tr>
      <w:tr w14:paraId="26584841">
        <w:tblPrEx>
          <w:tblCellMar>
            <w:top w:w="0" w:type="dxa"/>
            <w:left w:w="108" w:type="dxa"/>
            <w:bottom w:w="0" w:type="dxa"/>
            <w:right w:w="108" w:type="dxa"/>
          </w:tblCellMar>
        </w:tblPrEx>
        <w:trPr>
          <w:trHeight w:val="1083" w:hRule="atLeast"/>
        </w:trPr>
        <w:tc>
          <w:tcPr>
            <w:tcW w:w="705" w:type="dxa"/>
            <w:vMerge w:val="continue"/>
            <w:tcBorders>
              <w:top w:val="single" w:color="000000" w:sz="4" w:space="0"/>
              <w:left w:val="single" w:color="000000" w:sz="4" w:space="0"/>
              <w:bottom w:val="single" w:color="000000" w:sz="4" w:space="0"/>
              <w:right w:val="single" w:color="000000" w:sz="4" w:space="0"/>
            </w:tcBorders>
            <w:vAlign w:val="center"/>
          </w:tcPr>
          <w:p w14:paraId="2A1C9343">
            <w:pPr>
              <w:jc w:val="center"/>
              <w:rPr>
                <w:rFonts w:ascii="宋体" w:hAnsi="宋体" w:eastAsia="宋体" w:cs="宋体"/>
                <w:b/>
                <w:bCs/>
                <w:color w:val="000000"/>
                <w:sz w:val="21"/>
                <w:szCs w:val="21"/>
                <w:highlight w:val="none"/>
              </w:rPr>
            </w:pPr>
          </w:p>
        </w:tc>
        <w:tc>
          <w:tcPr>
            <w:tcW w:w="1189" w:type="dxa"/>
            <w:vMerge w:val="continue"/>
            <w:tcBorders>
              <w:top w:val="single" w:color="000000" w:sz="4" w:space="0"/>
              <w:left w:val="single" w:color="000000" w:sz="4" w:space="0"/>
              <w:bottom w:val="single" w:color="000000" w:sz="4" w:space="0"/>
              <w:right w:val="single" w:color="000000" w:sz="4" w:space="0"/>
            </w:tcBorders>
            <w:vAlign w:val="center"/>
          </w:tcPr>
          <w:p w14:paraId="76D3C4B1">
            <w:pPr>
              <w:jc w:val="center"/>
              <w:rPr>
                <w:rFonts w:ascii="宋体" w:hAnsi="宋体" w:eastAsia="宋体" w:cs="宋体"/>
                <w:color w:val="000000"/>
                <w:sz w:val="21"/>
                <w:szCs w:val="21"/>
                <w:highlight w:val="none"/>
              </w:rPr>
            </w:pPr>
          </w:p>
        </w:tc>
        <w:tc>
          <w:tcPr>
            <w:tcW w:w="1154" w:type="dxa"/>
            <w:tcBorders>
              <w:top w:val="single" w:color="000000" w:sz="4" w:space="0"/>
              <w:left w:val="single" w:color="000000" w:sz="4" w:space="0"/>
              <w:bottom w:val="single" w:color="000000" w:sz="4" w:space="0"/>
              <w:right w:val="single" w:color="000000" w:sz="4" w:space="0"/>
            </w:tcBorders>
            <w:vAlign w:val="center"/>
          </w:tcPr>
          <w:p w14:paraId="17BF51DF">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前列腺癌易患问卷</w:t>
            </w:r>
          </w:p>
        </w:tc>
        <w:tc>
          <w:tcPr>
            <w:tcW w:w="1223" w:type="dxa"/>
            <w:tcBorders>
              <w:top w:val="single" w:color="000000" w:sz="4" w:space="0"/>
              <w:left w:val="single" w:color="000000" w:sz="4" w:space="0"/>
              <w:bottom w:val="single" w:color="000000" w:sz="4" w:space="0"/>
              <w:right w:val="single" w:color="000000" w:sz="4" w:space="0"/>
            </w:tcBorders>
            <w:vAlign w:val="center"/>
          </w:tcPr>
          <w:p w14:paraId="0615A176">
            <w:pPr>
              <w:rPr>
                <w:rFonts w:ascii="宋体" w:hAnsi="宋体" w:eastAsia="宋体" w:cs="宋体"/>
                <w:color w:val="000000"/>
                <w:sz w:val="21"/>
                <w:szCs w:val="21"/>
                <w:highlight w:val="none"/>
              </w:rPr>
            </w:pPr>
          </w:p>
        </w:tc>
        <w:tc>
          <w:tcPr>
            <w:tcW w:w="5216" w:type="dxa"/>
            <w:tcBorders>
              <w:top w:val="single" w:color="000000" w:sz="4" w:space="0"/>
              <w:left w:val="single" w:color="000000" w:sz="4" w:space="0"/>
              <w:bottom w:val="single" w:color="000000" w:sz="4" w:space="0"/>
              <w:right w:val="single" w:color="000000" w:sz="4" w:space="0"/>
            </w:tcBorders>
            <w:vAlign w:val="center"/>
          </w:tcPr>
          <w:p w14:paraId="07C2A934">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针对居民进行前列腺癌易患问卷调查。支持对问卷进行新增、编辑、删除和查看操作。</w:t>
            </w:r>
          </w:p>
        </w:tc>
      </w:tr>
      <w:tr w14:paraId="7A76C63A">
        <w:tblPrEx>
          <w:tblCellMar>
            <w:top w:w="0" w:type="dxa"/>
            <w:left w:w="108" w:type="dxa"/>
            <w:bottom w:w="0" w:type="dxa"/>
            <w:right w:w="108" w:type="dxa"/>
          </w:tblCellMar>
        </w:tblPrEx>
        <w:trPr>
          <w:trHeight w:val="1083" w:hRule="atLeast"/>
        </w:trPr>
        <w:tc>
          <w:tcPr>
            <w:tcW w:w="705" w:type="dxa"/>
            <w:vMerge w:val="continue"/>
            <w:tcBorders>
              <w:top w:val="single" w:color="000000" w:sz="4" w:space="0"/>
              <w:left w:val="single" w:color="000000" w:sz="4" w:space="0"/>
              <w:bottom w:val="single" w:color="000000" w:sz="4" w:space="0"/>
              <w:right w:val="single" w:color="000000" w:sz="4" w:space="0"/>
            </w:tcBorders>
            <w:vAlign w:val="center"/>
          </w:tcPr>
          <w:p w14:paraId="397AC22A">
            <w:pPr>
              <w:jc w:val="center"/>
              <w:rPr>
                <w:rFonts w:ascii="宋体" w:hAnsi="宋体" w:eastAsia="宋体" w:cs="宋体"/>
                <w:b/>
                <w:bCs/>
                <w:color w:val="000000"/>
                <w:sz w:val="21"/>
                <w:szCs w:val="21"/>
                <w:highlight w:val="none"/>
              </w:rPr>
            </w:pPr>
          </w:p>
        </w:tc>
        <w:tc>
          <w:tcPr>
            <w:tcW w:w="1189" w:type="dxa"/>
            <w:vMerge w:val="continue"/>
            <w:tcBorders>
              <w:top w:val="single" w:color="000000" w:sz="4" w:space="0"/>
              <w:left w:val="single" w:color="000000" w:sz="4" w:space="0"/>
              <w:bottom w:val="single" w:color="000000" w:sz="4" w:space="0"/>
              <w:right w:val="single" w:color="000000" w:sz="4" w:space="0"/>
            </w:tcBorders>
            <w:vAlign w:val="center"/>
          </w:tcPr>
          <w:p w14:paraId="646FB1D5">
            <w:pPr>
              <w:jc w:val="center"/>
              <w:rPr>
                <w:rFonts w:ascii="宋体" w:hAnsi="宋体" w:eastAsia="宋体" w:cs="宋体"/>
                <w:color w:val="000000"/>
                <w:sz w:val="21"/>
                <w:szCs w:val="21"/>
                <w:highlight w:val="none"/>
              </w:rPr>
            </w:pPr>
          </w:p>
        </w:tc>
        <w:tc>
          <w:tcPr>
            <w:tcW w:w="1154" w:type="dxa"/>
            <w:tcBorders>
              <w:top w:val="single" w:color="000000" w:sz="4" w:space="0"/>
              <w:left w:val="single" w:color="000000" w:sz="4" w:space="0"/>
              <w:bottom w:val="single" w:color="000000" w:sz="4" w:space="0"/>
              <w:right w:val="single" w:color="000000" w:sz="4" w:space="0"/>
            </w:tcBorders>
            <w:vAlign w:val="center"/>
          </w:tcPr>
          <w:p w14:paraId="75BC77C5">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甲状腺癌易患问卷</w:t>
            </w:r>
          </w:p>
        </w:tc>
        <w:tc>
          <w:tcPr>
            <w:tcW w:w="1223" w:type="dxa"/>
            <w:tcBorders>
              <w:top w:val="single" w:color="000000" w:sz="4" w:space="0"/>
              <w:left w:val="single" w:color="000000" w:sz="4" w:space="0"/>
              <w:bottom w:val="single" w:color="000000" w:sz="4" w:space="0"/>
              <w:right w:val="single" w:color="000000" w:sz="4" w:space="0"/>
            </w:tcBorders>
            <w:vAlign w:val="center"/>
          </w:tcPr>
          <w:p w14:paraId="33F6AD26">
            <w:pPr>
              <w:rPr>
                <w:rFonts w:ascii="宋体" w:hAnsi="宋体" w:eastAsia="宋体" w:cs="宋体"/>
                <w:color w:val="000000"/>
                <w:sz w:val="21"/>
                <w:szCs w:val="21"/>
                <w:highlight w:val="none"/>
              </w:rPr>
            </w:pPr>
          </w:p>
        </w:tc>
        <w:tc>
          <w:tcPr>
            <w:tcW w:w="5216" w:type="dxa"/>
            <w:tcBorders>
              <w:top w:val="single" w:color="000000" w:sz="4" w:space="0"/>
              <w:left w:val="single" w:color="000000" w:sz="4" w:space="0"/>
              <w:bottom w:val="single" w:color="000000" w:sz="4" w:space="0"/>
              <w:right w:val="single" w:color="000000" w:sz="4" w:space="0"/>
            </w:tcBorders>
            <w:vAlign w:val="center"/>
          </w:tcPr>
          <w:p w14:paraId="39301107">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针对居民进行甲状腺癌易患问卷调查。支持对问卷进行新增、编辑、删除和查看操作。</w:t>
            </w:r>
          </w:p>
        </w:tc>
      </w:tr>
      <w:tr w14:paraId="7580654E">
        <w:tblPrEx>
          <w:tblCellMar>
            <w:top w:w="0" w:type="dxa"/>
            <w:left w:w="108" w:type="dxa"/>
            <w:bottom w:w="0" w:type="dxa"/>
            <w:right w:w="108" w:type="dxa"/>
          </w:tblCellMar>
        </w:tblPrEx>
        <w:trPr>
          <w:trHeight w:val="378" w:hRule="atLeast"/>
        </w:trPr>
        <w:tc>
          <w:tcPr>
            <w:tcW w:w="705" w:type="dxa"/>
            <w:vMerge w:val="continue"/>
            <w:tcBorders>
              <w:top w:val="single" w:color="000000" w:sz="4" w:space="0"/>
              <w:left w:val="single" w:color="000000" w:sz="4" w:space="0"/>
              <w:bottom w:val="single" w:color="000000" w:sz="4" w:space="0"/>
              <w:right w:val="single" w:color="000000" w:sz="4" w:space="0"/>
            </w:tcBorders>
            <w:vAlign w:val="center"/>
          </w:tcPr>
          <w:p w14:paraId="12CFA8EF">
            <w:pPr>
              <w:jc w:val="center"/>
              <w:rPr>
                <w:rFonts w:ascii="宋体" w:hAnsi="宋体" w:eastAsia="宋体" w:cs="宋体"/>
                <w:b/>
                <w:bCs/>
                <w:color w:val="000000"/>
                <w:sz w:val="21"/>
                <w:szCs w:val="21"/>
                <w:highlight w:val="none"/>
              </w:rPr>
            </w:pPr>
          </w:p>
        </w:tc>
        <w:tc>
          <w:tcPr>
            <w:tcW w:w="1189" w:type="dxa"/>
            <w:vMerge w:val="continue"/>
            <w:tcBorders>
              <w:top w:val="single" w:color="000000" w:sz="4" w:space="0"/>
              <w:left w:val="single" w:color="000000" w:sz="4" w:space="0"/>
              <w:bottom w:val="single" w:color="000000" w:sz="4" w:space="0"/>
              <w:right w:val="single" w:color="000000" w:sz="4" w:space="0"/>
            </w:tcBorders>
            <w:vAlign w:val="center"/>
          </w:tcPr>
          <w:p w14:paraId="75AD5219">
            <w:pPr>
              <w:jc w:val="center"/>
              <w:rPr>
                <w:rFonts w:ascii="宋体" w:hAnsi="宋体" w:eastAsia="宋体" w:cs="宋体"/>
                <w:color w:val="000000"/>
                <w:sz w:val="21"/>
                <w:szCs w:val="21"/>
                <w:highlight w:val="none"/>
              </w:rPr>
            </w:pPr>
          </w:p>
        </w:tc>
        <w:tc>
          <w:tcPr>
            <w:tcW w:w="1154" w:type="dxa"/>
            <w:tcBorders>
              <w:top w:val="single" w:color="000000" w:sz="4" w:space="0"/>
              <w:left w:val="single" w:color="000000" w:sz="4" w:space="0"/>
              <w:bottom w:val="single" w:color="000000" w:sz="4" w:space="0"/>
              <w:right w:val="single" w:color="000000" w:sz="4" w:space="0"/>
            </w:tcBorders>
            <w:vAlign w:val="center"/>
          </w:tcPr>
          <w:p w14:paraId="28B4A8F2">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卵巢癌易患问卷</w:t>
            </w:r>
          </w:p>
        </w:tc>
        <w:tc>
          <w:tcPr>
            <w:tcW w:w="1223" w:type="dxa"/>
            <w:tcBorders>
              <w:top w:val="single" w:color="000000" w:sz="4" w:space="0"/>
              <w:left w:val="single" w:color="000000" w:sz="4" w:space="0"/>
              <w:bottom w:val="single" w:color="000000" w:sz="4" w:space="0"/>
              <w:right w:val="single" w:color="000000" w:sz="4" w:space="0"/>
            </w:tcBorders>
            <w:vAlign w:val="center"/>
          </w:tcPr>
          <w:p w14:paraId="653EBB8C">
            <w:pPr>
              <w:rPr>
                <w:rFonts w:ascii="宋体" w:hAnsi="宋体" w:eastAsia="宋体" w:cs="宋体"/>
                <w:color w:val="000000"/>
                <w:sz w:val="21"/>
                <w:szCs w:val="21"/>
                <w:highlight w:val="none"/>
              </w:rPr>
            </w:pPr>
          </w:p>
        </w:tc>
        <w:tc>
          <w:tcPr>
            <w:tcW w:w="5216" w:type="dxa"/>
            <w:tcBorders>
              <w:top w:val="single" w:color="000000" w:sz="4" w:space="0"/>
              <w:left w:val="single" w:color="000000" w:sz="4" w:space="0"/>
              <w:bottom w:val="single" w:color="000000" w:sz="4" w:space="0"/>
              <w:right w:val="single" w:color="000000" w:sz="4" w:space="0"/>
            </w:tcBorders>
            <w:vAlign w:val="center"/>
          </w:tcPr>
          <w:p w14:paraId="462168BF">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针对居民进行卵巢癌癌易患问卷调查。支持对问卷进行新增、编辑、删除和查看操作。</w:t>
            </w:r>
          </w:p>
        </w:tc>
      </w:tr>
      <w:tr w14:paraId="3A220BF8">
        <w:tblPrEx>
          <w:tblCellMar>
            <w:top w:w="0" w:type="dxa"/>
            <w:left w:w="108" w:type="dxa"/>
            <w:bottom w:w="0" w:type="dxa"/>
            <w:right w:w="108" w:type="dxa"/>
          </w:tblCellMar>
        </w:tblPrEx>
        <w:trPr>
          <w:trHeight w:val="378" w:hRule="atLeast"/>
        </w:trPr>
        <w:tc>
          <w:tcPr>
            <w:tcW w:w="705" w:type="dxa"/>
            <w:vMerge w:val="continue"/>
            <w:tcBorders>
              <w:top w:val="single" w:color="000000" w:sz="4" w:space="0"/>
              <w:left w:val="single" w:color="000000" w:sz="4" w:space="0"/>
              <w:bottom w:val="single" w:color="000000" w:sz="4" w:space="0"/>
              <w:right w:val="single" w:color="000000" w:sz="4" w:space="0"/>
            </w:tcBorders>
            <w:vAlign w:val="center"/>
          </w:tcPr>
          <w:p w14:paraId="3A1409BA">
            <w:pPr>
              <w:jc w:val="center"/>
              <w:rPr>
                <w:rFonts w:ascii="宋体" w:hAnsi="宋体" w:eastAsia="宋体" w:cs="宋体"/>
                <w:b/>
                <w:bCs/>
                <w:color w:val="000000"/>
                <w:sz w:val="21"/>
                <w:szCs w:val="21"/>
                <w:highlight w:val="none"/>
              </w:rPr>
            </w:pPr>
          </w:p>
        </w:tc>
        <w:tc>
          <w:tcPr>
            <w:tcW w:w="1189" w:type="dxa"/>
            <w:vMerge w:val="restart"/>
            <w:tcBorders>
              <w:top w:val="single" w:color="000000" w:sz="4" w:space="0"/>
              <w:left w:val="single" w:color="000000" w:sz="4" w:space="0"/>
              <w:bottom w:val="single" w:color="000000" w:sz="4" w:space="0"/>
              <w:right w:val="single" w:color="000000" w:sz="4" w:space="0"/>
            </w:tcBorders>
            <w:vAlign w:val="center"/>
          </w:tcPr>
          <w:p w14:paraId="5038FF0C">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评估管理</w:t>
            </w:r>
          </w:p>
        </w:tc>
        <w:tc>
          <w:tcPr>
            <w:tcW w:w="1154" w:type="dxa"/>
            <w:vMerge w:val="restart"/>
            <w:tcBorders>
              <w:top w:val="single" w:color="000000" w:sz="4" w:space="0"/>
              <w:left w:val="single" w:color="000000" w:sz="4" w:space="0"/>
              <w:bottom w:val="single" w:color="000000" w:sz="4" w:space="0"/>
              <w:right w:val="single" w:color="000000" w:sz="4" w:space="0"/>
            </w:tcBorders>
            <w:vAlign w:val="center"/>
          </w:tcPr>
          <w:p w14:paraId="4BACD893">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疾病专案评估</w:t>
            </w:r>
          </w:p>
        </w:tc>
        <w:tc>
          <w:tcPr>
            <w:tcW w:w="1223" w:type="dxa"/>
            <w:tcBorders>
              <w:top w:val="single" w:color="000000" w:sz="4" w:space="0"/>
              <w:left w:val="single" w:color="000000" w:sz="4" w:space="0"/>
              <w:bottom w:val="single" w:color="000000" w:sz="4" w:space="0"/>
              <w:right w:val="single" w:color="000000" w:sz="4" w:space="0"/>
            </w:tcBorders>
            <w:vAlign w:val="center"/>
          </w:tcPr>
          <w:p w14:paraId="5390940D">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慢病专案评估</w:t>
            </w:r>
          </w:p>
        </w:tc>
        <w:tc>
          <w:tcPr>
            <w:tcW w:w="5216" w:type="dxa"/>
            <w:tcBorders>
              <w:top w:val="single" w:color="000000" w:sz="4" w:space="0"/>
              <w:left w:val="single" w:color="000000" w:sz="4" w:space="0"/>
              <w:bottom w:val="single" w:color="000000" w:sz="4" w:space="0"/>
              <w:right w:val="single" w:color="000000" w:sz="4" w:space="0"/>
            </w:tcBorders>
            <w:vAlign w:val="center"/>
          </w:tcPr>
          <w:p w14:paraId="7C190D37">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▲可对诊断为慢病的患者进行慢病评估，评估通过即表示居民确实患有慢病，方可生成相应的慢病提醒。若对于诊断的患者不需要进行慢病评估，可直接关闭慢病专案评估。该业务支持评估、查看操作。</w:t>
            </w:r>
          </w:p>
        </w:tc>
      </w:tr>
      <w:tr w14:paraId="79E4CA3C">
        <w:tblPrEx>
          <w:tblCellMar>
            <w:top w:w="0" w:type="dxa"/>
            <w:left w:w="108" w:type="dxa"/>
            <w:bottom w:w="0" w:type="dxa"/>
            <w:right w:w="108" w:type="dxa"/>
          </w:tblCellMar>
        </w:tblPrEx>
        <w:trPr>
          <w:trHeight w:val="730" w:hRule="atLeast"/>
        </w:trPr>
        <w:tc>
          <w:tcPr>
            <w:tcW w:w="705" w:type="dxa"/>
            <w:vMerge w:val="continue"/>
            <w:tcBorders>
              <w:top w:val="single" w:color="000000" w:sz="4" w:space="0"/>
              <w:left w:val="single" w:color="000000" w:sz="4" w:space="0"/>
              <w:bottom w:val="single" w:color="000000" w:sz="4" w:space="0"/>
              <w:right w:val="single" w:color="000000" w:sz="4" w:space="0"/>
            </w:tcBorders>
            <w:vAlign w:val="center"/>
          </w:tcPr>
          <w:p w14:paraId="39B7E6CE">
            <w:pPr>
              <w:jc w:val="center"/>
              <w:rPr>
                <w:rFonts w:ascii="宋体" w:hAnsi="宋体" w:eastAsia="宋体" w:cs="宋体"/>
                <w:b/>
                <w:bCs/>
                <w:color w:val="000000"/>
                <w:sz w:val="21"/>
                <w:szCs w:val="21"/>
                <w:highlight w:val="none"/>
              </w:rPr>
            </w:pPr>
          </w:p>
        </w:tc>
        <w:tc>
          <w:tcPr>
            <w:tcW w:w="1189" w:type="dxa"/>
            <w:vMerge w:val="continue"/>
            <w:tcBorders>
              <w:top w:val="single" w:color="000000" w:sz="4" w:space="0"/>
              <w:left w:val="single" w:color="000000" w:sz="4" w:space="0"/>
              <w:bottom w:val="single" w:color="000000" w:sz="4" w:space="0"/>
              <w:right w:val="single" w:color="000000" w:sz="4" w:space="0"/>
            </w:tcBorders>
            <w:vAlign w:val="center"/>
          </w:tcPr>
          <w:p w14:paraId="6950DD4D">
            <w:pPr>
              <w:jc w:val="left"/>
              <w:rPr>
                <w:rFonts w:ascii="宋体" w:hAnsi="宋体" w:eastAsia="宋体" w:cs="宋体"/>
                <w:color w:val="000000"/>
                <w:sz w:val="21"/>
                <w:szCs w:val="21"/>
                <w:highlight w:val="none"/>
              </w:rPr>
            </w:pPr>
          </w:p>
        </w:tc>
        <w:tc>
          <w:tcPr>
            <w:tcW w:w="1154" w:type="dxa"/>
            <w:vMerge w:val="continue"/>
            <w:tcBorders>
              <w:top w:val="single" w:color="000000" w:sz="4" w:space="0"/>
              <w:left w:val="single" w:color="000000" w:sz="4" w:space="0"/>
              <w:bottom w:val="single" w:color="000000" w:sz="4" w:space="0"/>
              <w:right w:val="single" w:color="000000" w:sz="4" w:space="0"/>
            </w:tcBorders>
            <w:vAlign w:val="center"/>
          </w:tcPr>
          <w:p w14:paraId="6779091B">
            <w:pPr>
              <w:jc w:val="left"/>
              <w:rPr>
                <w:rFonts w:ascii="宋体" w:hAnsi="宋体" w:eastAsia="宋体" w:cs="宋体"/>
                <w:color w:val="000000"/>
                <w:sz w:val="21"/>
                <w:szCs w:val="21"/>
                <w:highlight w:val="none"/>
              </w:rPr>
            </w:pPr>
          </w:p>
        </w:tc>
        <w:tc>
          <w:tcPr>
            <w:tcW w:w="1223" w:type="dxa"/>
            <w:tcBorders>
              <w:top w:val="single" w:color="000000" w:sz="4" w:space="0"/>
              <w:left w:val="single" w:color="000000" w:sz="4" w:space="0"/>
              <w:bottom w:val="single" w:color="000000" w:sz="4" w:space="0"/>
              <w:right w:val="single" w:color="000000" w:sz="4" w:space="0"/>
            </w:tcBorders>
            <w:vAlign w:val="center"/>
          </w:tcPr>
          <w:p w14:paraId="6FEB58E5">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肿瘤专案评估</w:t>
            </w:r>
          </w:p>
        </w:tc>
        <w:tc>
          <w:tcPr>
            <w:tcW w:w="5216" w:type="dxa"/>
            <w:tcBorders>
              <w:top w:val="single" w:color="000000" w:sz="4" w:space="0"/>
              <w:left w:val="single" w:color="000000" w:sz="4" w:space="0"/>
              <w:bottom w:val="single" w:color="000000" w:sz="4" w:space="0"/>
              <w:right w:val="single" w:color="000000" w:sz="4" w:space="0"/>
            </w:tcBorders>
            <w:vAlign w:val="center"/>
          </w:tcPr>
          <w:p w14:paraId="0B8408B1">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可对诊断为肿瘤的患者进行肿瘤评估，评估通过即表示居民确实患有肿瘤，方可生成相应的肿瘤提醒。若对于诊断的患者不需要进行肿瘤评估，可直接关闭肿瘤专案评估。该业务支持评估、查看操作。</w:t>
            </w:r>
          </w:p>
        </w:tc>
      </w:tr>
      <w:tr w14:paraId="2DEDB466">
        <w:tblPrEx>
          <w:tblCellMar>
            <w:top w:w="0" w:type="dxa"/>
            <w:left w:w="108" w:type="dxa"/>
            <w:bottom w:w="0" w:type="dxa"/>
            <w:right w:w="108" w:type="dxa"/>
          </w:tblCellMar>
        </w:tblPrEx>
        <w:trPr>
          <w:trHeight w:val="730" w:hRule="atLeast"/>
        </w:trPr>
        <w:tc>
          <w:tcPr>
            <w:tcW w:w="705" w:type="dxa"/>
            <w:vMerge w:val="continue"/>
            <w:tcBorders>
              <w:top w:val="single" w:color="000000" w:sz="4" w:space="0"/>
              <w:left w:val="single" w:color="000000" w:sz="4" w:space="0"/>
              <w:bottom w:val="single" w:color="000000" w:sz="4" w:space="0"/>
              <w:right w:val="single" w:color="000000" w:sz="4" w:space="0"/>
            </w:tcBorders>
            <w:vAlign w:val="center"/>
          </w:tcPr>
          <w:p w14:paraId="4BF2DD63">
            <w:pPr>
              <w:jc w:val="center"/>
              <w:rPr>
                <w:rFonts w:ascii="宋体" w:hAnsi="宋体" w:eastAsia="宋体" w:cs="宋体"/>
                <w:b/>
                <w:bCs/>
                <w:color w:val="000000"/>
                <w:sz w:val="21"/>
                <w:szCs w:val="21"/>
                <w:highlight w:val="none"/>
              </w:rPr>
            </w:pPr>
          </w:p>
        </w:tc>
        <w:tc>
          <w:tcPr>
            <w:tcW w:w="1189" w:type="dxa"/>
            <w:vMerge w:val="continue"/>
            <w:tcBorders>
              <w:top w:val="single" w:color="000000" w:sz="4" w:space="0"/>
              <w:left w:val="single" w:color="000000" w:sz="4" w:space="0"/>
              <w:bottom w:val="single" w:color="000000" w:sz="4" w:space="0"/>
              <w:right w:val="single" w:color="000000" w:sz="4" w:space="0"/>
            </w:tcBorders>
            <w:vAlign w:val="center"/>
          </w:tcPr>
          <w:p w14:paraId="46F68C2E">
            <w:pPr>
              <w:jc w:val="left"/>
              <w:rPr>
                <w:rFonts w:ascii="宋体" w:hAnsi="宋体" w:eastAsia="宋体" w:cs="宋体"/>
                <w:color w:val="000000"/>
                <w:sz w:val="21"/>
                <w:szCs w:val="21"/>
                <w:highlight w:val="none"/>
              </w:rPr>
            </w:pPr>
          </w:p>
        </w:tc>
        <w:tc>
          <w:tcPr>
            <w:tcW w:w="1154" w:type="dxa"/>
            <w:vMerge w:val="restart"/>
            <w:tcBorders>
              <w:top w:val="single" w:color="000000" w:sz="4" w:space="0"/>
              <w:left w:val="single" w:color="000000" w:sz="4" w:space="0"/>
              <w:bottom w:val="single" w:color="000000" w:sz="4" w:space="0"/>
              <w:right w:val="single" w:color="000000" w:sz="4" w:space="0"/>
            </w:tcBorders>
            <w:vAlign w:val="center"/>
          </w:tcPr>
          <w:p w14:paraId="127F1B96">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疾病状态评估</w:t>
            </w:r>
          </w:p>
        </w:tc>
        <w:tc>
          <w:tcPr>
            <w:tcW w:w="1223" w:type="dxa"/>
            <w:tcBorders>
              <w:top w:val="single" w:color="000000" w:sz="4" w:space="0"/>
              <w:left w:val="single" w:color="000000" w:sz="4" w:space="0"/>
              <w:bottom w:val="single" w:color="000000" w:sz="4" w:space="0"/>
              <w:right w:val="single" w:color="000000" w:sz="4" w:space="0"/>
            </w:tcBorders>
            <w:vAlign w:val="center"/>
          </w:tcPr>
          <w:p w14:paraId="1CE87CE0">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慢病状态评估</w:t>
            </w:r>
          </w:p>
        </w:tc>
        <w:tc>
          <w:tcPr>
            <w:tcW w:w="5216" w:type="dxa"/>
            <w:tcBorders>
              <w:top w:val="single" w:color="000000" w:sz="4" w:space="0"/>
              <w:left w:val="single" w:color="000000" w:sz="4" w:space="0"/>
              <w:bottom w:val="single" w:color="000000" w:sz="4" w:space="0"/>
              <w:right w:val="single" w:color="000000" w:sz="4" w:space="0"/>
            </w:tcBorders>
            <w:vAlign w:val="center"/>
          </w:tcPr>
          <w:p w14:paraId="0EDA125A">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可为进行慢病随访后的患者自动生成状态评估。若患者未治愈，可在此处进行当前慢病的分级评估；若患者已治愈，医生可在此处进行结案评估。支持分级评分、结案评估、删除、编辑、查看操作。</w:t>
            </w:r>
          </w:p>
        </w:tc>
      </w:tr>
      <w:tr w14:paraId="2B2F6150">
        <w:tblPrEx>
          <w:tblCellMar>
            <w:top w:w="0" w:type="dxa"/>
            <w:left w:w="108" w:type="dxa"/>
            <w:bottom w:w="0" w:type="dxa"/>
            <w:right w:w="108" w:type="dxa"/>
          </w:tblCellMar>
        </w:tblPrEx>
        <w:trPr>
          <w:trHeight w:val="730" w:hRule="atLeast"/>
        </w:trPr>
        <w:tc>
          <w:tcPr>
            <w:tcW w:w="705" w:type="dxa"/>
            <w:vMerge w:val="continue"/>
            <w:tcBorders>
              <w:top w:val="single" w:color="000000" w:sz="4" w:space="0"/>
              <w:left w:val="single" w:color="000000" w:sz="4" w:space="0"/>
              <w:bottom w:val="single" w:color="000000" w:sz="4" w:space="0"/>
              <w:right w:val="single" w:color="000000" w:sz="4" w:space="0"/>
            </w:tcBorders>
            <w:vAlign w:val="center"/>
          </w:tcPr>
          <w:p w14:paraId="513C93F8">
            <w:pPr>
              <w:jc w:val="center"/>
              <w:rPr>
                <w:rFonts w:ascii="宋体" w:hAnsi="宋体" w:eastAsia="宋体" w:cs="宋体"/>
                <w:b/>
                <w:bCs/>
                <w:color w:val="000000"/>
                <w:sz w:val="21"/>
                <w:szCs w:val="21"/>
                <w:highlight w:val="none"/>
              </w:rPr>
            </w:pPr>
          </w:p>
        </w:tc>
        <w:tc>
          <w:tcPr>
            <w:tcW w:w="1189" w:type="dxa"/>
            <w:vMerge w:val="continue"/>
            <w:tcBorders>
              <w:top w:val="single" w:color="000000" w:sz="4" w:space="0"/>
              <w:left w:val="single" w:color="000000" w:sz="4" w:space="0"/>
              <w:bottom w:val="single" w:color="000000" w:sz="4" w:space="0"/>
              <w:right w:val="single" w:color="000000" w:sz="4" w:space="0"/>
            </w:tcBorders>
            <w:vAlign w:val="center"/>
          </w:tcPr>
          <w:p w14:paraId="13C405FF">
            <w:pPr>
              <w:jc w:val="left"/>
              <w:rPr>
                <w:rFonts w:ascii="宋体" w:hAnsi="宋体" w:eastAsia="宋体" w:cs="宋体"/>
                <w:color w:val="000000"/>
                <w:sz w:val="21"/>
                <w:szCs w:val="21"/>
                <w:highlight w:val="none"/>
              </w:rPr>
            </w:pPr>
          </w:p>
        </w:tc>
        <w:tc>
          <w:tcPr>
            <w:tcW w:w="1154" w:type="dxa"/>
            <w:vMerge w:val="continue"/>
            <w:tcBorders>
              <w:top w:val="single" w:color="000000" w:sz="4" w:space="0"/>
              <w:left w:val="single" w:color="000000" w:sz="4" w:space="0"/>
              <w:bottom w:val="single" w:color="000000" w:sz="4" w:space="0"/>
              <w:right w:val="single" w:color="000000" w:sz="4" w:space="0"/>
            </w:tcBorders>
            <w:vAlign w:val="center"/>
          </w:tcPr>
          <w:p w14:paraId="1FB21430">
            <w:pPr>
              <w:jc w:val="left"/>
              <w:rPr>
                <w:rFonts w:ascii="宋体" w:hAnsi="宋体" w:eastAsia="宋体" w:cs="宋体"/>
                <w:color w:val="000000"/>
                <w:sz w:val="21"/>
                <w:szCs w:val="21"/>
                <w:highlight w:val="none"/>
              </w:rPr>
            </w:pPr>
          </w:p>
        </w:tc>
        <w:tc>
          <w:tcPr>
            <w:tcW w:w="1223" w:type="dxa"/>
            <w:tcBorders>
              <w:top w:val="single" w:color="000000" w:sz="4" w:space="0"/>
              <w:left w:val="single" w:color="000000" w:sz="4" w:space="0"/>
              <w:bottom w:val="single" w:color="000000" w:sz="4" w:space="0"/>
              <w:right w:val="single" w:color="000000" w:sz="4" w:space="0"/>
            </w:tcBorders>
            <w:vAlign w:val="center"/>
          </w:tcPr>
          <w:p w14:paraId="72B18D08">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肿瘤状态评估</w:t>
            </w:r>
          </w:p>
        </w:tc>
        <w:tc>
          <w:tcPr>
            <w:tcW w:w="5216" w:type="dxa"/>
            <w:tcBorders>
              <w:top w:val="single" w:color="000000" w:sz="4" w:space="0"/>
              <w:left w:val="single" w:color="000000" w:sz="4" w:space="0"/>
              <w:bottom w:val="single" w:color="000000" w:sz="4" w:space="0"/>
              <w:right w:val="single" w:color="000000" w:sz="4" w:space="0"/>
            </w:tcBorders>
            <w:vAlign w:val="center"/>
          </w:tcPr>
          <w:p w14:paraId="5957D4F8">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可为进行肿瘤随访后的患者自动生成状态评估。若患者未治愈，可在此处进行当前肿瘤的分级评估；若患者已治愈，医生可在此处进行结案评估。支持分级评分、结案评估、删除、编辑、查看操作。</w:t>
            </w:r>
          </w:p>
        </w:tc>
      </w:tr>
      <w:tr w14:paraId="78BF3971">
        <w:tblPrEx>
          <w:tblCellMar>
            <w:top w:w="0" w:type="dxa"/>
            <w:left w:w="108" w:type="dxa"/>
            <w:bottom w:w="0" w:type="dxa"/>
            <w:right w:w="108" w:type="dxa"/>
          </w:tblCellMar>
        </w:tblPrEx>
        <w:trPr>
          <w:trHeight w:val="730" w:hRule="atLeast"/>
        </w:trPr>
        <w:tc>
          <w:tcPr>
            <w:tcW w:w="705" w:type="dxa"/>
            <w:vMerge w:val="continue"/>
            <w:tcBorders>
              <w:top w:val="single" w:color="000000" w:sz="4" w:space="0"/>
              <w:left w:val="single" w:color="000000" w:sz="4" w:space="0"/>
              <w:bottom w:val="single" w:color="000000" w:sz="4" w:space="0"/>
              <w:right w:val="single" w:color="000000" w:sz="4" w:space="0"/>
            </w:tcBorders>
            <w:vAlign w:val="center"/>
          </w:tcPr>
          <w:p w14:paraId="6538B5A1">
            <w:pPr>
              <w:jc w:val="center"/>
              <w:rPr>
                <w:rFonts w:ascii="宋体" w:hAnsi="宋体" w:eastAsia="宋体" w:cs="宋体"/>
                <w:b/>
                <w:bCs/>
                <w:color w:val="000000"/>
                <w:sz w:val="21"/>
                <w:szCs w:val="21"/>
                <w:highlight w:val="none"/>
              </w:rPr>
            </w:pPr>
          </w:p>
        </w:tc>
        <w:tc>
          <w:tcPr>
            <w:tcW w:w="1189" w:type="dxa"/>
            <w:vMerge w:val="restart"/>
            <w:tcBorders>
              <w:top w:val="single" w:color="000000" w:sz="4" w:space="0"/>
              <w:left w:val="single" w:color="000000" w:sz="4" w:space="0"/>
              <w:bottom w:val="single" w:color="000000" w:sz="4" w:space="0"/>
              <w:right w:val="single" w:color="000000" w:sz="4" w:space="0"/>
            </w:tcBorders>
            <w:vAlign w:val="center"/>
          </w:tcPr>
          <w:p w14:paraId="7252C5B6">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人群服务</w:t>
            </w:r>
          </w:p>
        </w:tc>
        <w:tc>
          <w:tcPr>
            <w:tcW w:w="1154" w:type="dxa"/>
            <w:tcBorders>
              <w:top w:val="single" w:color="000000" w:sz="4" w:space="0"/>
              <w:left w:val="single" w:color="000000" w:sz="4" w:space="0"/>
              <w:bottom w:val="single" w:color="000000" w:sz="4" w:space="0"/>
              <w:right w:val="single" w:color="000000" w:sz="4" w:space="0"/>
            </w:tcBorders>
            <w:vAlign w:val="center"/>
          </w:tcPr>
          <w:p w14:paraId="258CDF7E">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人群管理</w:t>
            </w:r>
          </w:p>
        </w:tc>
        <w:tc>
          <w:tcPr>
            <w:tcW w:w="1223" w:type="dxa"/>
            <w:tcBorders>
              <w:top w:val="single" w:color="000000" w:sz="4" w:space="0"/>
              <w:left w:val="single" w:color="000000" w:sz="4" w:space="0"/>
              <w:bottom w:val="single" w:color="000000" w:sz="4" w:space="0"/>
              <w:right w:val="single" w:color="000000" w:sz="4" w:space="0"/>
            </w:tcBorders>
            <w:vAlign w:val="center"/>
          </w:tcPr>
          <w:p w14:paraId="5676A88D">
            <w:pPr>
              <w:rPr>
                <w:rFonts w:ascii="宋体" w:hAnsi="宋体" w:eastAsia="宋体" w:cs="宋体"/>
                <w:color w:val="000000"/>
                <w:sz w:val="21"/>
                <w:szCs w:val="21"/>
                <w:highlight w:val="none"/>
              </w:rPr>
            </w:pPr>
          </w:p>
        </w:tc>
        <w:tc>
          <w:tcPr>
            <w:tcW w:w="5216" w:type="dxa"/>
            <w:tcBorders>
              <w:top w:val="single" w:color="000000" w:sz="4" w:space="0"/>
              <w:left w:val="single" w:color="000000" w:sz="4" w:space="0"/>
              <w:bottom w:val="single" w:color="000000" w:sz="4" w:space="0"/>
              <w:right w:val="single" w:color="000000" w:sz="4" w:space="0"/>
            </w:tcBorders>
            <w:vAlign w:val="center"/>
          </w:tcPr>
          <w:p w14:paraId="7B7539D4">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对中心的所有人群进行管理，可进行新增、编辑、死亡、撤销死亡、诊转服务、删除、查看操作。可以居民为维度，展示居民的业务，并为居民展示个人待办、健康全景视图、慢病诊疗史、转诊、沟通业务。</w:t>
            </w:r>
          </w:p>
        </w:tc>
      </w:tr>
      <w:tr w14:paraId="5143C671">
        <w:tblPrEx>
          <w:tblCellMar>
            <w:top w:w="0" w:type="dxa"/>
            <w:left w:w="108" w:type="dxa"/>
            <w:bottom w:w="0" w:type="dxa"/>
            <w:right w:w="108" w:type="dxa"/>
          </w:tblCellMar>
        </w:tblPrEx>
        <w:trPr>
          <w:trHeight w:val="730" w:hRule="atLeast"/>
        </w:trPr>
        <w:tc>
          <w:tcPr>
            <w:tcW w:w="705" w:type="dxa"/>
            <w:vMerge w:val="continue"/>
            <w:tcBorders>
              <w:top w:val="single" w:color="000000" w:sz="4" w:space="0"/>
              <w:left w:val="single" w:color="000000" w:sz="4" w:space="0"/>
              <w:bottom w:val="single" w:color="000000" w:sz="4" w:space="0"/>
              <w:right w:val="single" w:color="000000" w:sz="4" w:space="0"/>
            </w:tcBorders>
            <w:vAlign w:val="center"/>
          </w:tcPr>
          <w:p w14:paraId="4FAD410F">
            <w:pPr>
              <w:jc w:val="center"/>
              <w:rPr>
                <w:rFonts w:ascii="宋体" w:hAnsi="宋体" w:eastAsia="宋体" w:cs="宋体"/>
                <w:b/>
                <w:bCs/>
                <w:color w:val="000000"/>
                <w:sz w:val="21"/>
                <w:szCs w:val="21"/>
                <w:highlight w:val="none"/>
              </w:rPr>
            </w:pPr>
          </w:p>
        </w:tc>
        <w:tc>
          <w:tcPr>
            <w:tcW w:w="1189" w:type="dxa"/>
            <w:vMerge w:val="continue"/>
            <w:tcBorders>
              <w:top w:val="single" w:color="000000" w:sz="4" w:space="0"/>
              <w:left w:val="single" w:color="000000" w:sz="4" w:space="0"/>
              <w:bottom w:val="single" w:color="000000" w:sz="4" w:space="0"/>
              <w:right w:val="single" w:color="000000" w:sz="4" w:space="0"/>
            </w:tcBorders>
            <w:vAlign w:val="center"/>
          </w:tcPr>
          <w:p w14:paraId="2096B8DE">
            <w:pPr>
              <w:jc w:val="left"/>
              <w:rPr>
                <w:rFonts w:ascii="宋体" w:hAnsi="宋体" w:eastAsia="宋体" w:cs="宋体"/>
                <w:color w:val="000000"/>
                <w:sz w:val="21"/>
                <w:szCs w:val="21"/>
                <w:highlight w:val="none"/>
              </w:rPr>
            </w:pPr>
          </w:p>
        </w:tc>
        <w:tc>
          <w:tcPr>
            <w:tcW w:w="1154" w:type="dxa"/>
            <w:vMerge w:val="restart"/>
            <w:tcBorders>
              <w:top w:val="single" w:color="000000" w:sz="4" w:space="0"/>
              <w:left w:val="single" w:color="000000" w:sz="4" w:space="0"/>
              <w:bottom w:val="single" w:color="000000" w:sz="4" w:space="0"/>
              <w:right w:val="single" w:color="000000" w:sz="4" w:space="0"/>
            </w:tcBorders>
            <w:vAlign w:val="center"/>
          </w:tcPr>
          <w:p w14:paraId="53ACDE5F">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疾病人群</w:t>
            </w:r>
          </w:p>
        </w:tc>
        <w:tc>
          <w:tcPr>
            <w:tcW w:w="1223" w:type="dxa"/>
            <w:tcBorders>
              <w:top w:val="single" w:color="000000" w:sz="4" w:space="0"/>
              <w:left w:val="single" w:color="000000" w:sz="4" w:space="0"/>
              <w:bottom w:val="single" w:color="000000" w:sz="4" w:space="0"/>
              <w:right w:val="single" w:color="000000" w:sz="4" w:space="0"/>
            </w:tcBorders>
            <w:vAlign w:val="center"/>
          </w:tcPr>
          <w:p w14:paraId="6449DDB7">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慢病人群</w:t>
            </w:r>
          </w:p>
        </w:tc>
        <w:tc>
          <w:tcPr>
            <w:tcW w:w="5216" w:type="dxa"/>
            <w:tcBorders>
              <w:top w:val="single" w:color="000000" w:sz="4" w:space="0"/>
              <w:left w:val="single" w:color="000000" w:sz="4" w:space="0"/>
              <w:bottom w:val="single" w:color="000000" w:sz="4" w:space="0"/>
              <w:right w:val="single" w:color="000000" w:sz="4" w:space="0"/>
            </w:tcBorders>
            <w:vAlign w:val="center"/>
          </w:tcPr>
          <w:p w14:paraId="3A9BB72E">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对慢病患者与慢病易患人群进行管理，可进行新增、编辑、删除、查看操作。</w:t>
            </w:r>
          </w:p>
        </w:tc>
      </w:tr>
      <w:tr w14:paraId="7D4AEC44">
        <w:tblPrEx>
          <w:tblCellMar>
            <w:top w:w="0" w:type="dxa"/>
            <w:left w:w="108" w:type="dxa"/>
            <w:bottom w:w="0" w:type="dxa"/>
            <w:right w:w="108" w:type="dxa"/>
          </w:tblCellMar>
        </w:tblPrEx>
        <w:trPr>
          <w:trHeight w:val="730" w:hRule="atLeast"/>
        </w:trPr>
        <w:tc>
          <w:tcPr>
            <w:tcW w:w="705" w:type="dxa"/>
            <w:vMerge w:val="continue"/>
            <w:tcBorders>
              <w:top w:val="single" w:color="000000" w:sz="4" w:space="0"/>
              <w:left w:val="single" w:color="000000" w:sz="4" w:space="0"/>
              <w:bottom w:val="single" w:color="000000" w:sz="4" w:space="0"/>
              <w:right w:val="single" w:color="000000" w:sz="4" w:space="0"/>
            </w:tcBorders>
            <w:vAlign w:val="center"/>
          </w:tcPr>
          <w:p w14:paraId="1395E663">
            <w:pPr>
              <w:jc w:val="center"/>
              <w:rPr>
                <w:rFonts w:ascii="宋体" w:hAnsi="宋体" w:eastAsia="宋体" w:cs="宋体"/>
                <w:b/>
                <w:bCs/>
                <w:color w:val="000000"/>
                <w:sz w:val="21"/>
                <w:szCs w:val="21"/>
                <w:highlight w:val="none"/>
              </w:rPr>
            </w:pPr>
          </w:p>
        </w:tc>
        <w:tc>
          <w:tcPr>
            <w:tcW w:w="1189" w:type="dxa"/>
            <w:vMerge w:val="continue"/>
            <w:tcBorders>
              <w:top w:val="single" w:color="000000" w:sz="4" w:space="0"/>
              <w:left w:val="single" w:color="000000" w:sz="4" w:space="0"/>
              <w:bottom w:val="single" w:color="000000" w:sz="4" w:space="0"/>
              <w:right w:val="single" w:color="000000" w:sz="4" w:space="0"/>
            </w:tcBorders>
            <w:vAlign w:val="center"/>
          </w:tcPr>
          <w:p w14:paraId="782D4254">
            <w:pPr>
              <w:jc w:val="left"/>
              <w:rPr>
                <w:rFonts w:ascii="宋体" w:hAnsi="宋体" w:eastAsia="宋体" w:cs="宋体"/>
                <w:color w:val="000000"/>
                <w:sz w:val="21"/>
                <w:szCs w:val="21"/>
                <w:highlight w:val="none"/>
              </w:rPr>
            </w:pPr>
          </w:p>
        </w:tc>
        <w:tc>
          <w:tcPr>
            <w:tcW w:w="1154" w:type="dxa"/>
            <w:vMerge w:val="continue"/>
            <w:tcBorders>
              <w:top w:val="single" w:color="000000" w:sz="4" w:space="0"/>
              <w:left w:val="single" w:color="000000" w:sz="4" w:space="0"/>
              <w:bottom w:val="single" w:color="000000" w:sz="4" w:space="0"/>
              <w:right w:val="single" w:color="000000" w:sz="4" w:space="0"/>
            </w:tcBorders>
            <w:vAlign w:val="center"/>
          </w:tcPr>
          <w:p w14:paraId="267B4419">
            <w:pPr>
              <w:jc w:val="left"/>
              <w:rPr>
                <w:rFonts w:ascii="宋体" w:hAnsi="宋体" w:eastAsia="宋体" w:cs="宋体"/>
                <w:color w:val="000000"/>
                <w:sz w:val="21"/>
                <w:szCs w:val="21"/>
                <w:highlight w:val="none"/>
              </w:rPr>
            </w:pPr>
          </w:p>
        </w:tc>
        <w:tc>
          <w:tcPr>
            <w:tcW w:w="1223" w:type="dxa"/>
            <w:tcBorders>
              <w:top w:val="single" w:color="000000" w:sz="4" w:space="0"/>
              <w:left w:val="single" w:color="000000" w:sz="4" w:space="0"/>
              <w:bottom w:val="single" w:color="000000" w:sz="4" w:space="0"/>
              <w:right w:val="single" w:color="000000" w:sz="4" w:space="0"/>
            </w:tcBorders>
            <w:vAlign w:val="center"/>
          </w:tcPr>
          <w:p w14:paraId="769FEA59">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肿瘤人群</w:t>
            </w:r>
          </w:p>
        </w:tc>
        <w:tc>
          <w:tcPr>
            <w:tcW w:w="5216" w:type="dxa"/>
            <w:tcBorders>
              <w:top w:val="single" w:color="000000" w:sz="4" w:space="0"/>
              <w:left w:val="single" w:color="000000" w:sz="4" w:space="0"/>
              <w:bottom w:val="single" w:color="000000" w:sz="4" w:space="0"/>
              <w:right w:val="single" w:color="000000" w:sz="4" w:space="0"/>
            </w:tcBorders>
            <w:vAlign w:val="center"/>
          </w:tcPr>
          <w:p w14:paraId="63725BB4">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对肿瘤患者与肿瘤易患人群进行管理，可进行新增、编辑、删除、查看操作。</w:t>
            </w:r>
          </w:p>
        </w:tc>
      </w:tr>
      <w:tr w14:paraId="1C9E2A7A">
        <w:tblPrEx>
          <w:tblCellMar>
            <w:top w:w="0" w:type="dxa"/>
            <w:left w:w="108" w:type="dxa"/>
            <w:bottom w:w="0" w:type="dxa"/>
            <w:right w:w="108" w:type="dxa"/>
          </w:tblCellMar>
        </w:tblPrEx>
        <w:trPr>
          <w:trHeight w:val="1083" w:hRule="atLeast"/>
        </w:trPr>
        <w:tc>
          <w:tcPr>
            <w:tcW w:w="705" w:type="dxa"/>
            <w:vMerge w:val="continue"/>
            <w:tcBorders>
              <w:top w:val="single" w:color="000000" w:sz="4" w:space="0"/>
              <w:left w:val="single" w:color="000000" w:sz="4" w:space="0"/>
              <w:bottom w:val="single" w:color="000000" w:sz="4" w:space="0"/>
              <w:right w:val="single" w:color="000000" w:sz="4" w:space="0"/>
            </w:tcBorders>
            <w:vAlign w:val="center"/>
          </w:tcPr>
          <w:p w14:paraId="5E64D555">
            <w:pPr>
              <w:jc w:val="center"/>
              <w:rPr>
                <w:rFonts w:ascii="宋体" w:hAnsi="宋体" w:eastAsia="宋体" w:cs="宋体"/>
                <w:b/>
                <w:bCs/>
                <w:color w:val="000000"/>
                <w:sz w:val="21"/>
                <w:szCs w:val="21"/>
                <w:highlight w:val="none"/>
              </w:rPr>
            </w:pPr>
          </w:p>
        </w:tc>
        <w:tc>
          <w:tcPr>
            <w:tcW w:w="1189" w:type="dxa"/>
            <w:vMerge w:val="continue"/>
            <w:tcBorders>
              <w:top w:val="single" w:color="000000" w:sz="4" w:space="0"/>
              <w:left w:val="single" w:color="000000" w:sz="4" w:space="0"/>
              <w:bottom w:val="single" w:color="000000" w:sz="4" w:space="0"/>
              <w:right w:val="single" w:color="000000" w:sz="4" w:space="0"/>
            </w:tcBorders>
            <w:vAlign w:val="center"/>
          </w:tcPr>
          <w:p w14:paraId="542BB0CE">
            <w:pPr>
              <w:jc w:val="left"/>
              <w:rPr>
                <w:rFonts w:ascii="宋体" w:hAnsi="宋体" w:eastAsia="宋体" w:cs="宋体"/>
                <w:color w:val="000000"/>
                <w:sz w:val="21"/>
                <w:szCs w:val="21"/>
                <w:highlight w:val="none"/>
              </w:rPr>
            </w:pPr>
          </w:p>
        </w:tc>
        <w:tc>
          <w:tcPr>
            <w:tcW w:w="1154" w:type="dxa"/>
            <w:tcBorders>
              <w:top w:val="single" w:color="000000" w:sz="4" w:space="0"/>
              <w:left w:val="single" w:color="000000" w:sz="4" w:space="0"/>
              <w:bottom w:val="single" w:color="000000" w:sz="4" w:space="0"/>
              <w:right w:val="single" w:color="000000" w:sz="4" w:space="0"/>
            </w:tcBorders>
            <w:vAlign w:val="center"/>
          </w:tcPr>
          <w:p w14:paraId="54F7CA33">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重点关注</w:t>
            </w:r>
          </w:p>
        </w:tc>
        <w:tc>
          <w:tcPr>
            <w:tcW w:w="1223" w:type="dxa"/>
            <w:tcBorders>
              <w:top w:val="single" w:color="000000" w:sz="4" w:space="0"/>
              <w:left w:val="single" w:color="000000" w:sz="4" w:space="0"/>
              <w:bottom w:val="single" w:color="000000" w:sz="4" w:space="0"/>
              <w:right w:val="single" w:color="000000" w:sz="4" w:space="0"/>
            </w:tcBorders>
            <w:vAlign w:val="center"/>
          </w:tcPr>
          <w:p w14:paraId="7D1E9847">
            <w:pPr>
              <w:rPr>
                <w:rFonts w:ascii="宋体" w:hAnsi="宋体" w:eastAsia="宋体" w:cs="宋体"/>
                <w:color w:val="000000"/>
                <w:sz w:val="21"/>
                <w:szCs w:val="21"/>
                <w:highlight w:val="none"/>
              </w:rPr>
            </w:pPr>
          </w:p>
        </w:tc>
        <w:tc>
          <w:tcPr>
            <w:tcW w:w="5216" w:type="dxa"/>
            <w:tcBorders>
              <w:top w:val="single" w:color="000000" w:sz="4" w:space="0"/>
              <w:left w:val="single" w:color="000000" w:sz="4" w:space="0"/>
              <w:bottom w:val="single" w:color="000000" w:sz="4" w:space="0"/>
              <w:right w:val="single" w:color="000000" w:sz="4" w:space="0"/>
            </w:tcBorders>
            <w:vAlign w:val="center"/>
          </w:tcPr>
          <w:p w14:paraId="7F8FFA89">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针对出现随访状态不稳定等情况的患者可进行重点关注，若仍旧无法控制病情，亦可进行转诊；当出现随访稳定等情况时，可从重点人群中进行取消。可进行新增、转诊、取消、查看操作。</w:t>
            </w:r>
          </w:p>
        </w:tc>
      </w:tr>
      <w:tr w14:paraId="6DADC7BB">
        <w:tblPrEx>
          <w:tblCellMar>
            <w:top w:w="0" w:type="dxa"/>
            <w:left w:w="108" w:type="dxa"/>
            <w:bottom w:w="0" w:type="dxa"/>
            <w:right w:w="108" w:type="dxa"/>
          </w:tblCellMar>
        </w:tblPrEx>
        <w:trPr>
          <w:trHeight w:val="1083" w:hRule="atLeast"/>
        </w:trPr>
        <w:tc>
          <w:tcPr>
            <w:tcW w:w="705" w:type="dxa"/>
            <w:vMerge w:val="continue"/>
            <w:tcBorders>
              <w:top w:val="single" w:color="000000" w:sz="4" w:space="0"/>
              <w:left w:val="single" w:color="000000" w:sz="4" w:space="0"/>
              <w:bottom w:val="single" w:color="000000" w:sz="4" w:space="0"/>
              <w:right w:val="single" w:color="000000" w:sz="4" w:space="0"/>
            </w:tcBorders>
            <w:vAlign w:val="center"/>
          </w:tcPr>
          <w:p w14:paraId="6DD2AEFE">
            <w:pPr>
              <w:jc w:val="center"/>
              <w:rPr>
                <w:rFonts w:ascii="宋体" w:hAnsi="宋体" w:eastAsia="宋体" w:cs="宋体"/>
                <w:b/>
                <w:bCs/>
                <w:color w:val="000000"/>
                <w:sz w:val="21"/>
                <w:szCs w:val="21"/>
                <w:highlight w:val="none"/>
              </w:rPr>
            </w:pPr>
          </w:p>
        </w:tc>
        <w:tc>
          <w:tcPr>
            <w:tcW w:w="1189" w:type="dxa"/>
            <w:vMerge w:val="continue"/>
            <w:tcBorders>
              <w:top w:val="single" w:color="000000" w:sz="4" w:space="0"/>
              <w:left w:val="single" w:color="000000" w:sz="4" w:space="0"/>
              <w:bottom w:val="single" w:color="000000" w:sz="4" w:space="0"/>
              <w:right w:val="single" w:color="000000" w:sz="4" w:space="0"/>
            </w:tcBorders>
            <w:vAlign w:val="center"/>
          </w:tcPr>
          <w:p w14:paraId="799EC79A">
            <w:pPr>
              <w:jc w:val="left"/>
              <w:rPr>
                <w:rFonts w:ascii="宋体" w:hAnsi="宋体" w:eastAsia="宋体" w:cs="宋体"/>
                <w:color w:val="000000"/>
                <w:sz w:val="21"/>
                <w:szCs w:val="21"/>
                <w:highlight w:val="none"/>
              </w:rPr>
            </w:pPr>
          </w:p>
        </w:tc>
        <w:tc>
          <w:tcPr>
            <w:tcW w:w="1154" w:type="dxa"/>
            <w:vMerge w:val="restart"/>
            <w:tcBorders>
              <w:top w:val="single" w:color="000000" w:sz="4" w:space="0"/>
              <w:left w:val="single" w:color="000000" w:sz="4" w:space="0"/>
              <w:bottom w:val="single" w:color="000000" w:sz="4" w:space="0"/>
              <w:right w:val="single" w:color="000000" w:sz="4" w:space="0"/>
            </w:tcBorders>
            <w:vAlign w:val="center"/>
          </w:tcPr>
          <w:p w14:paraId="6C202CD2">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随访提醒</w:t>
            </w:r>
          </w:p>
        </w:tc>
        <w:tc>
          <w:tcPr>
            <w:tcW w:w="1223" w:type="dxa"/>
            <w:tcBorders>
              <w:top w:val="single" w:color="000000" w:sz="4" w:space="0"/>
              <w:left w:val="single" w:color="000000" w:sz="4" w:space="0"/>
              <w:bottom w:val="single" w:color="000000" w:sz="4" w:space="0"/>
              <w:right w:val="single" w:color="000000" w:sz="4" w:space="0"/>
            </w:tcBorders>
            <w:vAlign w:val="center"/>
          </w:tcPr>
          <w:p w14:paraId="0F995851">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慢病随访</w:t>
            </w:r>
          </w:p>
        </w:tc>
        <w:tc>
          <w:tcPr>
            <w:tcW w:w="5216" w:type="dxa"/>
            <w:tcBorders>
              <w:top w:val="single" w:color="000000" w:sz="4" w:space="0"/>
              <w:left w:val="single" w:color="000000" w:sz="4" w:space="0"/>
              <w:bottom w:val="single" w:color="000000" w:sz="4" w:space="0"/>
              <w:right w:val="single" w:color="000000" w:sz="4" w:space="0"/>
            </w:tcBorders>
            <w:vAlign w:val="center"/>
          </w:tcPr>
          <w:p w14:paraId="6B9206AC">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▲对于需要进行下一次随访的患者的慢病进行提醒，以便进行慢病随访，列表默认展示今日待办的随访信息，支持对今日可随访的时间进行设置。可进行随访操作。</w:t>
            </w:r>
          </w:p>
        </w:tc>
      </w:tr>
      <w:tr w14:paraId="2EEA0623">
        <w:tblPrEx>
          <w:tblCellMar>
            <w:top w:w="0" w:type="dxa"/>
            <w:left w:w="108" w:type="dxa"/>
            <w:bottom w:w="0" w:type="dxa"/>
            <w:right w:w="108" w:type="dxa"/>
          </w:tblCellMar>
        </w:tblPrEx>
        <w:trPr>
          <w:trHeight w:val="1083" w:hRule="atLeast"/>
        </w:trPr>
        <w:tc>
          <w:tcPr>
            <w:tcW w:w="705" w:type="dxa"/>
            <w:vMerge w:val="continue"/>
            <w:tcBorders>
              <w:top w:val="single" w:color="000000" w:sz="4" w:space="0"/>
              <w:left w:val="single" w:color="000000" w:sz="4" w:space="0"/>
              <w:bottom w:val="single" w:color="000000" w:sz="4" w:space="0"/>
              <w:right w:val="single" w:color="000000" w:sz="4" w:space="0"/>
            </w:tcBorders>
            <w:vAlign w:val="center"/>
          </w:tcPr>
          <w:p w14:paraId="49943EB8">
            <w:pPr>
              <w:jc w:val="center"/>
              <w:rPr>
                <w:rFonts w:ascii="宋体" w:hAnsi="宋体" w:eastAsia="宋体" w:cs="宋体"/>
                <w:b/>
                <w:bCs/>
                <w:color w:val="000000"/>
                <w:sz w:val="21"/>
                <w:szCs w:val="21"/>
                <w:highlight w:val="none"/>
              </w:rPr>
            </w:pPr>
          </w:p>
        </w:tc>
        <w:tc>
          <w:tcPr>
            <w:tcW w:w="1189" w:type="dxa"/>
            <w:vMerge w:val="continue"/>
            <w:tcBorders>
              <w:top w:val="single" w:color="000000" w:sz="4" w:space="0"/>
              <w:left w:val="single" w:color="000000" w:sz="4" w:space="0"/>
              <w:bottom w:val="single" w:color="000000" w:sz="4" w:space="0"/>
              <w:right w:val="single" w:color="000000" w:sz="4" w:space="0"/>
            </w:tcBorders>
            <w:vAlign w:val="center"/>
          </w:tcPr>
          <w:p w14:paraId="4CADA6B4">
            <w:pPr>
              <w:jc w:val="left"/>
              <w:rPr>
                <w:rFonts w:ascii="宋体" w:hAnsi="宋体" w:eastAsia="宋体" w:cs="宋体"/>
                <w:color w:val="000000"/>
                <w:sz w:val="21"/>
                <w:szCs w:val="21"/>
                <w:highlight w:val="none"/>
              </w:rPr>
            </w:pPr>
          </w:p>
        </w:tc>
        <w:tc>
          <w:tcPr>
            <w:tcW w:w="1154" w:type="dxa"/>
            <w:vMerge w:val="continue"/>
            <w:tcBorders>
              <w:top w:val="single" w:color="000000" w:sz="4" w:space="0"/>
              <w:left w:val="single" w:color="000000" w:sz="4" w:space="0"/>
              <w:bottom w:val="single" w:color="000000" w:sz="4" w:space="0"/>
              <w:right w:val="single" w:color="000000" w:sz="4" w:space="0"/>
            </w:tcBorders>
            <w:vAlign w:val="center"/>
          </w:tcPr>
          <w:p w14:paraId="46D569E9">
            <w:pPr>
              <w:jc w:val="left"/>
              <w:rPr>
                <w:rFonts w:ascii="宋体" w:hAnsi="宋体" w:eastAsia="宋体" w:cs="宋体"/>
                <w:color w:val="000000"/>
                <w:sz w:val="21"/>
                <w:szCs w:val="21"/>
                <w:highlight w:val="none"/>
              </w:rPr>
            </w:pPr>
          </w:p>
        </w:tc>
        <w:tc>
          <w:tcPr>
            <w:tcW w:w="1223" w:type="dxa"/>
            <w:tcBorders>
              <w:top w:val="single" w:color="000000" w:sz="4" w:space="0"/>
              <w:left w:val="single" w:color="000000" w:sz="4" w:space="0"/>
              <w:bottom w:val="single" w:color="000000" w:sz="4" w:space="0"/>
              <w:right w:val="single" w:color="000000" w:sz="4" w:space="0"/>
            </w:tcBorders>
            <w:vAlign w:val="center"/>
          </w:tcPr>
          <w:p w14:paraId="32C5DA38">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肿瘤随访</w:t>
            </w:r>
          </w:p>
        </w:tc>
        <w:tc>
          <w:tcPr>
            <w:tcW w:w="5216" w:type="dxa"/>
            <w:tcBorders>
              <w:top w:val="single" w:color="000000" w:sz="4" w:space="0"/>
              <w:left w:val="single" w:color="000000" w:sz="4" w:space="0"/>
              <w:bottom w:val="single" w:color="000000" w:sz="4" w:space="0"/>
              <w:right w:val="single" w:color="000000" w:sz="4" w:space="0"/>
            </w:tcBorders>
            <w:vAlign w:val="center"/>
          </w:tcPr>
          <w:p w14:paraId="31AA8273">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对于需要进行下一次随访的患者的肿瘤进行提醒，以便进行肿瘤随访，列表默认展示今日待办的随访信息，支持对今日可随访的时间进行设置。可进行随访操作。</w:t>
            </w:r>
          </w:p>
        </w:tc>
      </w:tr>
      <w:tr w14:paraId="12CE3886">
        <w:tblPrEx>
          <w:tblCellMar>
            <w:top w:w="0" w:type="dxa"/>
            <w:left w:w="108" w:type="dxa"/>
            <w:bottom w:w="0" w:type="dxa"/>
            <w:right w:w="108" w:type="dxa"/>
          </w:tblCellMar>
        </w:tblPrEx>
        <w:trPr>
          <w:trHeight w:val="1083" w:hRule="atLeast"/>
        </w:trPr>
        <w:tc>
          <w:tcPr>
            <w:tcW w:w="705" w:type="dxa"/>
            <w:vMerge w:val="continue"/>
            <w:tcBorders>
              <w:top w:val="single" w:color="000000" w:sz="4" w:space="0"/>
              <w:left w:val="single" w:color="000000" w:sz="4" w:space="0"/>
              <w:bottom w:val="single" w:color="000000" w:sz="4" w:space="0"/>
              <w:right w:val="single" w:color="000000" w:sz="4" w:space="0"/>
            </w:tcBorders>
            <w:vAlign w:val="center"/>
          </w:tcPr>
          <w:p w14:paraId="272CD653">
            <w:pPr>
              <w:jc w:val="center"/>
              <w:rPr>
                <w:rFonts w:ascii="宋体" w:hAnsi="宋体" w:eastAsia="宋体" w:cs="宋体"/>
                <w:b/>
                <w:bCs/>
                <w:color w:val="000000"/>
                <w:sz w:val="21"/>
                <w:szCs w:val="21"/>
                <w:highlight w:val="none"/>
              </w:rPr>
            </w:pPr>
          </w:p>
        </w:tc>
        <w:tc>
          <w:tcPr>
            <w:tcW w:w="1189" w:type="dxa"/>
            <w:vMerge w:val="continue"/>
            <w:tcBorders>
              <w:top w:val="single" w:color="000000" w:sz="4" w:space="0"/>
              <w:left w:val="single" w:color="000000" w:sz="4" w:space="0"/>
              <w:bottom w:val="single" w:color="000000" w:sz="4" w:space="0"/>
              <w:right w:val="single" w:color="000000" w:sz="4" w:space="0"/>
            </w:tcBorders>
            <w:vAlign w:val="center"/>
          </w:tcPr>
          <w:p w14:paraId="313EE28F">
            <w:pPr>
              <w:jc w:val="left"/>
              <w:rPr>
                <w:rFonts w:ascii="宋体" w:hAnsi="宋体" w:eastAsia="宋体" w:cs="宋体"/>
                <w:color w:val="000000"/>
                <w:sz w:val="21"/>
                <w:szCs w:val="21"/>
                <w:highlight w:val="none"/>
              </w:rPr>
            </w:pPr>
          </w:p>
        </w:tc>
        <w:tc>
          <w:tcPr>
            <w:tcW w:w="1154" w:type="dxa"/>
            <w:vMerge w:val="continue"/>
            <w:tcBorders>
              <w:top w:val="single" w:color="000000" w:sz="4" w:space="0"/>
              <w:left w:val="single" w:color="000000" w:sz="4" w:space="0"/>
              <w:bottom w:val="single" w:color="000000" w:sz="4" w:space="0"/>
              <w:right w:val="single" w:color="000000" w:sz="4" w:space="0"/>
            </w:tcBorders>
            <w:vAlign w:val="center"/>
          </w:tcPr>
          <w:p w14:paraId="02A918A0">
            <w:pPr>
              <w:jc w:val="left"/>
              <w:rPr>
                <w:rFonts w:ascii="宋体" w:hAnsi="宋体" w:eastAsia="宋体" w:cs="宋体"/>
                <w:color w:val="000000"/>
                <w:sz w:val="21"/>
                <w:szCs w:val="21"/>
                <w:highlight w:val="none"/>
              </w:rPr>
            </w:pPr>
          </w:p>
        </w:tc>
        <w:tc>
          <w:tcPr>
            <w:tcW w:w="1223" w:type="dxa"/>
            <w:tcBorders>
              <w:top w:val="single" w:color="000000" w:sz="4" w:space="0"/>
              <w:left w:val="single" w:color="000000" w:sz="4" w:space="0"/>
              <w:bottom w:val="single" w:color="000000" w:sz="4" w:space="0"/>
              <w:right w:val="single" w:color="000000" w:sz="4" w:space="0"/>
            </w:tcBorders>
            <w:vAlign w:val="center"/>
          </w:tcPr>
          <w:p w14:paraId="55486F2A">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高危随访</w:t>
            </w:r>
          </w:p>
        </w:tc>
        <w:tc>
          <w:tcPr>
            <w:tcW w:w="5216" w:type="dxa"/>
            <w:tcBorders>
              <w:top w:val="single" w:color="000000" w:sz="4" w:space="0"/>
              <w:left w:val="single" w:color="000000" w:sz="4" w:space="0"/>
              <w:bottom w:val="single" w:color="000000" w:sz="4" w:space="0"/>
              <w:right w:val="single" w:color="000000" w:sz="4" w:space="0"/>
            </w:tcBorders>
            <w:vAlign w:val="center"/>
          </w:tcPr>
          <w:p w14:paraId="6E098024">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对于需要进行下一次随访的患者的慢病高危和肿瘤高危进行提醒，以便进行慢病高危或肿瘤高危随访，列表默认展示今日待办的随访信息，支持对今日可随访的时间进行设置。可进行随访操作。</w:t>
            </w:r>
          </w:p>
        </w:tc>
      </w:tr>
      <w:tr w14:paraId="75D3C65C">
        <w:tblPrEx>
          <w:tblCellMar>
            <w:top w:w="0" w:type="dxa"/>
            <w:left w:w="108" w:type="dxa"/>
            <w:bottom w:w="0" w:type="dxa"/>
            <w:right w:w="108" w:type="dxa"/>
          </w:tblCellMar>
        </w:tblPrEx>
        <w:trPr>
          <w:trHeight w:val="1083" w:hRule="atLeast"/>
        </w:trPr>
        <w:tc>
          <w:tcPr>
            <w:tcW w:w="705" w:type="dxa"/>
            <w:vMerge w:val="continue"/>
            <w:tcBorders>
              <w:top w:val="single" w:color="000000" w:sz="4" w:space="0"/>
              <w:left w:val="single" w:color="000000" w:sz="4" w:space="0"/>
              <w:bottom w:val="single" w:color="000000" w:sz="4" w:space="0"/>
              <w:right w:val="single" w:color="000000" w:sz="4" w:space="0"/>
            </w:tcBorders>
            <w:vAlign w:val="center"/>
          </w:tcPr>
          <w:p w14:paraId="4919BCFB">
            <w:pPr>
              <w:jc w:val="center"/>
              <w:rPr>
                <w:rFonts w:ascii="宋体" w:hAnsi="宋体" w:eastAsia="宋体" w:cs="宋体"/>
                <w:b/>
                <w:bCs/>
                <w:color w:val="000000"/>
                <w:sz w:val="21"/>
                <w:szCs w:val="21"/>
                <w:highlight w:val="none"/>
              </w:rPr>
            </w:pPr>
          </w:p>
        </w:tc>
        <w:tc>
          <w:tcPr>
            <w:tcW w:w="1189" w:type="dxa"/>
            <w:vMerge w:val="continue"/>
            <w:tcBorders>
              <w:top w:val="single" w:color="000000" w:sz="4" w:space="0"/>
              <w:left w:val="single" w:color="000000" w:sz="4" w:space="0"/>
              <w:bottom w:val="single" w:color="000000" w:sz="4" w:space="0"/>
              <w:right w:val="single" w:color="000000" w:sz="4" w:space="0"/>
            </w:tcBorders>
            <w:vAlign w:val="center"/>
          </w:tcPr>
          <w:p w14:paraId="010D3D9F">
            <w:pPr>
              <w:jc w:val="left"/>
              <w:rPr>
                <w:rFonts w:ascii="宋体" w:hAnsi="宋体" w:eastAsia="宋体" w:cs="宋体"/>
                <w:color w:val="000000"/>
                <w:sz w:val="21"/>
                <w:szCs w:val="21"/>
                <w:highlight w:val="none"/>
              </w:rPr>
            </w:pPr>
          </w:p>
        </w:tc>
        <w:tc>
          <w:tcPr>
            <w:tcW w:w="1154" w:type="dxa"/>
            <w:tcBorders>
              <w:top w:val="single" w:color="000000" w:sz="4" w:space="0"/>
              <w:left w:val="single" w:color="000000" w:sz="4" w:space="0"/>
              <w:bottom w:val="single" w:color="000000" w:sz="4" w:space="0"/>
              <w:right w:val="single" w:color="000000" w:sz="4" w:space="0"/>
            </w:tcBorders>
            <w:vAlign w:val="center"/>
          </w:tcPr>
          <w:p w14:paraId="1F905E3A">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家庭档案</w:t>
            </w:r>
          </w:p>
        </w:tc>
        <w:tc>
          <w:tcPr>
            <w:tcW w:w="1223" w:type="dxa"/>
            <w:tcBorders>
              <w:top w:val="single" w:color="000000" w:sz="4" w:space="0"/>
              <w:left w:val="single" w:color="000000" w:sz="4" w:space="0"/>
              <w:bottom w:val="single" w:color="000000" w:sz="4" w:space="0"/>
              <w:right w:val="single" w:color="000000" w:sz="4" w:space="0"/>
            </w:tcBorders>
            <w:vAlign w:val="center"/>
          </w:tcPr>
          <w:p w14:paraId="73BF3FB6">
            <w:pPr>
              <w:jc w:val="left"/>
              <w:rPr>
                <w:rFonts w:ascii="宋体" w:hAnsi="宋体" w:eastAsia="宋体" w:cs="宋体"/>
                <w:color w:val="000000"/>
                <w:sz w:val="21"/>
                <w:szCs w:val="21"/>
                <w:highlight w:val="none"/>
              </w:rPr>
            </w:pPr>
          </w:p>
        </w:tc>
        <w:tc>
          <w:tcPr>
            <w:tcW w:w="5216" w:type="dxa"/>
            <w:tcBorders>
              <w:top w:val="single" w:color="000000" w:sz="4" w:space="0"/>
              <w:left w:val="single" w:color="000000" w:sz="4" w:space="0"/>
              <w:bottom w:val="single" w:color="000000" w:sz="4" w:space="0"/>
              <w:right w:val="single" w:color="000000" w:sz="4" w:space="0"/>
            </w:tcBorders>
            <w:vAlign w:val="center"/>
          </w:tcPr>
          <w:p w14:paraId="62C2116A">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可对居民进行家庭管理，可添加/删除家庭成员、也可变更家庭成员关系。支持新建、编辑、移除、解散操作。支持在居民端上，家庭成员间管理彼此的档案。</w:t>
            </w:r>
          </w:p>
        </w:tc>
      </w:tr>
      <w:tr w14:paraId="4C8F549D">
        <w:tblPrEx>
          <w:tblCellMar>
            <w:top w:w="0" w:type="dxa"/>
            <w:left w:w="108" w:type="dxa"/>
            <w:bottom w:w="0" w:type="dxa"/>
            <w:right w:w="108" w:type="dxa"/>
          </w:tblCellMar>
        </w:tblPrEx>
        <w:trPr>
          <w:trHeight w:val="1083" w:hRule="atLeast"/>
        </w:trPr>
        <w:tc>
          <w:tcPr>
            <w:tcW w:w="705" w:type="dxa"/>
            <w:vMerge w:val="continue"/>
            <w:tcBorders>
              <w:top w:val="single" w:color="000000" w:sz="4" w:space="0"/>
              <w:left w:val="single" w:color="000000" w:sz="4" w:space="0"/>
              <w:bottom w:val="single" w:color="000000" w:sz="4" w:space="0"/>
              <w:right w:val="single" w:color="000000" w:sz="4" w:space="0"/>
            </w:tcBorders>
            <w:vAlign w:val="center"/>
          </w:tcPr>
          <w:p w14:paraId="19F19B53">
            <w:pPr>
              <w:jc w:val="center"/>
              <w:rPr>
                <w:rFonts w:ascii="宋体" w:hAnsi="宋体" w:eastAsia="宋体" w:cs="宋体"/>
                <w:b/>
                <w:bCs/>
                <w:color w:val="000000"/>
                <w:sz w:val="21"/>
                <w:szCs w:val="21"/>
                <w:highlight w:val="none"/>
              </w:rPr>
            </w:pPr>
          </w:p>
        </w:tc>
        <w:tc>
          <w:tcPr>
            <w:tcW w:w="1189" w:type="dxa"/>
            <w:vMerge w:val="continue"/>
            <w:tcBorders>
              <w:top w:val="single" w:color="000000" w:sz="4" w:space="0"/>
              <w:left w:val="single" w:color="000000" w:sz="4" w:space="0"/>
              <w:bottom w:val="single" w:color="000000" w:sz="4" w:space="0"/>
              <w:right w:val="single" w:color="000000" w:sz="4" w:space="0"/>
            </w:tcBorders>
            <w:vAlign w:val="center"/>
          </w:tcPr>
          <w:p w14:paraId="413C1FB6">
            <w:pPr>
              <w:jc w:val="left"/>
              <w:rPr>
                <w:rFonts w:ascii="宋体" w:hAnsi="宋体" w:eastAsia="宋体" w:cs="宋体"/>
                <w:color w:val="000000"/>
                <w:sz w:val="21"/>
                <w:szCs w:val="21"/>
                <w:highlight w:val="none"/>
              </w:rPr>
            </w:pPr>
          </w:p>
        </w:tc>
        <w:tc>
          <w:tcPr>
            <w:tcW w:w="1154" w:type="dxa"/>
            <w:tcBorders>
              <w:top w:val="single" w:color="000000" w:sz="4" w:space="0"/>
              <w:left w:val="single" w:color="000000" w:sz="4" w:space="0"/>
              <w:bottom w:val="single" w:color="000000" w:sz="4" w:space="0"/>
              <w:right w:val="single" w:color="000000" w:sz="4" w:space="0"/>
            </w:tcBorders>
            <w:vAlign w:val="center"/>
          </w:tcPr>
          <w:p w14:paraId="3D6C2FD5">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随访不佳提醒</w:t>
            </w:r>
          </w:p>
        </w:tc>
        <w:tc>
          <w:tcPr>
            <w:tcW w:w="1223" w:type="dxa"/>
            <w:tcBorders>
              <w:top w:val="single" w:color="000000" w:sz="4" w:space="0"/>
              <w:left w:val="single" w:color="000000" w:sz="4" w:space="0"/>
              <w:bottom w:val="single" w:color="000000" w:sz="4" w:space="0"/>
              <w:right w:val="single" w:color="000000" w:sz="4" w:space="0"/>
            </w:tcBorders>
            <w:vAlign w:val="center"/>
          </w:tcPr>
          <w:p w14:paraId="7564BD8E">
            <w:pPr>
              <w:jc w:val="left"/>
              <w:rPr>
                <w:rFonts w:ascii="宋体" w:hAnsi="宋体" w:eastAsia="宋体" w:cs="宋体"/>
                <w:color w:val="000000"/>
                <w:sz w:val="21"/>
                <w:szCs w:val="21"/>
                <w:highlight w:val="none"/>
              </w:rPr>
            </w:pPr>
          </w:p>
        </w:tc>
        <w:tc>
          <w:tcPr>
            <w:tcW w:w="5216" w:type="dxa"/>
            <w:tcBorders>
              <w:top w:val="single" w:color="000000" w:sz="4" w:space="0"/>
              <w:left w:val="single" w:color="000000" w:sz="4" w:space="0"/>
              <w:bottom w:val="single" w:color="000000" w:sz="4" w:space="0"/>
              <w:right w:val="single" w:color="000000" w:sz="4" w:space="0"/>
            </w:tcBorders>
            <w:vAlign w:val="center"/>
          </w:tcPr>
          <w:p w14:paraId="53E90944">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▲针对针对高血压/糖尿病患者，随访时情况不佳的患者进行提醒，可进行转诊操作。</w:t>
            </w:r>
          </w:p>
        </w:tc>
      </w:tr>
      <w:tr w14:paraId="724F8E12">
        <w:tblPrEx>
          <w:tblCellMar>
            <w:top w:w="0" w:type="dxa"/>
            <w:left w:w="108" w:type="dxa"/>
            <w:bottom w:w="0" w:type="dxa"/>
            <w:right w:w="108" w:type="dxa"/>
          </w:tblCellMar>
        </w:tblPrEx>
        <w:trPr>
          <w:trHeight w:val="1083" w:hRule="atLeast"/>
        </w:trPr>
        <w:tc>
          <w:tcPr>
            <w:tcW w:w="705" w:type="dxa"/>
            <w:vMerge w:val="continue"/>
            <w:tcBorders>
              <w:top w:val="single" w:color="000000" w:sz="4" w:space="0"/>
              <w:left w:val="single" w:color="000000" w:sz="4" w:space="0"/>
              <w:bottom w:val="single" w:color="000000" w:sz="4" w:space="0"/>
              <w:right w:val="single" w:color="000000" w:sz="4" w:space="0"/>
            </w:tcBorders>
            <w:vAlign w:val="center"/>
          </w:tcPr>
          <w:p w14:paraId="13F45515">
            <w:pPr>
              <w:jc w:val="center"/>
              <w:rPr>
                <w:rFonts w:ascii="宋体" w:hAnsi="宋体" w:eastAsia="宋体" w:cs="宋体"/>
                <w:b/>
                <w:bCs/>
                <w:color w:val="000000"/>
                <w:sz w:val="21"/>
                <w:szCs w:val="21"/>
                <w:highlight w:val="none"/>
              </w:rPr>
            </w:pPr>
          </w:p>
        </w:tc>
        <w:tc>
          <w:tcPr>
            <w:tcW w:w="1189" w:type="dxa"/>
            <w:vMerge w:val="restart"/>
            <w:tcBorders>
              <w:top w:val="single" w:color="000000" w:sz="4" w:space="0"/>
              <w:left w:val="single" w:color="000000" w:sz="4" w:space="0"/>
              <w:bottom w:val="single" w:color="000000" w:sz="4" w:space="0"/>
              <w:right w:val="single" w:color="000000" w:sz="4" w:space="0"/>
            </w:tcBorders>
            <w:vAlign w:val="center"/>
          </w:tcPr>
          <w:p w14:paraId="5BA3D5D2">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慢病管理</w:t>
            </w:r>
          </w:p>
        </w:tc>
        <w:tc>
          <w:tcPr>
            <w:tcW w:w="1154" w:type="dxa"/>
            <w:tcBorders>
              <w:top w:val="single" w:color="000000" w:sz="4" w:space="0"/>
              <w:left w:val="single" w:color="000000" w:sz="4" w:space="0"/>
              <w:bottom w:val="single" w:color="000000" w:sz="4" w:space="0"/>
              <w:right w:val="single" w:color="000000" w:sz="4" w:space="0"/>
            </w:tcBorders>
            <w:vAlign w:val="center"/>
          </w:tcPr>
          <w:p w14:paraId="75CE033F">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高血压管理</w:t>
            </w:r>
          </w:p>
        </w:tc>
        <w:tc>
          <w:tcPr>
            <w:tcW w:w="1223" w:type="dxa"/>
            <w:tcBorders>
              <w:top w:val="single" w:color="000000" w:sz="4" w:space="0"/>
              <w:left w:val="single" w:color="000000" w:sz="4" w:space="0"/>
              <w:bottom w:val="single" w:color="000000" w:sz="4" w:space="0"/>
              <w:right w:val="single" w:color="000000" w:sz="4" w:space="0"/>
            </w:tcBorders>
            <w:vAlign w:val="center"/>
          </w:tcPr>
          <w:p w14:paraId="444ABAAF">
            <w:pPr>
              <w:rPr>
                <w:rFonts w:ascii="宋体" w:hAnsi="宋体" w:eastAsia="宋体" w:cs="宋体"/>
                <w:color w:val="000000"/>
                <w:sz w:val="21"/>
                <w:szCs w:val="21"/>
                <w:highlight w:val="none"/>
              </w:rPr>
            </w:pPr>
          </w:p>
        </w:tc>
        <w:tc>
          <w:tcPr>
            <w:tcW w:w="5216" w:type="dxa"/>
            <w:tcBorders>
              <w:top w:val="single" w:color="000000" w:sz="4" w:space="0"/>
              <w:left w:val="single" w:color="000000" w:sz="4" w:space="0"/>
              <w:bottom w:val="single" w:color="000000" w:sz="4" w:space="0"/>
              <w:right w:val="single" w:color="000000" w:sz="4" w:space="0"/>
            </w:tcBorders>
            <w:vAlign w:val="center"/>
          </w:tcPr>
          <w:p w14:paraId="42C9938D">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对确诊患有高血压的患者，采用专项与随访的方式进行管理。针对专项业务，支持新增、编辑、获取最新体征、删除、查看操作。针对随访业务，支持新增、编辑、获取最新体征、随访历史列表、删除、查看操作。</w:t>
            </w:r>
          </w:p>
        </w:tc>
      </w:tr>
      <w:tr w14:paraId="04E219C8">
        <w:tblPrEx>
          <w:tblCellMar>
            <w:top w:w="0" w:type="dxa"/>
            <w:left w:w="108" w:type="dxa"/>
            <w:bottom w:w="0" w:type="dxa"/>
            <w:right w:w="108" w:type="dxa"/>
          </w:tblCellMar>
        </w:tblPrEx>
        <w:trPr>
          <w:trHeight w:val="1083" w:hRule="atLeast"/>
        </w:trPr>
        <w:tc>
          <w:tcPr>
            <w:tcW w:w="705" w:type="dxa"/>
            <w:vMerge w:val="continue"/>
            <w:tcBorders>
              <w:top w:val="single" w:color="000000" w:sz="4" w:space="0"/>
              <w:left w:val="single" w:color="000000" w:sz="4" w:space="0"/>
              <w:bottom w:val="single" w:color="000000" w:sz="4" w:space="0"/>
              <w:right w:val="single" w:color="000000" w:sz="4" w:space="0"/>
            </w:tcBorders>
            <w:vAlign w:val="center"/>
          </w:tcPr>
          <w:p w14:paraId="6FE79F3E">
            <w:pPr>
              <w:jc w:val="center"/>
              <w:rPr>
                <w:rFonts w:ascii="宋体" w:hAnsi="宋体" w:eastAsia="宋体" w:cs="宋体"/>
                <w:b/>
                <w:bCs/>
                <w:color w:val="000000"/>
                <w:sz w:val="21"/>
                <w:szCs w:val="21"/>
                <w:highlight w:val="none"/>
              </w:rPr>
            </w:pPr>
          </w:p>
        </w:tc>
        <w:tc>
          <w:tcPr>
            <w:tcW w:w="1189" w:type="dxa"/>
            <w:vMerge w:val="continue"/>
            <w:tcBorders>
              <w:top w:val="single" w:color="000000" w:sz="4" w:space="0"/>
              <w:left w:val="single" w:color="000000" w:sz="4" w:space="0"/>
              <w:bottom w:val="single" w:color="000000" w:sz="4" w:space="0"/>
              <w:right w:val="single" w:color="000000" w:sz="4" w:space="0"/>
            </w:tcBorders>
            <w:vAlign w:val="center"/>
          </w:tcPr>
          <w:p w14:paraId="50E3C204">
            <w:pPr>
              <w:jc w:val="left"/>
              <w:rPr>
                <w:rFonts w:ascii="宋体" w:hAnsi="宋体" w:eastAsia="宋体" w:cs="宋体"/>
                <w:color w:val="000000"/>
                <w:sz w:val="21"/>
                <w:szCs w:val="21"/>
                <w:highlight w:val="none"/>
              </w:rPr>
            </w:pPr>
          </w:p>
        </w:tc>
        <w:tc>
          <w:tcPr>
            <w:tcW w:w="1154" w:type="dxa"/>
            <w:tcBorders>
              <w:top w:val="single" w:color="000000" w:sz="4" w:space="0"/>
              <w:left w:val="single" w:color="000000" w:sz="4" w:space="0"/>
              <w:bottom w:val="single" w:color="000000" w:sz="4" w:space="0"/>
              <w:right w:val="single" w:color="000000" w:sz="4" w:space="0"/>
            </w:tcBorders>
            <w:vAlign w:val="center"/>
          </w:tcPr>
          <w:p w14:paraId="76B8B6BE">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糖尿病管理</w:t>
            </w:r>
          </w:p>
        </w:tc>
        <w:tc>
          <w:tcPr>
            <w:tcW w:w="1223" w:type="dxa"/>
            <w:tcBorders>
              <w:top w:val="single" w:color="000000" w:sz="4" w:space="0"/>
              <w:left w:val="single" w:color="000000" w:sz="4" w:space="0"/>
              <w:bottom w:val="single" w:color="000000" w:sz="4" w:space="0"/>
              <w:right w:val="single" w:color="000000" w:sz="4" w:space="0"/>
            </w:tcBorders>
            <w:vAlign w:val="center"/>
          </w:tcPr>
          <w:p w14:paraId="5C115AF1">
            <w:pPr>
              <w:rPr>
                <w:rFonts w:ascii="宋体" w:hAnsi="宋体" w:eastAsia="宋体" w:cs="宋体"/>
                <w:color w:val="000000"/>
                <w:sz w:val="21"/>
                <w:szCs w:val="21"/>
                <w:highlight w:val="none"/>
              </w:rPr>
            </w:pPr>
          </w:p>
        </w:tc>
        <w:tc>
          <w:tcPr>
            <w:tcW w:w="5216" w:type="dxa"/>
            <w:tcBorders>
              <w:top w:val="single" w:color="000000" w:sz="4" w:space="0"/>
              <w:left w:val="single" w:color="000000" w:sz="4" w:space="0"/>
              <w:bottom w:val="single" w:color="000000" w:sz="4" w:space="0"/>
              <w:right w:val="single" w:color="000000" w:sz="4" w:space="0"/>
            </w:tcBorders>
            <w:vAlign w:val="center"/>
          </w:tcPr>
          <w:p w14:paraId="4597F2F6">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对确诊患有糖尿病的患者，采用专项与随访的方式进行管理。针对专项业务，支持新增、编辑、获取最新体征、删除、查看操作。针对随访业务，支持新增、编辑、获取最新体征、随访历史列表、删除、查看操作。</w:t>
            </w:r>
          </w:p>
        </w:tc>
      </w:tr>
      <w:tr w14:paraId="2D23C2C4">
        <w:tblPrEx>
          <w:tblCellMar>
            <w:top w:w="0" w:type="dxa"/>
            <w:left w:w="108" w:type="dxa"/>
            <w:bottom w:w="0" w:type="dxa"/>
            <w:right w:w="108" w:type="dxa"/>
          </w:tblCellMar>
        </w:tblPrEx>
        <w:trPr>
          <w:trHeight w:val="1083" w:hRule="atLeast"/>
        </w:trPr>
        <w:tc>
          <w:tcPr>
            <w:tcW w:w="705" w:type="dxa"/>
            <w:vMerge w:val="continue"/>
            <w:tcBorders>
              <w:top w:val="single" w:color="000000" w:sz="4" w:space="0"/>
              <w:left w:val="single" w:color="000000" w:sz="4" w:space="0"/>
              <w:bottom w:val="single" w:color="000000" w:sz="4" w:space="0"/>
              <w:right w:val="single" w:color="000000" w:sz="4" w:space="0"/>
            </w:tcBorders>
            <w:vAlign w:val="center"/>
          </w:tcPr>
          <w:p w14:paraId="47BE6FF7">
            <w:pPr>
              <w:jc w:val="center"/>
              <w:rPr>
                <w:rFonts w:ascii="宋体" w:hAnsi="宋体" w:eastAsia="宋体" w:cs="宋体"/>
                <w:b/>
                <w:bCs/>
                <w:color w:val="000000"/>
                <w:sz w:val="21"/>
                <w:szCs w:val="21"/>
                <w:highlight w:val="none"/>
              </w:rPr>
            </w:pPr>
          </w:p>
        </w:tc>
        <w:tc>
          <w:tcPr>
            <w:tcW w:w="1189" w:type="dxa"/>
            <w:vMerge w:val="continue"/>
            <w:tcBorders>
              <w:top w:val="single" w:color="000000" w:sz="4" w:space="0"/>
              <w:left w:val="single" w:color="000000" w:sz="4" w:space="0"/>
              <w:bottom w:val="single" w:color="000000" w:sz="4" w:space="0"/>
              <w:right w:val="single" w:color="000000" w:sz="4" w:space="0"/>
            </w:tcBorders>
            <w:vAlign w:val="center"/>
          </w:tcPr>
          <w:p w14:paraId="5B111160">
            <w:pPr>
              <w:jc w:val="left"/>
              <w:rPr>
                <w:rFonts w:ascii="宋体" w:hAnsi="宋体" w:eastAsia="宋体" w:cs="宋体"/>
                <w:color w:val="000000"/>
                <w:sz w:val="21"/>
                <w:szCs w:val="21"/>
                <w:highlight w:val="none"/>
              </w:rPr>
            </w:pPr>
          </w:p>
        </w:tc>
        <w:tc>
          <w:tcPr>
            <w:tcW w:w="1154" w:type="dxa"/>
            <w:tcBorders>
              <w:top w:val="single" w:color="000000" w:sz="4" w:space="0"/>
              <w:left w:val="single" w:color="000000" w:sz="4" w:space="0"/>
              <w:bottom w:val="single" w:color="000000" w:sz="4" w:space="0"/>
              <w:right w:val="single" w:color="000000" w:sz="4" w:space="0"/>
            </w:tcBorders>
            <w:vAlign w:val="center"/>
          </w:tcPr>
          <w:p w14:paraId="04CBD27C">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高血脂管理</w:t>
            </w:r>
          </w:p>
        </w:tc>
        <w:tc>
          <w:tcPr>
            <w:tcW w:w="1223" w:type="dxa"/>
            <w:tcBorders>
              <w:top w:val="single" w:color="000000" w:sz="4" w:space="0"/>
              <w:left w:val="single" w:color="000000" w:sz="4" w:space="0"/>
              <w:bottom w:val="single" w:color="000000" w:sz="4" w:space="0"/>
              <w:right w:val="single" w:color="000000" w:sz="4" w:space="0"/>
            </w:tcBorders>
            <w:vAlign w:val="center"/>
          </w:tcPr>
          <w:p w14:paraId="3D514366">
            <w:pPr>
              <w:rPr>
                <w:rFonts w:ascii="宋体" w:hAnsi="宋体" w:eastAsia="宋体" w:cs="宋体"/>
                <w:color w:val="000000"/>
                <w:sz w:val="21"/>
                <w:szCs w:val="21"/>
                <w:highlight w:val="none"/>
              </w:rPr>
            </w:pPr>
          </w:p>
        </w:tc>
        <w:tc>
          <w:tcPr>
            <w:tcW w:w="5216" w:type="dxa"/>
            <w:tcBorders>
              <w:top w:val="single" w:color="000000" w:sz="4" w:space="0"/>
              <w:left w:val="single" w:color="000000" w:sz="4" w:space="0"/>
              <w:bottom w:val="single" w:color="000000" w:sz="4" w:space="0"/>
              <w:right w:val="single" w:color="000000" w:sz="4" w:space="0"/>
            </w:tcBorders>
            <w:vAlign w:val="center"/>
          </w:tcPr>
          <w:p w14:paraId="37A23661">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对确诊患有高血脂的患者，采用专项与随访的方式进行管理。针对专项业务，支持新增、编辑、获取最新体征、删除、查看操作。针对随访业务，支持新增、编辑、获取最新体征、随访历史列表、删除、查看操作。</w:t>
            </w:r>
          </w:p>
        </w:tc>
      </w:tr>
      <w:tr w14:paraId="334B12EA">
        <w:tblPrEx>
          <w:tblCellMar>
            <w:top w:w="0" w:type="dxa"/>
            <w:left w:w="108" w:type="dxa"/>
            <w:bottom w:w="0" w:type="dxa"/>
            <w:right w:w="108" w:type="dxa"/>
          </w:tblCellMar>
        </w:tblPrEx>
        <w:trPr>
          <w:trHeight w:val="1083" w:hRule="atLeast"/>
        </w:trPr>
        <w:tc>
          <w:tcPr>
            <w:tcW w:w="705" w:type="dxa"/>
            <w:vMerge w:val="continue"/>
            <w:tcBorders>
              <w:top w:val="single" w:color="000000" w:sz="4" w:space="0"/>
              <w:left w:val="single" w:color="000000" w:sz="4" w:space="0"/>
              <w:bottom w:val="single" w:color="000000" w:sz="4" w:space="0"/>
              <w:right w:val="single" w:color="000000" w:sz="4" w:space="0"/>
            </w:tcBorders>
            <w:vAlign w:val="center"/>
          </w:tcPr>
          <w:p w14:paraId="0EA56743">
            <w:pPr>
              <w:jc w:val="center"/>
              <w:rPr>
                <w:rFonts w:ascii="宋体" w:hAnsi="宋体" w:eastAsia="宋体" w:cs="宋体"/>
                <w:b/>
                <w:bCs/>
                <w:color w:val="000000"/>
                <w:sz w:val="21"/>
                <w:szCs w:val="21"/>
                <w:highlight w:val="none"/>
              </w:rPr>
            </w:pPr>
          </w:p>
        </w:tc>
        <w:tc>
          <w:tcPr>
            <w:tcW w:w="1189" w:type="dxa"/>
            <w:vMerge w:val="continue"/>
            <w:tcBorders>
              <w:top w:val="single" w:color="000000" w:sz="4" w:space="0"/>
              <w:left w:val="single" w:color="000000" w:sz="4" w:space="0"/>
              <w:bottom w:val="single" w:color="000000" w:sz="4" w:space="0"/>
              <w:right w:val="single" w:color="000000" w:sz="4" w:space="0"/>
            </w:tcBorders>
            <w:vAlign w:val="center"/>
          </w:tcPr>
          <w:p w14:paraId="7D253455">
            <w:pPr>
              <w:jc w:val="left"/>
              <w:rPr>
                <w:rFonts w:ascii="宋体" w:hAnsi="宋体" w:eastAsia="宋体" w:cs="宋体"/>
                <w:color w:val="000000"/>
                <w:sz w:val="21"/>
                <w:szCs w:val="21"/>
                <w:highlight w:val="none"/>
              </w:rPr>
            </w:pPr>
          </w:p>
        </w:tc>
        <w:tc>
          <w:tcPr>
            <w:tcW w:w="1154" w:type="dxa"/>
            <w:tcBorders>
              <w:top w:val="single" w:color="000000" w:sz="4" w:space="0"/>
              <w:left w:val="single" w:color="000000" w:sz="4" w:space="0"/>
              <w:bottom w:val="single" w:color="000000" w:sz="4" w:space="0"/>
              <w:right w:val="single" w:color="000000" w:sz="4" w:space="0"/>
            </w:tcBorders>
            <w:vAlign w:val="center"/>
          </w:tcPr>
          <w:p w14:paraId="1959FCDC">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慢阻肺管理</w:t>
            </w:r>
          </w:p>
        </w:tc>
        <w:tc>
          <w:tcPr>
            <w:tcW w:w="1223" w:type="dxa"/>
            <w:tcBorders>
              <w:top w:val="single" w:color="000000" w:sz="4" w:space="0"/>
              <w:left w:val="single" w:color="000000" w:sz="4" w:space="0"/>
              <w:bottom w:val="single" w:color="000000" w:sz="4" w:space="0"/>
              <w:right w:val="single" w:color="000000" w:sz="4" w:space="0"/>
            </w:tcBorders>
            <w:vAlign w:val="center"/>
          </w:tcPr>
          <w:p w14:paraId="0C1C3772">
            <w:pPr>
              <w:rPr>
                <w:rFonts w:ascii="宋体" w:hAnsi="宋体" w:eastAsia="宋体" w:cs="宋体"/>
                <w:color w:val="000000"/>
                <w:sz w:val="21"/>
                <w:szCs w:val="21"/>
                <w:highlight w:val="none"/>
              </w:rPr>
            </w:pPr>
          </w:p>
        </w:tc>
        <w:tc>
          <w:tcPr>
            <w:tcW w:w="5216" w:type="dxa"/>
            <w:tcBorders>
              <w:top w:val="single" w:color="000000" w:sz="4" w:space="0"/>
              <w:left w:val="single" w:color="000000" w:sz="4" w:space="0"/>
              <w:bottom w:val="single" w:color="000000" w:sz="4" w:space="0"/>
              <w:right w:val="single" w:color="000000" w:sz="4" w:space="0"/>
            </w:tcBorders>
            <w:vAlign w:val="center"/>
          </w:tcPr>
          <w:p w14:paraId="26F981A3">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对确诊患有慢阻肺的患者，采用专项与随访的方式进行管理。针对专项业务，支持新增、编辑、获取最新体征、删除、查看操作。针对随访业务，支持新增、编辑、获取最新体征、随访历史列表、删除、查看操作。</w:t>
            </w:r>
          </w:p>
        </w:tc>
      </w:tr>
      <w:tr w14:paraId="248AFB42">
        <w:tblPrEx>
          <w:tblCellMar>
            <w:top w:w="0" w:type="dxa"/>
            <w:left w:w="108" w:type="dxa"/>
            <w:bottom w:w="0" w:type="dxa"/>
            <w:right w:w="108" w:type="dxa"/>
          </w:tblCellMar>
        </w:tblPrEx>
        <w:trPr>
          <w:trHeight w:val="1083" w:hRule="atLeast"/>
        </w:trPr>
        <w:tc>
          <w:tcPr>
            <w:tcW w:w="705" w:type="dxa"/>
            <w:vMerge w:val="continue"/>
            <w:tcBorders>
              <w:top w:val="single" w:color="000000" w:sz="4" w:space="0"/>
              <w:left w:val="single" w:color="000000" w:sz="4" w:space="0"/>
              <w:bottom w:val="single" w:color="000000" w:sz="4" w:space="0"/>
              <w:right w:val="single" w:color="000000" w:sz="4" w:space="0"/>
            </w:tcBorders>
            <w:vAlign w:val="center"/>
          </w:tcPr>
          <w:p w14:paraId="0EF7CA8A">
            <w:pPr>
              <w:jc w:val="center"/>
              <w:rPr>
                <w:rFonts w:ascii="宋体" w:hAnsi="宋体" w:eastAsia="宋体" w:cs="宋体"/>
                <w:b/>
                <w:bCs/>
                <w:color w:val="000000"/>
                <w:sz w:val="21"/>
                <w:szCs w:val="21"/>
                <w:highlight w:val="none"/>
              </w:rPr>
            </w:pPr>
          </w:p>
        </w:tc>
        <w:tc>
          <w:tcPr>
            <w:tcW w:w="1189" w:type="dxa"/>
            <w:vMerge w:val="continue"/>
            <w:tcBorders>
              <w:top w:val="single" w:color="000000" w:sz="4" w:space="0"/>
              <w:left w:val="single" w:color="000000" w:sz="4" w:space="0"/>
              <w:bottom w:val="single" w:color="000000" w:sz="4" w:space="0"/>
              <w:right w:val="single" w:color="000000" w:sz="4" w:space="0"/>
            </w:tcBorders>
            <w:vAlign w:val="center"/>
          </w:tcPr>
          <w:p w14:paraId="377DE6FA">
            <w:pPr>
              <w:jc w:val="left"/>
              <w:rPr>
                <w:rFonts w:ascii="宋体" w:hAnsi="宋体" w:eastAsia="宋体" w:cs="宋体"/>
                <w:color w:val="000000"/>
                <w:sz w:val="21"/>
                <w:szCs w:val="21"/>
                <w:highlight w:val="none"/>
              </w:rPr>
            </w:pPr>
          </w:p>
        </w:tc>
        <w:tc>
          <w:tcPr>
            <w:tcW w:w="1154" w:type="dxa"/>
            <w:tcBorders>
              <w:top w:val="single" w:color="000000" w:sz="4" w:space="0"/>
              <w:left w:val="single" w:color="000000" w:sz="4" w:space="0"/>
              <w:bottom w:val="single" w:color="000000" w:sz="4" w:space="0"/>
              <w:right w:val="single" w:color="000000" w:sz="4" w:space="0"/>
            </w:tcBorders>
            <w:vAlign w:val="center"/>
          </w:tcPr>
          <w:p w14:paraId="2EBFBE63">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冠心病管理</w:t>
            </w:r>
          </w:p>
        </w:tc>
        <w:tc>
          <w:tcPr>
            <w:tcW w:w="1223" w:type="dxa"/>
            <w:tcBorders>
              <w:top w:val="single" w:color="000000" w:sz="4" w:space="0"/>
              <w:left w:val="single" w:color="000000" w:sz="4" w:space="0"/>
              <w:bottom w:val="single" w:color="000000" w:sz="4" w:space="0"/>
              <w:right w:val="single" w:color="000000" w:sz="4" w:space="0"/>
            </w:tcBorders>
            <w:vAlign w:val="center"/>
          </w:tcPr>
          <w:p w14:paraId="26F44396">
            <w:pPr>
              <w:rPr>
                <w:rFonts w:ascii="宋体" w:hAnsi="宋体" w:eastAsia="宋体" w:cs="宋体"/>
                <w:color w:val="000000"/>
                <w:sz w:val="21"/>
                <w:szCs w:val="21"/>
                <w:highlight w:val="none"/>
              </w:rPr>
            </w:pPr>
          </w:p>
        </w:tc>
        <w:tc>
          <w:tcPr>
            <w:tcW w:w="5216" w:type="dxa"/>
            <w:tcBorders>
              <w:top w:val="single" w:color="000000" w:sz="4" w:space="0"/>
              <w:left w:val="single" w:color="000000" w:sz="4" w:space="0"/>
              <w:bottom w:val="single" w:color="000000" w:sz="4" w:space="0"/>
              <w:right w:val="single" w:color="000000" w:sz="4" w:space="0"/>
            </w:tcBorders>
            <w:vAlign w:val="center"/>
          </w:tcPr>
          <w:p w14:paraId="3D8FD807">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对确诊患有冠心病的患者，采用专项与随访的方式进行管理。针对专项业务，支持新增、编辑、获取最新体征、删除、查看操作。针对随访业务，支持新增、编辑、获取最新体征、随访历史列表、删除、查看操作。</w:t>
            </w:r>
          </w:p>
        </w:tc>
      </w:tr>
      <w:tr w14:paraId="1EE7DF10">
        <w:tblPrEx>
          <w:tblCellMar>
            <w:top w:w="0" w:type="dxa"/>
            <w:left w:w="108" w:type="dxa"/>
            <w:bottom w:w="0" w:type="dxa"/>
            <w:right w:w="108" w:type="dxa"/>
          </w:tblCellMar>
        </w:tblPrEx>
        <w:trPr>
          <w:trHeight w:val="1083" w:hRule="atLeast"/>
        </w:trPr>
        <w:tc>
          <w:tcPr>
            <w:tcW w:w="705" w:type="dxa"/>
            <w:vMerge w:val="continue"/>
            <w:tcBorders>
              <w:top w:val="single" w:color="000000" w:sz="4" w:space="0"/>
              <w:left w:val="single" w:color="000000" w:sz="4" w:space="0"/>
              <w:bottom w:val="single" w:color="000000" w:sz="4" w:space="0"/>
              <w:right w:val="single" w:color="000000" w:sz="4" w:space="0"/>
            </w:tcBorders>
            <w:vAlign w:val="center"/>
          </w:tcPr>
          <w:p w14:paraId="6051C5FB">
            <w:pPr>
              <w:jc w:val="center"/>
              <w:rPr>
                <w:rFonts w:ascii="宋体" w:hAnsi="宋体" w:eastAsia="宋体" w:cs="宋体"/>
                <w:b/>
                <w:bCs/>
                <w:color w:val="000000"/>
                <w:sz w:val="21"/>
                <w:szCs w:val="21"/>
                <w:highlight w:val="none"/>
              </w:rPr>
            </w:pPr>
          </w:p>
        </w:tc>
        <w:tc>
          <w:tcPr>
            <w:tcW w:w="1189" w:type="dxa"/>
            <w:vMerge w:val="continue"/>
            <w:tcBorders>
              <w:top w:val="single" w:color="000000" w:sz="4" w:space="0"/>
              <w:left w:val="single" w:color="000000" w:sz="4" w:space="0"/>
              <w:bottom w:val="single" w:color="000000" w:sz="4" w:space="0"/>
              <w:right w:val="single" w:color="000000" w:sz="4" w:space="0"/>
            </w:tcBorders>
            <w:vAlign w:val="center"/>
          </w:tcPr>
          <w:p w14:paraId="3BCFFB36">
            <w:pPr>
              <w:jc w:val="left"/>
              <w:rPr>
                <w:rFonts w:ascii="宋体" w:hAnsi="宋体" w:eastAsia="宋体" w:cs="宋体"/>
                <w:color w:val="000000"/>
                <w:sz w:val="21"/>
                <w:szCs w:val="21"/>
                <w:highlight w:val="none"/>
              </w:rPr>
            </w:pPr>
          </w:p>
        </w:tc>
        <w:tc>
          <w:tcPr>
            <w:tcW w:w="1154" w:type="dxa"/>
            <w:tcBorders>
              <w:top w:val="single" w:color="000000" w:sz="4" w:space="0"/>
              <w:left w:val="single" w:color="000000" w:sz="4" w:space="0"/>
              <w:bottom w:val="single" w:color="000000" w:sz="4" w:space="0"/>
              <w:right w:val="single" w:color="000000" w:sz="4" w:space="0"/>
            </w:tcBorders>
            <w:vAlign w:val="center"/>
          </w:tcPr>
          <w:p w14:paraId="2D5B1FA7">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慢性肾病管理</w:t>
            </w:r>
          </w:p>
        </w:tc>
        <w:tc>
          <w:tcPr>
            <w:tcW w:w="1223" w:type="dxa"/>
            <w:tcBorders>
              <w:top w:val="single" w:color="000000" w:sz="4" w:space="0"/>
              <w:left w:val="single" w:color="000000" w:sz="4" w:space="0"/>
              <w:bottom w:val="single" w:color="000000" w:sz="4" w:space="0"/>
              <w:right w:val="single" w:color="000000" w:sz="4" w:space="0"/>
            </w:tcBorders>
            <w:vAlign w:val="center"/>
          </w:tcPr>
          <w:p w14:paraId="2715DDB0">
            <w:pPr>
              <w:rPr>
                <w:rFonts w:ascii="宋体" w:hAnsi="宋体" w:eastAsia="宋体" w:cs="宋体"/>
                <w:color w:val="000000"/>
                <w:sz w:val="21"/>
                <w:szCs w:val="21"/>
                <w:highlight w:val="none"/>
              </w:rPr>
            </w:pPr>
          </w:p>
        </w:tc>
        <w:tc>
          <w:tcPr>
            <w:tcW w:w="5216" w:type="dxa"/>
            <w:tcBorders>
              <w:top w:val="single" w:color="000000" w:sz="4" w:space="0"/>
              <w:left w:val="single" w:color="000000" w:sz="4" w:space="0"/>
              <w:bottom w:val="single" w:color="000000" w:sz="4" w:space="0"/>
              <w:right w:val="single" w:color="000000" w:sz="4" w:space="0"/>
            </w:tcBorders>
            <w:vAlign w:val="center"/>
          </w:tcPr>
          <w:p w14:paraId="38AD7D58">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对确诊患有慢性肾病的患者，采用慢性肾病专项、慢性肾病随访与慢性肾病腹膜透析随访的方式进行管理。针对专项业务，支持新增、编辑、获取最新体征、删除、查看操作。针对随访业务，支持新增、编辑、获取最新体征、随访历史列表、删除、查看操作。</w:t>
            </w:r>
          </w:p>
        </w:tc>
      </w:tr>
      <w:tr w14:paraId="3A59F559">
        <w:tblPrEx>
          <w:tblCellMar>
            <w:top w:w="0" w:type="dxa"/>
            <w:left w:w="108" w:type="dxa"/>
            <w:bottom w:w="0" w:type="dxa"/>
            <w:right w:w="108" w:type="dxa"/>
          </w:tblCellMar>
        </w:tblPrEx>
        <w:trPr>
          <w:trHeight w:val="1083" w:hRule="atLeast"/>
        </w:trPr>
        <w:tc>
          <w:tcPr>
            <w:tcW w:w="705" w:type="dxa"/>
            <w:vMerge w:val="continue"/>
            <w:tcBorders>
              <w:top w:val="single" w:color="000000" w:sz="4" w:space="0"/>
              <w:left w:val="single" w:color="000000" w:sz="4" w:space="0"/>
              <w:bottom w:val="single" w:color="000000" w:sz="4" w:space="0"/>
              <w:right w:val="single" w:color="000000" w:sz="4" w:space="0"/>
            </w:tcBorders>
            <w:vAlign w:val="center"/>
          </w:tcPr>
          <w:p w14:paraId="6039F9A2">
            <w:pPr>
              <w:jc w:val="center"/>
              <w:rPr>
                <w:rFonts w:ascii="宋体" w:hAnsi="宋体" w:eastAsia="宋体" w:cs="宋体"/>
                <w:b/>
                <w:bCs/>
                <w:color w:val="000000"/>
                <w:sz w:val="21"/>
                <w:szCs w:val="21"/>
                <w:highlight w:val="none"/>
              </w:rPr>
            </w:pPr>
          </w:p>
        </w:tc>
        <w:tc>
          <w:tcPr>
            <w:tcW w:w="1189" w:type="dxa"/>
            <w:vMerge w:val="continue"/>
            <w:tcBorders>
              <w:top w:val="single" w:color="000000" w:sz="4" w:space="0"/>
              <w:left w:val="single" w:color="000000" w:sz="4" w:space="0"/>
              <w:bottom w:val="single" w:color="000000" w:sz="4" w:space="0"/>
              <w:right w:val="single" w:color="000000" w:sz="4" w:space="0"/>
            </w:tcBorders>
            <w:vAlign w:val="center"/>
          </w:tcPr>
          <w:p w14:paraId="0D934828">
            <w:pPr>
              <w:jc w:val="left"/>
              <w:rPr>
                <w:rFonts w:ascii="宋体" w:hAnsi="宋体" w:eastAsia="宋体" w:cs="宋体"/>
                <w:color w:val="000000"/>
                <w:sz w:val="21"/>
                <w:szCs w:val="21"/>
                <w:highlight w:val="none"/>
              </w:rPr>
            </w:pPr>
          </w:p>
        </w:tc>
        <w:tc>
          <w:tcPr>
            <w:tcW w:w="1154" w:type="dxa"/>
            <w:tcBorders>
              <w:top w:val="single" w:color="000000" w:sz="4" w:space="0"/>
              <w:left w:val="single" w:color="000000" w:sz="4" w:space="0"/>
              <w:bottom w:val="single" w:color="000000" w:sz="4" w:space="0"/>
              <w:right w:val="single" w:color="000000" w:sz="4" w:space="0"/>
            </w:tcBorders>
            <w:vAlign w:val="center"/>
          </w:tcPr>
          <w:p w14:paraId="6FA9D9FD">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脑卒中管理</w:t>
            </w:r>
          </w:p>
        </w:tc>
        <w:tc>
          <w:tcPr>
            <w:tcW w:w="1223" w:type="dxa"/>
            <w:tcBorders>
              <w:top w:val="single" w:color="000000" w:sz="4" w:space="0"/>
              <w:left w:val="single" w:color="000000" w:sz="4" w:space="0"/>
              <w:bottom w:val="single" w:color="000000" w:sz="4" w:space="0"/>
              <w:right w:val="single" w:color="000000" w:sz="4" w:space="0"/>
            </w:tcBorders>
            <w:vAlign w:val="center"/>
          </w:tcPr>
          <w:p w14:paraId="13ED73A3">
            <w:pPr>
              <w:rPr>
                <w:rFonts w:ascii="宋体" w:hAnsi="宋体" w:eastAsia="宋体" w:cs="宋体"/>
                <w:color w:val="000000"/>
                <w:sz w:val="21"/>
                <w:szCs w:val="21"/>
                <w:highlight w:val="none"/>
              </w:rPr>
            </w:pPr>
          </w:p>
        </w:tc>
        <w:tc>
          <w:tcPr>
            <w:tcW w:w="5216" w:type="dxa"/>
            <w:tcBorders>
              <w:top w:val="single" w:color="000000" w:sz="4" w:space="0"/>
              <w:left w:val="single" w:color="000000" w:sz="4" w:space="0"/>
              <w:bottom w:val="single" w:color="000000" w:sz="4" w:space="0"/>
              <w:right w:val="single" w:color="000000" w:sz="4" w:space="0"/>
            </w:tcBorders>
            <w:vAlign w:val="center"/>
          </w:tcPr>
          <w:p w14:paraId="5FA8BF25">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对确诊患有脑卒中的患者，采用专项与随访的方式进行管理。针对专项业务，支持新增、编辑、获取最新体征、删除、查看操作。针对随访业务，支持新增、编辑、获取最新体征、随访历史列表、删除、查看操作。</w:t>
            </w:r>
          </w:p>
        </w:tc>
      </w:tr>
      <w:tr w14:paraId="7E784AEF">
        <w:tblPrEx>
          <w:tblCellMar>
            <w:top w:w="0" w:type="dxa"/>
            <w:left w:w="108" w:type="dxa"/>
            <w:bottom w:w="0" w:type="dxa"/>
            <w:right w:w="108" w:type="dxa"/>
          </w:tblCellMar>
        </w:tblPrEx>
        <w:trPr>
          <w:trHeight w:val="1083" w:hRule="atLeast"/>
        </w:trPr>
        <w:tc>
          <w:tcPr>
            <w:tcW w:w="705" w:type="dxa"/>
            <w:vMerge w:val="continue"/>
            <w:tcBorders>
              <w:top w:val="single" w:color="000000" w:sz="4" w:space="0"/>
              <w:left w:val="single" w:color="000000" w:sz="4" w:space="0"/>
              <w:bottom w:val="single" w:color="000000" w:sz="4" w:space="0"/>
              <w:right w:val="single" w:color="000000" w:sz="4" w:space="0"/>
            </w:tcBorders>
            <w:vAlign w:val="center"/>
          </w:tcPr>
          <w:p w14:paraId="03947E1E">
            <w:pPr>
              <w:jc w:val="center"/>
              <w:rPr>
                <w:rFonts w:ascii="宋体" w:hAnsi="宋体" w:eastAsia="宋体" w:cs="宋体"/>
                <w:b/>
                <w:bCs/>
                <w:color w:val="000000"/>
                <w:sz w:val="21"/>
                <w:szCs w:val="21"/>
                <w:highlight w:val="none"/>
              </w:rPr>
            </w:pPr>
          </w:p>
        </w:tc>
        <w:tc>
          <w:tcPr>
            <w:tcW w:w="1189" w:type="dxa"/>
            <w:vMerge w:val="continue"/>
            <w:tcBorders>
              <w:top w:val="single" w:color="000000" w:sz="4" w:space="0"/>
              <w:left w:val="single" w:color="000000" w:sz="4" w:space="0"/>
              <w:bottom w:val="single" w:color="000000" w:sz="4" w:space="0"/>
              <w:right w:val="single" w:color="000000" w:sz="4" w:space="0"/>
            </w:tcBorders>
            <w:vAlign w:val="center"/>
          </w:tcPr>
          <w:p w14:paraId="3B61B585">
            <w:pPr>
              <w:jc w:val="left"/>
              <w:rPr>
                <w:rFonts w:ascii="宋体" w:hAnsi="宋体" w:eastAsia="宋体" w:cs="宋体"/>
                <w:color w:val="000000"/>
                <w:sz w:val="21"/>
                <w:szCs w:val="21"/>
                <w:highlight w:val="none"/>
              </w:rPr>
            </w:pPr>
          </w:p>
        </w:tc>
        <w:tc>
          <w:tcPr>
            <w:tcW w:w="1154" w:type="dxa"/>
            <w:tcBorders>
              <w:top w:val="single" w:color="000000" w:sz="4" w:space="0"/>
              <w:left w:val="single" w:color="000000" w:sz="4" w:space="0"/>
              <w:bottom w:val="single" w:color="000000" w:sz="4" w:space="0"/>
              <w:right w:val="single" w:color="000000" w:sz="4" w:space="0"/>
            </w:tcBorders>
            <w:vAlign w:val="center"/>
          </w:tcPr>
          <w:p w14:paraId="0B13F0E1">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房颤管理</w:t>
            </w:r>
          </w:p>
        </w:tc>
        <w:tc>
          <w:tcPr>
            <w:tcW w:w="1223" w:type="dxa"/>
            <w:tcBorders>
              <w:top w:val="single" w:color="000000" w:sz="4" w:space="0"/>
              <w:left w:val="single" w:color="000000" w:sz="4" w:space="0"/>
              <w:bottom w:val="single" w:color="000000" w:sz="4" w:space="0"/>
              <w:right w:val="single" w:color="000000" w:sz="4" w:space="0"/>
            </w:tcBorders>
            <w:vAlign w:val="center"/>
          </w:tcPr>
          <w:p w14:paraId="384BF97F">
            <w:pPr>
              <w:rPr>
                <w:rFonts w:ascii="宋体" w:hAnsi="宋体" w:eastAsia="宋体" w:cs="宋体"/>
                <w:color w:val="000000"/>
                <w:sz w:val="21"/>
                <w:szCs w:val="21"/>
                <w:highlight w:val="none"/>
              </w:rPr>
            </w:pPr>
          </w:p>
        </w:tc>
        <w:tc>
          <w:tcPr>
            <w:tcW w:w="5216" w:type="dxa"/>
            <w:tcBorders>
              <w:top w:val="single" w:color="000000" w:sz="4" w:space="0"/>
              <w:left w:val="single" w:color="000000" w:sz="4" w:space="0"/>
              <w:bottom w:val="single" w:color="000000" w:sz="4" w:space="0"/>
              <w:right w:val="single" w:color="000000" w:sz="4" w:space="0"/>
            </w:tcBorders>
            <w:vAlign w:val="center"/>
          </w:tcPr>
          <w:p w14:paraId="476C16C8">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对确诊患有房颤的患者，采用专项与随访的方式进行管理。针对专项业务，支持新增、编辑、获取最新体征、删除、查看操作。针对随访业务，支持新增、编辑、获取最新体征、随访历史列表、删除、查看操作。</w:t>
            </w:r>
          </w:p>
        </w:tc>
      </w:tr>
      <w:tr w14:paraId="5750E0C7">
        <w:tblPrEx>
          <w:tblCellMar>
            <w:top w:w="0" w:type="dxa"/>
            <w:left w:w="108" w:type="dxa"/>
            <w:bottom w:w="0" w:type="dxa"/>
            <w:right w:w="108" w:type="dxa"/>
          </w:tblCellMar>
        </w:tblPrEx>
        <w:trPr>
          <w:trHeight w:val="1083" w:hRule="atLeast"/>
        </w:trPr>
        <w:tc>
          <w:tcPr>
            <w:tcW w:w="705" w:type="dxa"/>
            <w:vMerge w:val="continue"/>
            <w:tcBorders>
              <w:top w:val="single" w:color="000000" w:sz="4" w:space="0"/>
              <w:left w:val="single" w:color="000000" w:sz="4" w:space="0"/>
              <w:bottom w:val="single" w:color="000000" w:sz="4" w:space="0"/>
              <w:right w:val="single" w:color="000000" w:sz="4" w:space="0"/>
            </w:tcBorders>
            <w:vAlign w:val="center"/>
          </w:tcPr>
          <w:p w14:paraId="14051E48">
            <w:pPr>
              <w:jc w:val="center"/>
              <w:rPr>
                <w:rFonts w:ascii="宋体" w:hAnsi="宋体" w:eastAsia="宋体" w:cs="宋体"/>
                <w:b/>
                <w:bCs/>
                <w:color w:val="000000"/>
                <w:sz w:val="21"/>
                <w:szCs w:val="21"/>
                <w:highlight w:val="none"/>
              </w:rPr>
            </w:pPr>
          </w:p>
        </w:tc>
        <w:tc>
          <w:tcPr>
            <w:tcW w:w="1189" w:type="dxa"/>
            <w:vMerge w:val="restart"/>
            <w:tcBorders>
              <w:top w:val="single" w:color="000000" w:sz="4" w:space="0"/>
              <w:left w:val="single" w:color="000000" w:sz="4" w:space="0"/>
              <w:bottom w:val="single" w:color="000000" w:sz="4" w:space="0"/>
              <w:right w:val="single" w:color="000000" w:sz="4" w:space="0"/>
            </w:tcBorders>
            <w:vAlign w:val="center"/>
          </w:tcPr>
          <w:p w14:paraId="63E73915">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肿瘤管理</w:t>
            </w:r>
          </w:p>
        </w:tc>
        <w:tc>
          <w:tcPr>
            <w:tcW w:w="1154" w:type="dxa"/>
            <w:tcBorders>
              <w:top w:val="single" w:color="000000" w:sz="4" w:space="0"/>
              <w:left w:val="single" w:color="000000" w:sz="4" w:space="0"/>
              <w:bottom w:val="single" w:color="000000" w:sz="4" w:space="0"/>
              <w:right w:val="single" w:color="000000" w:sz="4" w:space="0"/>
            </w:tcBorders>
            <w:vAlign w:val="center"/>
          </w:tcPr>
          <w:p w14:paraId="0E481E02">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肺癌管理</w:t>
            </w:r>
          </w:p>
        </w:tc>
        <w:tc>
          <w:tcPr>
            <w:tcW w:w="1223" w:type="dxa"/>
            <w:tcBorders>
              <w:top w:val="single" w:color="000000" w:sz="4" w:space="0"/>
              <w:left w:val="single" w:color="000000" w:sz="4" w:space="0"/>
              <w:bottom w:val="single" w:color="000000" w:sz="4" w:space="0"/>
              <w:right w:val="single" w:color="000000" w:sz="4" w:space="0"/>
            </w:tcBorders>
            <w:vAlign w:val="center"/>
          </w:tcPr>
          <w:p w14:paraId="2EAD2C92">
            <w:pPr>
              <w:rPr>
                <w:rFonts w:ascii="宋体" w:hAnsi="宋体" w:eastAsia="宋体" w:cs="宋体"/>
                <w:color w:val="000000"/>
                <w:sz w:val="21"/>
                <w:szCs w:val="21"/>
                <w:highlight w:val="none"/>
              </w:rPr>
            </w:pPr>
          </w:p>
        </w:tc>
        <w:tc>
          <w:tcPr>
            <w:tcW w:w="5216" w:type="dxa"/>
            <w:tcBorders>
              <w:top w:val="single" w:color="000000" w:sz="4" w:space="0"/>
              <w:left w:val="single" w:color="000000" w:sz="4" w:space="0"/>
              <w:bottom w:val="single" w:color="000000" w:sz="4" w:space="0"/>
              <w:right w:val="single" w:color="000000" w:sz="4" w:space="0"/>
            </w:tcBorders>
            <w:vAlign w:val="center"/>
          </w:tcPr>
          <w:p w14:paraId="059FCCCF">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对确诊患有肺癌的患者，采用专项与随访的方式进行管理。针对专项业务，支持新增、编辑、获取最新体征、删除、查看操作。针对随访业务，支持新增、编辑、获取最新体征、随访历史列表、删除、查看操作。</w:t>
            </w:r>
          </w:p>
        </w:tc>
      </w:tr>
      <w:tr w14:paraId="40774403">
        <w:tblPrEx>
          <w:tblCellMar>
            <w:top w:w="0" w:type="dxa"/>
            <w:left w:w="108" w:type="dxa"/>
            <w:bottom w:w="0" w:type="dxa"/>
            <w:right w:w="108" w:type="dxa"/>
          </w:tblCellMar>
        </w:tblPrEx>
        <w:trPr>
          <w:trHeight w:val="1083" w:hRule="atLeast"/>
        </w:trPr>
        <w:tc>
          <w:tcPr>
            <w:tcW w:w="705" w:type="dxa"/>
            <w:vMerge w:val="continue"/>
            <w:tcBorders>
              <w:top w:val="single" w:color="000000" w:sz="4" w:space="0"/>
              <w:left w:val="single" w:color="000000" w:sz="4" w:space="0"/>
              <w:bottom w:val="single" w:color="000000" w:sz="4" w:space="0"/>
              <w:right w:val="single" w:color="000000" w:sz="4" w:space="0"/>
            </w:tcBorders>
            <w:vAlign w:val="center"/>
          </w:tcPr>
          <w:p w14:paraId="14DA3D43">
            <w:pPr>
              <w:jc w:val="center"/>
              <w:rPr>
                <w:rFonts w:ascii="宋体" w:hAnsi="宋体" w:eastAsia="宋体" w:cs="宋体"/>
                <w:b/>
                <w:bCs/>
                <w:color w:val="000000"/>
                <w:sz w:val="21"/>
                <w:szCs w:val="21"/>
                <w:highlight w:val="none"/>
              </w:rPr>
            </w:pPr>
          </w:p>
        </w:tc>
        <w:tc>
          <w:tcPr>
            <w:tcW w:w="1189" w:type="dxa"/>
            <w:vMerge w:val="continue"/>
            <w:tcBorders>
              <w:top w:val="single" w:color="000000" w:sz="4" w:space="0"/>
              <w:left w:val="single" w:color="000000" w:sz="4" w:space="0"/>
              <w:bottom w:val="single" w:color="000000" w:sz="4" w:space="0"/>
              <w:right w:val="single" w:color="000000" w:sz="4" w:space="0"/>
            </w:tcBorders>
            <w:vAlign w:val="center"/>
          </w:tcPr>
          <w:p w14:paraId="0D38C3E0">
            <w:pPr>
              <w:jc w:val="left"/>
              <w:rPr>
                <w:rFonts w:ascii="宋体" w:hAnsi="宋体" w:eastAsia="宋体" w:cs="宋体"/>
                <w:color w:val="000000"/>
                <w:sz w:val="21"/>
                <w:szCs w:val="21"/>
                <w:highlight w:val="none"/>
              </w:rPr>
            </w:pPr>
          </w:p>
        </w:tc>
        <w:tc>
          <w:tcPr>
            <w:tcW w:w="1154" w:type="dxa"/>
            <w:tcBorders>
              <w:top w:val="single" w:color="000000" w:sz="4" w:space="0"/>
              <w:left w:val="single" w:color="000000" w:sz="4" w:space="0"/>
              <w:bottom w:val="single" w:color="000000" w:sz="4" w:space="0"/>
              <w:right w:val="single" w:color="000000" w:sz="4" w:space="0"/>
            </w:tcBorders>
            <w:vAlign w:val="center"/>
          </w:tcPr>
          <w:p w14:paraId="5CEB120B">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结直肠癌管理</w:t>
            </w:r>
          </w:p>
        </w:tc>
        <w:tc>
          <w:tcPr>
            <w:tcW w:w="1223" w:type="dxa"/>
            <w:tcBorders>
              <w:top w:val="single" w:color="000000" w:sz="4" w:space="0"/>
              <w:left w:val="single" w:color="000000" w:sz="4" w:space="0"/>
              <w:bottom w:val="single" w:color="000000" w:sz="4" w:space="0"/>
              <w:right w:val="single" w:color="000000" w:sz="4" w:space="0"/>
            </w:tcBorders>
            <w:vAlign w:val="center"/>
          </w:tcPr>
          <w:p w14:paraId="0AA2D6F0">
            <w:pPr>
              <w:rPr>
                <w:rFonts w:ascii="宋体" w:hAnsi="宋体" w:eastAsia="宋体" w:cs="宋体"/>
                <w:color w:val="000000"/>
                <w:sz w:val="21"/>
                <w:szCs w:val="21"/>
                <w:highlight w:val="none"/>
              </w:rPr>
            </w:pPr>
          </w:p>
        </w:tc>
        <w:tc>
          <w:tcPr>
            <w:tcW w:w="5216" w:type="dxa"/>
            <w:tcBorders>
              <w:top w:val="single" w:color="000000" w:sz="4" w:space="0"/>
              <w:left w:val="single" w:color="000000" w:sz="4" w:space="0"/>
              <w:bottom w:val="single" w:color="000000" w:sz="4" w:space="0"/>
              <w:right w:val="single" w:color="000000" w:sz="4" w:space="0"/>
            </w:tcBorders>
            <w:vAlign w:val="center"/>
          </w:tcPr>
          <w:p w14:paraId="2AD05C26">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对确诊患有结直肠癌的患者，采用专项与随访的方式进行管理。针对专项业务，支持新增、编辑、获取最新体征、删除、查看操作。针对随访业务，支持新增、编辑、获取最新体征、随访历史列表、删除、查看操作。</w:t>
            </w:r>
          </w:p>
        </w:tc>
      </w:tr>
      <w:tr w14:paraId="00E665BC">
        <w:tblPrEx>
          <w:tblCellMar>
            <w:top w:w="0" w:type="dxa"/>
            <w:left w:w="108" w:type="dxa"/>
            <w:bottom w:w="0" w:type="dxa"/>
            <w:right w:w="108" w:type="dxa"/>
          </w:tblCellMar>
        </w:tblPrEx>
        <w:trPr>
          <w:trHeight w:val="1083" w:hRule="atLeast"/>
        </w:trPr>
        <w:tc>
          <w:tcPr>
            <w:tcW w:w="705" w:type="dxa"/>
            <w:vMerge w:val="continue"/>
            <w:tcBorders>
              <w:top w:val="single" w:color="000000" w:sz="4" w:space="0"/>
              <w:left w:val="single" w:color="000000" w:sz="4" w:space="0"/>
              <w:bottom w:val="single" w:color="000000" w:sz="4" w:space="0"/>
              <w:right w:val="single" w:color="000000" w:sz="4" w:space="0"/>
            </w:tcBorders>
            <w:vAlign w:val="center"/>
          </w:tcPr>
          <w:p w14:paraId="3B221E32">
            <w:pPr>
              <w:jc w:val="center"/>
              <w:rPr>
                <w:rFonts w:ascii="宋体" w:hAnsi="宋体" w:eastAsia="宋体" w:cs="宋体"/>
                <w:b/>
                <w:bCs/>
                <w:color w:val="000000"/>
                <w:sz w:val="21"/>
                <w:szCs w:val="21"/>
                <w:highlight w:val="none"/>
              </w:rPr>
            </w:pPr>
          </w:p>
        </w:tc>
        <w:tc>
          <w:tcPr>
            <w:tcW w:w="1189" w:type="dxa"/>
            <w:vMerge w:val="continue"/>
            <w:tcBorders>
              <w:top w:val="single" w:color="000000" w:sz="4" w:space="0"/>
              <w:left w:val="single" w:color="000000" w:sz="4" w:space="0"/>
              <w:bottom w:val="single" w:color="000000" w:sz="4" w:space="0"/>
              <w:right w:val="single" w:color="000000" w:sz="4" w:space="0"/>
            </w:tcBorders>
            <w:vAlign w:val="center"/>
          </w:tcPr>
          <w:p w14:paraId="6C921453">
            <w:pPr>
              <w:jc w:val="left"/>
              <w:rPr>
                <w:rFonts w:ascii="宋体" w:hAnsi="宋体" w:eastAsia="宋体" w:cs="宋体"/>
                <w:color w:val="000000"/>
                <w:sz w:val="21"/>
                <w:szCs w:val="21"/>
                <w:highlight w:val="none"/>
              </w:rPr>
            </w:pPr>
          </w:p>
        </w:tc>
        <w:tc>
          <w:tcPr>
            <w:tcW w:w="1154" w:type="dxa"/>
            <w:tcBorders>
              <w:top w:val="single" w:color="000000" w:sz="4" w:space="0"/>
              <w:left w:val="single" w:color="000000" w:sz="4" w:space="0"/>
              <w:bottom w:val="single" w:color="000000" w:sz="4" w:space="0"/>
              <w:right w:val="single" w:color="000000" w:sz="4" w:space="0"/>
            </w:tcBorders>
            <w:vAlign w:val="center"/>
          </w:tcPr>
          <w:p w14:paraId="7398FDB2">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乳腺癌管理</w:t>
            </w:r>
          </w:p>
        </w:tc>
        <w:tc>
          <w:tcPr>
            <w:tcW w:w="1223" w:type="dxa"/>
            <w:tcBorders>
              <w:top w:val="single" w:color="000000" w:sz="4" w:space="0"/>
              <w:left w:val="single" w:color="000000" w:sz="4" w:space="0"/>
              <w:bottom w:val="single" w:color="000000" w:sz="4" w:space="0"/>
              <w:right w:val="single" w:color="000000" w:sz="4" w:space="0"/>
            </w:tcBorders>
            <w:vAlign w:val="center"/>
          </w:tcPr>
          <w:p w14:paraId="6CE40F46">
            <w:pPr>
              <w:rPr>
                <w:rFonts w:ascii="宋体" w:hAnsi="宋体" w:eastAsia="宋体" w:cs="宋体"/>
                <w:color w:val="000000"/>
                <w:sz w:val="21"/>
                <w:szCs w:val="21"/>
                <w:highlight w:val="none"/>
              </w:rPr>
            </w:pPr>
          </w:p>
        </w:tc>
        <w:tc>
          <w:tcPr>
            <w:tcW w:w="5216" w:type="dxa"/>
            <w:tcBorders>
              <w:top w:val="single" w:color="000000" w:sz="4" w:space="0"/>
              <w:left w:val="single" w:color="000000" w:sz="4" w:space="0"/>
              <w:bottom w:val="single" w:color="000000" w:sz="4" w:space="0"/>
              <w:right w:val="single" w:color="000000" w:sz="4" w:space="0"/>
            </w:tcBorders>
            <w:vAlign w:val="center"/>
          </w:tcPr>
          <w:p w14:paraId="406DA288">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对确诊患有乳腺癌的患者，采用专项与随访的方式进行管理。针对专项业务，支持新增、编辑、获取最新体征、删除、查看操作。针对随访业务，支持新增、编辑、获取最新体征、随访历史列表、删除、查看操作。</w:t>
            </w:r>
          </w:p>
        </w:tc>
      </w:tr>
      <w:tr w14:paraId="132DD8C5">
        <w:tblPrEx>
          <w:tblCellMar>
            <w:top w:w="0" w:type="dxa"/>
            <w:left w:w="108" w:type="dxa"/>
            <w:bottom w:w="0" w:type="dxa"/>
            <w:right w:w="108" w:type="dxa"/>
          </w:tblCellMar>
        </w:tblPrEx>
        <w:trPr>
          <w:trHeight w:val="1083" w:hRule="atLeast"/>
        </w:trPr>
        <w:tc>
          <w:tcPr>
            <w:tcW w:w="705" w:type="dxa"/>
            <w:vMerge w:val="continue"/>
            <w:tcBorders>
              <w:top w:val="single" w:color="000000" w:sz="4" w:space="0"/>
              <w:left w:val="single" w:color="000000" w:sz="4" w:space="0"/>
              <w:bottom w:val="single" w:color="000000" w:sz="4" w:space="0"/>
              <w:right w:val="single" w:color="000000" w:sz="4" w:space="0"/>
            </w:tcBorders>
            <w:vAlign w:val="center"/>
          </w:tcPr>
          <w:p w14:paraId="33AB9DEB">
            <w:pPr>
              <w:jc w:val="center"/>
              <w:rPr>
                <w:rFonts w:ascii="宋体" w:hAnsi="宋体" w:eastAsia="宋体" w:cs="宋体"/>
                <w:b/>
                <w:bCs/>
                <w:color w:val="000000"/>
                <w:sz w:val="21"/>
                <w:szCs w:val="21"/>
                <w:highlight w:val="none"/>
              </w:rPr>
            </w:pPr>
          </w:p>
        </w:tc>
        <w:tc>
          <w:tcPr>
            <w:tcW w:w="1189" w:type="dxa"/>
            <w:vMerge w:val="continue"/>
            <w:tcBorders>
              <w:top w:val="single" w:color="000000" w:sz="4" w:space="0"/>
              <w:left w:val="single" w:color="000000" w:sz="4" w:space="0"/>
              <w:bottom w:val="single" w:color="000000" w:sz="4" w:space="0"/>
              <w:right w:val="single" w:color="000000" w:sz="4" w:space="0"/>
            </w:tcBorders>
            <w:vAlign w:val="center"/>
          </w:tcPr>
          <w:p w14:paraId="21CDE13F">
            <w:pPr>
              <w:jc w:val="left"/>
              <w:rPr>
                <w:rFonts w:ascii="宋体" w:hAnsi="宋体" w:eastAsia="宋体" w:cs="宋体"/>
                <w:color w:val="000000"/>
                <w:sz w:val="21"/>
                <w:szCs w:val="21"/>
                <w:highlight w:val="none"/>
              </w:rPr>
            </w:pPr>
          </w:p>
        </w:tc>
        <w:tc>
          <w:tcPr>
            <w:tcW w:w="1154" w:type="dxa"/>
            <w:tcBorders>
              <w:top w:val="single" w:color="000000" w:sz="4" w:space="0"/>
              <w:left w:val="single" w:color="000000" w:sz="4" w:space="0"/>
              <w:bottom w:val="single" w:color="000000" w:sz="4" w:space="0"/>
              <w:right w:val="single" w:color="000000" w:sz="4" w:space="0"/>
            </w:tcBorders>
            <w:vAlign w:val="center"/>
          </w:tcPr>
          <w:p w14:paraId="07AF7EE0">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宫颈癌管理</w:t>
            </w:r>
          </w:p>
        </w:tc>
        <w:tc>
          <w:tcPr>
            <w:tcW w:w="1223" w:type="dxa"/>
            <w:tcBorders>
              <w:top w:val="single" w:color="000000" w:sz="4" w:space="0"/>
              <w:left w:val="single" w:color="000000" w:sz="4" w:space="0"/>
              <w:bottom w:val="single" w:color="000000" w:sz="4" w:space="0"/>
              <w:right w:val="single" w:color="000000" w:sz="4" w:space="0"/>
            </w:tcBorders>
            <w:vAlign w:val="center"/>
          </w:tcPr>
          <w:p w14:paraId="73F23FF2">
            <w:pPr>
              <w:rPr>
                <w:rFonts w:ascii="宋体" w:hAnsi="宋体" w:eastAsia="宋体" w:cs="宋体"/>
                <w:color w:val="000000"/>
                <w:sz w:val="21"/>
                <w:szCs w:val="21"/>
                <w:highlight w:val="none"/>
              </w:rPr>
            </w:pPr>
          </w:p>
        </w:tc>
        <w:tc>
          <w:tcPr>
            <w:tcW w:w="5216" w:type="dxa"/>
            <w:tcBorders>
              <w:top w:val="single" w:color="000000" w:sz="4" w:space="0"/>
              <w:left w:val="single" w:color="000000" w:sz="4" w:space="0"/>
              <w:bottom w:val="single" w:color="000000" w:sz="4" w:space="0"/>
              <w:right w:val="single" w:color="000000" w:sz="4" w:space="0"/>
            </w:tcBorders>
            <w:vAlign w:val="center"/>
          </w:tcPr>
          <w:p w14:paraId="30259C33">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对确诊患有宫颈癌的患者，采用专项与随访的方式进行管理。针对专项业务，支持新增、编辑、获取最新体征、删除、查看操作。针对随访业务，支持新增、编辑、获取最新体征、随访历史列表、删除、查看操作。</w:t>
            </w:r>
          </w:p>
        </w:tc>
      </w:tr>
      <w:tr w14:paraId="31C0C043">
        <w:tblPrEx>
          <w:tblCellMar>
            <w:top w:w="0" w:type="dxa"/>
            <w:left w:w="108" w:type="dxa"/>
            <w:bottom w:w="0" w:type="dxa"/>
            <w:right w:w="108" w:type="dxa"/>
          </w:tblCellMar>
        </w:tblPrEx>
        <w:trPr>
          <w:trHeight w:val="730" w:hRule="atLeast"/>
        </w:trPr>
        <w:tc>
          <w:tcPr>
            <w:tcW w:w="705" w:type="dxa"/>
            <w:vMerge w:val="continue"/>
            <w:tcBorders>
              <w:left w:val="single" w:color="000000" w:sz="4" w:space="0"/>
              <w:right w:val="single" w:color="000000" w:sz="4" w:space="0"/>
            </w:tcBorders>
            <w:vAlign w:val="center"/>
          </w:tcPr>
          <w:p w14:paraId="13F32C24">
            <w:pPr>
              <w:jc w:val="center"/>
              <w:rPr>
                <w:rFonts w:ascii="宋体" w:hAnsi="宋体" w:eastAsia="宋体" w:cs="宋体"/>
                <w:b/>
                <w:bCs/>
                <w:color w:val="000000"/>
                <w:sz w:val="21"/>
                <w:szCs w:val="21"/>
                <w:highlight w:val="none"/>
              </w:rPr>
            </w:pPr>
          </w:p>
        </w:tc>
        <w:tc>
          <w:tcPr>
            <w:tcW w:w="1189" w:type="dxa"/>
            <w:vMerge w:val="continue"/>
            <w:tcBorders>
              <w:top w:val="single" w:color="000000" w:sz="4" w:space="0"/>
              <w:left w:val="single" w:color="000000" w:sz="4" w:space="0"/>
              <w:right w:val="single" w:color="000000" w:sz="4" w:space="0"/>
            </w:tcBorders>
            <w:vAlign w:val="center"/>
          </w:tcPr>
          <w:p w14:paraId="3632F228">
            <w:pPr>
              <w:jc w:val="left"/>
              <w:rPr>
                <w:rFonts w:ascii="宋体" w:hAnsi="宋体" w:eastAsia="宋体" w:cs="宋体"/>
                <w:color w:val="000000"/>
                <w:sz w:val="21"/>
                <w:szCs w:val="21"/>
                <w:highlight w:val="none"/>
              </w:rPr>
            </w:pPr>
          </w:p>
        </w:tc>
        <w:tc>
          <w:tcPr>
            <w:tcW w:w="1154" w:type="dxa"/>
            <w:tcBorders>
              <w:top w:val="single" w:color="000000" w:sz="4" w:space="0"/>
              <w:left w:val="single" w:color="000000" w:sz="4" w:space="0"/>
              <w:bottom w:val="single" w:color="000000" w:sz="4" w:space="0"/>
              <w:right w:val="single" w:color="000000" w:sz="4" w:space="0"/>
            </w:tcBorders>
            <w:vAlign w:val="center"/>
          </w:tcPr>
          <w:p w14:paraId="30728387">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肝癌管理</w:t>
            </w:r>
          </w:p>
        </w:tc>
        <w:tc>
          <w:tcPr>
            <w:tcW w:w="1223" w:type="dxa"/>
            <w:tcBorders>
              <w:top w:val="single" w:color="000000" w:sz="4" w:space="0"/>
              <w:left w:val="single" w:color="000000" w:sz="4" w:space="0"/>
              <w:bottom w:val="single" w:color="000000" w:sz="4" w:space="0"/>
              <w:right w:val="single" w:color="000000" w:sz="4" w:space="0"/>
            </w:tcBorders>
            <w:vAlign w:val="center"/>
          </w:tcPr>
          <w:p w14:paraId="5D9A2889">
            <w:pPr>
              <w:rPr>
                <w:rFonts w:ascii="宋体" w:hAnsi="宋体" w:eastAsia="宋体" w:cs="宋体"/>
                <w:color w:val="000000"/>
                <w:sz w:val="21"/>
                <w:szCs w:val="21"/>
                <w:highlight w:val="none"/>
              </w:rPr>
            </w:pPr>
          </w:p>
        </w:tc>
        <w:tc>
          <w:tcPr>
            <w:tcW w:w="5216" w:type="dxa"/>
            <w:tcBorders>
              <w:top w:val="single" w:color="000000" w:sz="4" w:space="0"/>
              <w:left w:val="single" w:color="000000" w:sz="4" w:space="0"/>
              <w:bottom w:val="single" w:color="000000" w:sz="4" w:space="0"/>
              <w:right w:val="single" w:color="000000" w:sz="4" w:space="0"/>
            </w:tcBorders>
            <w:vAlign w:val="center"/>
          </w:tcPr>
          <w:p w14:paraId="02C83487">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对确诊患有肝癌的患者，采用专项与随访的方式进行管理。针对专项业务，支持新增、编辑、获取最新体征、删除、查看操作。针对随访业务，支持新增、编辑、获取最新体征、随访历史列表、删除、查看操作。</w:t>
            </w:r>
          </w:p>
        </w:tc>
      </w:tr>
      <w:tr w14:paraId="7F1996A0">
        <w:tblPrEx>
          <w:tblCellMar>
            <w:top w:w="0" w:type="dxa"/>
            <w:left w:w="108" w:type="dxa"/>
            <w:bottom w:w="0" w:type="dxa"/>
            <w:right w:w="108" w:type="dxa"/>
          </w:tblCellMar>
        </w:tblPrEx>
        <w:trPr>
          <w:trHeight w:val="730" w:hRule="atLeast"/>
        </w:trPr>
        <w:tc>
          <w:tcPr>
            <w:tcW w:w="705" w:type="dxa"/>
            <w:vMerge w:val="continue"/>
            <w:tcBorders>
              <w:left w:val="single" w:color="000000" w:sz="4" w:space="0"/>
              <w:right w:val="single" w:color="000000" w:sz="4" w:space="0"/>
            </w:tcBorders>
            <w:vAlign w:val="center"/>
          </w:tcPr>
          <w:p w14:paraId="10E15EA6">
            <w:pPr>
              <w:jc w:val="center"/>
              <w:rPr>
                <w:rFonts w:ascii="宋体" w:hAnsi="宋体" w:eastAsia="宋体" w:cs="宋体"/>
                <w:b/>
                <w:bCs/>
                <w:color w:val="000000"/>
                <w:sz w:val="21"/>
                <w:szCs w:val="21"/>
                <w:highlight w:val="none"/>
              </w:rPr>
            </w:pPr>
          </w:p>
        </w:tc>
        <w:tc>
          <w:tcPr>
            <w:tcW w:w="1189" w:type="dxa"/>
            <w:vMerge w:val="continue"/>
            <w:tcBorders>
              <w:left w:val="single" w:color="000000" w:sz="4" w:space="0"/>
              <w:right w:val="single" w:color="000000" w:sz="4" w:space="0"/>
            </w:tcBorders>
            <w:vAlign w:val="center"/>
          </w:tcPr>
          <w:p w14:paraId="6E06D779">
            <w:pPr>
              <w:jc w:val="left"/>
              <w:rPr>
                <w:rFonts w:ascii="宋体" w:hAnsi="宋体" w:eastAsia="宋体" w:cs="宋体"/>
                <w:color w:val="000000"/>
                <w:sz w:val="21"/>
                <w:szCs w:val="21"/>
                <w:highlight w:val="none"/>
              </w:rPr>
            </w:pPr>
          </w:p>
        </w:tc>
        <w:tc>
          <w:tcPr>
            <w:tcW w:w="1154" w:type="dxa"/>
            <w:tcBorders>
              <w:top w:val="single" w:color="000000" w:sz="4" w:space="0"/>
              <w:left w:val="single" w:color="000000" w:sz="4" w:space="0"/>
              <w:bottom w:val="single" w:color="000000" w:sz="4" w:space="0"/>
              <w:right w:val="single" w:color="000000" w:sz="4" w:space="0"/>
            </w:tcBorders>
            <w:vAlign w:val="center"/>
          </w:tcPr>
          <w:p w14:paraId="48125CC7">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胃癌管理</w:t>
            </w:r>
          </w:p>
        </w:tc>
        <w:tc>
          <w:tcPr>
            <w:tcW w:w="1223" w:type="dxa"/>
            <w:tcBorders>
              <w:top w:val="single" w:color="000000" w:sz="4" w:space="0"/>
              <w:left w:val="single" w:color="000000" w:sz="4" w:space="0"/>
              <w:bottom w:val="single" w:color="000000" w:sz="4" w:space="0"/>
              <w:right w:val="single" w:color="000000" w:sz="4" w:space="0"/>
            </w:tcBorders>
            <w:vAlign w:val="center"/>
          </w:tcPr>
          <w:p w14:paraId="3DEA3F27">
            <w:pPr>
              <w:rPr>
                <w:rFonts w:ascii="宋体" w:hAnsi="宋体" w:eastAsia="宋体" w:cs="宋体"/>
                <w:color w:val="000000"/>
                <w:sz w:val="21"/>
                <w:szCs w:val="21"/>
                <w:highlight w:val="none"/>
              </w:rPr>
            </w:pPr>
          </w:p>
        </w:tc>
        <w:tc>
          <w:tcPr>
            <w:tcW w:w="5216" w:type="dxa"/>
            <w:tcBorders>
              <w:top w:val="single" w:color="000000" w:sz="4" w:space="0"/>
              <w:left w:val="single" w:color="000000" w:sz="4" w:space="0"/>
              <w:bottom w:val="single" w:color="000000" w:sz="4" w:space="0"/>
              <w:right w:val="single" w:color="000000" w:sz="4" w:space="0"/>
            </w:tcBorders>
            <w:vAlign w:val="center"/>
          </w:tcPr>
          <w:p w14:paraId="4988CFC4">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对确诊患有胃癌的患者，采用专项与随访的方式进行管理。针对专项业务，支持新增、编辑、获取最新体征、删除、查看操作。针对随访业务，支持新增、编辑、获取最新体征、随访历史列表、删除、查看操作。</w:t>
            </w:r>
          </w:p>
        </w:tc>
      </w:tr>
      <w:tr w14:paraId="266EBCCC">
        <w:tblPrEx>
          <w:tblCellMar>
            <w:top w:w="0" w:type="dxa"/>
            <w:left w:w="108" w:type="dxa"/>
            <w:bottom w:w="0" w:type="dxa"/>
            <w:right w:w="108" w:type="dxa"/>
          </w:tblCellMar>
        </w:tblPrEx>
        <w:trPr>
          <w:trHeight w:val="1083" w:hRule="atLeast"/>
        </w:trPr>
        <w:tc>
          <w:tcPr>
            <w:tcW w:w="705" w:type="dxa"/>
            <w:vMerge w:val="continue"/>
            <w:tcBorders>
              <w:left w:val="single" w:color="000000" w:sz="4" w:space="0"/>
              <w:right w:val="single" w:color="000000" w:sz="4" w:space="0"/>
            </w:tcBorders>
            <w:vAlign w:val="center"/>
          </w:tcPr>
          <w:p w14:paraId="3469E4D8">
            <w:pPr>
              <w:jc w:val="center"/>
              <w:rPr>
                <w:rFonts w:ascii="宋体" w:hAnsi="宋体" w:eastAsia="宋体" w:cs="宋体"/>
                <w:b/>
                <w:bCs/>
                <w:color w:val="000000"/>
                <w:sz w:val="21"/>
                <w:szCs w:val="21"/>
                <w:highlight w:val="none"/>
              </w:rPr>
            </w:pPr>
          </w:p>
        </w:tc>
        <w:tc>
          <w:tcPr>
            <w:tcW w:w="1189" w:type="dxa"/>
            <w:vMerge w:val="continue"/>
            <w:tcBorders>
              <w:top w:val="single" w:color="000000" w:sz="4" w:space="0"/>
              <w:left w:val="single" w:color="000000" w:sz="4" w:space="0"/>
              <w:right w:val="single" w:color="000000" w:sz="4" w:space="0"/>
            </w:tcBorders>
            <w:vAlign w:val="center"/>
          </w:tcPr>
          <w:p w14:paraId="5D559CA4">
            <w:pPr>
              <w:jc w:val="left"/>
              <w:rPr>
                <w:rFonts w:ascii="宋体" w:hAnsi="宋体" w:eastAsia="宋体" w:cs="宋体"/>
                <w:color w:val="000000"/>
                <w:sz w:val="21"/>
                <w:szCs w:val="21"/>
                <w:highlight w:val="none"/>
              </w:rPr>
            </w:pPr>
          </w:p>
        </w:tc>
        <w:tc>
          <w:tcPr>
            <w:tcW w:w="1154" w:type="dxa"/>
            <w:tcBorders>
              <w:top w:val="single" w:color="000000" w:sz="4" w:space="0"/>
              <w:left w:val="single" w:color="000000" w:sz="4" w:space="0"/>
              <w:bottom w:val="single" w:color="000000" w:sz="4" w:space="0"/>
              <w:right w:val="single" w:color="000000" w:sz="4" w:space="0"/>
            </w:tcBorders>
            <w:vAlign w:val="center"/>
          </w:tcPr>
          <w:p w14:paraId="588A5630">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前列腺癌管理</w:t>
            </w:r>
          </w:p>
        </w:tc>
        <w:tc>
          <w:tcPr>
            <w:tcW w:w="1223" w:type="dxa"/>
            <w:tcBorders>
              <w:top w:val="single" w:color="000000" w:sz="4" w:space="0"/>
              <w:left w:val="single" w:color="000000" w:sz="4" w:space="0"/>
              <w:bottom w:val="single" w:color="000000" w:sz="4" w:space="0"/>
              <w:right w:val="single" w:color="000000" w:sz="4" w:space="0"/>
            </w:tcBorders>
            <w:vAlign w:val="center"/>
          </w:tcPr>
          <w:p w14:paraId="12E7728C">
            <w:pPr>
              <w:rPr>
                <w:rFonts w:ascii="宋体" w:hAnsi="宋体" w:eastAsia="宋体" w:cs="宋体"/>
                <w:color w:val="000000"/>
                <w:sz w:val="21"/>
                <w:szCs w:val="21"/>
                <w:highlight w:val="none"/>
              </w:rPr>
            </w:pPr>
          </w:p>
        </w:tc>
        <w:tc>
          <w:tcPr>
            <w:tcW w:w="5216" w:type="dxa"/>
            <w:tcBorders>
              <w:top w:val="single" w:color="000000" w:sz="4" w:space="0"/>
              <w:left w:val="single" w:color="000000" w:sz="4" w:space="0"/>
              <w:bottom w:val="single" w:color="000000" w:sz="4" w:space="0"/>
              <w:right w:val="single" w:color="000000" w:sz="4" w:space="0"/>
            </w:tcBorders>
            <w:vAlign w:val="center"/>
          </w:tcPr>
          <w:p w14:paraId="455221BE">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对确诊患有前列腺癌的患者，采用专项与随访的方式进行管理。针对专项业务，支持新增、编辑、获取最新体征、删除、查看操作。针对随访业务，支持新增、编辑、获取最新体征、随访历史列表、删除、查看操作。</w:t>
            </w:r>
          </w:p>
        </w:tc>
      </w:tr>
      <w:tr w14:paraId="2E05DDBC">
        <w:tblPrEx>
          <w:tblCellMar>
            <w:top w:w="0" w:type="dxa"/>
            <w:left w:w="108" w:type="dxa"/>
            <w:bottom w:w="0" w:type="dxa"/>
            <w:right w:w="108" w:type="dxa"/>
          </w:tblCellMar>
        </w:tblPrEx>
        <w:trPr>
          <w:trHeight w:val="1083" w:hRule="atLeast"/>
        </w:trPr>
        <w:tc>
          <w:tcPr>
            <w:tcW w:w="705" w:type="dxa"/>
            <w:vMerge w:val="continue"/>
            <w:tcBorders>
              <w:left w:val="single" w:color="000000" w:sz="4" w:space="0"/>
              <w:right w:val="single" w:color="000000" w:sz="4" w:space="0"/>
            </w:tcBorders>
            <w:vAlign w:val="center"/>
          </w:tcPr>
          <w:p w14:paraId="1078AACE">
            <w:pPr>
              <w:jc w:val="center"/>
              <w:rPr>
                <w:rFonts w:ascii="宋体" w:hAnsi="宋体" w:eastAsia="宋体" w:cs="宋体"/>
                <w:b/>
                <w:bCs/>
                <w:color w:val="000000"/>
                <w:sz w:val="21"/>
                <w:szCs w:val="21"/>
                <w:highlight w:val="none"/>
              </w:rPr>
            </w:pPr>
          </w:p>
        </w:tc>
        <w:tc>
          <w:tcPr>
            <w:tcW w:w="1189" w:type="dxa"/>
            <w:vMerge w:val="continue"/>
            <w:tcBorders>
              <w:left w:val="single" w:color="000000" w:sz="4" w:space="0"/>
              <w:right w:val="single" w:color="000000" w:sz="4" w:space="0"/>
            </w:tcBorders>
            <w:vAlign w:val="center"/>
          </w:tcPr>
          <w:p w14:paraId="635743A5">
            <w:pPr>
              <w:jc w:val="left"/>
              <w:rPr>
                <w:rFonts w:ascii="宋体" w:hAnsi="宋体" w:eastAsia="宋体" w:cs="宋体"/>
                <w:color w:val="000000"/>
                <w:sz w:val="21"/>
                <w:szCs w:val="21"/>
                <w:highlight w:val="none"/>
              </w:rPr>
            </w:pPr>
          </w:p>
        </w:tc>
        <w:tc>
          <w:tcPr>
            <w:tcW w:w="1154" w:type="dxa"/>
            <w:tcBorders>
              <w:top w:val="single" w:color="000000" w:sz="4" w:space="0"/>
              <w:left w:val="single" w:color="000000" w:sz="4" w:space="0"/>
              <w:bottom w:val="single" w:color="000000" w:sz="4" w:space="0"/>
              <w:right w:val="single" w:color="000000" w:sz="4" w:space="0"/>
            </w:tcBorders>
            <w:vAlign w:val="center"/>
          </w:tcPr>
          <w:p w14:paraId="4F271774">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甲状腺癌管理</w:t>
            </w:r>
          </w:p>
        </w:tc>
        <w:tc>
          <w:tcPr>
            <w:tcW w:w="1223" w:type="dxa"/>
            <w:tcBorders>
              <w:top w:val="single" w:color="000000" w:sz="4" w:space="0"/>
              <w:left w:val="single" w:color="000000" w:sz="4" w:space="0"/>
              <w:bottom w:val="single" w:color="000000" w:sz="4" w:space="0"/>
              <w:right w:val="single" w:color="000000" w:sz="4" w:space="0"/>
            </w:tcBorders>
            <w:vAlign w:val="center"/>
          </w:tcPr>
          <w:p w14:paraId="77DAAF88">
            <w:pPr>
              <w:rPr>
                <w:rFonts w:ascii="宋体" w:hAnsi="宋体" w:eastAsia="宋体" w:cs="宋体"/>
                <w:color w:val="000000"/>
                <w:sz w:val="21"/>
                <w:szCs w:val="21"/>
                <w:highlight w:val="none"/>
              </w:rPr>
            </w:pPr>
          </w:p>
        </w:tc>
        <w:tc>
          <w:tcPr>
            <w:tcW w:w="5216" w:type="dxa"/>
            <w:tcBorders>
              <w:top w:val="single" w:color="000000" w:sz="4" w:space="0"/>
              <w:left w:val="single" w:color="000000" w:sz="4" w:space="0"/>
              <w:bottom w:val="single" w:color="000000" w:sz="4" w:space="0"/>
              <w:right w:val="single" w:color="000000" w:sz="4" w:space="0"/>
            </w:tcBorders>
            <w:vAlign w:val="center"/>
          </w:tcPr>
          <w:p w14:paraId="61E7951F">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对确诊患有甲状腺癌的患者，采用专项与随访的方式进行管理。针对专项业务，支持新增、编辑、获取最新体征、删除、查看操作。针对随访业务，支持新增、编辑、获取最新体征、随访历史列表、删除、查看操作。</w:t>
            </w:r>
          </w:p>
        </w:tc>
      </w:tr>
      <w:tr w14:paraId="35863480">
        <w:tblPrEx>
          <w:tblCellMar>
            <w:top w:w="0" w:type="dxa"/>
            <w:left w:w="108" w:type="dxa"/>
            <w:bottom w:w="0" w:type="dxa"/>
            <w:right w:w="108" w:type="dxa"/>
          </w:tblCellMar>
        </w:tblPrEx>
        <w:trPr>
          <w:trHeight w:val="1083" w:hRule="atLeast"/>
        </w:trPr>
        <w:tc>
          <w:tcPr>
            <w:tcW w:w="705" w:type="dxa"/>
            <w:vMerge w:val="continue"/>
            <w:tcBorders>
              <w:left w:val="single" w:color="000000" w:sz="4" w:space="0"/>
              <w:right w:val="single" w:color="000000" w:sz="4" w:space="0"/>
            </w:tcBorders>
            <w:vAlign w:val="center"/>
          </w:tcPr>
          <w:p w14:paraId="6FFCDD2D">
            <w:pPr>
              <w:jc w:val="center"/>
              <w:rPr>
                <w:rFonts w:ascii="宋体" w:hAnsi="宋体" w:eastAsia="宋体" w:cs="宋体"/>
                <w:b/>
                <w:bCs/>
                <w:color w:val="000000"/>
                <w:sz w:val="21"/>
                <w:szCs w:val="21"/>
                <w:highlight w:val="none"/>
              </w:rPr>
            </w:pPr>
          </w:p>
        </w:tc>
        <w:tc>
          <w:tcPr>
            <w:tcW w:w="1189" w:type="dxa"/>
            <w:vMerge w:val="continue"/>
            <w:tcBorders>
              <w:left w:val="single" w:color="000000" w:sz="4" w:space="0"/>
              <w:right w:val="single" w:color="000000" w:sz="4" w:space="0"/>
            </w:tcBorders>
            <w:vAlign w:val="center"/>
          </w:tcPr>
          <w:p w14:paraId="1FC79EE6">
            <w:pPr>
              <w:jc w:val="left"/>
              <w:rPr>
                <w:rFonts w:ascii="宋体" w:hAnsi="宋体" w:eastAsia="宋体" w:cs="宋体"/>
                <w:color w:val="000000"/>
                <w:sz w:val="21"/>
                <w:szCs w:val="21"/>
                <w:highlight w:val="none"/>
              </w:rPr>
            </w:pPr>
          </w:p>
        </w:tc>
        <w:tc>
          <w:tcPr>
            <w:tcW w:w="1154" w:type="dxa"/>
            <w:tcBorders>
              <w:top w:val="single" w:color="000000" w:sz="4" w:space="0"/>
              <w:left w:val="single" w:color="000000" w:sz="4" w:space="0"/>
              <w:bottom w:val="single" w:color="000000" w:sz="4" w:space="0"/>
              <w:right w:val="single" w:color="000000" w:sz="4" w:space="0"/>
            </w:tcBorders>
            <w:vAlign w:val="center"/>
          </w:tcPr>
          <w:p w14:paraId="4A4B4E56">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宫颈癌管理</w:t>
            </w:r>
          </w:p>
        </w:tc>
        <w:tc>
          <w:tcPr>
            <w:tcW w:w="1223" w:type="dxa"/>
            <w:tcBorders>
              <w:top w:val="single" w:color="000000" w:sz="4" w:space="0"/>
              <w:left w:val="single" w:color="000000" w:sz="4" w:space="0"/>
              <w:bottom w:val="single" w:color="000000" w:sz="4" w:space="0"/>
              <w:right w:val="single" w:color="000000" w:sz="4" w:space="0"/>
            </w:tcBorders>
            <w:vAlign w:val="center"/>
          </w:tcPr>
          <w:p w14:paraId="13ACEAFC">
            <w:pPr>
              <w:rPr>
                <w:rFonts w:ascii="宋体" w:hAnsi="宋体" w:eastAsia="宋体" w:cs="宋体"/>
                <w:color w:val="000000"/>
                <w:sz w:val="21"/>
                <w:szCs w:val="21"/>
                <w:highlight w:val="none"/>
              </w:rPr>
            </w:pPr>
          </w:p>
        </w:tc>
        <w:tc>
          <w:tcPr>
            <w:tcW w:w="5216" w:type="dxa"/>
            <w:tcBorders>
              <w:top w:val="single" w:color="000000" w:sz="4" w:space="0"/>
              <w:left w:val="single" w:color="000000" w:sz="4" w:space="0"/>
              <w:bottom w:val="single" w:color="000000" w:sz="4" w:space="0"/>
              <w:right w:val="single" w:color="000000" w:sz="4" w:space="0"/>
            </w:tcBorders>
            <w:vAlign w:val="center"/>
          </w:tcPr>
          <w:p w14:paraId="1F1E1A9C">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对确诊患有宫颈癌的患者，采用专项与随访的方式进行管理。针对专项业务，支持新增、编辑、获取最新体征、删除、查看操作。针对随访业务，支持新增、编辑、获取最新体征、随访历史列表、删除、查看操作。</w:t>
            </w:r>
          </w:p>
        </w:tc>
      </w:tr>
      <w:tr w14:paraId="2929EB2D">
        <w:tblPrEx>
          <w:tblCellMar>
            <w:top w:w="0" w:type="dxa"/>
            <w:left w:w="108" w:type="dxa"/>
            <w:bottom w:w="0" w:type="dxa"/>
            <w:right w:w="108" w:type="dxa"/>
          </w:tblCellMar>
        </w:tblPrEx>
        <w:trPr>
          <w:trHeight w:val="1083" w:hRule="atLeast"/>
        </w:trPr>
        <w:tc>
          <w:tcPr>
            <w:tcW w:w="705" w:type="dxa"/>
            <w:vMerge w:val="continue"/>
            <w:tcBorders>
              <w:left w:val="single" w:color="000000" w:sz="4" w:space="0"/>
              <w:right w:val="single" w:color="000000" w:sz="4" w:space="0"/>
            </w:tcBorders>
            <w:vAlign w:val="center"/>
          </w:tcPr>
          <w:p w14:paraId="5894D88C">
            <w:pPr>
              <w:jc w:val="center"/>
              <w:rPr>
                <w:rFonts w:ascii="宋体" w:hAnsi="宋体" w:eastAsia="宋体" w:cs="宋体"/>
                <w:b/>
                <w:bCs/>
                <w:color w:val="000000"/>
                <w:sz w:val="21"/>
                <w:szCs w:val="21"/>
                <w:highlight w:val="none"/>
              </w:rPr>
            </w:pPr>
          </w:p>
        </w:tc>
        <w:tc>
          <w:tcPr>
            <w:tcW w:w="1189" w:type="dxa"/>
            <w:vMerge w:val="continue"/>
            <w:tcBorders>
              <w:left w:val="single" w:color="000000" w:sz="4" w:space="0"/>
              <w:right w:val="single" w:color="000000" w:sz="4" w:space="0"/>
            </w:tcBorders>
            <w:vAlign w:val="center"/>
          </w:tcPr>
          <w:p w14:paraId="794C34A1">
            <w:pPr>
              <w:jc w:val="left"/>
              <w:rPr>
                <w:rFonts w:ascii="宋体" w:hAnsi="宋体" w:eastAsia="宋体" w:cs="宋体"/>
                <w:color w:val="000000"/>
                <w:sz w:val="21"/>
                <w:szCs w:val="21"/>
                <w:highlight w:val="none"/>
              </w:rPr>
            </w:pPr>
          </w:p>
        </w:tc>
        <w:tc>
          <w:tcPr>
            <w:tcW w:w="1154" w:type="dxa"/>
            <w:tcBorders>
              <w:top w:val="single" w:color="000000" w:sz="4" w:space="0"/>
              <w:left w:val="single" w:color="000000" w:sz="4" w:space="0"/>
              <w:bottom w:val="single" w:color="000000" w:sz="4" w:space="0"/>
              <w:right w:val="single" w:color="000000" w:sz="4" w:space="0"/>
            </w:tcBorders>
            <w:vAlign w:val="center"/>
          </w:tcPr>
          <w:p w14:paraId="7E425D40">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其他癌种管理</w:t>
            </w:r>
          </w:p>
        </w:tc>
        <w:tc>
          <w:tcPr>
            <w:tcW w:w="1223" w:type="dxa"/>
            <w:tcBorders>
              <w:top w:val="single" w:color="000000" w:sz="4" w:space="0"/>
              <w:left w:val="single" w:color="000000" w:sz="4" w:space="0"/>
              <w:bottom w:val="single" w:color="000000" w:sz="4" w:space="0"/>
              <w:right w:val="single" w:color="000000" w:sz="4" w:space="0"/>
            </w:tcBorders>
            <w:vAlign w:val="center"/>
          </w:tcPr>
          <w:p w14:paraId="7A323E77">
            <w:pPr>
              <w:rPr>
                <w:rFonts w:ascii="宋体" w:hAnsi="宋体" w:eastAsia="宋体" w:cs="宋体"/>
                <w:color w:val="000000"/>
                <w:sz w:val="21"/>
                <w:szCs w:val="21"/>
                <w:highlight w:val="none"/>
              </w:rPr>
            </w:pPr>
          </w:p>
        </w:tc>
        <w:tc>
          <w:tcPr>
            <w:tcW w:w="5216" w:type="dxa"/>
            <w:tcBorders>
              <w:top w:val="single" w:color="000000" w:sz="4" w:space="0"/>
              <w:left w:val="single" w:color="000000" w:sz="4" w:space="0"/>
              <w:bottom w:val="single" w:color="000000" w:sz="4" w:space="0"/>
              <w:right w:val="single" w:color="000000" w:sz="4" w:space="0"/>
            </w:tcBorders>
            <w:vAlign w:val="center"/>
          </w:tcPr>
          <w:p w14:paraId="62B15AF9">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对确诊患有其他癌种的患者，采用专项与随访的方式进行管理。针对专项业务，支持新增、编辑、获取最新体征、删除、查看操作。针对随访业务，支持新增、编辑、获取最新体征、随访历史列表、删除、查看操作。</w:t>
            </w:r>
          </w:p>
        </w:tc>
      </w:tr>
      <w:tr w14:paraId="4B9347B1">
        <w:tblPrEx>
          <w:tblCellMar>
            <w:top w:w="0" w:type="dxa"/>
            <w:left w:w="108" w:type="dxa"/>
            <w:bottom w:w="0" w:type="dxa"/>
            <w:right w:w="108" w:type="dxa"/>
          </w:tblCellMar>
        </w:tblPrEx>
        <w:trPr>
          <w:trHeight w:val="1083" w:hRule="atLeast"/>
        </w:trPr>
        <w:tc>
          <w:tcPr>
            <w:tcW w:w="705" w:type="dxa"/>
            <w:vMerge w:val="continue"/>
            <w:tcBorders>
              <w:left w:val="single" w:color="000000" w:sz="4" w:space="0"/>
              <w:right w:val="single" w:color="000000" w:sz="4" w:space="0"/>
            </w:tcBorders>
            <w:vAlign w:val="center"/>
          </w:tcPr>
          <w:p w14:paraId="328C26E5">
            <w:pPr>
              <w:jc w:val="center"/>
              <w:rPr>
                <w:rFonts w:ascii="宋体" w:hAnsi="宋体" w:eastAsia="宋体" w:cs="宋体"/>
                <w:b/>
                <w:bCs/>
                <w:color w:val="000000"/>
                <w:sz w:val="21"/>
                <w:szCs w:val="21"/>
                <w:highlight w:val="none"/>
              </w:rPr>
            </w:pPr>
          </w:p>
        </w:tc>
        <w:tc>
          <w:tcPr>
            <w:tcW w:w="1189" w:type="dxa"/>
            <w:vMerge w:val="restart"/>
            <w:tcBorders>
              <w:left w:val="single" w:color="000000" w:sz="4" w:space="0"/>
              <w:right w:val="single" w:color="000000" w:sz="4" w:space="0"/>
            </w:tcBorders>
            <w:vAlign w:val="center"/>
          </w:tcPr>
          <w:p w14:paraId="0A6F08AE">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慢病高危管理</w:t>
            </w:r>
          </w:p>
        </w:tc>
        <w:tc>
          <w:tcPr>
            <w:tcW w:w="1154" w:type="dxa"/>
            <w:tcBorders>
              <w:top w:val="single" w:color="000000" w:sz="4" w:space="0"/>
              <w:left w:val="single" w:color="000000" w:sz="4" w:space="0"/>
              <w:bottom w:val="single" w:color="000000" w:sz="4" w:space="0"/>
              <w:right w:val="single" w:color="000000" w:sz="4" w:space="0"/>
            </w:tcBorders>
            <w:vAlign w:val="center"/>
          </w:tcPr>
          <w:p w14:paraId="4F22734E">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高血压高危管理</w:t>
            </w:r>
          </w:p>
        </w:tc>
        <w:tc>
          <w:tcPr>
            <w:tcW w:w="1223" w:type="dxa"/>
            <w:tcBorders>
              <w:top w:val="single" w:color="000000" w:sz="4" w:space="0"/>
              <w:left w:val="single" w:color="000000" w:sz="4" w:space="0"/>
              <w:bottom w:val="single" w:color="000000" w:sz="4" w:space="0"/>
              <w:right w:val="single" w:color="000000" w:sz="4" w:space="0"/>
            </w:tcBorders>
            <w:vAlign w:val="center"/>
          </w:tcPr>
          <w:p w14:paraId="3200115A">
            <w:pPr>
              <w:rPr>
                <w:rFonts w:ascii="宋体" w:hAnsi="宋体" w:eastAsia="宋体" w:cs="宋体"/>
                <w:color w:val="000000"/>
                <w:sz w:val="21"/>
                <w:szCs w:val="21"/>
                <w:highlight w:val="none"/>
              </w:rPr>
            </w:pPr>
          </w:p>
        </w:tc>
        <w:tc>
          <w:tcPr>
            <w:tcW w:w="5216" w:type="dxa"/>
            <w:tcBorders>
              <w:top w:val="single" w:color="000000" w:sz="4" w:space="0"/>
              <w:left w:val="single" w:color="000000" w:sz="4" w:space="0"/>
              <w:bottom w:val="single" w:color="000000" w:sz="4" w:space="0"/>
              <w:right w:val="single" w:color="000000" w:sz="4" w:space="0"/>
            </w:tcBorders>
            <w:vAlign w:val="center"/>
          </w:tcPr>
          <w:p w14:paraId="3CF900BC">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对确诊患有高血压高危的居民，采用筛查与评估的方式进行管理。针对筛查业务，支持新增、编辑、获取最新体征、删除、恢复管理、查看操作。针对评估业务，支持新增、编辑、获取最新体征、随访历史列表、删除、查看操作。</w:t>
            </w:r>
          </w:p>
        </w:tc>
      </w:tr>
      <w:tr w14:paraId="49363638">
        <w:tblPrEx>
          <w:tblCellMar>
            <w:top w:w="0" w:type="dxa"/>
            <w:left w:w="108" w:type="dxa"/>
            <w:bottom w:w="0" w:type="dxa"/>
            <w:right w:w="108" w:type="dxa"/>
          </w:tblCellMar>
        </w:tblPrEx>
        <w:trPr>
          <w:trHeight w:val="1083" w:hRule="atLeast"/>
        </w:trPr>
        <w:tc>
          <w:tcPr>
            <w:tcW w:w="705" w:type="dxa"/>
            <w:vMerge w:val="continue"/>
            <w:tcBorders>
              <w:left w:val="single" w:color="000000" w:sz="4" w:space="0"/>
              <w:right w:val="single" w:color="000000" w:sz="4" w:space="0"/>
            </w:tcBorders>
            <w:vAlign w:val="center"/>
          </w:tcPr>
          <w:p w14:paraId="2A704D81">
            <w:pPr>
              <w:jc w:val="center"/>
              <w:rPr>
                <w:rFonts w:ascii="宋体" w:hAnsi="宋体" w:eastAsia="宋体" w:cs="宋体"/>
                <w:b/>
                <w:bCs/>
                <w:color w:val="000000"/>
                <w:sz w:val="21"/>
                <w:szCs w:val="21"/>
                <w:highlight w:val="none"/>
              </w:rPr>
            </w:pPr>
          </w:p>
        </w:tc>
        <w:tc>
          <w:tcPr>
            <w:tcW w:w="1189" w:type="dxa"/>
            <w:vMerge w:val="continue"/>
            <w:tcBorders>
              <w:left w:val="single" w:color="000000" w:sz="4" w:space="0"/>
              <w:right w:val="single" w:color="000000" w:sz="4" w:space="0"/>
            </w:tcBorders>
            <w:vAlign w:val="center"/>
          </w:tcPr>
          <w:p w14:paraId="77471860">
            <w:pPr>
              <w:jc w:val="left"/>
              <w:rPr>
                <w:rFonts w:ascii="宋体" w:hAnsi="宋体" w:eastAsia="宋体" w:cs="宋体"/>
                <w:color w:val="000000"/>
                <w:sz w:val="21"/>
                <w:szCs w:val="21"/>
                <w:highlight w:val="none"/>
              </w:rPr>
            </w:pPr>
          </w:p>
        </w:tc>
        <w:tc>
          <w:tcPr>
            <w:tcW w:w="1154" w:type="dxa"/>
            <w:tcBorders>
              <w:top w:val="single" w:color="000000" w:sz="4" w:space="0"/>
              <w:left w:val="single" w:color="000000" w:sz="4" w:space="0"/>
              <w:bottom w:val="single" w:color="000000" w:sz="4" w:space="0"/>
              <w:right w:val="single" w:color="000000" w:sz="4" w:space="0"/>
            </w:tcBorders>
            <w:vAlign w:val="center"/>
          </w:tcPr>
          <w:p w14:paraId="11069B8F">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糖尿病高危管理</w:t>
            </w:r>
          </w:p>
        </w:tc>
        <w:tc>
          <w:tcPr>
            <w:tcW w:w="1223" w:type="dxa"/>
            <w:tcBorders>
              <w:top w:val="single" w:color="000000" w:sz="4" w:space="0"/>
              <w:left w:val="single" w:color="000000" w:sz="4" w:space="0"/>
              <w:bottom w:val="single" w:color="000000" w:sz="4" w:space="0"/>
              <w:right w:val="single" w:color="000000" w:sz="4" w:space="0"/>
            </w:tcBorders>
            <w:vAlign w:val="center"/>
          </w:tcPr>
          <w:p w14:paraId="4E32A549">
            <w:pPr>
              <w:rPr>
                <w:rFonts w:ascii="宋体" w:hAnsi="宋体" w:eastAsia="宋体" w:cs="宋体"/>
                <w:color w:val="000000"/>
                <w:sz w:val="21"/>
                <w:szCs w:val="21"/>
                <w:highlight w:val="none"/>
              </w:rPr>
            </w:pPr>
          </w:p>
        </w:tc>
        <w:tc>
          <w:tcPr>
            <w:tcW w:w="5216" w:type="dxa"/>
            <w:tcBorders>
              <w:top w:val="single" w:color="000000" w:sz="4" w:space="0"/>
              <w:left w:val="single" w:color="000000" w:sz="4" w:space="0"/>
              <w:bottom w:val="single" w:color="000000" w:sz="4" w:space="0"/>
              <w:right w:val="single" w:color="000000" w:sz="4" w:space="0"/>
            </w:tcBorders>
            <w:vAlign w:val="center"/>
          </w:tcPr>
          <w:p w14:paraId="3931555A">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对确诊患有糖尿病高危的居民，采用筛查与评估的方式进行管理。针对筛查业务，支持新增、编辑、获取最新体征、删除、恢复管理、查看操作。针对评估业务，支持新增、编辑、获取最新体征、随访历史列表、删除、查看操作。</w:t>
            </w:r>
          </w:p>
        </w:tc>
      </w:tr>
      <w:tr w14:paraId="6C21C939">
        <w:tblPrEx>
          <w:tblCellMar>
            <w:top w:w="0" w:type="dxa"/>
            <w:left w:w="108" w:type="dxa"/>
            <w:bottom w:w="0" w:type="dxa"/>
            <w:right w:w="108" w:type="dxa"/>
          </w:tblCellMar>
        </w:tblPrEx>
        <w:trPr>
          <w:trHeight w:val="1083" w:hRule="atLeast"/>
        </w:trPr>
        <w:tc>
          <w:tcPr>
            <w:tcW w:w="705" w:type="dxa"/>
            <w:vMerge w:val="continue"/>
            <w:tcBorders>
              <w:left w:val="single" w:color="000000" w:sz="4" w:space="0"/>
              <w:right w:val="single" w:color="000000" w:sz="4" w:space="0"/>
            </w:tcBorders>
            <w:vAlign w:val="center"/>
          </w:tcPr>
          <w:p w14:paraId="0F6E0767">
            <w:pPr>
              <w:jc w:val="center"/>
              <w:rPr>
                <w:rFonts w:ascii="宋体" w:hAnsi="宋体" w:eastAsia="宋体" w:cs="宋体"/>
                <w:b/>
                <w:bCs/>
                <w:color w:val="000000"/>
                <w:sz w:val="21"/>
                <w:szCs w:val="21"/>
                <w:highlight w:val="none"/>
              </w:rPr>
            </w:pPr>
          </w:p>
        </w:tc>
        <w:tc>
          <w:tcPr>
            <w:tcW w:w="1189" w:type="dxa"/>
            <w:vMerge w:val="continue"/>
            <w:tcBorders>
              <w:left w:val="single" w:color="000000" w:sz="4" w:space="0"/>
              <w:right w:val="single" w:color="000000" w:sz="4" w:space="0"/>
            </w:tcBorders>
            <w:vAlign w:val="center"/>
          </w:tcPr>
          <w:p w14:paraId="2FD630A5">
            <w:pPr>
              <w:jc w:val="left"/>
              <w:rPr>
                <w:rFonts w:ascii="宋体" w:hAnsi="宋体" w:eastAsia="宋体" w:cs="宋体"/>
                <w:color w:val="000000"/>
                <w:sz w:val="21"/>
                <w:szCs w:val="21"/>
                <w:highlight w:val="none"/>
              </w:rPr>
            </w:pPr>
          </w:p>
        </w:tc>
        <w:tc>
          <w:tcPr>
            <w:tcW w:w="1154" w:type="dxa"/>
            <w:tcBorders>
              <w:top w:val="single" w:color="000000" w:sz="4" w:space="0"/>
              <w:left w:val="single" w:color="000000" w:sz="4" w:space="0"/>
              <w:bottom w:val="single" w:color="000000" w:sz="4" w:space="0"/>
              <w:right w:val="single" w:color="000000" w:sz="4" w:space="0"/>
            </w:tcBorders>
            <w:vAlign w:val="center"/>
          </w:tcPr>
          <w:p w14:paraId="3691C41C">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慢阻肺高危管理</w:t>
            </w:r>
          </w:p>
        </w:tc>
        <w:tc>
          <w:tcPr>
            <w:tcW w:w="1223" w:type="dxa"/>
            <w:tcBorders>
              <w:top w:val="single" w:color="000000" w:sz="4" w:space="0"/>
              <w:left w:val="single" w:color="000000" w:sz="4" w:space="0"/>
              <w:bottom w:val="single" w:color="000000" w:sz="4" w:space="0"/>
              <w:right w:val="single" w:color="000000" w:sz="4" w:space="0"/>
            </w:tcBorders>
            <w:vAlign w:val="center"/>
          </w:tcPr>
          <w:p w14:paraId="4B9F2951">
            <w:pPr>
              <w:rPr>
                <w:rFonts w:ascii="宋体" w:hAnsi="宋体" w:eastAsia="宋体" w:cs="宋体"/>
                <w:color w:val="000000"/>
                <w:sz w:val="21"/>
                <w:szCs w:val="21"/>
                <w:highlight w:val="none"/>
              </w:rPr>
            </w:pPr>
          </w:p>
        </w:tc>
        <w:tc>
          <w:tcPr>
            <w:tcW w:w="5216" w:type="dxa"/>
            <w:tcBorders>
              <w:top w:val="single" w:color="000000" w:sz="4" w:space="0"/>
              <w:left w:val="single" w:color="000000" w:sz="4" w:space="0"/>
              <w:bottom w:val="single" w:color="000000" w:sz="4" w:space="0"/>
              <w:right w:val="single" w:color="000000" w:sz="4" w:space="0"/>
            </w:tcBorders>
            <w:vAlign w:val="center"/>
          </w:tcPr>
          <w:p w14:paraId="5E9CD2A0">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对确诊患有慢阻肺高危的居民，采用筛查与评估的方式进行管理。针对筛查业务，支持新增、编辑、获取最新体征、删除、恢复管理、查看操作。针对评估业务，支持新增、编辑、获取最新体征、随访历史列表、删除、查看操作。</w:t>
            </w:r>
          </w:p>
        </w:tc>
      </w:tr>
      <w:tr w14:paraId="04EF255D">
        <w:tblPrEx>
          <w:tblCellMar>
            <w:top w:w="0" w:type="dxa"/>
            <w:left w:w="108" w:type="dxa"/>
            <w:bottom w:w="0" w:type="dxa"/>
            <w:right w:w="108" w:type="dxa"/>
          </w:tblCellMar>
        </w:tblPrEx>
        <w:trPr>
          <w:trHeight w:val="1083" w:hRule="atLeast"/>
        </w:trPr>
        <w:tc>
          <w:tcPr>
            <w:tcW w:w="705" w:type="dxa"/>
            <w:vMerge w:val="continue"/>
            <w:tcBorders>
              <w:left w:val="single" w:color="000000" w:sz="4" w:space="0"/>
              <w:right w:val="single" w:color="000000" w:sz="4" w:space="0"/>
            </w:tcBorders>
            <w:vAlign w:val="center"/>
          </w:tcPr>
          <w:p w14:paraId="5BA8305D">
            <w:pPr>
              <w:jc w:val="center"/>
              <w:rPr>
                <w:rFonts w:ascii="宋体" w:hAnsi="宋体" w:eastAsia="宋体" w:cs="宋体"/>
                <w:b/>
                <w:bCs/>
                <w:color w:val="000000"/>
                <w:sz w:val="21"/>
                <w:szCs w:val="21"/>
                <w:highlight w:val="none"/>
              </w:rPr>
            </w:pPr>
          </w:p>
        </w:tc>
        <w:tc>
          <w:tcPr>
            <w:tcW w:w="1189" w:type="dxa"/>
            <w:vMerge w:val="continue"/>
            <w:tcBorders>
              <w:top w:val="single" w:color="000000" w:sz="4" w:space="0"/>
              <w:left w:val="single" w:color="000000" w:sz="4" w:space="0"/>
              <w:right w:val="single" w:color="000000" w:sz="4" w:space="0"/>
            </w:tcBorders>
            <w:vAlign w:val="center"/>
          </w:tcPr>
          <w:p w14:paraId="475EF9D3">
            <w:pPr>
              <w:jc w:val="left"/>
              <w:rPr>
                <w:rFonts w:ascii="宋体" w:hAnsi="宋体" w:eastAsia="宋体" w:cs="宋体"/>
                <w:color w:val="000000"/>
                <w:sz w:val="21"/>
                <w:szCs w:val="21"/>
                <w:highlight w:val="none"/>
              </w:rPr>
            </w:pPr>
          </w:p>
        </w:tc>
        <w:tc>
          <w:tcPr>
            <w:tcW w:w="1154" w:type="dxa"/>
            <w:tcBorders>
              <w:top w:val="single" w:color="000000" w:sz="4" w:space="0"/>
              <w:left w:val="single" w:color="000000" w:sz="4" w:space="0"/>
              <w:bottom w:val="single" w:color="000000" w:sz="4" w:space="0"/>
              <w:right w:val="single" w:color="000000" w:sz="4" w:space="0"/>
            </w:tcBorders>
            <w:vAlign w:val="center"/>
          </w:tcPr>
          <w:p w14:paraId="42CCB29B">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冠心病高危管理</w:t>
            </w:r>
          </w:p>
        </w:tc>
        <w:tc>
          <w:tcPr>
            <w:tcW w:w="1223" w:type="dxa"/>
            <w:tcBorders>
              <w:top w:val="single" w:color="000000" w:sz="4" w:space="0"/>
              <w:left w:val="single" w:color="000000" w:sz="4" w:space="0"/>
              <w:bottom w:val="single" w:color="000000" w:sz="4" w:space="0"/>
              <w:right w:val="single" w:color="000000" w:sz="4" w:space="0"/>
            </w:tcBorders>
            <w:vAlign w:val="center"/>
          </w:tcPr>
          <w:p w14:paraId="56BBAB88">
            <w:pPr>
              <w:rPr>
                <w:rFonts w:ascii="宋体" w:hAnsi="宋体" w:eastAsia="宋体" w:cs="宋体"/>
                <w:color w:val="000000"/>
                <w:sz w:val="21"/>
                <w:szCs w:val="21"/>
                <w:highlight w:val="none"/>
              </w:rPr>
            </w:pPr>
          </w:p>
        </w:tc>
        <w:tc>
          <w:tcPr>
            <w:tcW w:w="5216" w:type="dxa"/>
            <w:tcBorders>
              <w:top w:val="single" w:color="000000" w:sz="4" w:space="0"/>
              <w:left w:val="single" w:color="000000" w:sz="4" w:space="0"/>
              <w:bottom w:val="single" w:color="000000" w:sz="4" w:space="0"/>
              <w:right w:val="single" w:color="000000" w:sz="4" w:space="0"/>
            </w:tcBorders>
            <w:vAlign w:val="center"/>
          </w:tcPr>
          <w:p w14:paraId="179B70E3">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对确诊患有冠心病高危的居民，采用筛查与评估的方式进行管理。针对筛查业务，支持新增、编辑、获取最新体征、删除、恢复管理、查看操作。针对评估业务，支持新增、编辑、获取最新体征、随访历史列表、删除、查看操作。</w:t>
            </w:r>
          </w:p>
        </w:tc>
      </w:tr>
      <w:tr w14:paraId="5A94E84A">
        <w:tblPrEx>
          <w:tblCellMar>
            <w:top w:w="0" w:type="dxa"/>
            <w:left w:w="108" w:type="dxa"/>
            <w:bottom w:w="0" w:type="dxa"/>
            <w:right w:w="108" w:type="dxa"/>
          </w:tblCellMar>
        </w:tblPrEx>
        <w:trPr>
          <w:trHeight w:val="1083" w:hRule="atLeast"/>
        </w:trPr>
        <w:tc>
          <w:tcPr>
            <w:tcW w:w="705" w:type="dxa"/>
            <w:vMerge w:val="continue"/>
            <w:tcBorders>
              <w:left w:val="single" w:color="000000" w:sz="4" w:space="0"/>
              <w:right w:val="single" w:color="000000" w:sz="4" w:space="0"/>
            </w:tcBorders>
            <w:vAlign w:val="center"/>
          </w:tcPr>
          <w:p w14:paraId="52F8EBD4">
            <w:pPr>
              <w:jc w:val="center"/>
              <w:rPr>
                <w:rFonts w:ascii="宋体" w:hAnsi="宋体" w:eastAsia="宋体" w:cs="宋体"/>
                <w:b/>
                <w:bCs/>
                <w:color w:val="000000"/>
                <w:sz w:val="21"/>
                <w:szCs w:val="21"/>
                <w:highlight w:val="none"/>
              </w:rPr>
            </w:pPr>
          </w:p>
        </w:tc>
        <w:tc>
          <w:tcPr>
            <w:tcW w:w="1189" w:type="dxa"/>
            <w:vMerge w:val="continue"/>
            <w:tcBorders>
              <w:left w:val="single" w:color="000000" w:sz="4" w:space="0"/>
              <w:right w:val="single" w:color="000000" w:sz="4" w:space="0"/>
            </w:tcBorders>
            <w:vAlign w:val="center"/>
          </w:tcPr>
          <w:p w14:paraId="2C21C3D7">
            <w:pPr>
              <w:jc w:val="left"/>
              <w:rPr>
                <w:rFonts w:ascii="宋体" w:hAnsi="宋体" w:eastAsia="宋体" w:cs="宋体"/>
                <w:color w:val="000000"/>
                <w:sz w:val="21"/>
                <w:szCs w:val="21"/>
                <w:highlight w:val="none"/>
              </w:rPr>
            </w:pPr>
          </w:p>
        </w:tc>
        <w:tc>
          <w:tcPr>
            <w:tcW w:w="1154" w:type="dxa"/>
            <w:tcBorders>
              <w:top w:val="single" w:color="000000" w:sz="4" w:space="0"/>
              <w:left w:val="single" w:color="000000" w:sz="4" w:space="0"/>
              <w:bottom w:val="single" w:color="000000" w:sz="4" w:space="0"/>
              <w:right w:val="single" w:color="000000" w:sz="4" w:space="0"/>
            </w:tcBorders>
            <w:vAlign w:val="center"/>
          </w:tcPr>
          <w:p w14:paraId="6F394072">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慢性肾病高危管理</w:t>
            </w:r>
          </w:p>
        </w:tc>
        <w:tc>
          <w:tcPr>
            <w:tcW w:w="1223" w:type="dxa"/>
            <w:tcBorders>
              <w:top w:val="single" w:color="000000" w:sz="4" w:space="0"/>
              <w:left w:val="single" w:color="000000" w:sz="4" w:space="0"/>
              <w:bottom w:val="single" w:color="000000" w:sz="4" w:space="0"/>
              <w:right w:val="single" w:color="000000" w:sz="4" w:space="0"/>
            </w:tcBorders>
            <w:vAlign w:val="center"/>
          </w:tcPr>
          <w:p w14:paraId="1EB5358C">
            <w:pPr>
              <w:rPr>
                <w:rFonts w:ascii="宋体" w:hAnsi="宋体" w:eastAsia="宋体" w:cs="宋体"/>
                <w:color w:val="000000"/>
                <w:sz w:val="21"/>
                <w:szCs w:val="21"/>
                <w:highlight w:val="none"/>
              </w:rPr>
            </w:pPr>
          </w:p>
        </w:tc>
        <w:tc>
          <w:tcPr>
            <w:tcW w:w="5216" w:type="dxa"/>
            <w:tcBorders>
              <w:top w:val="single" w:color="000000" w:sz="4" w:space="0"/>
              <w:left w:val="single" w:color="000000" w:sz="4" w:space="0"/>
              <w:bottom w:val="single" w:color="000000" w:sz="4" w:space="0"/>
              <w:right w:val="single" w:color="000000" w:sz="4" w:space="0"/>
            </w:tcBorders>
            <w:vAlign w:val="center"/>
          </w:tcPr>
          <w:p w14:paraId="6C1B4425">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对确诊患有慢性肾病高危的居民，采用筛查与评估的方式进行管理。针对筛查业务，支持新增、编辑、获取最新体征、删除、恢复管理、查看操作。针对评估业务，支持新增、编辑、获取最新体征、随访历史列表、删除、查看操作。</w:t>
            </w:r>
          </w:p>
        </w:tc>
      </w:tr>
      <w:tr w14:paraId="3D553DE1">
        <w:tblPrEx>
          <w:tblCellMar>
            <w:top w:w="0" w:type="dxa"/>
            <w:left w:w="108" w:type="dxa"/>
            <w:bottom w:w="0" w:type="dxa"/>
            <w:right w:w="108" w:type="dxa"/>
          </w:tblCellMar>
        </w:tblPrEx>
        <w:trPr>
          <w:trHeight w:val="1083" w:hRule="atLeast"/>
        </w:trPr>
        <w:tc>
          <w:tcPr>
            <w:tcW w:w="705" w:type="dxa"/>
            <w:vMerge w:val="continue"/>
            <w:tcBorders>
              <w:left w:val="single" w:color="000000" w:sz="4" w:space="0"/>
              <w:right w:val="single" w:color="000000" w:sz="4" w:space="0"/>
            </w:tcBorders>
            <w:vAlign w:val="center"/>
          </w:tcPr>
          <w:p w14:paraId="792336FB">
            <w:pPr>
              <w:jc w:val="center"/>
              <w:rPr>
                <w:rFonts w:ascii="宋体" w:hAnsi="宋体" w:eastAsia="宋体" w:cs="宋体"/>
                <w:b/>
                <w:bCs/>
                <w:color w:val="000000"/>
                <w:sz w:val="21"/>
                <w:szCs w:val="21"/>
                <w:highlight w:val="none"/>
              </w:rPr>
            </w:pPr>
          </w:p>
        </w:tc>
        <w:tc>
          <w:tcPr>
            <w:tcW w:w="1189" w:type="dxa"/>
            <w:vMerge w:val="continue"/>
            <w:tcBorders>
              <w:left w:val="single" w:color="000000" w:sz="4" w:space="0"/>
              <w:right w:val="single" w:color="000000" w:sz="4" w:space="0"/>
            </w:tcBorders>
            <w:vAlign w:val="center"/>
          </w:tcPr>
          <w:p w14:paraId="406DEEF1">
            <w:pPr>
              <w:jc w:val="left"/>
              <w:rPr>
                <w:rFonts w:ascii="宋体" w:hAnsi="宋体" w:eastAsia="宋体" w:cs="宋体"/>
                <w:color w:val="000000"/>
                <w:sz w:val="21"/>
                <w:szCs w:val="21"/>
                <w:highlight w:val="none"/>
              </w:rPr>
            </w:pPr>
          </w:p>
        </w:tc>
        <w:tc>
          <w:tcPr>
            <w:tcW w:w="1154" w:type="dxa"/>
            <w:tcBorders>
              <w:top w:val="single" w:color="000000" w:sz="4" w:space="0"/>
              <w:left w:val="single" w:color="000000" w:sz="4" w:space="0"/>
              <w:bottom w:val="single" w:color="000000" w:sz="4" w:space="0"/>
              <w:right w:val="single" w:color="000000" w:sz="4" w:space="0"/>
            </w:tcBorders>
            <w:vAlign w:val="center"/>
          </w:tcPr>
          <w:p w14:paraId="34CF753E">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脑卒中高危管理</w:t>
            </w:r>
          </w:p>
        </w:tc>
        <w:tc>
          <w:tcPr>
            <w:tcW w:w="1223" w:type="dxa"/>
            <w:tcBorders>
              <w:top w:val="single" w:color="000000" w:sz="4" w:space="0"/>
              <w:left w:val="single" w:color="000000" w:sz="4" w:space="0"/>
              <w:bottom w:val="single" w:color="000000" w:sz="4" w:space="0"/>
              <w:right w:val="single" w:color="000000" w:sz="4" w:space="0"/>
            </w:tcBorders>
            <w:vAlign w:val="center"/>
          </w:tcPr>
          <w:p w14:paraId="377ACDC6">
            <w:pPr>
              <w:rPr>
                <w:rFonts w:ascii="宋体" w:hAnsi="宋体" w:eastAsia="宋体" w:cs="宋体"/>
                <w:color w:val="000000"/>
                <w:sz w:val="21"/>
                <w:szCs w:val="21"/>
                <w:highlight w:val="none"/>
              </w:rPr>
            </w:pPr>
          </w:p>
        </w:tc>
        <w:tc>
          <w:tcPr>
            <w:tcW w:w="5216" w:type="dxa"/>
            <w:tcBorders>
              <w:top w:val="single" w:color="000000" w:sz="4" w:space="0"/>
              <w:left w:val="single" w:color="000000" w:sz="4" w:space="0"/>
              <w:bottom w:val="single" w:color="000000" w:sz="4" w:space="0"/>
              <w:right w:val="single" w:color="000000" w:sz="4" w:space="0"/>
            </w:tcBorders>
            <w:vAlign w:val="center"/>
          </w:tcPr>
          <w:p w14:paraId="5FDF3DCB">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对确诊患有脑卒中高危的居民，采用筛查与评估的方式进行管理。针对筛查业务，支持新增、编辑、获取最新体征、删除、恢复管理、查看操作。针对评估业务，支持新增、编辑、获取最新体征、随访历史列表、删除、查看操作。</w:t>
            </w:r>
          </w:p>
        </w:tc>
      </w:tr>
      <w:tr w14:paraId="08339733">
        <w:tblPrEx>
          <w:tblCellMar>
            <w:top w:w="0" w:type="dxa"/>
            <w:left w:w="108" w:type="dxa"/>
            <w:bottom w:w="0" w:type="dxa"/>
            <w:right w:w="108" w:type="dxa"/>
          </w:tblCellMar>
        </w:tblPrEx>
        <w:trPr>
          <w:trHeight w:val="1083" w:hRule="atLeast"/>
        </w:trPr>
        <w:tc>
          <w:tcPr>
            <w:tcW w:w="705" w:type="dxa"/>
            <w:vMerge w:val="continue"/>
            <w:tcBorders>
              <w:left w:val="single" w:color="000000" w:sz="4" w:space="0"/>
              <w:right w:val="single" w:color="000000" w:sz="4" w:space="0"/>
            </w:tcBorders>
            <w:vAlign w:val="center"/>
          </w:tcPr>
          <w:p w14:paraId="01D45411">
            <w:pPr>
              <w:jc w:val="center"/>
              <w:rPr>
                <w:rFonts w:ascii="宋体" w:hAnsi="宋体" w:eastAsia="宋体" w:cs="宋体"/>
                <w:b/>
                <w:bCs/>
                <w:color w:val="000000"/>
                <w:sz w:val="21"/>
                <w:szCs w:val="21"/>
                <w:highlight w:val="none"/>
              </w:rPr>
            </w:pPr>
          </w:p>
        </w:tc>
        <w:tc>
          <w:tcPr>
            <w:tcW w:w="1189" w:type="dxa"/>
            <w:vMerge w:val="restart"/>
            <w:tcBorders>
              <w:left w:val="single" w:color="000000" w:sz="4" w:space="0"/>
              <w:right w:val="single" w:color="000000" w:sz="4" w:space="0"/>
            </w:tcBorders>
            <w:vAlign w:val="center"/>
          </w:tcPr>
          <w:p w14:paraId="3C7825A0">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肿瘤易患管理</w:t>
            </w:r>
          </w:p>
        </w:tc>
        <w:tc>
          <w:tcPr>
            <w:tcW w:w="1154" w:type="dxa"/>
            <w:tcBorders>
              <w:top w:val="single" w:color="000000" w:sz="4" w:space="0"/>
              <w:left w:val="single" w:color="000000" w:sz="4" w:space="0"/>
              <w:bottom w:val="single" w:color="000000" w:sz="4" w:space="0"/>
              <w:right w:val="single" w:color="000000" w:sz="4" w:space="0"/>
            </w:tcBorders>
            <w:vAlign w:val="center"/>
          </w:tcPr>
          <w:p w14:paraId="58508B65">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肺癌易患管理</w:t>
            </w:r>
          </w:p>
        </w:tc>
        <w:tc>
          <w:tcPr>
            <w:tcW w:w="1223" w:type="dxa"/>
            <w:tcBorders>
              <w:top w:val="single" w:color="000000" w:sz="4" w:space="0"/>
              <w:left w:val="single" w:color="000000" w:sz="4" w:space="0"/>
              <w:bottom w:val="single" w:color="000000" w:sz="4" w:space="0"/>
              <w:right w:val="single" w:color="000000" w:sz="4" w:space="0"/>
            </w:tcBorders>
            <w:vAlign w:val="center"/>
          </w:tcPr>
          <w:p w14:paraId="19722E2C">
            <w:pPr>
              <w:rPr>
                <w:rFonts w:ascii="宋体" w:hAnsi="宋体" w:eastAsia="宋体" w:cs="宋体"/>
                <w:color w:val="000000"/>
                <w:sz w:val="21"/>
                <w:szCs w:val="21"/>
                <w:highlight w:val="none"/>
              </w:rPr>
            </w:pPr>
          </w:p>
        </w:tc>
        <w:tc>
          <w:tcPr>
            <w:tcW w:w="5216" w:type="dxa"/>
            <w:tcBorders>
              <w:top w:val="single" w:color="000000" w:sz="4" w:space="0"/>
              <w:left w:val="single" w:color="000000" w:sz="4" w:space="0"/>
              <w:bottom w:val="single" w:color="000000" w:sz="4" w:space="0"/>
              <w:right w:val="single" w:color="000000" w:sz="4" w:space="0"/>
            </w:tcBorders>
            <w:vAlign w:val="center"/>
          </w:tcPr>
          <w:p w14:paraId="42732867">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对确诊患有肺癌高危的居民，采用筛查与评估的方式进行管理。针对筛查业务，支持新增、编辑、获取最新体征、删除、恢复管理、查看操作。针对评估业务，支持新增、编辑、获取最新体征、随访历史列表、删除、查看操作。</w:t>
            </w:r>
          </w:p>
        </w:tc>
      </w:tr>
      <w:tr w14:paraId="73323A46">
        <w:tblPrEx>
          <w:tblCellMar>
            <w:top w:w="0" w:type="dxa"/>
            <w:left w:w="108" w:type="dxa"/>
            <w:bottom w:w="0" w:type="dxa"/>
            <w:right w:w="108" w:type="dxa"/>
          </w:tblCellMar>
        </w:tblPrEx>
        <w:trPr>
          <w:trHeight w:val="1083" w:hRule="atLeast"/>
        </w:trPr>
        <w:tc>
          <w:tcPr>
            <w:tcW w:w="705" w:type="dxa"/>
            <w:vMerge w:val="continue"/>
            <w:tcBorders>
              <w:left w:val="single" w:color="000000" w:sz="4" w:space="0"/>
              <w:right w:val="single" w:color="000000" w:sz="4" w:space="0"/>
            </w:tcBorders>
            <w:vAlign w:val="center"/>
          </w:tcPr>
          <w:p w14:paraId="6476A32E">
            <w:pPr>
              <w:jc w:val="center"/>
              <w:rPr>
                <w:rFonts w:ascii="宋体" w:hAnsi="宋体" w:eastAsia="宋体" w:cs="宋体"/>
                <w:b/>
                <w:bCs/>
                <w:color w:val="000000"/>
                <w:sz w:val="21"/>
                <w:szCs w:val="21"/>
                <w:highlight w:val="none"/>
              </w:rPr>
            </w:pPr>
          </w:p>
        </w:tc>
        <w:tc>
          <w:tcPr>
            <w:tcW w:w="1189" w:type="dxa"/>
            <w:vMerge w:val="continue"/>
            <w:tcBorders>
              <w:left w:val="single" w:color="000000" w:sz="4" w:space="0"/>
              <w:right w:val="single" w:color="000000" w:sz="4" w:space="0"/>
            </w:tcBorders>
            <w:vAlign w:val="center"/>
          </w:tcPr>
          <w:p w14:paraId="657CAF69">
            <w:pPr>
              <w:jc w:val="left"/>
              <w:rPr>
                <w:rFonts w:ascii="宋体" w:hAnsi="宋体" w:eastAsia="宋体" w:cs="宋体"/>
                <w:color w:val="000000"/>
                <w:sz w:val="21"/>
                <w:szCs w:val="21"/>
                <w:highlight w:val="none"/>
              </w:rPr>
            </w:pPr>
          </w:p>
        </w:tc>
        <w:tc>
          <w:tcPr>
            <w:tcW w:w="1154" w:type="dxa"/>
            <w:tcBorders>
              <w:top w:val="single" w:color="000000" w:sz="4" w:space="0"/>
              <w:left w:val="single" w:color="000000" w:sz="4" w:space="0"/>
              <w:bottom w:val="single" w:color="000000" w:sz="4" w:space="0"/>
              <w:right w:val="single" w:color="000000" w:sz="4" w:space="0"/>
            </w:tcBorders>
            <w:vAlign w:val="center"/>
          </w:tcPr>
          <w:p w14:paraId="54850463">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结直肠癌易患管理</w:t>
            </w:r>
          </w:p>
        </w:tc>
        <w:tc>
          <w:tcPr>
            <w:tcW w:w="1223" w:type="dxa"/>
            <w:tcBorders>
              <w:top w:val="single" w:color="000000" w:sz="4" w:space="0"/>
              <w:left w:val="single" w:color="000000" w:sz="4" w:space="0"/>
              <w:bottom w:val="single" w:color="000000" w:sz="4" w:space="0"/>
              <w:right w:val="single" w:color="000000" w:sz="4" w:space="0"/>
            </w:tcBorders>
            <w:vAlign w:val="center"/>
          </w:tcPr>
          <w:p w14:paraId="418FECF8">
            <w:pPr>
              <w:rPr>
                <w:rFonts w:ascii="宋体" w:hAnsi="宋体" w:eastAsia="宋体" w:cs="宋体"/>
                <w:color w:val="000000"/>
                <w:sz w:val="21"/>
                <w:szCs w:val="21"/>
                <w:highlight w:val="none"/>
              </w:rPr>
            </w:pPr>
          </w:p>
        </w:tc>
        <w:tc>
          <w:tcPr>
            <w:tcW w:w="5216" w:type="dxa"/>
            <w:tcBorders>
              <w:top w:val="single" w:color="000000" w:sz="4" w:space="0"/>
              <w:left w:val="single" w:color="000000" w:sz="4" w:space="0"/>
              <w:bottom w:val="single" w:color="000000" w:sz="4" w:space="0"/>
              <w:right w:val="single" w:color="000000" w:sz="4" w:space="0"/>
            </w:tcBorders>
            <w:vAlign w:val="center"/>
          </w:tcPr>
          <w:p w14:paraId="0D8378C4">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对确诊患有结直肠癌高危的居民，采用筛查与评估的方式进行管理。针对筛查业务，支持新增、编辑、获取最新体征、删除、恢复管理、查看操作。针对评估业务，支持新增、编辑、获取最新体征、随访历史列表、删除、查看操作。</w:t>
            </w:r>
          </w:p>
        </w:tc>
      </w:tr>
      <w:tr w14:paraId="4DFE27DD">
        <w:tblPrEx>
          <w:tblCellMar>
            <w:top w:w="0" w:type="dxa"/>
            <w:left w:w="108" w:type="dxa"/>
            <w:bottom w:w="0" w:type="dxa"/>
            <w:right w:w="108" w:type="dxa"/>
          </w:tblCellMar>
        </w:tblPrEx>
        <w:trPr>
          <w:trHeight w:val="1083" w:hRule="atLeast"/>
        </w:trPr>
        <w:tc>
          <w:tcPr>
            <w:tcW w:w="705" w:type="dxa"/>
            <w:vMerge w:val="continue"/>
            <w:tcBorders>
              <w:left w:val="single" w:color="000000" w:sz="4" w:space="0"/>
              <w:right w:val="single" w:color="000000" w:sz="4" w:space="0"/>
            </w:tcBorders>
            <w:vAlign w:val="center"/>
          </w:tcPr>
          <w:p w14:paraId="1BDE8973">
            <w:pPr>
              <w:jc w:val="center"/>
              <w:rPr>
                <w:rFonts w:ascii="宋体" w:hAnsi="宋体" w:eastAsia="宋体" w:cs="宋体"/>
                <w:b/>
                <w:bCs/>
                <w:color w:val="000000"/>
                <w:sz w:val="21"/>
                <w:szCs w:val="21"/>
                <w:highlight w:val="none"/>
              </w:rPr>
            </w:pPr>
          </w:p>
        </w:tc>
        <w:tc>
          <w:tcPr>
            <w:tcW w:w="1189" w:type="dxa"/>
            <w:vMerge w:val="continue"/>
            <w:tcBorders>
              <w:left w:val="single" w:color="000000" w:sz="4" w:space="0"/>
              <w:right w:val="single" w:color="000000" w:sz="4" w:space="0"/>
            </w:tcBorders>
            <w:vAlign w:val="center"/>
          </w:tcPr>
          <w:p w14:paraId="6599BEBC">
            <w:pPr>
              <w:jc w:val="left"/>
              <w:rPr>
                <w:rFonts w:ascii="宋体" w:hAnsi="宋体" w:eastAsia="宋体" w:cs="宋体"/>
                <w:color w:val="000000"/>
                <w:sz w:val="21"/>
                <w:szCs w:val="21"/>
                <w:highlight w:val="none"/>
              </w:rPr>
            </w:pPr>
          </w:p>
        </w:tc>
        <w:tc>
          <w:tcPr>
            <w:tcW w:w="1154" w:type="dxa"/>
            <w:tcBorders>
              <w:top w:val="single" w:color="000000" w:sz="4" w:space="0"/>
              <w:left w:val="single" w:color="000000" w:sz="4" w:space="0"/>
              <w:bottom w:val="single" w:color="000000" w:sz="4" w:space="0"/>
              <w:right w:val="single" w:color="000000" w:sz="4" w:space="0"/>
            </w:tcBorders>
            <w:vAlign w:val="center"/>
          </w:tcPr>
          <w:p w14:paraId="456F1C3D">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乳腺癌易患管理</w:t>
            </w:r>
          </w:p>
        </w:tc>
        <w:tc>
          <w:tcPr>
            <w:tcW w:w="1223" w:type="dxa"/>
            <w:tcBorders>
              <w:top w:val="single" w:color="000000" w:sz="4" w:space="0"/>
              <w:left w:val="single" w:color="000000" w:sz="4" w:space="0"/>
              <w:bottom w:val="single" w:color="000000" w:sz="4" w:space="0"/>
              <w:right w:val="single" w:color="000000" w:sz="4" w:space="0"/>
            </w:tcBorders>
            <w:vAlign w:val="center"/>
          </w:tcPr>
          <w:p w14:paraId="404FEA5B">
            <w:pPr>
              <w:rPr>
                <w:rFonts w:ascii="宋体" w:hAnsi="宋体" w:eastAsia="宋体" w:cs="宋体"/>
                <w:color w:val="000000"/>
                <w:sz w:val="21"/>
                <w:szCs w:val="21"/>
                <w:highlight w:val="none"/>
              </w:rPr>
            </w:pPr>
          </w:p>
        </w:tc>
        <w:tc>
          <w:tcPr>
            <w:tcW w:w="5216" w:type="dxa"/>
            <w:tcBorders>
              <w:top w:val="single" w:color="000000" w:sz="4" w:space="0"/>
              <w:left w:val="single" w:color="000000" w:sz="4" w:space="0"/>
              <w:bottom w:val="single" w:color="000000" w:sz="4" w:space="0"/>
              <w:right w:val="single" w:color="000000" w:sz="4" w:space="0"/>
            </w:tcBorders>
            <w:vAlign w:val="center"/>
          </w:tcPr>
          <w:p w14:paraId="036D3F1D">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对确诊患有乳腺癌高危的居民，采用筛查与评估的方式进行管理。针对筛查业务，支持新增、编辑、获取最新体征、删除、恢复管理、查看操作。针对评估业务，支持新增、编辑、获取最新体征、随访历史列表、删除、查看操作。</w:t>
            </w:r>
          </w:p>
        </w:tc>
      </w:tr>
      <w:tr w14:paraId="636090F8">
        <w:tblPrEx>
          <w:tblCellMar>
            <w:top w:w="0" w:type="dxa"/>
            <w:left w:w="108" w:type="dxa"/>
            <w:bottom w:w="0" w:type="dxa"/>
            <w:right w:w="108" w:type="dxa"/>
          </w:tblCellMar>
        </w:tblPrEx>
        <w:trPr>
          <w:trHeight w:val="1083" w:hRule="atLeast"/>
        </w:trPr>
        <w:tc>
          <w:tcPr>
            <w:tcW w:w="705" w:type="dxa"/>
            <w:vMerge w:val="continue"/>
            <w:tcBorders>
              <w:left w:val="single" w:color="000000" w:sz="4" w:space="0"/>
              <w:right w:val="single" w:color="000000" w:sz="4" w:space="0"/>
            </w:tcBorders>
            <w:vAlign w:val="center"/>
          </w:tcPr>
          <w:p w14:paraId="6A97E82B">
            <w:pPr>
              <w:jc w:val="center"/>
              <w:rPr>
                <w:rFonts w:ascii="宋体" w:hAnsi="宋体" w:eastAsia="宋体" w:cs="宋体"/>
                <w:b/>
                <w:bCs/>
                <w:color w:val="000000"/>
                <w:sz w:val="21"/>
                <w:szCs w:val="21"/>
                <w:highlight w:val="none"/>
              </w:rPr>
            </w:pPr>
          </w:p>
        </w:tc>
        <w:tc>
          <w:tcPr>
            <w:tcW w:w="1189" w:type="dxa"/>
            <w:vMerge w:val="continue"/>
            <w:tcBorders>
              <w:left w:val="single" w:color="000000" w:sz="4" w:space="0"/>
              <w:right w:val="single" w:color="000000" w:sz="4" w:space="0"/>
            </w:tcBorders>
            <w:vAlign w:val="center"/>
          </w:tcPr>
          <w:p w14:paraId="5C8A9C4F">
            <w:pPr>
              <w:jc w:val="left"/>
              <w:rPr>
                <w:rFonts w:ascii="宋体" w:hAnsi="宋体" w:eastAsia="宋体" w:cs="宋体"/>
                <w:color w:val="000000"/>
                <w:sz w:val="21"/>
                <w:szCs w:val="21"/>
                <w:highlight w:val="none"/>
              </w:rPr>
            </w:pPr>
          </w:p>
        </w:tc>
        <w:tc>
          <w:tcPr>
            <w:tcW w:w="1154" w:type="dxa"/>
            <w:tcBorders>
              <w:top w:val="single" w:color="000000" w:sz="4" w:space="0"/>
              <w:left w:val="single" w:color="000000" w:sz="4" w:space="0"/>
              <w:bottom w:val="single" w:color="000000" w:sz="4" w:space="0"/>
              <w:right w:val="single" w:color="000000" w:sz="4" w:space="0"/>
            </w:tcBorders>
            <w:vAlign w:val="center"/>
          </w:tcPr>
          <w:p w14:paraId="15D629ED">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宫颈癌易患管理</w:t>
            </w:r>
          </w:p>
        </w:tc>
        <w:tc>
          <w:tcPr>
            <w:tcW w:w="1223" w:type="dxa"/>
            <w:tcBorders>
              <w:top w:val="single" w:color="000000" w:sz="4" w:space="0"/>
              <w:left w:val="single" w:color="000000" w:sz="4" w:space="0"/>
              <w:bottom w:val="single" w:color="000000" w:sz="4" w:space="0"/>
              <w:right w:val="single" w:color="000000" w:sz="4" w:space="0"/>
            </w:tcBorders>
            <w:vAlign w:val="center"/>
          </w:tcPr>
          <w:p w14:paraId="636DBD39">
            <w:pPr>
              <w:rPr>
                <w:rFonts w:ascii="宋体" w:hAnsi="宋体" w:eastAsia="宋体" w:cs="宋体"/>
                <w:color w:val="000000"/>
                <w:sz w:val="21"/>
                <w:szCs w:val="21"/>
                <w:highlight w:val="none"/>
              </w:rPr>
            </w:pPr>
          </w:p>
        </w:tc>
        <w:tc>
          <w:tcPr>
            <w:tcW w:w="5216" w:type="dxa"/>
            <w:tcBorders>
              <w:top w:val="single" w:color="000000" w:sz="4" w:space="0"/>
              <w:left w:val="single" w:color="000000" w:sz="4" w:space="0"/>
              <w:bottom w:val="single" w:color="000000" w:sz="4" w:space="0"/>
              <w:right w:val="single" w:color="000000" w:sz="4" w:space="0"/>
            </w:tcBorders>
            <w:vAlign w:val="center"/>
          </w:tcPr>
          <w:p w14:paraId="455947F3">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对确诊患有宫颈癌高危的居民，采用筛查与评估的方式进行管理。针对筛查业务，支持新增、编辑、获取最新体征、删除、恢复管理、查看操作。针对评估业务，支持新增、编辑、获取最新体征、随访历史列表、删除、查看操作。</w:t>
            </w:r>
          </w:p>
        </w:tc>
      </w:tr>
      <w:tr w14:paraId="02285F4E">
        <w:tblPrEx>
          <w:tblCellMar>
            <w:top w:w="0" w:type="dxa"/>
            <w:left w:w="108" w:type="dxa"/>
            <w:bottom w:w="0" w:type="dxa"/>
            <w:right w:w="108" w:type="dxa"/>
          </w:tblCellMar>
        </w:tblPrEx>
        <w:trPr>
          <w:trHeight w:val="1083" w:hRule="atLeast"/>
        </w:trPr>
        <w:tc>
          <w:tcPr>
            <w:tcW w:w="705" w:type="dxa"/>
            <w:vMerge w:val="continue"/>
            <w:tcBorders>
              <w:left w:val="single" w:color="000000" w:sz="4" w:space="0"/>
              <w:right w:val="single" w:color="000000" w:sz="4" w:space="0"/>
            </w:tcBorders>
            <w:vAlign w:val="center"/>
          </w:tcPr>
          <w:p w14:paraId="06B4F8E5">
            <w:pPr>
              <w:jc w:val="center"/>
              <w:rPr>
                <w:rFonts w:ascii="宋体" w:hAnsi="宋体" w:eastAsia="宋体" w:cs="宋体"/>
                <w:b/>
                <w:bCs/>
                <w:color w:val="000000"/>
                <w:sz w:val="21"/>
                <w:szCs w:val="21"/>
                <w:highlight w:val="none"/>
              </w:rPr>
            </w:pPr>
          </w:p>
        </w:tc>
        <w:tc>
          <w:tcPr>
            <w:tcW w:w="1189" w:type="dxa"/>
            <w:vMerge w:val="continue"/>
            <w:tcBorders>
              <w:left w:val="single" w:color="000000" w:sz="4" w:space="0"/>
              <w:right w:val="single" w:color="000000" w:sz="4" w:space="0"/>
            </w:tcBorders>
            <w:vAlign w:val="center"/>
          </w:tcPr>
          <w:p w14:paraId="4A81962C">
            <w:pPr>
              <w:jc w:val="left"/>
              <w:rPr>
                <w:rFonts w:ascii="宋体" w:hAnsi="宋体" w:eastAsia="宋体" w:cs="宋体"/>
                <w:color w:val="000000"/>
                <w:sz w:val="21"/>
                <w:szCs w:val="21"/>
                <w:highlight w:val="none"/>
              </w:rPr>
            </w:pPr>
          </w:p>
        </w:tc>
        <w:tc>
          <w:tcPr>
            <w:tcW w:w="1154" w:type="dxa"/>
            <w:tcBorders>
              <w:top w:val="single" w:color="000000" w:sz="4" w:space="0"/>
              <w:left w:val="single" w:color="000000" w:sz="4" w:space="0"/>
              <w:bottom w:val="single" w:color="000000" w:sz="4" w:space="0"/>
              <w:right w:val="single" w:color="000000" w:sz="4" w:space="0"/>
            </w:tcBorders>
            <w:vAlign w:val="center"/>
          </w:tcPr>
          <w:p w14:paraId="2DD2D40F">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肝癌易患管理</w:t>
            </w:r>
          </w:p>
        </w:tc>
        <w:tc>
          <w:tcPr>
            <w:tcW w:w="1223" w:type="dxa"/>
            <w:tcBorders>
              <w:top w:val="single" w:color="000000" w:sz="4" w:space="0"/>
              <w:left w:val="single" w:color="000000" w:sz="4" w:space="0"/>
              <w:bottom w:val="single" w:color="000000" w:sz="4" w:space="0"/>
              <w:right w:val="single" w:color="000000" w:sz="4" w:space="0"/>
            </w:tcBorders>
            <w:vAlign w:val="center"/>
          </w:tcPr>
          <w:p w14:paraId="4A29AC1C">
            <w:pPr>
              <w:rPr>
                <w:rFonts w:ascii="宋体" w:hAnsi="宋体" w:eastAsia="宋体" w:cs="宋体"/>
                <w:color w:val="000000"/>
                <w:sz w:val="21"/>
                <w:szCs w:val="21"/>
                <w:highlight w:val="none"/>
              </w:rPr>
            </w:pPr>
          </w:p>
        </w:tc>
        <w:tc>
          <w:tcPr>
            <w:tcW w:w="5216" w:type="dxa"/>
            <w:tcBorders>
              <w:top w:val="single" w:color="000000" w:sz="4" w:space="0"/>
              <w:left w:val="single" w:color="000000" w:sz="4" w:space="0"/>
              <w:bottom w:val="single" w:color="000000" w:sz="4" w:space="0"/>
              <w:right w:val="single" w:color="000000" w:sz="4" w:space="0"/>
            </w:tcBorders>
            <w:vAlign w:val="center"/>
          </w:tcPr>
          <w:p w14:paraId="6C25268D">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对确诊患有肝癌高危的居民，采用筛查与评估的方式进行管理。针对筛查业务，支持新增、编辑、获取最新体征、删除、恢复管理、查看操作。针对评估业务，支持新增、编辑、获取最新体征、随访历史列表、删除、查看操作。</w:t>
            </w:r>
          </w:p>
        </w:tc>
      </w:tr>
      <w:tr w14:paraId="0F5D9249">
        <w:tblPrEx>
          <w:tblCellMar>
            <w:top w:w="0" w:type="dxa"/>
            <w:left w:w="108" w:type="dxa"/>
            <w:bottom w:w="0" w:type="dxa"/>
            <w:right w:w="108" w:type="dxa"/>
          </w:tblCellMar>
        </w:tblPrEx>
        <w:trPr>
          <w:trHeight w:val="1083" w:hRule="atLeast"/>
        </w:trPr>
        <w:tc>
          <w:tcPr>
            <w:tcW w:w="705" w:type="dxa"/>
            <w:vMerge w:val="continue"/>
            <w:tcBorders>
              <w:left w:val="single" w:color="000000" w:sz="4" w:space="0"/>
              <w:right w:val="single" w:color="000000" w:sz="4" w:space="0"/>
            </w:tcBorders>
            <w:vAlign w:val="center"/>
          </w:tcPr>
          <w:p w14:paraId="3854F45F">
            <w:pPr>
              <w:jc w:val="center"/>
              <w:rPr>
                <w:rFonts w:ascii="宋体" w:hAnsi="宋体" w:eastAsia="宋体" w:cs="宋体"/>
                <w:b/>
                <w:bCs/>
                <w:color w:val="000000"/>
                <w:sz w:val="21"/>
                <w:szCs w:val="21"/>
                <w:highlight w:val="none"/>
              </w:rPr>
            </w:pPr>
          </w:p>
        </w:tc>
        <w:tc>
          <w:tcPr>
            <w:tcW w:w="1189" w:type="dxa"/>
            <w:vMerge w:val="continue"/>
            <w:tcBorders>
              <w:left w:val="single" w:color="000000" w:sz="4" w:space="0"/>
              <w:right w:val="single" w:color="000000" w:sz="4" w:space="0"/>
            </w:tcBorders>
            <w:vAlign w:val="center"/>
          </w:tcPr>
          <w:p w14:paraId="299597FA">
            <w:pPr>
              <w:jc w:val="left"/>
              <w:rPr>
                <w:rFonts w:ascii="宋体" w:hAnsi="宋体" w:eastAsia="宋体" w:cs="宋体"/>
                <w:color w:val="000000"/>
                <w:sz w:val="21"/>
                <w:szCs w:val="21"/>
                <w:highlight w:val="none"/>
              </w:rPr>
            </w:pPr>
          </w:p>
        </w:tc>
        <w:tc>
          <w:tcPr>
            <w:tcW w:w="1154" w:type="dxa"/>
            <w:tcBorders>
              <w:top w:val="single" w:color="000000" w:sz="4" w:space="0"/>
              <w:left w:val="single" w:color="000000" w:sz="4" w:space="0"/>
              <w:bottom w:val="single" w:color="000000" w:sz="4" w:space="0"/>
              <w:right w:val="single" w:color="000000" w:sz="4" w:space="0"/>
            </w:tcBorders>
            <w:vAlign w:val="center"/>
          </w:tcPr>
          <w:p w14:paraId="55409D67">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胃癌易患管理</w:t>
            </w:r>
          </w:p>
        </w:tc>
        <w:tc>
          <w:tcPr>
            <w:tcW w:w="1223" w:type="dxa"/>
            <w:tcBorders>
              <w:top w:val="single" w:color="000000" w:sz="4" w:space="0"/>
              <w:left w:val="single" w:color="000000" w:sz="4" w:space="0"/>
              <w:bottom w:val="single" w:color="000000" w:sz="4" w:space="0"/>
              <w:right w:val="single" w:color="000000" w:sz="4" w:space="0"/>
            </w:tcBorders>
            <w:vAlign w:val="center"/>
          </w:tcPr>
          <w:p w14:paraId="66297BCF">
            <w:pPr>
              <w:rPr>
                <w:rFonts w:ascii="宋体" w:hAnsi="宋体" w:eastAsia="宋体" w:cs="宋体"/>
                <w:color w:val="000000"/>
                <w:sz w:val="21"/>
                <w:szCs w:val="21"/>
                <w:highlight w:val="none"/>
              </w:rPr>
            </w:pPr>
          </w:p>
        </w:tc>
        <w:tc>
          <w:tcPr>
            <w:tcW w:w="5216" w:type="dxa"/>
            <w:tcBorders>
              <w:top w:val="single" w:color="000000" w:sz="4" w:space="0"/>
              <w:left w:val="single" w:color="000000" w:sz="4" w:space="0"/>
              <w:bottom w:val="single" w:color="000000" w:sz="4" w:space="0"/>
              <w:right w:val="single" w:color="000000" w:sz="4" w:space="0"/>
            </w:tcBorders>
            <w:vAlign w:val="center"/>
          </w:tcPr>
          <w:p w14:paraId="338D7117">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对确诊患有胃癌高危的居民，采用筛查与评估的方式进行管理。针对筛查业务，支持新增、编辑、获取最新体征、删除、恢复管理、查看操作。针对评估业务，支持新增、编辑、获取最新体征、随访历史列表、删除、查看操作。</w:t>
            </w:r>
          </w:p>
        </w:tc>
      </w:tr>
      <w:tr w14:paraId="32F0F9A2">
        <w:tblPrEx>
          <w:tblCellMar>
            <w:top w:w="0" w:type="dxa"/>
            <w:left w:w="108" w:type="dxa"/>
            <w:bottom w:w="0" w:type="dxa"/>
            <w:right w:w="108" w:type="dxa"/>
          </w:tblCellMar>
        </w:tblPrEx>
        <w:trPr>
          <w:trHeight w:val="1436" w:hRule="atLeast"/>
        </w:trPr>
        <w:tc>
          <w:tcPr>
            <w:tcW w:w="705" w:type="dxa"/>
            <w:vMerge w:val="continue"/>
            <w:tcBorders>
              <w:left w:val="single" w:color="000000" w:sz="4" w:space="0"/>
              <w:right w:val="single" w:color="000000" w:sz="4" w:space="0"/>
            </w:tcBorders>
            <w:vAlign w:val="center"/>
          </w:tcPr>
          <w:p w14:paraId="2791D5DA">
            <w:pPr>
              <w:jc w:val="center"/>
              <w:rPr>
                <w:rFonts w:ascii="宋体" w:hAnsi="宋体" w:eastAsia="宋体" w:cs="宋体"/>
                <w:b/>
                <w:bCs/>
                <w:color w:val="000000"/>
                <w:sz w:val="21"/>
                <w:szCs w:val="21"/>
                <w:highlight w:val="none"/>
              </w:rPr>
            </w:pPr>
          </w:p>
        </w:tc>
        <w:tc>
          <w:tcPr>
            <w:tcW w:w="1189" w:type="dxa"/>
            <w:vMerge w:val="continue"/>
            <w:tcBorders>
              <w:top w:val="single" w:color="000000" w:sz="4" w:space="0"/>
              <w:left w:val="single" w:color="000000" w:sz="4" w:space="0"/>
              <w:right w:val="single" w:color="000000" w:sz="4" w:space="0"/>
            </w:tcBorders>
            <w:vAlign w:val="center"/>
          </w:tcPr>
          <w:p w14:paraId="203EF275">
            <w:pPr>
              <w:jc w:val="left"/>
              <w:rPr>
                <w:rFonts w:ascii="宋体" w:hAnsi="宋体" w:eastAsia="宋体" w:cs="宋体"/>
                <w:color w:val="000000"/>
                <w:sz w:val="21"/>
                <w:szCs w:val="21"/>
                <w:highlight w:val="none"/>
              </w:rPr>
            </w:pPr>
          </w:p>
        </w:tc>
        <w:tc>
          <w:tcPr>
            <w:tcW w:w="1154" w:type="dxa"/>
            <w:tcBorders>
              <w:top w:val="single" w:color="000000" w:sz="4" w:space="0"/>
              <w:left w:val="single" w:color="000000" w:sz="4" w:space="0"/>
              <w:bottom w:val="single" w:color="000000" w:sz="4" w:space="0"/>
              <w:right w:val="single" w:color="000000" w:sz="4" w:space="0"/>
            </w:tcBorders>
            <w:vAlign w:val="center"/>
          </w:tcPr>
          <w:p w14:paraId="0F030476">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前列腺癌易患管理</w:t>
            </w:r>
          </w:p>
        </w:tc>
        <w:tc>
          <w:tcPr>
            <w:tcW w:w="1223" w:type="dxa"/>
            <w:tcBorders>
              <w:top w:val="single" w:color="000000" w:sz="4" w:space="0"/>
              <w:left w:val="single" w:color="000000" w:sz="4" w:space="0"/>
              <w:bottom w:val="single" w:color="000000" w:sz="4" w:space="0"/>
              <w:right w:val="single" w:color="000000" w:sz="4" w:space="0"/>
            </w:tcBorders>
            <w:vAlign w:val="center"/>
          </w:tcPr>
          <w:p w14:paraId="577D3C59">
            <w:pPr>
              <w:rPr>
                <w:rFonts w:ascii="宋体" w:hAnsi="宋体" w:eastAsia="宋体" w:cs="宋体"/>
                <w:color w:val="000000"/>
                <w:sz w:val="21"/>
                <w:szCs w:val="21"/>
                <w:highlight w:val="none"/>
              </w:rPr>
            </w:pPr>
          </w:p>
        </w:tc>
        <w:tc>
          <w:tcPr>
            <w:tcW w:w="5216" w:type="dxa"/>
            <w:tcBorders>
              <w:top w:val="single" w:color="000000" w:sz="4" w:space="0"/>
              <w:left w:val="single" w:color="000000" w:sz="4" w:space="0"/>
              <w:bottom w:val="single" w:color="000000" w:sz="4" w:space="0"/>
              <w:right w:val="single" w:color="000000" w:sz="4" w:space="0"/>
            </w:tcBorders>
            <w:vAlign w:val="center"/>
          </w:tcPr>
          <w:p w14:paraId="1B4DCC11">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对确诊患有前列腺癌高危的居民，采用筛查与评估的方式进行管理。针对筛查业务，支持新增、编辑、获取最新体征、删除、恢复管理、查看操作。针对评估业务，支持新增、编辑、获取最新体征、随访历史列表、删除、查看操作。</w:t>
            </w:r>
          </w:p>
        </w:tc>
      </w:tr>
      <w:tr w14:paraId="41692BF0">
        <w:tblPrEx>
          <w:tblCellMar>
            <w:top w:w="0" w:type="dxa"/>
            <w:left w:w="108" w:type="dxa"/>
            <w:bottom w:w="0" w:type="dxa"/>
            <w:right w:w="108" w:type="dxa"/>
          </w:tblCellMar>
        </w:tblPrEx>
        <w:trPr>
          <w:trHeight w:val="730" w:hRule="atLeast"/>
        </w:trPr>
        <w:tc>
          <w:tcPr>
            <w:tcW w:w="705" w:type="dxa"/>
            <w:vMerge w:val="continue"/>
            <w:tcBorders>
              <w:left w:val="single" w:color="000000" w:sz="4" w:space="0"/>
              <w:right w:val="single" w:color="000000" w:sz="4" w:space="0"/>
            </w:tcBorders>
            <w:vAlign w:val="center"/>
          </w:tcPr>
          <w:p w14:paraId="3BE90796">
            <w:pPr>
              <w:jc w:val="center"/>
              <w:rPr>
                <w:rFonts w:ascii="宋体" w:hAnsi="宋体" w:eastAsia="宋体" w:cs="宋体"/>
                <w:b/>
                <w:bCs/>
                <w:color w:val="000000"/>
                <w:sz w:val="21"/>
                <w:szCs w:val="21"/>
                <w:highlight w:val="none"/>
              </w:rPr>
            </w:pPr>
          </w:p>
        </w:tc>
        <w:tc>
          <w:tcPr>
            <w:tcW w:w="1189" w:type="dxa"/>
            <w:vMerge w:val="continue"/>
            <w:tcBorders>
              <w:left w:val="single" w:color="000000" w:sz="4" w:space="0"/>
              <w:right w:val="single" w:color="000000" w:sz="4" w:space="0"/>
            </w:tcBorders>
            <w:vAlign w:val="center"/>
          </w:tcPr>
          <w:p w14:paraId="6649DB35">
            <w:pPr>
              <w:jc w:val="left"/>
              <w:rPr>
                <w:rFonts w:ascii="宋体" w:hAnsi="宋体" w:eastAsia="宋体" w:cs="宋体"/>
                <w:color w:val="000000"/>
                <w:sz w:val="21"/>
                <w:szCs w:val="21"/>
                <w:highlight w:val="none"/>
              </w:rPr>
            </w:pPr>
          </w:p>
        </w:tc>
        <w:tc>
          <w:tcPr>
            <w:tcW w:w="1154" w:type="dxa"/>
            <w:tcBorders>
              <w:top w:val="single" w:color="000000" w:sz="4" w:space="0"/>
              <w:left w:val="single" w:color="000000" w:sz="4" w:space="0"/>
              <w:bottom w:val="single" w:color="000000" w:sz="4" w:space="0"/>
              <w:right w:val="single" w:color="000000" w:sz="4" w:space="0"/>
            </w:tcBorders>
            <w:vAlign w:val="center"/>
          </w:tcPr>
          <w:p w14:paraId="35523D17">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甲状腺癌易患管理</w:t>
            </w:r>
          </w:p>
        </w:tc>
        <w:tc>
          <w:tcPr>
            <w:tcW w:w="1223" w:type="dxa"/>
            <w:tcBorders>
              <w:top w:val="single" w:color="000000" w:sz="4" w:space="0"/>
              <w:left w:val="single" w:color="000000" w:sz="4" w:space="0"/>
              <w:bottom w:val="single" w:color="000000" w:sz="4" w:space="0"/>
              <w:right w:val="single" w:color="000000" w:sz="4" w:space="0"/>
            </w:tcBorders>
            <w:vAlign w:val="center"/>
          </w:tcPr>
          <w:p w14:paraId="26F8DAF1">
            <w:pPr>
              <w:rPr>
                <w:rFonts w:ascii="宋体" w:hAnsi="宋体" w:eastAsia="宋体" w:cs="宋体"/>
                <w:color w:val="000000"/>
                <w:sz w:val="21"/>
                <w:szCs w:val="21"/>
                <w:highlight w:val="none"/>
              </w:rPr>
            </w:pPr>
          </w:p>
        </w:tc>
        <w:tc>
          <w:tcPr>
            <w:tcW w:w="5216" w:type="dxa"/>
            <w:tcBorders>
              <w:top w:val="single" w:color="000000" w:sz="4" w:space="0"/>
              <w:left w:val="single" w:color="000000" w:sz="4" w:space="0"/>
              <w:bottom w:val="single" w:color="000000" w:sz="4" w:space="0"/>
              <w:right w:val="single" w:color="000000" w:sz="4" w:space="0"/>
            </w:tcBorders>
            <w:vAlign w:val="center"/>
          </w:tcPr>
          <w:p w14:paraId="65885134">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对确诊患有甲状腺癌高危的居民，采用筛查与评估的方式进行管理。针对筛查业务，支持新增、编辑、获取最新体征、删除、恢复管理、查看操作。针对评估业务，支持新增、编辑、获取最新体征、随访历史列表、删除、查看操作。</w:t>
            </w:r>
          </w:p>
        </w:tc>
      </w:tr>
      <w:tr w14:paraId="796A702F">
        <w:tblPrEx>
          <w:tblCellMar>
            <w:top w:w="0" w:type="dxa"/>
            <w:left w:w="108" w:type="dxa"/>
            <w:bottom w:w="0" w:type="dxa"/>
            <w:right w:w="108" w:type="dxa"/>
          </w:tblCellMar>
        </w:tblPrEx>
        <w:trPr>
          <w:trHeight w:val="730" w:hRule="atLeast"/>
        </w:trPr>
        <w:tc>
          <w:tcPr>
            <w:tcW w:w="705" w:type="dxa"/>
            <w:vMerge w:val="continue"/>
            <w:tcBorders>
              <w:left w:val="single" w:color="000000" w:sz="4" w:space="0"/>
              <w:right w:val="single" w:color="000000" w:sz="4" w:space="0"/>
            </w:tcBorders>
            <w:vAlign w:val="center"/>
          </w:tcPr>
          <w:p w14:paraId="34628B40">
            <w:pPr>
              <w:jc w:val="center"/>
              <w:rPr>
                <w:rFonts w:ascii="宋体" w:hAnsi="宋体" w:eastAsia="宋体" w:cs="宋体"/>
                <w:b/>
                <w:bCs/>
                <w:color w:val="000000"/>
                <w:sz w:val="21"/>
                <w:szCs w:val="21"/>
                <w:highlight w:val="none"/>
              </w:rPr>
            </w:pPr>
          </w:p>
        </w:tc>
        <w:tc>
          <w:tcPr>
            <w:tcW w:w="1189" w:type="dxa"/>
            <w:vMerge w:val="continue"/>
            <w:tcBorders>
              <w:left w:val="single" w:color="000000" w:sz="4" w:space="0"/>
              <w:right w:val="single" w:color="000000" w:sz="4" w:space="0"/>
            </w:tcBorders>
            <w:vAlign w:val="center"/>
          </w:tcPr>
          <w:p w14:paraId="553E7CCB">
            <w:pPr>
              <w:jc w:val="left"/>
              <w:rPr>
                <w:rFonts w:ascii="宋体" w:hAnsi="宋体" w:eastAsia="宋体" w:cs="宋体"/>
                <w:color w:val="000000"/>
                <w:sz w:val="21"/>
                <w:szCs w:val="21"/>
                <w:highlight w:val="none"/>
              </w:rPr>
            </w:pPr>
          </w:p>
        </w:tc>
        <w:tc>
          <w:tcPr>
            <w:tcW w:w="1154" w:type="dxa"/>
            <w:tcBorders>
              <w:top w:val="single" w:color="000000" w:sz="4" w:space="0"/>
              <w:left w:val="single" w:color="000000" w:sz="4" w:space="0"/>
              <w:bottom w:val="single" w:color="000000" w:sz="4" w:space="0"/>
              <w:right w:val="single" w:color="000000" w:sz="4" w:space="0"/>
            </w:tcBorders>
            <w:vAlign w:val="center"/>
          </w:tcPr>
          <w:p w14:paraId="313CCDD8">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其他癌种易患管理</w:t>
            </w:r>
          </w:p>
        </w:tc>
        <w:tc>
          <w:tcPr>
            <w:tcW w:w="1223" w:type="dxa"/>
            <w:tcBorders>
              <w:top w:val="single" w:color="000000" w:sz="4" w:space="0"/>
              <w:left w:val="single" w:color="000000" w:sz="4" w:space="0"/>
              <w:bottom w:val="single" w:color="000000" w:sz="4" w:space="0"/>
              <w:right w:val="single" w:color="000000" w:sz="4" w:space="0"/>
            </w:tcBorders>
            <w:vAlign w:val="center"/>
          </w:tcPr>
          <w:p w14:paraId="5644636F">
            <w:pPr>
              <w:rPr>
                <w:rFonts w:ascii="宋体" w:hAnsi="宋体" w:eastAsia="宋体" w:cs="宋体"/>
                <w:color w:val="000000"/>
                <w:sz w:val="21"/>
                <w:szCs w:val="21"/>
                <w:highlight w:val="none"/>
              </w:rPr>
            </w:pPr>
          </w:p>
        </w:tc>
        <w:tc>
          <w:tcPr>
            <w:tcW w:w="5216" w:type="dxa"/>
            <w:tcBorders>
              <w:top w:val="single" w:color="000000" w:sz="4" w:space="0"/>
              <w:left w:val="single" w:color="000000" w:sz="4" w:space="0"/>
              <w:bottom w:val="single" w:color="000000" w:sz="4" w:space="0"/>
              <w:right w:val="single" w:color="000000" w:sz="4" w:space="0"/>
            </w:tcBorders>
            <w:vAlign w:val="center"/>
          </w:tcPr>
          <w:p w14:paraId="538DDCB4">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对确诊患有其他癌种高危的居民，采用筛查与评估的方式进行管理。针对筛查业务，支持新增、编辑、获取最新体征、删除、恢复管理、查看操作。针对评估业务，支持新增、编辑、获取最新体征、随访历史列表、删除、查看操作。</w:t>
            </w:r>
          </w:p>
        </w:tc>
      </w:tr>
      <w:tr w14:paraId="429A721B">
        <w:tblPrEx>
          <w:tblCellMar>
            <w:top w:w="0" w:type="dxa"/>
            <w:left w:w="108" w:type="dxa"/>
            <w:bottom w:w="0" w:type="dxa"/>
            <w:right w:w="108" w:type="dxa"/>
          </w:tblCellMar>
        </w:tblPrEx>
        <w:trPr>
          <w:trHeight w:val="730" w:hRule="atLeast"/>
        </w:trPr>
        <w:tc>
          <w:tcPr>
            <w:tcW w:w="705" w:type="dxa"/>
            <w:vMerge w:val="continue"/>
            <w:tcBorders>
              <w:left w:val="single" w:color="000000" w:sz="4" w:space="0"/>
              <w:right w:val="single" w:color="000000" w:sz="4" w:space="0"/>
            </w:tcBorders>
            <w:vAlign w:val="center"/>
          </w:tcPr>
          <w:p w14:paraId="20462A61">
            <w:pPr>
              <w:jc w:val="center"/>
              <w:rPr>
                <w:rFonts w:ascii="宋体" w:hAnsi="宋体" w:eastAsia="宋体" w:cs="宋体"/>
                <w:b/>
                <w:bCs/>
                <w:color w:val="000000"/>
                <w:sz w:val="21"/>
                <w:szCs w:val="21"/>
                <w:highlight w:val="none"/>
              </w:rPr>
            </w:pPr>
          </w:p>
        </w:tc>
        <w:tc>
          <w:tcPr>
            <w:tcW w:w="1189" w:type="dxa"/>
            <w:vMerge w:val="restart"/>
            <w:tcBorders>
              <w:left w:val="single" w:color="000000" w:sz="4" w:space="0"/>
              <w:right w:val="single" w:color="000000" w:sz="4" w:space="0"/>
            </w:tcBorders>
            <w:vAlign w:val="center"/>
          </w:tcPr>
          <w:p w14:paraId="5E71B4B4">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健教管理</w:t>
            </w:r>
          </w:p>
        </w:tc>
        <w:tc>
          <w:tcPr>
            <w:tcW w:w="1154" w:type="dxa"/>
            <w:tcBorders>
              <w:top w:val="single" w:color="000000" w:sz="4" w:space="0"/>
              <w:left w:val="single" w:color="000000" w:sz="4" w:space="0"/>
              <w:bottom w:val="single" w:color="000000" w:sz="4" w:space="0"/>
              <w:right w:val="single" w:color="000000" w:sz="4" w:space="0"/>
            </w:tcBorders>
            <w:vAlign w:val="center"/>
          </w:tcPr>
          <w:p w14:paraId="0E9573BD">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干预管理</w:t>
            </w:r>
          </w:p>
        </w:tc>
        <w:tc>
          <w:tcPr>
            <w:tcW w:w="1223" w:type="dxa"/>
            <w:tcBorders>
              <w:top w:val="single" w:color="000000" w:sz="4" w:space="0"/>
              <w:left w:val="single" w:color="000000" w:sz="4" w:space="0"/>
              <w:bottom w:val="single" w:color="000000" w:sz="4" w:space="0"/>
              <w:right w:val="single" w:color="000000" w:sz="4" w:space="0"/>
            </w:tcBorders>
            <w:vAlign w:val="center"/>
          </w:tcPr>
          <w:p w14:paraId="2E53D59E">
            <w:pPr>
              <w:rPr>
                <w:rFonts w:ascii="宋体" w:hAnsi="宋体" w:eastAsia="宋体" w:cs="宋体"/>
                <w:color w:val="000000"/>
                <w:sz w:val="21"/>
                <w:szCs w:val="21"/>
                <w:highlight w:val="none"/>
              </w:rPr>
            </w:pPr>
          </w:p>
        </w:tc>
        <w:tc>
          <w:tcPr>
            <w:tcW w:w="5216" w:type="dxa"/>
            <w:tcBorders>
              <w:top w:val="single" w:color="000000" w:sz="4" w:space="0"/>
              <w:left w:val="single" w:color="000000" w:sz="4" w:space="0"/>
              <w:bottom w:val="single" w:color="000000" w:sz="4" w:space="0"/>
              <w:right w:val="single" w:color="000000" w:sz="4" w:space="0"/>
            </w:tcBorders>
            <w:vAlign w:val="center"/>
          </w:tcPr>
          <w:p w14:paraId="611E030F">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可为居民提供健康指导与健康处方两种方式的健康干预，支持新增、编辑、删除和查看操作。针对健康指导，指导项目可支持多选，可直接引用已维护的健康指导模板信息，支持打印操作。针对健康处方，可设定指导周期，为居民进行饮食指导、运动指导、中医指导、用药指导来确保健康，系统则结合干预日期和指导周期，自动生成当日的患者督导明细。</w:t>
            </w:r>
          </w:p>
        </w:tc>
      </w:tr>
      <w:tr w14:paraId="262E6CDD">
        <w:tblPrEx>
          <w:tblCellMar>
            <w:top w:w="0" w:type="dxa"/>
            <w:left w:w="108" w:type="dxa"/>
            <w:bottom w:w="0" w:type="dxa"/>
            <w:right w:w="108" w:type="dxa"/>
          </w:tblCellMar>
        </w:tblPrEx>
        <w:trPr>
          <w:trHeight w:val="1083" w:hRule="atLeast"/>
        </w:trPr>
        <w:tc>
          <w:tcPr>
            <w:tcW w:w="705" w:type="dxa"/>
            <w:vMerge w:val="continue"/>
            <w:tcBorders>
              <w:left w:val="single" w:color="000000" w:sz="4" w:space="0"/>
              <w:right w:val="single" w:color="000000" w:sz="4" w:space="0"/>
            </w:tcBorders>
            <w:vAlign w:val="center"/>
          </w:tcPr>
          <w:p w14:paraId="322D4B4B">
            <w:pPr>
              <w:jc w:val="center"/>
              <w:rPr>
                <w:rFonts w:ascii="宋体" w:hAnsi="宋体" w:eastAsia="宋体" w:cs="宋体"/>
                <w:b/>
                <w:bCs/>
                <w:color w:val="000000"/>
                <w:sz w:val="21"/>
                <w:szCs w:val="21"/>
                <w:highlight w:val="none"/>
              </w:rPr>
            </w:pPr>
          </w:p>
        </w:tc>
        <w:tc>
          <w:tcPr>
            <w:tcW w:w="1189" w:type="dxa"/>
            <w:vMerge w:val="continue"/>
            <w:tcBorders>
              <w:left w:val="single" w:color="000000" w:sz="4" w:space="0"/>
              <w:right w:val="single" w:color="000000" w:sz="4" w:space="0"/>
            </w:tcBorders>
            <w:vAlign w:val="center"/>
          </w:tcPr>
          <w:p w14:paraId="6DE884C3">
            <w:pPr>
              <w:jc w:val="left"/>
              <w:rPr>
                <w:rFonts w:ascii="宋体" w:hAnsi="宋体" w:eastAsia="宋体" w:cs="宋体"/>
                <w:color w:val="000000"/>
                <w:sz w:val="21"/>
                <w:szCs w:val="21"/>
                <w:highlight w:val="none"/>
              </w:rPr>
            </w:pPr>
          </w:p>
        </w:tc>
        <w:tc>
          <w:tcPr>
            <w:tcW w:w="1154" w:type="dxa"/>
            <w:tcBorders>
              <w:top w:val="single" w:color="000000" w:sz="4" w:space="0"/>
              <w:left w:val="single" w:color="000000" w:sz="4" w:space="0"/>
              <w:bottom w:val="single" w:color="000000" w:sz="4" w:space="0"/>
              <w:right w:val="single" w:color="000000" w:sz="4" w:space="0"/>
            </w:tcBorders>
            <w:vAlign w:val="center"/>
          </w:tcPr>
          <w:p w14:paraId="562591A6">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活动管理</w:t>
            </w:r>
          </w:p>
        </w:tc>
        <w:tc>
          <w:tcPr>
            <w:tcW w:w="1223" w:type="dxa"/>
            <w:tcBorders>
              <w:top w:val="single" w:color="000000" w:sz="4" w:space="0"/>
              <w:left w:val="single" w:color="000000" w:sz="4" w:space="0"/>
              <w:bottom w:val="single" w:color="000000" w:sz="4" w:space="0"/>
              <w:right w:val="single" w:color="000000" w:sz="4" w:space="0"/>
            </w:tcBorders>
            <w:vAlign w:val="center"/>
          </w:tcPr>
          <w:p w14:paraId="4F2DC702">
            <w:pPr>
              <w:rPr>
                <w:rFonts w:ascii="宋体" w:hAnsi="宋体" w:eastAsia="宋体" w:cs="宋体"/>
                <w:color w:val="000000"/>
                <w:sz w:val="21"/>
                <w:szCs w:val="21"/>
                <w:highlight w:val="none"/>
              </w:rPr>
            </w:pPr>
          </w:p>
        </w:tc>
        <w:tc>
          <w:tcPr>
            <w:tcW w:w="5216" w:type="dxa"/>
            <w:tcBorders>
              <w:top w:val="single" w:color="000000" w:sz="4" w:space="0"/>
              <w:left w:val="single" w:color="000000" w:sz="4" w:space="0"/>
              <w:bottom w:val="single" w:color="000000" w:sz="4" w:space="0"/>
              <w:right w:val="single" w:color="000000" w:sz="4" w:space="0"/>
            </w:tcBorders>
            <w:vAlign w:val="center"/>
          </w:tcPr>
          <w:p w14:paraId="2C5D8B8A">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可为辖区的居民提供健康教育活动，同时可对活动过程中的视频、ppt、word等资料进行上传。可支持新增、编辑、删除、查看操作。</w:t>
            </w:r>
          </w:p>
        </w:tc>
      </w:tr>
      <w:tr w14:paraId="51FF5D3F">
        <w:tblPrEx>
          <w:tblCellMar>
            <w:top w:w="0" w:type="dxa"/>
            <w:left w:w="108" w:type="dxa"/>
            <w:bottom w:w="0" w:type="dxa"/>
            <w:right w:w="108" w:type="dxa"/>
          </w:tblCellMar>
        </w:tblPrEx>
        <w:trPr>
          <w:trHeight w:val="1083" w:hRule="atLeast"/>
        </w:trPr>
        <w:tc>
          <w:tcPr>
            <w:tcW w:w="705" w:type="dxa"/>
            <w:vMerge w:val="continue"/>
            <w:tcBorders>
              <w:left w:val="single" w:color="000000" w:sz="4" w:space="0"/>
              <w:right w:val="single" w:color="000000" w:sz="4" w:space="0"/>
            </w:tcBorders>
            <w:vAlign w:val="center"/>
          </w:tcPr>
          <w:p w14:paraId="68F49AFD">
            <w:pPr>
              <w:jc w:val="center"/>
              <w:rPr>
                <w:rFonts w:ascii="宋体" w:hAnsi="宋体" w:eastAsia="宋体" w:cs="宋体"/>
                <w:b/>
                <w:bCs/>
                <w:color w:val="000000"/>
                <w:sz w:val="21"/>
                <w:szCs w:val="21"/>
                <w:highlight w:val="none"/>
              </w:rPr>
            </w:pPr>
          </w:p>
        </w:tc>
        <w:tc>
          <w:tcPr>
            <w:tcW w:w="1189" w:type="dxa"/>
            <w:vMerge w:val="continue"/>
            <w:tcBorders>
              <w:top w:val="single" w:color="000000" w:sz="4" w:space="0"/>
              <w:left w:val="single" w:color="000000" w:sz="4" w:space="0"/>
              <w:bottom w:val="single" w:color="000000" w:sz="4" w:space="0"/>
              <w:right w:val="single" w:color="000000" w:sz="4" w:space="0"/>
            </w:tcBorders>
            <w:vAlign w:val="center"/>
          </w:tcPr>
          <w:p w14:paraId="7E39C021">
            <w:pPr>
              <w:jc w:val="left"/>
              <w:rPr>
                <w:rFonts w:ascii="宋体" w:hAnsi="宋体" w:eastAsia="宋体" w:cs="宋体"/>
                <w:color w:val="000000"/>
                <w:sz w:val="21"/>
                <w:szCs w:val="21"/>
                <w:highlight w:val="none"/>
              </w:rPr>
            </w:pPr>
          </w:p>
        </w:tc>
        <w:tc>
          <w:tcPr>
            <w:tcW w:w="1154" w:type="dxa"/>
            <w:tcBorders>
              <w:top w:val="single" w:color="000000" w:sz="4" w:space="0"/>
              <w:left w:val="single" w:color="000000" w:sz="4" w:space="0"/>
              <w:bottom w:val="single" w:color="000000" w:sz="4" w:space="0"/>
              <w:right w:val="single" w:color="000000" w:sz="4" w:space="0"/>
            </w:tcBorders>
            <w:vAlign w:val="center"/>
          </w:tcPr>
          <w:p w14:paraId="432879D7">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宣传栏管理</w:t>
            </w:r>
          </w:p>
        </w:tc>
        <w:tc>
          <w:tcPr>
            <w:tcW w:w="1223" w:type="dxa"/>
            <w:tcBorders>
              <w:top w:val="single" w:color="000000" w:sz="4" w:space="0"/>
              <w:left w:val="single" w:color="000000" w:sz="4" w:space="0"/>
              <w:bottom w:val="single" w:color="000000" w:sz="4" w:space="0"/>
              <w:right w:val="single" w:color="000000" w:sz="4" w:space="0"/>
            </w:tcBorders>
            <w:vAlign w:val="center"/>
          </w:tcPr>
          <w:p w14:paraId="55FD9450">
            <w:pPr>
              <w:rPr>
                <w:rFonts w:ascii="宋体" w:hAnsi="宋体" w:eastAsia="宋体" w:cs="宋体"/>
                <w:color w:val="000000"/>
                <w:sz w:val="21"/>
                <w:szCs w:val="21"/>
                <w:highlight w:val="none"/>
              </w:rPr>
            </w:pPr>
          </w:p>
        </w:tc>
        <w:tc>
          <w:tcPr>
            <w:tcW w:w="5216" w:type="dxa"/>
            <w:tcBorders>
              <w:top w:val="single" w:color="000000" w:sz="4" w:space="0"/>
              <w:left w:val="single" w:color="000000" w:sz="4" w:space="0"/>
              <w:bottom w:val="single" w:color="000000" w:sz="4" w:space="0"/>
              <w:right w:val="single" w:color="000000" w:sz="4" w:space="0"/>
            </w:tcBorders>
            <w:vAlign w:val="center"/>
          </w:tcPr>
          <w:p w14:paraId="4C3F4E46">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可为辖区的居民提供健康教育宣传栏，同时可对宣传栏上刊过程中的视频、ppt、word等资料进行上传。可支持新增、编辑、删除、查看操作。</w:t>
            </w:r>
          </w:p>
        </w:tc>
      </w:tr>
      <w:tr w14:paraId="4876033A">
        <w:tblPrEx>
          <w:tblCellMar>
            <w:top w:w="0" w:type="dxa"/>
            <w:left w:w="108" w:type="dxa"/>
            <w:bottom w:w="0" w:type="dxa"/>
            <w:right w:w="108" w:type="dxa"/>
          </w:tblCellMar>
        </w:tblPrEx>
        <w:trPr>
          <w:trHeight w:val="730" w:hRule="atLeast"/>
        </w:trPr>
        <w:tc>
          <w:tcPr>
            <w:tcW w:w="705" w:type="dxa"/>
            <w:vMerge w:val="continue"/>
            <w:tcBorders>
              <w:left w:val="single" w:color="000000" w:sz="4" w:space="0"/>
              <w:right w:val="single" w:color="000000" w:sz="4" w:space="0"/>
            </w:tcBorders>
            <w:vAlign w:val="center"/>
          </w:tcPr>
          <w:p w14:paraId="455A3EF8">
            <w:pPr>
              <w:jc w:val="center"/>
              <w:rPr>
                <w:rFonts w:ascii="宋体" w:hAnsi="宋体" w:eastAsia="宋体" w:cs="宋体"/>
                <w:b/>
                <w:bCs/>
                <w:color w:val="000000"/>
                <w:sz w:val="21"/>
                <w:szCs w:val="21"/>
                <w:highlight w:val="none"/>
              </w:rPr>
            </w:pPr>
          </w:p>
        </w:tc>
        <w:tc>
          <w:tcPr>
            <w:tcW w:w="1189" w:type="dxa"/>
            <w:vMerge w:val="continue"/>
            <w:tcBorders>
              <w:top w:val="single" w:color="000000" w:sz="4" w:space="0"/>
              <w:left w:val="single" w:color="000000" w:sz="4" w:space="0"/>
              <w:right w:val="single" w:color="000000" w:sz="4" w:space="0"/>
            </w:tcBorders>
            <w:vAlign w:val="center"/>
          </w:tcPr>
          <w:p w14:paraId="257AB889">
            <w:pPr>
              <w:jc w:val="left"/>
              <w:rPr>
                <w:rFonts w:ascii="宋体" w:hAnsi="宋体" w:eastAsia="宋体" w:cs="宋体"/>
                <w:color w:val="000000"/>
                <w:sz w:val="21"/>
                <w:szCs w:val="21"/>
                <w:highlight w:val="none"/>
              </w:rPr>
            </w:pPr>
          </w:p>
        </w:tc>
        <w:tc>
          <w:tcPr>
            <w:tcW w:w="1154" w:type="dxa"/>
            <w:tcBorders>
              <w:top w:val="single" w:color="000000" w:sz="4" w:space="0"/>
              <w:left w:val="single" w:color="000000" w:sz="4" w:space="0"/>
              <w:bottom w:val="single" w:color="000000" w:sz="4" w:space="0"/>
              <w:right w:val="single" w:color="000000" w:sz="4" w:space="0"/>
            </w:tcBorders>
            <w:vAlign w:val="center"/>
          </w:tcPr>
          <w:p w14:paraId="320188F5">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培训管理</w:t>
            </w:r>
          </w:p>
        </w:tc>
        <w:tc>
          <w:tcPr>
            <w:tcW w:w="1223" w:type="dxa"/>
            <w:tcBorders>
              <w:top w:val="single" w:color="000000" w:sz="4" w:space="0"/>
              <w:left w:val="single" w:color="000000" w:sz="4" w:space="0"/>
              <w:bottom w:val="single" w:color="000000" w:sz="4" w:space="0"/>
              <w:right w:val="single" w:color="000000" w:sz="4" w:space="0"/>
            </w:tcBorders>
            <w:vAlign w:val="center"/>
          </w:tcPr>
          <w:p w14:paraId="2CC61858">
            <w:pPr>
              <w:rPr>
                <w:rFonts w:ascii="宋体" w:hAnsi="宋体" w:eastAsia="宋体" w:cs="宋体"/>
                <w:color w:val="000000"/>
                <w:sz w:val="21"/>
                <w:szCs w:val="21"/>
                <w:highlight w:val="none"/>
              </w:rPr>
            </w:pPr>
          </w:p>
        </w:tc>
        <w:tc>
          <w:tcPr>
            <w:tcW w:w="5216" w:type="dxa"/>
            <w:tcBorders>
              <w:top w:val="single" w:color="000000" w:sz="4" w:space="0"/>
              <w:left w:val="single" w:color="000000" w:sz="4" w:space="0"/>
              <w:bottom w:val="single" w:color="000000" w:sz="4" w:space="0"/>
              <w:right w:val="single" w:color="000000" w:sz="4" w:space="0"/>
            </w:tcBorders>
            <w:vAlign w:val="center"/>
          </w:tcPr>
          <w:p w14:paraId="78FA33B9">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可为辖区内医护人员提供培训，同时可对培训过程中的视频、ppt、word等资料进行上传。可支持新增、编辑、删除、查看操作。可支持对三方培训系统中产生的信息进行接入。</w:t>
            </w:r>
          </w:p>
        </w:tc>
      </w:tr>
      <w:tr w14:paraId="26BD2BC0">
        <w:tblPrEx>
          <w:tblCellMar>
            <w:top w:w="0" w:type="dxa"/>
            <w:left w:w="108" w:type="dxa"/>
            <w:bottom w:w="0" w:type="dxa"/>
            <w:right w:w="108" w:type="dxa"/>
          </w:tblCellMar>
        </w:tblPrEx>
        <w:trPr>
          <w:trHeight w:val="730" w:hRule="atLeast"/>
        </w:trPr>
        <w:tc>
          <w:tcPr>
            <w:tcW w:w="705" w:type="dxa"/>
            <w:vMerge w:val="continue"/>
            <w:tcBorders>
              <w:left w:val="single" w:color="000000" w:sz="4" w:space="0"/>
              <w:right w:val="single" w:color="000000" w:sz="4" w:space="0"/>
            </w:tcBorders>
            <w:vAlign w:val="center"/>
          </w:tcPr>
          <w:p w14:paraId="57228BF7">
            <w:pPr>
              <w:jc w:val="center"/>
              <w:rPr>
                <w:rFonts w:ascii="宋体" w:hAnsi="宋体" w:eastAsia="宋体" w:cs="宋体"/>
                <w:b/>
                <w:bCs/>
                <w:color w:val="000000"/>
                <w:sz w:val="21"/>
                <w:szCs w:val="21"/>
                <w:highlight w:val="none"/>
              </w:rPr>
            </w:pPr>
          </w:p>
        </w:tc>
        <w:tc>
          <w:tcPr>
            <w:tcW w:w="1189" w:type="dxa"/>
            <w:vMerge w:val="continue"/>
            <w:tcBorders>
              <w:left w:val="single" w:color="000000" w:sz="4" w:space="0"/>
              <w:right w:val="single" w:color="000000" w:sz="4" w:space="0"/>
            </w:tcBorders>
            <w:vAlign w:val="center"/>
          </w:tcPr>
          <w:p w14:paraId="659CC7C5">
            <w:pPr>
              <w:jc w:val="left"/>
              <w:rPr>
                <w:rFonts w:ascii="宋体" w:hAnsi="宋体" w:eastAsia="宋体" w:cs="宋体"/>
                <w:color w:val="000000"/>
                <w:sz w:val="21"/>
                <w:szCs w:val="21"/>
                <w:highlight w:val="none"/>
              </w:rPr>
            </w:pPr>
          </w:p>
        </w:tc>
        <w:tc>
          <w:tcPr>
            <w:tcW w:w="1154" w:type="dxa"/>
            <w:tcBorders>
              <w:top w:val="single" w:color="000000" w:sz="4" w:space="0"/>
              <w:left w:val="single" w:color="000000" w:sz="4" w:space="0"/>
              <w:bottom w:val="single" w:color="000000" w:sz="4" w:space="0"/>
              <w:right w:val="single" w:color="000000" w:sz="4" w:space="0"/>
            </w:tcBorders>
            <w:vAlign w:val="center"/>
          </w:tcPr>
          <w:p w14:paraId="7DD0501C">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健教发布管理</w:t>
            </w:r>
          </w:p>
        </w:tc>
        <w:tc>
          <w:tcPr>
            <w:tcW w:w="1223" w:type="dxa"/>
            <w:tcBorders>
              <w:top w:val="single" w:color="000000" w:sz="4" w:space="0"/>
              <w:left w:val="single" w:color="000000" w:sz="4" w:space="0"/>
              <w:bottom w:val="single" w:color="000000" w:sz="4" w:space="0"/>
              <w:right w:val="single" w:color="000000" w:sz="4" w:space="0"/>
            </w:tcBorders>
            <w:vAlign w:val="center"/>
          </w:tcPr>
          <w:p w14:paraId="5CA01A06">
            <w:pPr>
              <w:rPr>
                <w:rFonts w:ascii="宋体" w:hAnsi="宋体" w:eastAsia="宋体" w:cs="宋体"/>
                <w:color w:val="000000"/>
                <w:sz w:val="21"/>
                <w:szCs w:val="21"/>
                <w:highlight w:val="none"/>
              </w:rPr>
            </w:pPr>
          </w:p>
        </w:tc>
        <w:tc>
          <w:tcPr>
            <w:tcW w:w="5216" w:type="dxa"/>
            <w:tcBorders>
              <w:top w:val="single" w:color="000000" w:sz="4" w:space="0"/>
              <w:left w:val="single" w:color="000000" w:sz="4" w:space="0"/>
              <w:bottom w:val="single" w:color="000000" w:sz="4" w:space="0"/>
              <w:right w:val="single" w:color="000000" w:sz="4" w:space="0"/>
            </w:tcBorders>
            <w:vAlign w:val="center"/>
          </w:tcPr>
          <w:p w14:paraId="10276118">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支持将健康教育的信息进行发布，以便居民在移动端进行查阅健康教育的信息，发布时可对健康课堂和健康活动两类信息进行发布，健康课堂包含慢病课堂和肿瘤指导，健康活动包含健教活动和健教宣传栏。发布后可在移动端进行查看。支持新增、编辑、停用、删除和查看操作</w:t>
            </w:r>
          </w:p>
        </w:tc>
      </w:tr>
      <w:tr w14:paraId="3F9BA579">
        <w:tblPrEx>
          <w:tblCellMar>
            <w:top w:w="0" w:type="dxa"/>
            <w:left w:w="108" w:type="dxa"/>
            <w:bottom w:w="0" w:type="dxa"/>
            <w:right w:w="108" w:type="dxa"/>
          </w:tblCellMar>
        </w:tblPrEx>
        <w:trPr>
          <w:trHeight w:val="316" w:hRule="atLeast"/>
        </w:trPr>
        <w:tc>
          <w:tcPr>
            <w:tcW w:w="705" w:type="dxa"/>
            <w:vMerge w:val="continue"/>
            <w:tcBorders>
              <w:left w:val="single" w:color="000000" w:sz="4" w:space="0"/>
              <w:right w:val="single" w:color="000000" w:sz="4" w:space="0"/>
            </w:tcBorders>
            <w:vAlign w:val="center"/>
          </w:tcPr>
          <w:p w14:paraId="68C3CADB">
            <w:pPr>
              <w:jc w:val="center"/>
              <w:rPr>
                <w:rFonts w:ascii="宋体" w:hAnsi="宋体" w:eastAsia="宋体" w:cs="宋体"/>
                <w:b/>
                <w:bCs/>
                <w:color w:val="000000"/>
                <w:sz w:val="21"/>
                <w:szCs w:val="21"/>
                <w:highlight w:val="none"/>
              </w:rPr>
            </w:pPr>
          </w:p>
        </w:tc>
        <w:tc>
          <w:tcPr>
            <w:tcW w:w="1189" w:type="dxa"/>
            <w:tcBorders>
              <w:left w:val="single" w:color="000000" w:sz="4" w:space="0"/>
              <w:right w:val="single" w:color="000000" w:sz="4" w:space="0"/>
            </w:tcBorders>
            <w:vAlign w:val="center"/>
          </w:tcPr>
          <w:p w14:paraId="6B0CB666">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医患管理</w:t>
            </w:r>
          </w:p>
        </w:tc>
        <w:tc>
          <w:tcPr>
            <w:tcW w:w="1154" w:type="dxa"/>
            <w:tcBorders>
              <w:top w:val="single" w:color="000000" w:sz="4" w:space="0"/>
              <w:left w:val="single" w:color="000000" w:sz="4" w:space="0"/>
              <w:bottom w:val="single" w:color="000000" w:sz="4" w:space="0"/>
              <w:right w:val="single" w:color="000000" w:sz="4" w:space="0"/>
            </w:tcBorders>
            <w:vAlign w:val="center"/>
          </w:tcPr>
          <w:p w14:paraId="10F338CE">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患者行为督导</w:t>
            </w:r>
          </w:p>
        </w:tc>
        <w:tc>
          <w:tcPr>
            <w:tcW w:w="1223" w:type="dxa"/>
            <w:tcBorders>
              <w:top w:val="single" w:color="000000" w:sz="4" w:space="0"/>
              <w:left w:val="single" w:color="000000" w:sz="4" w:space="0"/>
              <w:bottom w:val="single" w:color="000000" w:sz="4" w:space="0"/>
              <w:right w:val="single" w:color="000000" w:sz="4" w:space="0"/>
            </w:tcBorders>
            <w:vAlign w:val="center"/>
          </w:tcPr>
          <w:p w14:paraId="6B256C2B">
            <w:pPr>
              <w:jc w:val="left"/>
              <w:rPr>
                <w:rFonts w:ascii="宋体" w:hAnsi="宋体" w:eastAsia="宋体" w:cs="宋体"/>
                <w:color w:val="000000"/>
                <w:sz w:val="21"/>
                <w:szCs w:val="21"/>
                <w:highlight w:val="none"/>
              </w:rPr>
            </w:pPr>
          </w:p>
        </w:tc>
        <w:tc>
          <w:tcPr>
            <w:tcW w:w="5216" w:type="dxa"/>
            <w:tcBorders>
              <w:top w:val="single" w:color="000000" w:sz="4" w:space="0"/>
              <w:left w:val="single" w:color="000000" w:sz="4" w:space="0"/>
              <w:bottom w:val="single" w:color="000000" w:sz="4" w:space="0"/>
              <w:right w:val="single" w:color="000000" w:sz="4" w:space="0"/>
            </w:tcBorders>
            <w:vAlign w:val="center"/>
          </w:tcPr>
          <w:p w14:paraId="6E202654">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可展示医生对患者制定的健康指导信息，健康指导信息会同步至居民端形成当日提醒，居民可在居居民端对提醒信息完成后进行如实填写，填写后同步至居民端。支持编辑、取消、恢复、查看操作。</w:t>
            </w:r>
          </w:p>
        </w:tc>
      </w:tr>
      <w:tr w14:paraId="08FCF5B7">
        <w:tblPrEx>
          <w:tblCellMar>
            <w:top w:w="0" w:type="dxa"/>
            <w:left w:w="108" w:type="dxa"/>
            <w:bottom w:w="0" w:type="dxa"/>
            <w:right w:w="108" w:type="dxa"/>
          </w:tblCellMar>
        </w:tblPrEx>
        <w:trPr>
          <w:trHeight w:val="730" w:hRule="atLeast"/>
        </w:trPr>
        <w:tc>
          <w:tcPr>
            <w:tcW w:w="705" w:type="dxa"/>
            <w:vMerge w:val="continue"/>
            <w:tcBorders>
              <w:left w:val="single" w:color="000000" w:sz="4" w:space="0"/>
              <w:right w:val="single" w:color="000000" w:sz="4" w:space="0"/>
            </w:tcBorders>
            <w:vAlign w:val="center"/>
          </w:tcPr>
          <w:p w14:paraId="41852E95">
            <w:pPr>
              <w:jc w:val="center"/>
              <w:rPr>
                <w:rFonts w:ascii="宋体" w:hAnsi="宋体" w:eastAsia="宋体" w:cs="宋体"/>
                <w:b/>
                <w:bCs/>
                <w:color w:val="000000"/>
                <w:sz w:val="21"/>
                <w:szCs w:val="21"/>
                <w:highlight w:val="none"/>
              </w:rPr>
            </w:pPr>
          </w:p>
        </w:tc>
        <w:tc>
          <w:tcPr>
            <w:tcW w:w="1189" w:type="dxa"/>
            <w:vMerge w:val="restart"/>
            <w:tcBorders>
              <w:left w:val="single" w:color="000000" w:sz="4" w:space="0"/>
              <w:right w:val="single" w:color="000000" w:sz="4" w:space="0"/>
            </w:tcBorders>
            <w:vAlign w:val="center"/>
          </w:tcPr>
          <w:p w14:paraId="4FBFE381">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转会诊通</w:t>
            </w:r>
          </w:p>
        </w:tc>
        <w:tc>
          <w:tcPr>
            <w:tcW w:w="1154" w:type="dxa"/>
            <w:tcBorders>
              <w:left w:val="single" w:color="000000" w:sz="4" w:space="0"/>
              <w:right w:val="single" w:color="000000" w:sz="4" w:space="0"/>
            </w:tcBorders>
            <w:vAlign w:val="center"/>
          </w:tcPr>
          <w:p w14:paraId="45842A80">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业务变更申请</w:t>
            </w:r>
          </w:p>
        </w:tc>
        <w:tc>
          <w:tcPr>
            <w:tcW w:w="1223" w:type="dxa"/>
            <w:tcBorders>
              <w:top w:val="single" w:color="000000" w:sz="4" w:space="0"/>
              <w:left w:val="single" w:color="000000" w:sz="4" w:space="0"/>
              <w:bottom w:val="single" w:color="000000" w:sz="4" w:space="0"/>
              <w:right w:val="single" w:color="000000" w:sz="4" w:space="0"/>
            </w:tcBorders>
            <w:vAlign w:val="center"/>
          </w:tcPr>
          <w:p w14:paraId="248AE3F5">
            <w:pPr>
              <w:rPr>
                <w:rFonts w:ascii="宋体" w:hAnsi="宋体" w:eastAsia="宋体" w:cs="宋体"/>
                <w:color w:val="000000"/>
                <w:sz w:val="21"/>
                <w:szCs w:val="21"/>
                <w:highlight w:val="none"/>
              </w:rPr>
            </w:pPr>
          </w:p>
        </w:tc>
        <w:tc>
          <w:tcPr>
            <w:tcW w:w="5216" w:type="dxa"/>
            <w:tcBorders>
              <w:top w:val="single" w:color="000000" w:sz="4" w:space="0"/>
              <w:left w:val="single" w:color="000000" w:sz="4" w:space="0"/>
              <w:bottom w:val="single" w:color="000000" w:sz="4" w:space="0"/>
              <w:right w:val="single" w:color="000000" w:sz="4" w:space="0"/>
            </w:tcBorders>
            <w:vAlign w:val="center"/>
          </w:tcPr>
          <w:p w14:paraId="7C38174E">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针对机构内的慢病或肿瘤业务发生管理医生或移交医生变更时，医生可自行发起管理业务变更，变更发起后由审核人员进行审核，可自行设置审核人员。支持新增操作。</w:t>
            </w:r>
          </w:p>
        </w:tc>
      </w:tr>
      <w:tr w14:paraId="33C77106">
        <w:tblPrEx>
          <w:tblCellMar>
            <w:top w:w="0" w:type="dxa"/>
            <w:left w:w="108" w:type="dxa"/>
            <w:bottom w:w="0" w:type="dxa"/>
            <w:right w:w="108" w:type="dxa"/>
          </w:tblCellMar>
        </w:tblPrEx>
        <w:trPr>
          <w:trHeight w:val="730" w:hRule="atLeast"/>
        </w:trPr>
        <w:tc>
          <w:tcPr>
            <w:tcW w:w="705" w:type="dxa"/>
            <w:vMerge w:val="continue"/>
            <w:tcBorders>
              <w:left w:val="single" w:color="000000" w:sz="4" w:space="0"/>
              <w:right w:val="single" w:color="000000" w:sz="4" w:space="0"/>
            </w:tcBorders>
            <w:vAlign w:val="center"/>
          </w:tcPr>
          <w:p w14:paraId="6635D969">
            <w:pPr>
              <w:jc w:val="center"/>
              <w:rPr>
                <w:rFonts w:ascii="宋体" w:hAnsi="宋体" w:eastAsia="宋体" w:cs="宋体"/>
                <w:b/>
                <w:bCs/>
                <w:color w:val="000000"/>
                <w:sz w:val="21"/>
                <w:szCs w:val="21"/>
                <w:highlight w:val="none"/>
              </w:rPr>
            </w:pPr>
          </w:p>
        </w:tc>
        <w:tc>
          <w:tcPr>
            <w:tcW w:w="1189" w:type="dxa"/>
            <w:vMerge w:val="continue"/>
            <w:tcBorders>
              <w:left w:val="single" w:color="000000" w:sz="4" w:space="0"/>
              <w:right w:val="single" w:color="000000" w:sz="4" w:space="0"/>
            </w:tcBorders>
            <w:vAlign w:val="center"/>
          </w:tcPr>
          <w:p w14:paraId="454EE271">
            <w:pPr>
              <w:jc w:val="left"/>
              <w:rPr>
                <w:rFonts w:ascii="宋体" w:hAnsi="宋体" w:eastAsia="宋体" w:cs="宋体"/>
                <w:color w:val="000000"/>
                <w:sz w:val="21"/>
                <w:szCs w:val="21"/>
                <w:highlight w:val="none"/>
              </w:rPr>
            </w:pPr>
          </w:p>
        </w:tc>
        <w:tc>
          <w:tcPr>
            <w:tcW w:w="1154" w:type="dxa"/>
            <w:tcBorders>
              <w:left w:val="single" w:color="000000" w:sz="4" w:space="0"/>
              <w:right w:val="single" w:color="000000" w:sz="4" w:space="0"/>
            </w:tcBorders>
            <w:vAlign w:val="center"/>
          </w:tcPr>
          <w:p w14:paraId="4D34823B">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业务变更审核</w:t>
            </w:r>
          </w:p>
        </w:tc>
        <w:tc>
          <w:tcPr>
            <w:tcW w:w="1223" w:type="dxa"/>
            <w:tcBorders>
              <w:top w:val="single" w:color="000000" w:sz="4" w:space="0"/>
              <w:left w:val="single" w:color="000000" w:sz="4" w:space="0"/>
              <w:bottom w:val="single" w:color="000000" w:sz="4" w:space="0"/>
              <w:right w:val="single" w:color="000000" w:sz="4" w:space="0"/>
            </w:tcBorders>
            <w:vAlign w:val="center"/>
          </w:tcPr>
          <w:p w14:paraId="0D3A888A">
            <w:pPr>
              <w:rPr>
                <w:rFonts w:ascii="宋体" w:hAnsi="宋体" w:eastAsia="宋体" w:cs="宋体"/>
                <w:color w:val="000000"/>
                <w:sz w:val="21"/>
                <w:szCs w:val="21"/>
                <w:highlight w:val="none"/>
              </w:rPr>
            </w:pPr>
          </w:p>
        </w:tc>
        <w:tc>
          <w:tcPr>
            <w:tcW w:w="5216" w:type="dxa"/>
            <w:tcBorders>
              <w:top w:val="single" w:color="000000" w:sz="4" w:space="0"/>
              <w:left w:val="single" w:color="000000" w:sz="4" w:space="0"/>
              <w:bottom w:val="single" w:color="000000" w:sz="4" w:space="0"/>
              <w:right w:val="single" w:color="000000" w:sz="4" w:space="0"/>
            </w:tcBorders>
            <w:vAlign w:val="center"/>
          </w:tcPr>
          <w:p w14:paraId="287157C3">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审核人员对医生发起的申请进行审核，审核成功后，则医生管理业务块下的患者都将自动变更为业务接管医生。支持审核操作。</w:t>
            </w:r>
          </w:p>
        </w:tc>
      </w:tr>
      <w:tr w14:paraId="68BF40CC">
        <w:tblPrEx>
          <w:tblCellMar>
            <w:top w:w="0" w:type="dxa"/>
            <w:left w:w="108" w:type="dxa"/>
            <w:bottom w:w="0" w:type="dxa"/>
            <w:right w:w="108" w:type="dxa"/>
          </w:tblCellMar>
        </w:tblPrEx>
        <w:trPr>
          <w:trHeight w:val="730" w:hRule="atLeast"/>
        </w:trPr>
        <w:tc>
          <w:tcPr>
            <w:tcW w:w="705" w:type="dxa"/>
            <w:vMerge w:val="continue"/>
            <w:tcBorders>
              <w:left w:val="single" w:color="000000" w:sz="4" w:space="0"/>
              <w:right w:val="single" w:color="000000" w:sz="4" w:space="0"/>
            </w:tcBorders>
            <w:vAlign w:val="center"/>
          </w:tcPr>
          <w:p w14:paraId="477EB486">
            <w:pPr>
              <w:jc w:val="center"/>
              <w:rPr>
                <w:rFonts w:ascii="宋体" w:hAnsi="宋体" w:eastAsia="宋体" w:cs="宋体"/>
                <w:b/>
                <w:bCs/>
                <w:color w:val="000000"/>
                <w:sz w:val="21"/>
                <w:szCs w:val="21"/>
                <w:highlight w:val="none"/>
              </w:rPr>
            </w:pPr>
          </w:p>
        </w:tc>
        <w:tc>
          <w:tcPr>
            <w:tcW w:w="1189" w:type="dxa"/>
            <w:vMerge w:val="continue"/>
            <w:tcBorders>
              <w:top w:val="single" w:color="000000" w:sz="4" w:space="0"/>
              <w:left w:val="single" w:color="000000" w:sz="4" w:space="0"/>
              <w:right w:val="single" w:color="000000" w:sz="4" w:space="0"/>
            </w:tcBorders>
            <w:vAlign w:val="center"/>
          </w:tcPr>
          <w:p w14:paraId="766301EF">
            <w:pPr>
              <w:jc w:val="left"/>
              <w:rPr>
                <w:rFonts w:ascii="宋体" w:hAnsi="宋体" w:eastAsia="宋体" w:cs="宋体"/>
                <w:color w:val="000000"/>
                <w:sz w:val="21"/>
                <w:szCs w:val="21"/>
                <w:highlight w:val="none"/>
              </w:rPr>
            </w:pPr>
          </w:p>
        </w:tc>
        <w:tc>
          <w:tcPr>
            <w:tcW w:w="1154" w:type="dxa"/>
            <w:tcBorders>
              <w:left w:val="single" w:color="000000" w:sz="4" w:space="0"/>
              <w:right w:val="single" w:color="000000" w:sz="4" w:space="0"/>
            </w:tcBorders>
            <w:vAlign w:val="center"/>
          </w:tcPr>
          <w:p w14:paraId="4F988006">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诊转服务</w:t>
            </w:r>
          </w:p>
        </w:tc>
        <w:tc>
          <w:tcPr>
            <w:tcW w:w="1223" w:type="dxa"/>
            <w:tcBorders>
              <w:top w:val="single" w:color="000000" w:sz="4" w:space="0"/>
              <w:left w:val="single" w:color="000000" w:sz="4" w:space="0"/>
              <w:bottom w:val="single" w:color="000000" w:sz="4" w:space="0"/>
              <w:right w:val="single" w:color="000000" w:sz="4" w:space="0"/>
            </w:tcBorders>
            <w:vAlign w:val="center"/>
          </w:tcPr>
          <w:p w14:paraId="0DDE2E16">
            <w:pPr>
              <w:rPr>
                <w:rFonts w:ascii="宋体" w:hAnsi="宋体" w:eastAsia="宋体" w:cs="宋体"/>
                <w:color w:val="000000"/>
                <w:sz w:val="21"/>
                <w:szCs w:val="21"/>
                <w:highlight w:val="none"/>
              </w:rPr>
            </w:pPr>
          </w:p>
        </w:tc>
        <w:tc>
          <w:tcPr>
            <w:tcW w:w="5216" w:type="dxa"/>
            <w:tcBorders>
              <w:top w:val="single" w:color="000000" w:sz="4" w:space="0"/>
              <w:left w:val="single" w:color="000000" w:sz="4" w:space="0"/>
              <w:bottom w:val="single" w:color="000000" w:sz="4" w:space="0"/>
              <w:right w:val="single" w:color="000000" w:sz="4" w:space="0"/>
            </w:tcBorders>
            <w:vAlign w:val="center"/>
          </w:tcPr>
          <w:p w14:paraId="1EBBB5AA">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支持对患者的慢病或肿瘤责任医生的管理权限的信息记录。</w:t>
            </w:r>
          </w:p>
        </w:tc>
      </w:tr>
      <w:tr w14:paraId="5AF801E6">
        <w:tblPrEx>
          <w:tblCellMar>
            <w:top w:w="0" w:type="dxa"/>
            <w:left w:w="108" w:type="dxa"/>
            <w:bottom w:w="0" w:type="dxa"/>
            <w:right w:w="108" w:type="dxa"/>
          </w:tblCellMar>
        </w:tblPrEx>
        <w:trPr>
          <w:trHeight w:val="730" w:hRule="atLeast"/>
        </w:trPr>
        <w:tc>
          <w:tcPr>
            <w:tcW w:w="705" w:type="dxa"/>
            <w:vMerge w:val="continue"/>
            <w:tcBorders>
              <w:left w:val="single" w:color="000000" w:sz="4" w:space="0"/>
              <w:right w:val="single" w:color="000000" w:sz="4" w:space="0"/>
            </w:tcBorders>
            <w:vAlign w:val="center"/>
          </w:tcPr>
          <w:p w14:paraId="0C977D96">
            <w:pPr>
              <w:jc w:val="center"/>
              <w:rPr>
                <w:rFonts w:ascii="宋体" w:hAnsi="宋体" w:eastAsia="宋体" w:cs="宋体"/>
                <w:b/>
                <w:bCs/>
                <w:color w:val="000000"/>
                <w:sz w:val="21"/>
                <w:szCs w:val="21"/>
                <w:highlight w:val="none"/>
              </w:rPr>
            </w:pPr>
          </w:p>
        </w:tc>
        <w:tc>
          <w:tcPr>
            <w:tcW w:w="1189" w:type="dxa"/>
            <w:vMerge w:val="continue"/>
            <w:tcBorders>
              <w:left w:val="single" w:color="000000" w:sz="4" w:space="0"/>
              <w:right w:val="single" w:color="000000" w:sz="4" w:space="0"/>
            </w:tcBorders>
            <w:vAlign w:val="center"/>
          </w:tcPr>
          <w:p w14:paraId="7D19F6F2">
            <w:pPr>
              <w:jc w:val="left"/>
              <w:rPr>
                <w:rFonts w:ascii="宋体" w:hAnsi="宋体" w:eastAsia="宋体" w:cs="宋体"/>
                <w:color w:val="000000"/>
                <w:sz w:val="21"/>
                <w:szCs w:val="21"/>
                <w:highlight w:val="none"/>
              </w:rPr>
            </w:pPr>
          </w:p>
        </w:tc>
        <w:tc>
          <w:tcPr>
            <w:tcW w:w="1154" w:type="dxa"/>
            <w:tcBorders>
              <w:left w:val="single" w:color="000000" w:sz="4" w:space="0"/>
              <w:right w:val="single" w:color="000000" w:sz="4" w:space="0"/>
            </w:tcBorders>
            <w:vAlign w:val="center"/>
          </w:tcPr>
          <w:p w14:paraId="544AA469">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转诊管理</w:t>
            </w:r>
          </w:p>
        </w:tc>
        <w:tc>
          <w:tcPr>
            <w:tcW w:w="1223" w:type="dxa"/>
            <w:tcBorders>
              <w:top w:val="single" w:color="000000" w:sz="4" w:space="0"/>
              <w:left w:val="single" w:color="000000" w:sz="4" w:space="0"/>
              <w:bottom w:val="single" w:color="000000" w:sz="4" w:space="0"/>
              <w:right w:val="single" w:color="000000" w:sz="4" w:space="0"/>
            </w:tcBorders>
            <w:vAlign w:val="center"/>
          </w:tcPr>
          <w:p w14:paraId="629F2F4F">
            <w:pPr>
              <w:rPr>
                <w:rFonts w:ascii="宋体" w:hAnsi="宋体" w:eastAsia="宋体" w:cs="宋体"/>
                <w:color w:val="000000"/>
                <w:sz w:val="21"/>
                <w:szCs w:val="21"/>
                <w:highlight w:val="none"/>
              </w:rPr>
            </w:pPr>
          </w:p>
        </w:tc>
        <w:tc>
          <w:tcPr>
            <w:tcW w:w="5216" w:type="dxa"/>
            <w:tcBorders>
              <w:top w:val="single" w:color="000000" w:sz="4" w:space="0"/>
              <w:left w:val="single" w:color="000000" w:sz="4" w:space="0"/>
              <w:bottom w:val="single" w:color="000000" w:sz="4" w:space="0"/>
              <w:right w:val="single" w:color="000000" w:sz="4" w:space="0"/>
            </w:tcBorders>
            <w:vAlign w:val="center"/>
          </w:tcPr>
          <w:p w14:paraId="33A08713">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支持对高血压/糖尿病/慢阻肺患者发起转诊申请，接诊机构同意转诊后，则居民的该疾病业务则有接诊机构进行管理。支持新增、编辑、查看操作。</w:t>
            </w:r>
          </w:p>
        </w:tc>
      </w:tr>
      <w:tr w14:paraId="3905FD95">
        <w:tblPrEx>
          <w:tblCellMar>
            <w:top w:w="0" w:type="dxa"/>
            <w:left w:w="108" w:type="dxa"/>
            <w:bottom w:w="0" w:type="dxa"/>
            <w:right w:w="108" w:type="dxa"/>
          </w:tblCellMar>
        </w:tblPrEx>
        <w:trPr>
          <w:trHeight w:val="618" w:hRule="atLeast"/>
        </w:trPr>
        <w:tc>
          <w:tcPr>
            <w:tcW w:w="705" w:type="dxa"/>
            <w:vMerge w:val="continue"/>
            <w:tcBorders>
              <w:left w:val="single" w:color="000000" w:sz="4" w:space="0"/>
              <w:right w:val="single" w:color="000000" w:sz="4" w:space="0"/>
            </w:tcBorders>
            <w:vAlign w:val="center"/>
          </w:tcPr>
          <w:p w14:paraId="34DCFD5D">
            <w:pPr>
              <w:jc w:val="center"/>
              <w:rPr>
                <w:rFonts w:ascii="宋体" w:hAnsi="宋体" w:eastAsia="宋体" w:cs="宋体"/>
                <w:b/>
                <w:bCs/>
                <w:color w:val="000000"/>
                <w:sz w:val="21"/>
                <w:szCs w:val="21"/>
                <w:highlight w:val="none"/>
              </w:rPr>
            </w:pPr>
          </w:p>
        </w:tc>
        <w:tc>
          <w:tcPr>
            <w:tcW w:w="1189" w:type="dxa"/>
            <w:vMerge w:val="continue"/>
            <w:tcBorders>
              <w:left w:val="single" w:color="000000" w:sz="4" w:space="0"/>
              <w:right w:val="single" w:color="000000" w:sz="4" w:space="0"/>
            </w:tcBorders>
            <w:vAlign w:val="center"/>
          </w:tcPr>
          <w:p w14:paraId="1F00934C">
            <w:pPr>
              <w:jc w:val="left"/>
              <w:rPr>
                <w:rFonts w:ascii="宋体" w:hAnsi="宋体" w:eastAsia="宋体" w:cs="宋体"/>
                <w:color w:val="000000"/>
                <w:sz w:val="21"/>
                <w:szCs w:val="21"/>
                <w:highlight w:val="none"/>
              </w:rPr>
            </w:pPr>
          </w:p>
        </w:tc>
        <w:tc>
          <w:tcPr>
            <w:tcW w:w="1154" w:type="dxa"/>
            <w:tcBorders>
              <w:left w:val="single" w:color="000000" w:sz="4" w:space="0"/>
              <w:right w:val="single" w:color="000000" w:sz="4" w:space="0"/>
            </w:tcBorders>
            <w:vAlign w:val="center"/>
          </w:tcPr>
          <w:p w14:paraId="233A8B6A">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会诊管理</w:t>
            </w:r>
          </w:p>
        </w:tc>
        <w:tc>
          <w:tcPr>
            <w:tcW w:w="1223" w:type="dxa"/>
            <w:tcBorders>
              <w:top w:val="single" w:color="000000" w:sz="4" w:space="0"/>
              <w:left w:val="single" w:color="000000" w:sz="4" w:space="0"/>
              <w:bottom w:val="single" w:color="000000" w:sz="4" w:space="0"/>
              <w:right w:val="single" w:color="000000" w:sz="4" w:space="0"/>
            </w:tcBorders>
            <w:vAlign w:val="center"/>
          </w:tcPr>
          <w:p w14:paraId="1530B344">
            <w:pPr>
              <w:rPr>
                <w:rFonts w:ascii="宋体" w:hAnsi="宋体" w:eastAsia="宋体" w:cs="宋体"/>
                <w:color w:val="000000"/>
                <w:sz w:val="21"/>
                <w:szCs w:val="21"/>
                <w:highlight w:val="none"/>
              </w:rPr>
            </w:pPr>
          </w:p>
        </w:tc>
        <w:tc>
          <w:tcPr>
            <w:tcW w:w="5216" w:type="dxa"/>
            <w:tcBorders>
              <w:top w:val="single" w:color="000000" w:sz="4" w:space="0"/>
              <w:left w:val="single" w:color="000000" w:sz="4" w:space="0"/>
              <w:bottom w:val="single" w:color="000000" w:sz="4" w:space="0"/>
              <w:right w:val="single" w:color="000000" w:sz="4" w:space="0"/>
            </w:tcBorders>
            <w:vAlign w:val="center"/>
          </w:tcPr>
          <w:p w14:paraId="206807C2">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支持对高血压/糖尿病/慢阻肺患者发起会诊申请，可在会诊中填写相关的会诊报告信息。支持新增、编辑、查看操作。</w:t>
            </w:r>
          </w:p>
        </w:tc>
      </w:tr>
      <w:tr w14:paraId="4A2338FA">
        <w:tblPrEx>
          <w:tblCellMar>
            <w:top w:w="0" w:type="dxa"/>
            <w:left w:w="108" w:type="dxa"/>
            <w:bottom w:w="0" w:type="dxa"/>
            <w:right w:w="108" w:type="dxa"/>
          </w:tblCellMar>
        </w:tblPrEx>
        <w:trPr>
          <w:trHeight w:val="730" w:hRule="atLeast"/>
        </w:trPr>
        <w:tc>
          <w:tcPr>
            <w:tcW w:w="705" w:type="dxa"/>
            <w:vMerge w:val="continue"/>
            <w:tcBorders>
              <w:left w:val="single" w:color="000000" w:sz="4" w:space="0"/>
              <w:right w:val="single" w:color="000000" w:sz="4" w:space="0"/>
            </w:tcBorders>
            <w:vAlign w:val="center"/>
          </w:tcPr>
          <w:p w14:paraId="24E14D9F">
            <w:pPr>
              <w:jc w:val="center"/>
              <w:rPr>
                <w:rFonts w:ascii="宋体" w:hAnsi="宋体" w:eastAsia="宋体" w:cs="宋体"/>
                <w:b/>
                <w:bCs/>
                <w:color w:val="000000"/>
                <w:sz w:val="21"/>
                <w:szCs w:val="21"/>
                <w:highlight w:val="none"/>
              </w:rPr>
            </w:pPr>
          </w:p>
        </w:tc>
        <w:tc>
          <w:tcPr>
            <w:tcW w:w="1189" w:type="dxa"/>
            <w:vMerge w:val="restart"/>
            <w:tcBorders>
              <w:left w:val="single" w:color="000000" w:sz="4" w:space="0"/>
              <w:right w:val="single" w:color="000000" w:sz="4" w:space="0"/>
            </w:tcBorders>
            <w:vAlign w:val="center"/>
          </w:tcPr>
          <w:p w14:paraId="23C26561">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与诊疗融合</w:t>
            </w:r>
          </w:p>
        </w:tc>
        <w:tc>
          <w:tcPr>
            <w:tcW w:w="1154" w:type="dxa"/>
            <w:vMerge w:val="restart"/>
            <w:tcBorders>
              <w:left w:val="single" w:color="000000" w:sz="4" w:space="0"/>
              <w:right w:val="single" w:color="000000" w:sz="4" w:space="0"/>
            </w:tcBorders>
            <w:vAlign w:val="center"/>
          </w:tcPr>
          <w:p w14:paraId="303FE029">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门诊业务交互</w:t>
            </w:r>
          </w:p>
        </w:tc>
        <w:tc>
          <w:tcPr>
            <w:tcW w:w="1223" w:type="dxa"/>
            <w:tcBorders>
              <w:top w:val="single" w:color="000000" w:sz="4" w:space="0"/>
              <w:left w:val="single" w:color="000000" w:sz="4" w:space="0"/>
              <w:bottom w:val="single" w:color="000000" w:sz="4" w:space="0"/>
              <w:right w:val="single" w:color="000000" w:sz="4" w:space="0"/>
            </w:tcBorders>
            <w:vAlign w:val="center"/>
          </w:tcPr>
          <w:p w14:paraId="326B60D6">
            <w:pPr>
              <w:jc w:val="left"/>
              <w:rPr>
                <w:rFonts w:ascii="宋体" w:hAnsi="宋体" w:eastAsia="宋体" w:cs="宋体"/>
                <w:color w:val="000000"/>
                <w:sz w:val="21"/>
                <w:szCs w:val="21"/>
                <w:highlight w:val="none"/>
              </w:rPr>
            </w:pPr>
          </w:p>
        </w:tc>
        <w:tc>
          <w:tcPr>
            <w:tcW w:w="5216" w:type="dxa"/>
            <w:tcBorders>
              <w:top w:val="single" w:color="000000" w:sz="4" w:space="0"/>
              <w:left w:val="single" w:color="000000" w:sz="4" w:space="0"/>
              <w:bottom w:val="single" w:color="000000" w:sz="4" w:space="0"/>
              <w:right w:val="single" w:color="000000" w:sz="4" w:space="0"/>
            </w:tcBorders>
            <w:vAlign w:val="center"/>
          </w:tcPr>
          <w:p w14:paraId="5F213EAE">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▲门诊/住院打开诊断的专项和既往已建档的随访。专项对应诊断，随访按照提前提醒周期出现随访页面。随访页面出现时开放随访历史列表出现获取最新体征功能。</w:t>
            </w:r>
          </w:p>
        </w:tc>
      </w:tr>
      <w:tr w14:paraId="5230C010">
        <w:tblPrEx>
          <w:tblCellMar>
            <w:top w:w="0" w:type="dxa"/>
            <w:left w:w="108" w:type="dxa"/>
            <w:bottom w:w="0" w:type="dxa"/>
            <w:right w:w="108" w:type="dxa"/>
          </w:tblCellMar>
        </w:tblPrEx>
        <w:trPr>
          <w:trHeight w:val="730" w:hRule="atLeast"/>
        </w:trPr>
        <w:tc>
          <w:tcPr>
            <w:tcW w:w="705" w:type="dxa"/>
            <w:vMerge w:val="continue"/>
            <w:tcBorders>
              <w:left w:val="single" w:color="000000" w:sz="4" w:space="0"/>
              <w:right w:val="single" w:color="000000" w:sz="4" w:space="0"/>
            </w:tcBorders>
            <w:vAlign w:val="center"/>
          </w:tcPr>
          <w:p w14:paraId="1E5C6ADE">
            <w:pPr>
              <w:jc w:val="center"/>
              <w:rPr>
                <w:rFonts w:ascii="宋体" w:hAnsi="宋体" w:eastAsia="宋体" w:cs="宋体"/>
                <w:b/>
                <w:bCs/>
                <w:color w:val="000000"/>
                <w:sz w:val="21"/>
                <w:szCs w:val="21"/>
                <w:highlight w:val="none"/>
              </w:rPr>
            </w:pPr>
          </w:p>
        </w:tc>
        <w:tc>
          <w:tcPr>
            <w:tcW w:w="1189" w:type="dxa"/>
            <w:vMerge w:val="continue"/>
            <w:tcBorders>
              <w:left w:val="single" w:color="000000" w:sz="4" w:space="0"/>
              <w:right w:val="single" w:color="000000" w:sz="4" w:space="0"/>
            </w:tcBorders>
            <w:vAlign w:val="center"/>
          </w:tcPr>
          <w:p w14:paraId="34409253">
            <w:pPr>
              <w:jc w:val="left"/>
              <w:rPr>
                <w:rFonts w:ascii="宋体" w:hAnsi="宋体" w:eastAsia="宋体" w:cs="宋体"/>
                <w:color w:val="000000"/>
                <w:sz w:val="21"/>
                <w:szCs w:val="21"/>
                <w:highlight w:val="none"/>
              </w:rPr>
            </w:pPr>
          </w:p>
        </w:tc>
        <w:tc>
          <w:tcPr>
            <w:tcW w:w="1154" w:type="dxa"/>
            <w:vMerge w:val="continue"/>
            <w:tcBorders>
              <w:left w:val="single" w:color="000000" w:sz="4" w:space="0"/>
              <w:right w:val="single" w:color="000000" w:sz="4" w:space="0"/>
            </w:tcBorders>
            <w:vAlign w:val="center"/>
          </w:tcPr>
          <w:p w14:paraId="765D15E5">
            <w:pPr>
              <w:jc w:val="left"/>
              <w:rPr>
                <w:rFonts w:ascii="宋体" w:hAnsi="宋体" w:eastAsia="宋体" w:cs="宋体"/>
                <w:color w:val="000000"/>
                <w:sz w:val="21"/>
                <w:szCs w:val="21"/>
                <w:highlight w:val="none"/>
              </w:rPr>
            </w:pPr>
          </w:p>
        </w:tc>
        <w:tc>
          <w:tcPr>
            <w:tcW w:w="1223" w:type="dxa"/>
            <w:tcBorders>
              <w:top w:val="single" w:color="000000" w:sz="4" w:space="0"/>
              <w:left w:val="single" w:color="000000" w:sz="4" w:space="0"/>
              <w:bottom w:val="single" w:color="000000" w:sz="4" w:space="0"/>
              <w:right w:val="single" w:color="000000" w:sz="4" w:space="0"/>
            </w:tcBorders>
            <w:vAlign w:val="center"/>
          </w:tcPr>
          <w:p w14:paraId="18C6CFF0">
            <w:pPr>
              <w:jc w:val="left"/>
              <w:rPr>
                <w:rFonts w:ascii="宋体" w:hAnsi="宋体" w:eastAsia="宋体" w:cs="宋体"/>
                <w:color w:val="000000"/>
                <w:sz w:val="21"/>
                <w:szCs w:val="21"/>
                <w:highlight w:val="none"/>
              </w:rPr>
            </w:pPr>
          </w:p>
        </w:tc>
        <w:tc>
          <w:tcPr>
            <w:tcW w:w="5216" w:type="dxa"/>
            <w:tcBorders>
              <w:top w:val="single" w:color="000000" w:sz="4" w:space="0"/>
              <w:left w:val="single" w:color="000000" w:sz="4" w:space="0"/>
              <w:bottom w:val="single" w:color="000000" w:sz="4" w:space="0"/>
              <w:right w:val="single" w:color="000000" w:sz="4" w:space="0"/>
            </w:tcBorders>
            <w:vAlign w:val="center"/>
          </w:tcPr>
          <w:p w14:paraId="3AD1DE91">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▲门诊医生就诊时，下达诊断可填写慢病信息。后续慢病也会向门诊医生提供当前需要填写的慢病信息。</w:t>
            </w:r>
          </w:p>
        </w:tc>
      </w:tr>
      <w:tr w14:paraId="292A0327">
        <w:tblPrEx>
          <w:tblCellMar>
            <w:top w:w="0" w:type="dxa"/>
            <w:left w:w="108" w:type="dxa"/>
            <w:bottom w:w="0" w:type="dxa"/>
            <w:right w:w="108" w:type="dxa"/>
          </w:tblCellMar>
        </w:tblPrEx>
        <w:trPr>
          <w:trHeight w:val="316" w:hRule="atLeast"/>
        </w:trPr>
        <w:tc>
          <w:tcPr>
            <w:tcW w:w="705" w:type="dxa"/>
            <w:vMerge w:val="continue"/>
            <w:tcBorders>
              <w:left w:val="single" w:color="000000" w:sz="4" w:space="0"/>
              <w:right w:val="single" w:color="000000" w:sz="4" w:space="0"/>
            </w:tcBorders>
            <w:vAlign w:val="center"/>
          </w:tcPr>
          <w:p w14:paraId="1D428F7F">
            <w:pPr>
              <w:jc w:val="center"/>
              <w:rPr>
                <w:rFonts w:ascii="宋体" w:hAnsi="宋体" w:eastAsia="宋体" w:cs="宋体"/>
                <w:b/>
                <w:bCs/>
                <w:color w:val="000000"/>
                <w:sz w:val="21"/>
                <w:szCs w:val="21"/>
                <w:highlight w:val="none"/>
              </w:rPr>
            </w:pPr>
          </w:p>
        </w:tc>
        <w:tc>
          <w:tcPr>
            <w:tcW w:w="1189" w:type="dxa"/>
            <w:vMerge w:val="continue"/>
            <w:tcBorders>
              <w:left w:val="single" w:color="000000" w:sz="4" w:space="0"/>
              <w:right w:val="single" w:color="000000" w:sz="4" w:space="0"/>
            </w:tcBorders>
            <w:vAlign w:val="center"/>
          </w:tcPr>
          <w:p w14:paraId="56792254">
            <w:pPr>
              <w:jc w:val="left"/>
              <w:rPr>
                <w:rFonts w:ascii="宋体" w:hAnsi="宋体" w:eastAsia="宋体" w:cs="宋体"/>
                <w:color w:val="000000"/>
                <w:sz w:val="21"/>
                <w:szCs w:val="21"/>
                <w:highlight w:val="none"/>
              </w:rPr>
            </w:pPr>
          </w:p>
        </w:tc>
        <w:tc>
          <w:tcPr>
            <w:tcW w:w="1154" w:type="dxa"/>
            <w:vMerge w:val="continue"/>
            <w:tcBorders>
              <w:left w:val="single" w:color="000000" w:sz="4" w:space="0"/>
              <w:right w:val="single" w:color="000000" w:sz="4" w:space="0"/>
            </w:tcBorders>
            <w:vAlign w:val="center"/>
          </w:tcPr>
          <w:p w14:paraId="6C497F8C">
            <w:pPr>
              <w:jc w:val="left"/>
              <w:rPr>
                <w:rFonts w:ascii="宋体" w:hAnsi="宋体" w:eastAsia="宋体" w:cs="宋体"/>
                <w:color w:val="000000"/>
                <w:sz w:val="21"/>
                <w:szCs w:val="21"/>
                <w:highlight w:val="none"/>
              </w:rPr>
            </w:pPr>
          </w:p>
        </w:tc>
        <w:tc>
          <w:tcPr>
            <w:tcW w:w="1223" w:type="dxa"/>
            <w:tcBorders>
              <w:top w:val="single" w:color="000000" w:sz="4" w:space="0"/>
              <w:left w:val="single" w:color="000000" w:sz="4" w:space="0"/>
              <w:bottom w:val="single" w:color="000000" w:sz="4" w:space="0"/>
              <w:right w:val="single" w:color="000000" w:sz="4" w:space="0"/>
            </w:tcBorders>
            <w:vAlign w:val="center"/>
          </w:tcPr>
          <w:p w14:paraId="4258D19E">
            <w:pPr>
              <w:jc w:val="left"/>
              <w:rPr>
                <w:rFonts w:ascii="宋体" w:hAnsi="宋体" w:eastAsia="宋体" w:cs="宋体"/>
                <w:color w:val="000000"/>
                <w:sz w:val="21"/>
                <w:szCs w:val="21"/>
                <w:highlight w:val="none"/>
              </w:rPr>
            </w:pPr>
          </w:p>
        </w:tc>
        <w:tc>
          <w:tcPr>
            <w:tcW w:w="5216" w:type="dxa"/>
            <w:tcBorders>
              <w:top w:val="single" w:color="000000" w:sz="4" w:space="0"/>
              <w:left w:val="single" w:color="000000" w:sz="4" w:space="0"/>
              <w:bottom w:val="single" w:color="000000" w:sz="4" w:space="0"/>
              <w:right w:val="single" w:color="000000" w:sz="4" w:space="0"/>
            </w:tcBorders>
            <w:vAlign w:val="center"/>
          </w:tcPr>
          <w:p w14:paraId="3E1DCCE9">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门诊医生建档，就诊结束后，慢病系统按照居民现住址推送至对应的管辖卫生室。</w:t>
            </w:r>
          </w:p>
        </w:tc>
      </w:tr>
      <w:tr w14:paraId="5B264A7F">
        <w:tblPrEx>
          <w:tblCellMar>
            <w:top w:w="0" w:type="dxa"/>
            <w:left w:w="108" w:type="dxa"/>
            <w:bottom w:w="0" w:type="dxa"/>
            <w:right w:w="108" w:type="dxa"/>
          </w:tblCellMar>
        </w:tblPrEx>
        <w:trPr>
          <w:trHeight w:val="730" w:hRule="atLeast"/>
        </w:trPr>
        <w:tc>
          <w:tcPr>
            <w:tcW w:w="705" w:type="dxa"/>
            <w:vMerge w:val="continue"/>
            <w:tcBorders>
              <w:left w:val="single" w:color="000000" w:sz="4" w:space="0"/>
              <w:right w:val="single" w:color="000000" w:sz="4" w:space="0"/>
            </w:tcBorders>
            <w:vAlign w:val="center"/>
          </w:tcPr>
          <w:p w14:paraId="5122708D">
            <w:pPr>
              <w:jc w:val="center"/>
              <w:rPr>
                <w:rFonts w:ascii="宋体" w:hAnsi="宋体" w:eastAsia="宋体" w:cs="宋体"/>
                <w:b/>
                <w:bCs/>
                <w:color w:val="000000"/>
                <w:sz w:val="21"/>
                <w:szCs w:val="21"/>
                <w:highlight w:val="none"/>
              </w:rPr>
            </w:pPr>
          </w:p>
        </w:tc>
        <w:tc>
          <w:tcPr>
            <w:tcW w:w="1189" w:type="dxa"/>
            <w:vMerge w:val="continue"/>
            <w:tcBorders>
              <w:left w:val="single" w:color="000000" w:sz="4" w:space="0"/>
              <w:right w:val="single" w:color="000000" w:sz="4" w:space="0"/>
            </w:tcBorders>
            <w:vAlign w:val="center"/>
          </w:tcPr>
          <w:p w14:paraId="2860F7AC">
            <w:pPr>
              <w:jc w:val="left"/>
              <w:rPr>
                <w:rFonts w:ascii="宋体" w:hAnsi="宋体" w:eastAsia="宋体" w:cs="宋体"/>
                <w:color w:val="000000"/>
                <w:sz w:val="21"/>
                <w:szCs w:val="21"/>
                <w:highlight w:val="none"/>
              </w:rPr>
            </w:pPr>
          </w:p>
        </w:tc>
        <w:tc>
          <w:tcPr>
            <w:tcW w:w="1154" w:type="dxa"/>
            <w:vMerge w:val="continue"/>
            <w:tcBorders>
              <w:left w:val="single" w:color="000000" w:sz="4" w:space="0"/>
              <w:right w:val="single" w:color="000000" w:sz="4" w:space="0"/>
            </w:tcBorders>
            <w:vAlign w:val="center"/>
          </w:tcPr>
          <w:p w14:paraId="0FF39D97">
            <w:pPr>
              <w:jc w:val="left"/>
              <w:rPr>
                <w:rFonts w:ascii="宋体" w:hAnsi="宋体" w:eastAsia="宋体" w:cs="宋体"/>
                <w:color w:val="000000"/>
                <w:sz w:val="21"/>
                <w:szCs w:val="21"/>
                <w:highlight w:val="none"/>
              </w:rPr>
            </w:pPr>
          </w:p>
        </w:tc>
        <w:tc>
          <w:tcPr>
            <w:tcW w:w="1223" w:type="dxa"/>
            <w:tcBorders>
              <w:top w:val="single" w:color="000000" w:sz="4" w:space="0"/>
              <w:left w:val="single" w:color="000000" w:sz="4" w:space="0"/>
              <w:bottom w:val="single" w:color="000000" w:sz="4" w:space="0"/>
              <w:right w:val="single" w:color="000000" w:sz="4" w:space="0"/>
            </w:tcBorders>
            <w:vAlign w:val="center"/>
          </w:tcPr>
          <w:p w14:paraId="35E6CF10">
            <w:pPr>
              <w:jc w:val="left"/>
              <w:rPr>
                <w:rFonts w:ascii="宋体" w:hAnsi="宋体" w:eastAsia="宋体" w:cs="宋体"/>
                <w:color w:val="000000"/>
                <w:sz w:val="21"/>
                <w:szCs w:val="21"/>
                <w:highlight w:val="none"/>
              </w:rPr>
            </w:pPr>
          </w:p>
        </w:tc>
        <w:tc>
          <w:tcPr>
            <w:tcW w:w="5216" w:type="dxa"/>
            <w:tcBorders>
              <w:top w:val="single" w:color="000000" w:sz="4" w:space="0"/>
              <w:left w:val="single" w:color="000000" w:sz="4" w:space="0"/>
              <w:bottom w:val="single" w:color="000000" w:sz="4" w:space="0"/>
              <w:right w:val="single" w:color="000000" w:sz="4" w:space="0"/>
            </w:tcBorders>
            <w:vAlign w:val="center"/>
          </w:tcPr>
          <w:p w14:paraId="5D0203EB">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门诊医生为患者建立疾病专项档案后，门诊医生结束就诊后，将门诊医生建立的慢病患者推送给对应的村卫生室，消息提醒村卫生室，给后续管理居民疾病的卫生室形成2周内首次随访提醒。</w:t>
            </w:r>
          </w:p>
        </w:tc>
      </w:tr>
      <w:tr w14:paraId="5D8F96AB">
        <w:tblPrEx>
          <w:tblCellMar>
            <w:top w:w="0" w:type="dxa"/>
            <w:left w:w="108" w:type="dxa"/>
            <w:bottom w:w="0" w:type="dxa"/>
            <w:right w:w="108" w:type="dxa"/>
          </w:tblCellMar>
        </w:tblPrEx>
        <w:trPr>
          <w:trHeight w:val="730" w:hRule="atLeast"/>
        </w:trPr>
        <w:tc>
          <w:tcPr>
            <w:tcW w:w="705" w:type="dxa"/>
            <w:vMerge w:val="continue"/>
            <w:tcBorders>
              <w:left w:val="single" w:color="000000" w:sz="4" w:space="0"/>
              <w:right w:val="single" w:color="000000" w:sz="4" w:space="0"/>
            </w:tcBorders>
            <w:vAlign w:val="center"/>
          </w:tcPr>
          <w:p w14:paraId="1D924BFB">
            <w:pPr>
              <w:jc w:val="center"/>
              <w:rPr>
                <w:rFonts w:ascii="宋体" w:hAnsi="宋体" w:eastAsia="宋体" w:cs="宋体"/>
                <w:b/>
                <w:bCs/>
                <w:color w:val="000000"/>
                <w:sz w:val="21"/>
                <w:szCs w:val="21"/>
                <w:highlight w:val="none"/>
              </w:rPr>
            </w:pPr>
          </w:p>
        </w:tc>
        <w:tc>
          <w:tcPr>
            <w:tcW w:w="1189" w:type="dxa"/>
            <w:vMerge w:val="continue"/>
            <w:tcBorders>
              <w:left w:val="single" w:color="000000" w:sz="4" w:space="0"/>
              <w:right w:val="single" w:color="000000" w:sz="4" w:space="0"/>
            </w:tcBorders>
            <w:vAlign w:val="center"/>
          </w:tcPr>
          <w:p w14:paraId="212CB685">
            <w:pPr>
              <w:jc w:val="left"/>
              <w:rPr>
                <w:rFonts w:ascii="宋体" w:hAnsi="宋体" w:eastAsia="宋体" w:cs="宋体"/>
                <w:color w:val="000000"/>
                <w:sz w:val="21"/>
                <w:szCs w:val="21"/>
                <w:highlight w:val="none"/>
              </w:rPr>
            </w:pPr>
          </w:p>
        </w:tc>
        <w:tc>
          <w:tcPr>
            <w:tcW w:w="1154" w:type="dxa"/>
            <w:vMerge w:val="restart"/>
            <w:tcBorders>
              <w:top w:val="single" w:color="000000" w:sz="4" w:space="0"/>
              <w:left w:val="single" w:color="000000" w:sz="4" w:space="0"/>
              <w:bottom w:val="single" w:color="000000" w:sz="4" w:space="0"/>
              <w:right w:val="single" w:color="000000" w:sz="4" w:space="0"/>
            </w:tcBorders>
            <w:vAlign w:val="center"/>
          </w:tcPr>
          <w:p w14:paraId="54C30E12">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住院业务交互</w:t>
            </w:r>
          </w:p>
        </w:tc>
        <w:tc>
          <w:tcPr>
            <w:tcW w:w="1223" w:type="dxa"/>
            <w:tcBorders>
              <w:top w:val="single" w:color="000000" w:sz="4" w:space="0"/>
              <w:left w:val="single" w:color="000000" w:sz="4" w:space="0"/>
              <w:bottom w:val="single" w:color="000000" w:sz="4" w:space="0"/>
              <w:right w:val="single" w:color="000000" w:sz="4" w:space="0"/>
            </w:tcBorders>
            <w:vAlign w:val="center"/>
          </w:tcPr>
          <w:p w14:paraId="6D4443A5">
            <w:pPr>
              <w:jc w:val="left"/>
              <w:rPr>
                <w:rFonts w:ascii="宋体" w:hAnsi="宋体" w:eastAsia="宋体" w:cs="宋体"/>
                <w:color w:val="000000"/>
                <w:sz w:val="21"/>
                <w:szCs w:val="21"/>
                <w:highlight w:val="none"/>
              </w:rPr>
            </w:pPr>
          </w:p>
        </w:tc>
        <w:tc>
          <w:tcPr>
            <w:tcW w:w="5216" w:type="dxa"/>
            <w:tcBorders>
              <w:top w:val="single" w:color="000000" w:sz="4" w:space="0"/>
              <w:left w:val="single" w:color="000000" w:sz="4" w:space="0"/>
              <w:bottom w:val="single" w:color="000000" w:sz="4" w:space="0"/>
              <w:right w:val="single" w:color="000000" w:sz="4" w:space="0"/>
            </w:tcBorders>
            <w:vAlign w:val="center"/>
          </w:tcPr>
          <w:p w14:paraId="13137B29">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▲住院医生站：出院诊断时打开慢病页面，即在病案首页填写诊断时填写慢病。后续慢病也会向住院医生提供当前需要填写的慢病信息。</w:t>
            </w:r>
          </w:p>
        </w:tc>
      </w:tr>
      <w:tr w14:paraId="68AADBC5">
        <w:tblPrEx>
          <w:tblCellMar>
            <w:top w:w="0" w:type="dxa"/>
            <w:left w:w="108" w:type="dxa"/>
            <w:bottom w:w="0" w:type="dxa"/>
            <w:right w:w="108" w:type="dxa"/>
          </w:tblCellMar>
        </w:tblPrEx>
        <w:trPr>
          <w:trHeight w:val="1083" w:hRule="atLeast"/>
        </w:trPr>
        <w:tc>
          <w:tcPr>
            <w:tcW w:w="705" w:type="dxa"/>
            <w:vMerge w:val="continue"/>
            <w:tcBorders>
              <w:left w:val="single" w:color="000000" w:sz="4" w:space="0"/>
              <w:right w:val="single" w:color="000000" w:sz="4" w:space="0"/>
            </w:tcBorders>
            <w:vAlign w:val="center"/>
          </w:tcPr>
          <w:p w14:paraId="09F941BE">
            <w:pPr>
              <w:jc w:val="center"/>
              <w:rPr>
                <w:rFonts w:ascii="宋体" w:hAnsi="宋体" w:eastAsia="宋体" w:cs="宋体"/>
                <w:b/>
                <w:bCs/>
                <w:color w:val="000000"/>
                <w:sz w:val="21"/>
                <w:szCs w:val="21"/>
                <w:highlight w:val="none"/>
              </w:rPr>
            </w:pPr>
          </w:p>
        </w:tc>
        <w:tc>
          <w:tcPr>
            <w:tcW w:w="1189" w:type="dxa"/>
            <w:vMerge w:val="continue"/>
            <w:tcBorders>
              <w:top w:val="nil"/>
              <w:left w:val="single" w:color="000000" w:sz="4" w:space="0"/>
              <w:right w:val="single" w:color="000000" w:sz="4" w:space="0"/>
            </w:tcBorders>
            <w:vAlign w:val="center"/>
          </w:tcPr>
          <w:p w14:paraId="292032C4">
            <w:pPr>
              <w:jc w:val="left"/>
              <w:rPr>
                <w:rFonts w:ascii="宋体" w:hAnsi="宋体" w:eastAsia="宋体" w:cs="宋体"/>
                <w:color w:val="000000"/>
                <w:sz w:val="21"/>
                <w:szCs w:val="21"/>
                <w:highlight w:val="none"/>
              </w:rPr>
            </w:pPr>
          </w:p>
        </w:tc>
        <w:tc>
          <w:tcPr>
            <w:tcW w:w="1154" w:type="dxa"/>
            <w:vMerge w:val="continue"/>
            <w:tcBorders>
              <w:top w:val="single" w:color="000000" w:sz="4" w:space="0"/>
              <w:left w:val="single" w:color="000000" w:sz="4" w:space="0"/>
              <w:bottom w:val="single" w:color="000000" w:sz="4" w:space="0"/>
              <w:right w:val="single" w:color="000000" w:sz="4" w:space="0"/>
            </w:tcBorders>
            <w:vAlign w:val="center"/>
          </w:tcPr>
          <w:p w14:paraId="65A07EE3">
            <w:pPr>
              <w:jc w:val="left"/>
              <w:rPr>
                <w:rFonts w:ascii="宋体" w:hAnsi="宋体" w:eastAsia="宋体" w:cs="宋体"/>
                <w:color w:val="000000"/>
                <w:sz w:val="21"/>
                <w:szCs w:val="21"/>
                <w:highlight w:val="none"/>
              </w:rPr>
            </w:pPr>
          </w:p>
        </w:tc>
        <w:tc>
          <w:tcPr>
            <w:tcW w:w="1223" w:type="dxa"/>
            <w:tcBorders>
              <w:top w:val="single" w:color="000000" w:sz="4" w:space="0"/>
              <w:left w:val="single" w:color="000000" w:sz="4" w:space="0"/>
              <w:bottom w:val="single" w:color="000000" w:sz="4" w:space="0"/>
              <w:right w:val="single" w:color="000000" w:sz="4" w:space="0"/>
            </w:tcBorders>
            <w:vAlign w:val="center"/>
          </w:tcPr>
          <w:p w14:paraId="1D7E2FF2">
            <w:pPr>
              <w:jc w:val="left"/>
              <w:rPr>
                <w:rFonts w:ascii="宋体" w:hAnsi="宋体" w:eastAsia="宋体" w:cs="宋体"/>
                <w:color w:val="000000"/>
                <w:sz w:val="21"/>
                <w:szCs w:val="21"/>
                <w:highlight w:val="none"/>
              </w:rPr>
            </w:pPr>
          </w:p>
        </w:tc>
        <w:tc>
          <w:tcPr>
            <w:tcW w:w="5216" w:type="dxa"/>
            <w:tcBorders>
              <w:top w:val="single" w:color="000000" w:sz="4" w:space="0"/>
              <w:left w:val="single" w:color="000000" w:sz="4" w:space="0"/>
              <w:bottom w:val="single" w:color="000000" w:sz="4" w:space="0"/>
              <w:right w:val="single" w:color="000000" w:sz="4" w:space="0"/>
            </w:tcBorders>
            <w:vAlign w:val="center"/>
          </w:tcPr>
          <w:p w14:paraId="6C1C3193">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▲住院医生建档，就诊结束后，慢病系统按照居民现住址推送至对应的管辖卫生室。</w:t>
            </w:r>
          </w:p>
        </w:tc>
      </w:tr>
      <w:tr w14:paraId="0F6ADCA0">
        <w:tblPrEx>
          <w:tblCellMar>
            <w:top w:w="0" w:type="dxa"/>
            <w:left w:w="108" w:type="dxa"/>
            <w:bottom w:w="0" w:type="dxa"/>
            <w:right w:w="108" w:type="dxa"/>
          </w:tblCellMar>
        </w:tblPrEx>
        <w:trPr>
          <w:trHeight w:val="1083" w:hRule="atLeast"/>
        </w:trPr>
        <w:tc>
          <w:tcPr>
            <w:tcW w:w="705" w:type="dxa"/>
            <w:vMerge w:val="continue"/>
            <w:tcBorders>
              <w:left w:val="single" w:color="000000" w:sz="4" w:space="0"/>
              <w:right w:val="single" w:color="000000" w:sz="4" w:space="0"/>
            </w:tcBorders>
            <w:vAlign w:val="center"/>
          </w:tcPr>
          <w:p w14:paraId="3A1DA524">
            <w:pPr>
              <w:jc w:val="center"/>
              <w:rPr>
                <w:rFonts w:ascii="宋体" w:hAnsi="宋体" w:eastAsia="宋体" w:cs="宋体"/>
                <w:b/>
                <w:bCs/>
                <w:color w:val="000000"/>
                <w:sz w:val="21"/>
                <w:szCs w:val="21"/>
                <w:highlight w:val="none"/>
              </w:rPr>
            </w:pPr>
          </w:p>
        </w:tc>
        <w:tc>
          <w:tcPr>
            <w:tcW w:w="1189" w:type="dxa"/>
            <w:vMerge w:val="continue"/>
            <w:tcBorders>
              <w:left w:val="single" w:color="000000" w:sz="4" w:space="0"/>
              <w:right w:val="single" w:color="000000" w:sz="4" w:space="0"/>
            </w:tcBorders>
            <w:vAlign w:val="center"/>
          </w:tcPr>
          <w:p w14:paraId="2FEAC893">
            <w:pPr>
              <w:jc w:val="left"/>
              <w:rPr>
                <w:rFonts w:ascii="宋体" w:hAnsi="宋体" w:eastAsia="宋体" w:cs="宋体"/>
                <w:color w:val="000000"/>
                <w:sz w:val="21"/>
                <w:szCs w:val="21"/>
                <w:highlight w:val="none"/>
              </w:rPr>
            </w:pPr>
          </w:p>
        </w:tc>
        <w:tc>
          <w:tcPr>
            <w:tcW w:w="1154" w:type="dxa"/>
            <w:vMerge w:val="continue"/>
            <w:tcBorders>
              <w:top w:val="single" w:color="000000" w:sz="4" w:space="0"/>
              <w:left w:val="single" w:color="000000" w:sz="4" w:space="0"/>
              <w:bottom w:val="single" w:color="000000" w:sz="4" w:space="0"/>
              <w:right w:val="single" w:color="000000" w:sz="4" w:space="0"/>
            </w:tcBorders>
            <w:vAlign w:val="center"/>
          </w:tcPr>
          <w:p w14:paraId="7B0AE750">
            <w:pPr>
              <w:jc w:val="left"/>
              <w:rPr>
                <w:rFonts w:ascii="宋体" w:hAnsi="宋体" w:eastAsia="宋体" w:cs="宋体"/>
                <w:color w:val="000000"/>
                <w:sz w:val="21"/>
                <w:szCs w:val="21"/>
                <w:highlight w:val="none"/>
              </w:rPr>
            </w:pPr>
          </w:p>
        </w:tc>
        <w:tc>
          <w:tcPr>
            <w:tcW w:w="1223" w:type="dxa"/>
            <w:tcBorders>
              <w:top w:val="single" w:color="000000" w:sz="4" w:space="0"/>
              <w:left w:val="single" w:color="000000" w:sz="4" w:space="0"/>
              <w:bottom w:val="single" w:color="000000" w:sz="4" w:space="0"/>
              <w:right w:val="single" w:color="000000" w:sz="4" w:space="0"/>
            </w:tcBorders>
            <w:vAlign w:val="center"/>
          </w:tcPr>
          <w:p w14:paraId="7D29D7FB">
            <w:pPr>
              <w:jc w:val="left"/>
              <w:rPr>
                <w:rFonts w:ascii="宋体" w:hAnsi="宋体" w:eastAsia="宋体" w:cs="宋体"/>
                <w:color w:val="000000"/>
                <w:sz w:val="21"/>
                <w:szCs w:val="21"/>
                <w:highlight w:val="none"/>
              </w:rPr>
            </w:pPr>
          </w:p>
        </w:tc>
        <w:tc>
          <w:tcPr>
            <w:tcW w:w="5216" w:type="dxa"/>
            <w:tcBorders>
              <w:top w:val="single" w:color="000000" w:sz="4" w:space="0"/>
              <w:left w:val="single" w:color="000000" w:sz="4" w:space="0"/>
              <w:bottom w:val="single" w:color="000000" w:sz="4" w:space="0"/>
              <w:right w:val="single" w:color="000000" w:sz="4" w:space="0"/>
            </w:tcBorders>
            <w:vAlign w:val="center"/>
          </w:tcPr>
          <w:p w14:paraId="255A94A7">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▲住院医生为患者建立疾病专项档案后，住院医生结束就诊后，将住院医生建立的慢病患者推送给对应的村卫生室，给后续管理居民疾病的卫生室形成2周内首次随访提醒。</w:t>
            </w:r>
          </w:p>
        </w:tc>
      </w:tr>
      <w:tr w14:paraId="59220163">
        <w:tblPrEx>
          <w:tblCellMar>
            <w:top w:w="0" w:type="dxa"/>
            <w:left w:w="108" w:type="dxa"/>
            <w:bottom w:w="0" w:type="dxa"/>
            <w:right w:w="108" w:type="dxa"/>
          </w:tblCellMar>
        </w:tblPrEx>
        <w:trPr>
          <w:trHeight w:val="1083" w:hRule="atLeast"/>
        </w:trPr>
        <w:tc>
          <w:tcPr>
            <w:tcW w:w="705" w:type="dxa"/>
            <w:vMerge w:val="continue"/>
            <w:tcBorders>
              <w:left w:val="single" w:color="000000" w:sz="4" w:space="0"/>
              <w:right w:val="single" w:color="000000" w:sz="4" w:space="0"/>
            </w:tcBorders>
            <w:vAlign w:val="center"/>
          </w:tcPr>
          <w:p w14:paraId="0088D359">
            <w:pPr>
              <w:jc w:val="center"/>
              <w:rPr>
                <w:rFonts w:ascii="宋体" w:hAnsi="宋体" w:eastAsia="宋体" w:cs="宋体"/>
                <w:b/>
                <w:bCs/>
                <w:color w:val="000000"/>
                <w:sz w:val="21"/>
                <w:szCs w:val="21"/>
                <w:highlight w:val="none"/>
              </w:rPr>
            </w:pPr>
          </w:p>
        </w:tc>
        <w:tc>
          <w:tcPr>
            <w:tcW w:w="1189" w:type="dxa"/>
            <w:vMerge w:val="continue"/>
            <w:tcBorders>
              <w:left w:val="single" w:color="000000" w:sz="4" w:space="0"/>
              <w:right w:val="single" w:color="000000" w:sz="4" w:space="0"/>
            </w:tcBorders>
            <w:vAlign w:val="center"/>
          </w:tcPr>
          <w:p w14:paraId="6FD3F280">
            <w:pPr>
              <w:jc w:val="left"/>
              <w:rPr>
                <w:rFonts w:ascii="宋体" w:hAnsi="宋体" w:eastAsia="宋体" w:cs="宋体"/>
                <w:color w:val="000000"/>
                <w:sz w:val="21"/>
                <w:szCs w:val="21"/>
                <w:highlight w:val="none"/>
              </w:rPr>
            </w:pPr>
          </w:p>
        </w:tc>
        <w:tc>
          <w:tcPr>
            <w:tcW w:w="1154" w:type="dxa"/>
            <w:tcBorders>
              <w:top w:val="single" w:color="000000" w:sz="4" w:space="0"/>
              <w:left w:val="single" w:color="000000" w:sz="4" w:space="0"/>
              <w:bottom w:val="single" w:color="000000" w:sz="4" w:space="0"/>
              <w:right w:val="single" w:color="000000" w:sz="4" w:space="0"/>
            </w:tcBorders>
            <w:vAlign w:val="center"/>
          </w:tcPr>
          <w:p w14:paraId="09BCC56A">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诊疗访问业务</w:t>
            </w:r>
          </w:p>
        </w:tc>
        <w:tc>
          <w:tcPr>
            <w:tcW w:w="1223" w:type="dxa"/>
            <w:tcBorders>
              <w:top w:val="single" w:color="000000" w:sz="4" w:space="0"/>
              <w:left w:val="nil"/>
              <w:bottom w:val="single" w:color="000000" w:sz="4" w:space="0"/>
              <w:right w:val="single" w:color="000000" w:sz="4" w:space="0"/>
            </w:tcBorders>
            <w:vAlign w:val="center"/>
          </w:tcPr>
          <w:p w14:paraId="59336D28">
            <w:pPr>
              <w:rPr>
                <w:rFonts w:ascii="宋体" w:hAnsi="宋体" w:eastAsia="宋体" w:cs="宋体"/>
                <w:color w:val="000000"/>
                <w:sz w:val="21"/>
                <w:szCs w:val="21"/>
                <w:highlight w:val="none"/>
              </w:rPr>
            </w:pPr>
          </w:p>
        </w:tc>
        <w:tc>
          <w:tcPr>
            <w:tcW w:w="5216" w:type="dxa"/>
            <w:tcBorders>
              <w:top w:val="single" w:color="000000" w:sz="4" w:space="0"/>
              <w:left w:val="single" w:color="000000" w:sz="4" w:space="0"/>
              <w:bottom w:val="single" w:color="000000" w:sz="4" w:space="0"/>
              <w:right w:val="single" w:color="000000" w:sz="4" w:space="0"/>
            </w:tcBorders>
            <w:vAlign w:val="center"/>
          </w:tcPr>
          <w:p w14:paraId="29EB185A">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门诊/住院医生站：打开慢病页面时，会把当前下诊断的疾病专项+患者待随访页面+判断为高危的筛查页面+患者的待评估页面+健康教育页面同步返回。</w:t>
            </w:r>
          </w:p>
        </w:tc>
      </w:tr>
      <w:tr w14:paraId="48C439C0">
        <w:tblPrEx>
          <w:tblCellMar>
            <w:top w:w="0" w:type="dxa"/>
            <w:left w:w="108" w:type="dxa"/>
            <w:bottom w:w="0" w:type="dxa"/>
            <w:right w:w="108" w:type="dxa"/>
          </w:tblCellMar>
        </w:tblPrEx>
        <w:trPr>
          <w:trHeight w:val="316" w:hRule="atLeast"/>
        </w:trPr>
        <w:tc>
          <w:tcPr>
            <w:tcW w:w="705" w:type="dxa"/>
            <w:vMerge w:val="continue"/>
            <w:tcBorders>
              <w:left w:val="single" w:color="000000" w:sz="4" w:space="0"/>
              <w:right w:val="single" w:color="000000" w:sz="4" w:space="0"/>
            </w:tcBorders>
            <w:vAlign w:val="center"/>
          </w:tcPr>
          <w:p w14:paraId="25F65093">
            <w:pPr>
              <w:jc w:val="center"/>
              <w:rPr>
                <w:rFonts w:ascii="宋体" w:hAnsi="宋体" w:eastAsia="宋体" w:cs="宋体"/>
                <w:b/>
                <w:bCs/>
                <w:color w:val="000000"/>
                <w:sz w:val="21"/>
                <w:szCs w:val="21"/>
                <w:highlight w:val="none"/>
              </w:rPr>
            </w:pPr>
          </w:p>
        </w:tc>
        <w:tc>
          <w:tcPr>
            <w:tcW w:w="1189" w:type="dxa"/>
            <w:vMerge w:val="restart"/>
            <w:tcBorders>
              <w:top w:val="single" w:color="000000" w:sz="4" w:space="0"/>
              <w:left w:val="single" w:color="000000" w:sz="4" w:space="0"/>
              <w:bottom w:val="single" w:color="000000" w:sz="4" w:space="0"/>
              <w:right w:val="single" w:color="000000" w:sz="4" w:space="0"/>
            </w:tcBorders>
            <w:vAlign w:val="center"/>
          </w:tcPr>
          <w:p w14:paraId="70DC7ECB">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与公卫融合</w:t>
            </w:r>
          </w:p>
        </w:tc>
        <w:tc>
          <w:tcPr>
            <w:tcW w:w="1154" w:type="dxa"/>
            <w:tcBorders>
              <w:top w:val="single" w:color="000000" w:sz="4" w:space="0"/>
              <w:left w:val="single" w:color="000000" w:sz="4" w:space="0"/>
              <w:bottom w:val="single" w:color="000000" w:sz="4" w:space="0"/>
              <w:right w:val="single" w:color="000000" w:sz="4" w:space="0"/>
            </w:tcBorders>
            <w:vAlign w:val="center"/>
          </w:tcPr>
          <w:p w14:paraId="654E1C90">
            <w:pPr>
              <w:rPr>
                <w:rFonts w:ascii="宋体" w:hAnsi="宋体" w:eastAsia="宋体" w:cs="宋体"/>
                <w:color w:val="000000"/>
                <w:sz w:val="21"/>
                <w:szCs w:val="21"/>
                <w:highlight w:val="none"/>
              </w:rPr>
            </w:pPr>
          </w:p>
        </w:tc>
        <w:tc>
          <w:tcPr>
            <w:tcW w:w="1223" w:type="dxa"/>
            <w:tcBorders>
              <w:top w:val="single" w:color="000000" w:sz="4" w:space="0"/>
              <w:left w:val="nil"/>
              <w:bottom w:val="single" w:color="000000" w:sz="4" w:space="0"/>
              <w:right w:val="single" w:color="000000" w:sz="4" w:space="0"/>
            </w:tcBorders>
            <w:vAlign w:val="center"/>
          </w:tcPr>
          <w:p w14:paraId="126603FD">
            <w:pPr>
              <w:rPr>
                <w:rFonts w:ascii="宋体" w:hAnsi="宋体" w:eastAsia="宋体" w:cs="宋体"/>
                <w:color w:val="000000"/>
                <w:sz w:val="21"/>
                <w:szCs w:val="21"/>
                <w:highlight w:val="none"/>
              </w:rPr>
            </w:pPr>
          </w:p>
        </w:tc>
        <w:tc>
          <w:tcPr>
            <w:tcW w:w="5216" w:type="dxa"/>
            <w:tcBorders>
              <w:top w:val="single" w:color="000000" w:sz="4" w:space="0"/>
              <w:left w:val="single" w:color="000000" w:sz="4" w:space="0"/>
              <w:bottom w:val="single" w:color="000000" w:sz="4" w:space="0"/>
              <w:right w:val="single" w:color="000000" w:sz="4" w:space="0"/>
            </w:tcBorders>
            <w:vAlign w:val="center"/>
          </w:tcPr>
          <w:p w14:paraId="4F477999">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▲HIS 下达 高血压 、 糖尿病 、慢阻肺诊断后，在医博士系统进行填报报告卡，慢病系统同时发送信息给乡镇卫生院及村卫生室。 HIS下达肿瘤、 冠心病 、脑卒中、慢性肾病诊断后，在慢病系统建档和专项信息。</w:t>
            </w:r>
          </w:p>
        </w:tc>
      </w:tr>
      <w:tr w14:paraId="66FB1D49">
        <w:tblPrEx>
          <w:tblCellMar>
            <w:top w:w="0" w:type="dxa"/>
            <w:left w:w="108" w:type="dxa"/>
            <w:bottom w:w="0" w:type="dxa"/>
            <w:right w:w="108" w:type="dxa"/>
          </w:tblCellMar>
        </w:tblPrEx>
        <w:trPr>
          <w:trHeight w:val="730" w:hRule="atLeast"/>
        </w:trPr>
        <w:tc>
          <w:tcPr>
            <w:tcW w:w="705" w:type="dxa"/>
            <w:vMerge w:val="continue"/>
            <w:tcBorders>
              <w:left w:val="single" w:color="000000" w:sz="4" w:space="0"/>
              <w:right w:val="single" w:color="000000" w:sz="4" w:space="0"/>
            </w:tcBorders>
            <w:vAlign w:val="center"/>
          </w:tcPr>
          <w:p w14:paraId="4FFF9904">
            <w:pPr>
              <w:jc w:val="center"/>
              <w:rPr>
                <w:rFonts w:ascii="宋体" w:hAnsi="宋体" w:eastAsia="宋体" w:cs="宋体"/>
                <w:b/>
                <w:bCs/>
                <w:color w:val="000000"/>
                <w:sz w:val="21"/>
                <w:szCs w:val="21"/>
                <w:highlight w:val="none"/>
              </w:rPr>
            </w:pPr>
          </w:p>
        </w:tc>
        <w:tc>
          <w:tcPr>
            <w:tcW w:w="1189" w:type="dxa"/>
            <w:vMerge w:val="continue"/>
            <w:tcBorders>
              <w:top w:val="single" w:color="000000" w:sz="4" w:space="0"/>
              <w:left w:val="single" w:color="000000" w:sz="4" w:space="0"/>
              <w:right w:val="single" w:color="000000" w:sz="4" w:space="0"/>
            </w:tcBorders>
            <w:vAlign w:val="center"/>
          </w:tcPr>
          <w:p w14:paraId="73DB57D4">
            <w:pPr>
              <w:jc w:val="left"/>
              <w:rPr>
                <w:rFonts w:ascii="宋体" w:hAnsi="宋体" w:eastAsia="宋体" w:cs="宋体"/>
                <w:color w:val="000000"/>
                <w:sz w:val="21"/>
                <w:szCs w:val="21"/>
                <w:highlight w:val="none"/>
              </w:rPr>
            </w:pPr>
          </w:p>
        </w:tc>
        <w:tc>
          <w:tcPr>
            <w:tcW w:w="1154" w:type="dxa"/>
            <w:tcBorders>
              <w:top w:val="single" w:color="000000" w:sz="4" w:space="0"/>
              <w:left w:val="single" w:color="000000" w:sz="4" w:space="0"/>
              <w:bottom w:val="single" w:color="000000" w:sz="4" w:space="0"/>
              <w:right w:val="single" w:color="000000" w:sz="4" w:space="0"/>
            </w:tcBorders>
            <w:vAlign w:val="center"/>
          </w:tcPr>
          <w:p w14:paraId="7AC892D4">
            <w:pPr>
              <w:rPr>
                <w:rFonts w:ascii="宋体" w:hAnsi="宋体" w:eastAsia="宋体" w:cs="宋体"/>
                <w:color w:val="000000"/>
                <w:sz w:val="21"/>
                <w:szCs w:val="21"/>
                <w:highlight w:val="none"/>
              </w:rPr>
            </w:pPr>
          </w:p>
        </w:tc>
        <w:tc>
          <w:tcPr>
            <w:tcW w:w="1223" w:type="dxa"/>
            <w:tcBorders>
              <w:top w:val="single" w:color="000000" w:sz="4" w:space="0"/>
              <w:left w:val="nil"/>
              <w:bottom w:val="single" w:color="000000" w:sz="4" w:space="0"/>
              <w:right w:val="single" w:color="000000" w:sz="4" w:space="0"/>
            </w:tcBorders>
            <w:vAlign w:val="center"/>
          </w:tcPr>
          <w:p w14:paraId="725B4114">
            <w:pPr>
              <w:rPr>
                <w:rFonts w:ascii="宋体" w:hAnsi="宋体" w:eastAsia="宋体" w:cs="宋体"/>
                <w:color w:val="000000"/>
                <w:sz w:val="21"/>
                <w:szCs w:val="21"/>
                <w:highlight w:val="none"/>
              </w:rPr>
            </w:pPr>
          </w:p>
        </w:tc>
        <w:tc>
          <w:tcPr>
            <w:tcW w:w="5216" w:type="dxa"/>
            <w:tcBorders>
              <w:top w:val="single" w:color="000000" w:sz="4" w:space="0"/>
              <w:left w:val="single" w:color="000000" w:sz="4" w:space="0"/>
              <w:bottom w:val="single" w:color="000000" w:sz="4" w:space="0"/>
              <w:right w:val="single" w:color="000000" w:sz="4" w:space="0"/>
            </w:tcBorders>
            <w:vAlign w:val="center"/>
          </w:tcPr>
          <w:p w14:paraId="6D8C1799">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 xml:space="preserve">▲随访操作：高血压、糖尿病、慢阻肺近期有随访工作，向村医及患者进行提醒（系统提醒和短信提醒），由村医进行随访。（通常在医博士随访），我们获取医博士随访数据。乡镇和县级专科医院不需要随访。 </w:t>
            </w:r>
          </w:p>
        </w:tc>
      </w:tr>
      <w:tr w14:paraId="3773A21E">
        <w:tblPrEx>
          <w:tblCellMar>
            <w:top w:w="0" w:type="dxa"/>
            <w:left w:w="108" w:type="dxa"/>
            <w:bottom w:w="0" w:type="dxa"/>
            <w:right w:w="108" w:type="dxa"/>
          </w:tblCellMar>
        </w:tblPrEx>
        <w:trPr>
          <w:trHeight w:val="730" w:hRule="atLeast"/>
        </w:trPr>
        <w:tc>
          <w:tcPr>
            <w:tcW w:w="705" w:type="dxa"/>
            <w:vMerge w:val="continue"/>
            <w:tcBorders>
              <w:left w:val="single" w:color="000000" w:sz="4" w:space="0"/>
              <w:right w:val="single" w:color="000000" w:sz="4" w:space="0"/>
            </w:tcBorders>
            <w:vAlign w:val="center"/>
          </w:tcPr>
          <w:p w14:paraId="346708B5">
            <w:pPr>
              <w:jc w:val="center"/>
              <w:rPr>
                <w:rFonts w:ascii="宋体" w:hAnsi="宋体" w:eastAsia="宋体" w:cs="宋体"/>
                <w:b/>
                <w:bCs/>
                <w:color w:val="000000"/>
                <w:sz w:val="21"/>
                <w:szCs w:val="21"/>
                <w:highlight w:val="none"/>
              </w:rPr>
            </w:pPr>
          </w:p>
        </w:tc>
        <w:tc>
          <w:tcPr>
            <w:tcW w:w="1189" w:type="dxa"/>
            <w:vMerge w:val="continue"/>
            <w:tcBorders>
              <w:left w:val="single" w:color="000000" w:sz="4" w:space="0"/>
              <w:right w:val="single" w:color="000000" w:sz="4" w:space="0"/>
            </w:tcBorders>
            <w:vAlign w:val="center"/>
          </w:tcPr>
          <w:p w14:paraId="2B829676">
            <w:pPr>
              <w:jc w:val="left"/>
              <w:rPr>
                <w:rFonts w:ascii="宋体" w:hAnsi="宋体" w:eastAsia="宋体" w:cs="宋体"/>
                <w:color w:val="000000"/>
                <w:sz w:val="21"/>
                <w:szCs w:val="21"/>
                <w:highlight w:val="none"/>
              </w:rPr>
            </w:pPr>
          </w:p>
        </w:tc>
        <w:tc>
          <w:tcPr>
            <w:tcW w:w="1154" w:type="dxa"/>
            <w:tcBorders>
              <w:top w:val="single" w:color="000000" w:sz="4" w:space="0"/>
              <w:left w:val="single" w:color="000000" w:sz="4" w:space="0"/>
              <w:bottom w:val="single" w:color="000000" w:sz="4" w:space="0"/>
              <w:right w:val="single" w:color="000000" w:sz="4" w:space="0"/>
            </w:tcBorders>
            <w:vAlign w:val="center"/>
          </w:tcPr>
          <w:p w14:paraId="51EA17F9">
            <w:pPr>
              <w:rPr>
                <w:rFonts w:ascii="宋体" w:hAnsi="宋体" w:eastAsia="宋体" w:cs="宋体"/>
                <w:color w:val="000000"/>
                <w:sz w:val="21"/>
                <w:szCs w:val="21"/>
                <w:highlight w:val="none"/>
              </w:rPr>
            </w:pPr>
          </w:p>
        </w:tc>
        <w:tc>
          <w:tcPr>
            <w:tcW w:w="1223" w:type="dxa"/>
            <w:tcBorders>
              <w:top w:val="single" w:color="000000" w:sz="4" w:space="0"/>
              <w:left w:val="nil"/>
              <w:bottom w:val="single" w:color="000000" w:sz="4" w:space="0"/>
              <w:right w:val="single" w:color="000000" w:sz="4" w:space="0"/>
            </w:tcBorders>
            <w:vAlign w:val="center"/>
          </w:tcPr>
          <w:p w14:paraId="387422FA">
            <w:pPr>
              <w:rPr>
                <w:rFonts w:ascii="宋体" w:hAnsi="宋体" w:eastAsia="宋体" w:cs="宋体"/>
                <w:color w:val="000000"/>
                <w:sz w:val="21"/>
                <w:szCs w:val="21"/>
                <w:highlight w:val="none"/>
              </w:rPr>
            </w:pPr>
          </w:p>
        </w:tc>
        <w:tc>
          <w:tcPr>
            <w:tcW w:w="5216" w:type="dxa"/>
            <w:tcBorders>
              <w:top w:val="single" w:color="000000" w:sz="4" w:space="0"/>
              <w:left w:val="single" w:color="000000" w:sz="4" w:space="0"/>
              <w:bottom w:val="single" w:color="000000" w:sz="4" w:space="0"/>
              <w:right w:val="single" w:color="000000" w:sz="4" w:space="0"/>
            </w:tcBorders>
            <w:vAlign w:val="center"/>
          </w:tcPr>
          <w:p w14:paraId="1575D9F5">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 xml:space="preserve">随访操作：肿瘤、冠心病、脑卒中、慢性肾病近期有随访工作，向专科医生、乡镇公卫医生、村医及患者进行提醒（系统提醒），医生要有提醒接收记录（如：收到并沟通患者随访），如未随访真可医生要填写未随访原因。乡镇卫生院和村卫生室能看到信息。 </w:t>
            </w:r>
          </w:p>
        </w:tc>
      </w:tr>
      <w:tr w14:paraId="15A6E083">
        <w:tblPrEx>
          <w:tblCellMar>
            <w:top w:w="0" w:type="dxa"/>
            <w:left w:w="108" w:type="dxa"/>
            <w:bottom w:w="0" w:type="dxa"/>
            <w:right w:w="108" w:type="dxa"/>
          </w:tblCellMar>
        </w:tblPrEx>
        <w:trPr>
          <w:trHeight w:val="730" w:hRule="atLeast"/>
        </w:trPr>
        <w:tc>
          <w:tcPr>
            <w:tcW w:w="705" w:type="dxa"/>
            <w:vMerge w:val="continue"/>
            <w:tcBorders>
              <w:left w:val="single" w:color="000000" w:sz="4" w:space="0"/>
              <w:right w:val="single" w:color="000000" w:sz="4" w:space="0"/>
            </w:tcBorders>
            <w:vAlign w:val="center"/>
          </w:tcPr>
          <w:p w14:paraId="376FC59B">
            <w:pPr>
              <w:jc w:val="center"/>
              <w:rPr>
                <w:rFonts w:ascii="宋体" w:hAnsi="宋体" w:eastAsia="宋体" w:cs="宋体"/>
                <w:b/>
                <w:bCs/>
                <w:color w:val="000000"/>
                <w:sz w:val="21"/>
                <w:szCs w:val="21"/>
                <w:highlight w:val="none"/>
              </w:rPr>
            </w:pPr>
          </w:p>
        </w:tc>
        <w:tc>
          <w:tcPr>
            <w:tcW w:w="1189" w:type="dxa"/>
            <w:vMerge w:val="continue"/>
            <w:tcBorders>
              <w:left w:val="single" w:color="000000" w:sz="4" w:space="0"/>
              <w:right w:val="single" w:color="000000" w:sz="4" w:space="0"/>
            </w:tcBorders>
            <w:vAlign w:val="center"/>
          </w:tcPr>
          <w:p w14:paraId="314D17C7">
            <w:pPr>
              <w:jc w:val="left"/>
              <w:rPr>
                <w:rFonts w:ascii="宋体" w:hAnsi="宋体" w:eastAsia="宋体" w:cs="宋体"/>
                <w:color w:val="000000"/>
                <w:sz w:val="21"/>
                <w:szCs w:val="21"/>
                <w:highlight w:val="none"/>
              </w:rPr>
            </w:pPr>
          </w:p>
        </w:tc>
        <w:tc>
          <w:tcPr>
            <w:tcW w:w="1154" w:type="dxa"/>
            <w:tcBorders>
              <w:top w:val="single" w:color="000000" w:sz="4" w:space="0"/>
              <w:left w:val="single" w:color="000000" w:sz="4" w:space="0"/>
              <w:right w:val="single" w:color="000000" w:sz="4" w:space="0"/>
            </w:tcBorders>
            <w:vAlign w:val="center"/>
          </w:tcPr>
          <w:p w14:paraId="7709F06B">
            <w:pPr>
              <w:rPr>
                <w:rFonts w:ascii="宋体" w:hAnsi="宋体" w:eastAsia="宋体" w:cs="宋体"/>
                <w:color w:val="000000"/>
                <w:sz w:val="21"/>
                <w:szCs w:val="21"/>
                <w:highlight w:val="none"/>
              </w:rPr>
            </w:pPr>
          </w:p>
        </w:tc>
        <w:tc>
          <w:tcPr>
            <w:tcW w:w="1223" w:type="dxa"/>
            <w:tcBorders>
              <w:top w:val="single" w:color="000000" w:sz="4" w:space="0"/>
              <w:left w:val="nil"/>
              <w:bottom w:val="single" w:color="000000" w:sz="4" w:space="0"/>
              <w:right w:val="single" w:color="000000" w:sz="4" w:space="0"/>
            </w:tcBorders>
            <w:vAlign w:val="center"/>
          </w:tcPr>
          <w:p w14:paraId="6D4D6E76">
            <w:pPr>
              <w:rPr>
                <w:rFonts w:ascii="宋体" w:hAnsi="宋体" w:eastAsia="宋体" w:cs="宋体"/>
                <w:color w:val="000000"/>
                <w:sz w:val="21"/>
                <w:szCs w:val="21"/>
                <w:highlight w:val="none"/>
              </w:rPr>
            </w:pPr>
          </w:p>
        </w:tc>
        <w:tc>
          <w:tcPr>
            <w:tcW w:w="5216" w:type="dxa"/>
            <w:tcBorders>
              <w:top w:val="single" w:color="000000" w:sz="4" w:space="0"/>
              <w:left w:val="single" w:color="000000" w:sz="4" w:space="0"/>
              <w:bottom w:val="single" w:color="000000" w:sz="4" w:space="0"/>
              <w:right w:val="single" w:color="000000" w:sz="4" w:space="0"/>
            </w:tcBorders>
            <w:vAlign w:val="center"/>
          </w:tcPr>
          <w:p w14:paraId="10831D29">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村卫生室通过系统上转到县级专科管理周期至少3个月，未到3个月不能下转。下转直接到村卫生室。</w:t>
            </w:r>
          </w:p>
        </w:tc>
      </w:tr>
      <w:tr w14:paraId="25DB85D3">
        <w:tblPrEx>
          <w:tblCellMar>
            <w:top w:w="0" w:type="dxa"/>
            <w:left w:w="108" w:type="dxa"/>
            <w:bottom w:w="0" w:type="dxa"/>
            <w:right w:w="108" w:type="dxa"/>
          </w:tblCellMar>
        </w:tblPrEx>
        <w:trPr>
          <w:trHeight w:val="730" w:hRule="atLeast"/>
        </w:trPr>
        <w:tc>
          <w:tcPr>
            <w:tcW w:w="705" w:type="dxa"/>
            <w:vMerge w:val="continue"/>
            <w:tcBorders>
              <w:left w:val="single" w:color="000000" w:sz="4" w:space="0"/>
              <w:right w:val="single" w:color="000000" w:sz="4" w:space="0"/>
            </w:tcBorders>
            <w:vAlign w:val="center"/>
          </w:tcPr>
          <w:p w14:paraId="7D3C211B">
            <w:pPr>
              <w:jc w:val="center"/>
              <w:rPr>
                <w:rFonts w:ascii="宋体" w:hAnsi="宋体" w:eastAsia="宋体" w:cs="宋体"/>
                <w:b/>
                <w:bCs/>
                <w:color w:val="000000"/>
                <w:sz w:val="21"/>
                <w:szCs w:val="21"/>
                <w:highlight w:val="none"/>
              </w:rPr>
            </w:pPr>
          </w:p>
        </w:tc>
        <w:tc>
          <w:tcPr>
            <w:tcW w:w="1189" w:type="dxa"/>
            <w:tcBorders>
              <w:left w:val="single" w:color="000000" w:sz="4" w:space="0"/>
              <w:right w:val="single" w:color="000000" w:sz="4" w:space="0"/>
            </w:tcBorders>
            <w:vAlign w:val="center"/>
          </w:tcPr>
          <w:p w14:paraId="43C220AD">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数据区分</w:t>
            </w:r>
          </w:p>
        </w:tc>
        <w:tc>
          <w:tcPr>
            <w:tcW w:w="1154" w:type="dxa"/>
            <w:tcBorders>
              <w:left w:val="single" w:color="000000" w:sz="4" w:space="0"/>
              <w:right w:val="single" w:color="000000" w:sz="4" w:space="0"/>
            </w:tcBorders>
            <w:vAlign w:val="center"/>
          </w:tcPr>
          <w:p w14:paraId="26FFB609">
            <w:pPr>
              <w:jc w:val="left"/>
              <w:rPr>
                <w:rFonts w:ascii="宋体" w:hAnsi="宋体" w:eastAsia="宋体" w:cs="宋体"/>
                <w:color w:val="000000"/>
                <w:sz w:val="21"/>
                <w:szCs w:val="21"/>
                <w:highlight w:val="none"/>
              </w:rPr>
            </w:pPr>
          </w:p>
        </w:tc>
        <w:tc>
          <w:tcPr>
            <w:tcW w:w="1223" w:type="dxa"/>
            <w:tcBorders>
              <w:top w:val="single" w:color="000000" w:sz="4" w:space="0"/>
              <w:left w:val="nil"/>
              <w:bottom w:val="single" w:color="000000" w:sz="4" w:space="0"/>
              <w:right w:val="single" w:color="000000" w:sz="4" w:space="0"/>
            </w:tcBorders>
            <w:vAlign w:val="center"/>
          </w:tcPr>
          <w:p w14:paraId="0D2FAF91">
            <w:pPr>
              <w:jc w:val="left"/>
              <w:rPr>
                <w:rFonts w:ascii="宋体" w:hAnsi="宋体" w:eastAsia="宋体" w:cs="宋体"/>
                <w:color w:val="000000"/>
                <w:sz w:val="21"/>
                <w:szCs w:val="21"/>
                <w:highlight w:val="none"/>
              </w:rPr>
            </w:pPr>
          </w:p>
        </w:tc>
        <w:tc>
          <w:tcPr>
            <w:tcW w:w="5216" w:type="dxa"/>
            <w:tcBorders>
              <w:top w:val="single" w:color="000000" w:sz="4" w:space="0"/>
              <w:left w:val="single" w:color="000000" w:sz="4" w:space="0"/>
              <w:bottom w:val="single" w:color="000000" w:sz="4" w:space="0"/>
              <w:right w:val="single" w:color="000000" w:sz="4" w:space="0"/>
            </w:tcBorders>
            <w:vAlign w:val="center"/>
          </w:tcPr>
          <w:p w14:paraId="0C98A718">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慢病中心区分医博士在管的数据，和不在医博士管理的数据。</w:t>
            </w:r>
          </w:p>
        </w:tc>
      </w:tr>
      <w:tr w14:paraId="0AF3E436">
        <w:tblPrEx>
          <w:tblCellMar>
            <w:top w:w="0" w:type="dxa"/>
            <w:left w:w="108" w:type="dxa"/>
            <w:bottom w:w="0" w:type="dxa"/>
            <w:right w:w="108" w:type="dxa"/>
          </w:tblCellMar>
        </w:tblPrEx>
        <w:trPr>
          <w:trHeight w:val="730" w:hRule="atLeast"/>
        </w:trPr>
        <w:tc>
          <w:tcPr>
            <w:tcW w:w="705" w:type="dxa"/>
            <w:vMerge w:val="continue"/>
            <w:tcBorders>
              <w:left w:val="single" w:color="000000" w:sz="4" w:space="0"/>
              <w:right w:val="single" w:color="000000" w:sz="4" w:space="0"/>
            </w:tcBorders>
            <w:vAlign w:val="center"/>
          </w:tcPr>
          <w:p w14:paraId="3122D1D2">
            <w:pPr>
              <w:jc w:val="center"/>
              <w:rPr>
                <w:rFonts w:ascii="宋体" w:hAnsi="宋体" w:eastAsia="宋体" w:cs="宋体"/>
                <w:b/>
                <w:bCs/>
                <w:color w:val="000000"/>
                <w:sz w:val="21"/>
                <w:szCs w:val="21"/>
                <w:highlight w:val="none"/>
              </w:rPr>
            </w:pPr>
          </w:p>
        </w:tc>
        <w:tc>
          <w:tcPr>
            <w:tcW w:w="1189" w:type="dxa"/>
            <w:vMerge w:val="restart"/>
            <w:tcBorders>
              <w:left w:val="single" w:color="000000" w:sz="4" w:space="0"/>
              <w:right w:val="single" w:color="000000" w:sz="4" w:space="0"/>
            </w:tcBorders>
            <w:vAlign w:val="center"/>
          </w:tcPr>
          <w:p w14:paraId="4DB8C12C">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监管大屏</w:t>
            </w:r>
          </w:p>
        </w:tc>
        <w:tc>
          <w:tcPr>
            <w:tcW w:w="1154" w:type="dxa"/>
            <w:tcBorders>
              <w:left w:val="single" w:color="000000" w:sz="4" w:space="0"/>
              <w:right w:val="single" w:color="000000" w:sz="4" w:space="0"/>
            </w:tcBorders>
            <w:noWrap/>
            <w:vAlign w:val="center"/>
          </w:tcPr>
          <w:p w14:paraId="5604E939">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监管大屏</w:t>
            </w:r>
          </w:p>
        </w:tc>
        <w:tc>
          <w:tcPr>
            <w:tcW w:w="1223" w:type="dxa"/>
            <w:tcBorders>
              <w:top w:val="single" w:color="000000" w:sz="4" w:space="0"/>
              <w:left w:val="nil"/>
              <w:bottom w:val="single" w:color="000000" w:sz="4" w:space="0"/>
              <w:right w:val="single" w:color="000000" w:sz="4" w:space="0"/>
            </w:tcBorders>
            <w:vAlign w:val="center"/>
          </w:tcPr>
          <w:p w14:paraId="0E65C0F8">
            <w:pPr>
              <w:jc w:val="left"/>
              <w:rPr>
                <w:rFonts w:ascii="宋体" w:hAnsi="宋体" w:eastAsia="宋体" w:cs="宋体"/>
                <w:color w:val="000000"/>
                <w:sz w:val="21"/>
                <w:szCs w:val="21"/>
                <w:highlight w:val="none"/>
              </w:rPr>
            </w:pPr>
          </w:p>
        </w:tc>
        <w:tc>
          <w:tcPr>
            <w:tcW w:w="5216" w:type="dxa"/>
            <w:tcBorders>
              <w:top w:val="single" w:color="000000" w:sz="4" w:space="0"/>
              <w:left w:val="single" w:color="000000" w:sz="4" w:space="0"/>
              <w:bottom w:val="single" w:color="000000" w:sz="4" w:space="0"/>
              <w:right w:val="single" w:color="000000" w:sz="4" w:space="0"/>
            </w:tcBorders>
            <w:vAlign w:val="center"/>
          </w:tcPr>
          <w:p w14:paraId="06B96DAD">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对辖区管理的慢病信息进行统计，涉及：辖区慢病概况、辖区易患统计、易患统计分析、慢病随访人次、健康指导概况、慢病死亡分析等信息。</w:t>
            </w:r>
          </w:p>
        </w:tc>
      </w:tr>
      <w:tr w14:paraId="688274E8">
        <w:tblPrEx>
          <w:tblCellMar>
            <w:top w:w="0" w:type="dxa"/>
            <w:left w:w="108" w:type="dxa"/>
            <w:bottom w:w="0" w:type="dxa"/>
            <w:right w:w="108" w:type="dxa"/>
          </w:tblCellMar>
        </w:tblPrEx>
        <w:trPr>
          <w:trHeight w:val="730" w:hRule="atLeast"/>
        </w:trPr>
        <w:tc>
          <w:tcPr>
            <w:tcW w:w="705" w:type="dxa"/>
            <w:vMerge w:val="continue"/>
            <w:tcBorders>
              <w:left w:val="single" w:color="000000" w:sz="4" w:space="0"/>
              <w:right w:val="single" w:color="000000" w:sz="4" w:space="0"/>
            </w:tcBorders>
            <w:vAlign w:val="center"/>
          </w:tcPr>
          <w:p w14:paraId="79B038D3">
            <w:pPr>
              <w:jc w:val="center"/>
              <w:rPr>
                <w:rFonts w:ascii="宋体" w:hAnsi="宋体" w:eastAsia="宋体" w:cs="宋体"/>
                <w:b/>
                <w:bCs/>
                <w:color w:val="000000"/>
                <w:sz w:val="21"/>
                <w:szCs w:val="21"/>
                <w:highlight w:val="none"/>
              </w:rPr>
            </w:pPr>
          </w:p>
        </w:tc>
        <w:tc>
          <w:tcPr>
            <w:tcW w:w="1189" w:type="dxa"/>
            <w:vMerge w:val="continue"/>
            <w:tcBorders>
              <w:left w:val="single" w:color="000000" w:sz="4" w:space="0"/>
              <w:right w:val="single" w:color="000000" w:sz="4" w:space="0"/>
            </w:tcBorders>
            <w:vAlign w:val="center"/>
          </w:tcPr>
          <w:p w14:paraId="70D6056B">
            <w:pPr>
              <w:jc w:val="left"/>
              <w:rPr>
                <w:rFonts w:ascii="宋体" w:hAnsi="宋体" w:eastAsia="宋体" w:cs="宋体"/>
                <w:color w:val="000000"/>
                <w:sz w:val="21"/>
                <w:szCs w:val="21"/>
                <w:highlight w:val="none"/>
              </w:rPr>
            </w:pPr>
          </w:p>
        </w:tc>
        <w:tc>
          <w:tcPr>
            <w:tcW w:w="1154" w:type="dxa"/>
            <w:tcBorders>
              <w:left w:val="single" w:color="000000" w:sz="4" w:space="0"/>
              <w:right w:val="single" w:color="000000" w:sz="4" w:space="0"/>
            </w:tcBorders>
            <w:noWrap/>
            <w:vAlign w:val="center"/>
          </w:tcPr>
          <w:p w14:paraId="6B9BB1F4">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患者情况监管</w:t>
            </w:r>
          </w:p>
        </w:tc>
        <w:tc>
          <w:tcPr>
            <w:tcW w:w="1223" w:type="dxa"/>
            <w:tcBorders>
              <w:top w:val="single" w:color="000000" w:sz="4" w:space="0"/>
              <w:left w:val="nil"/>
              <w:bottom w:val="single" w:color="000000" w:sz="4" w:space="0"/>
              <w:right w:val="single" w:color="000000" w:sz="4" w:space="0"/>
            </w:tcBorders>
            <w:vAlign w:val="center"/>
          </w:tcPr>
          <w:p w14:paraId="699573D3">
            <w:pPr>
              <w:jc w:val="left"/>
              <w:rPr>
                <w:rFonts w:ascii="宋体" w:hAnsi="宋体" w:eastAsia="宋体" w:cs="宋体"/>
                <w:color w:val="000000"/>
                <w:sz w:val="21"/>
                <w:szCs w:val="21"/>
                <w:highlight w:val="none"/>
              </w:rPr>
            </w:pPr>
          </w:p>
        </w:tc>
        <w:tc>
          <w:tcPr>
            <w:tcW w:w="5216" w:type="dxa"/>
            <w:tcBorders>
              <w:top w:val="single" w:color="000000" w:sz="4" w:space="0"/>
              <w:left w:val="single" w:color="000000" w:sz="4" w:space="0"/>
              <w:bottom w:val="single" w:color="000000" w:sz="4" w:space="0"/>
              <w:right w:val="single" w:color="000000" w:sz="4" w:space="0"/>
            </w:tcBorders>
            <w:vAlign w:val="center"/>
          </w:tcPr>
          <w:p w14:paraId="1B4093A3">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▲对辖区管理的患者的信息进行统计，涉及：辖区慢病概况、辖区易患统计、易患统计分析、慢病随访人次、健康指导概况、慢病死亡分析等信息。</w:t>
            </w:r>
          </w:p>
        </w:tc>
      </w:tr>
      <w:tr w14:paraId="38EF2E68">
        <w:tblPrEx>
          <w:tblCellMar>
            <w:top w:w="0" w:type="dxa"/>
            <w:left w:w="108" w:type="dxa"/>
            <w:bottom w:w="0" w:type="dxa"/>
            <w:right w:w="108" w:type="dxa"/>
          </w:tblCellMar>
        </w:tblPrEx>
        <w:trPr>
          <w:trHeight w:val="730" w:hRule="atLeast"/>
        </w:trPr>
        <w:tc>
          <w:tcPr>
            <w:tcW w:w="705" w:type="dxa"/>
            <w:vMerge w:val="continue"/>
            <w:tcBorders>
              <w:left w:val="single" w:color="000000" w:sz="4" w:space="0"/>
              <w:right w:val="single" w:color="000000" w:sz="4" w:space="0"/>
            </w:tcBorders>
            <w:vAlign w:val="center"/>
          </w:tcPr>
          <w:p w14:paraId="18000F20">
            <w:pPr>
              <w:jc w:val="center"/>
              <w:rPr>
                <w:rFonts w:ascii="宋体" w:hAnsi="宋体" w:eastAsia="宋体" w:cs="宋体"/>
                <w:b/>
                <w:bCs/>
                <w:color w:val="000000"/>
                <w:sz w:val="21"/>
                <w:szCs w:val="21"/>
                <w:highlight w:val="none"/>
              </w:rPr>
            </w:pPr>
          </w:p>
        </w:tc>
        <w:tc>
          <w:tcPr>
            <w:tcW w:w="1189" w:type="dxa"/>
            <w:vMerge w:val="continue"/>
            <w:tcBorders>
              <w:left w:val="single" w:color="000000" w:sz="4" w:space="0"/>
              <w:right w:val="single" w:color="000000" w:sz="4" w:space="0"/>
            </w:tcBorders>
            <w:vAlign w:val="center"/>
          </w:tcPr>
          <w:p w14:paraId="2774E131">
            <w:pPr>
              <w:jc w:val="left"/>
              <w:rPr>
                <w:rFonts w:ascii="宋体" w:hAnsi="宋体" w:eastAsia="宋体" w:cs="宋体"/>
                <w:color w:val="000000"/>
                <w:sz w:val="21"/>
                <w:szCs w:val="21"/>
                <w:highlight w:val="none"/>
              </w:rPr>
            </w:pPr>
          </w:p>
        </w:tc>
        <w:tc>
          <w:tcPr>
            <w:tcW w:w="1154" w:type="dxa"/>
            <w:vMerge w:val="restart"/>
            <w:tcBorders>
              <w:top w:val="single" w:color="000000" w:sz="4" w:space="0"/>
              <w:left w:val="single" w:color="000000" w:sz="4" w:space="0"/>
              <w:bottom w:val="single" w:color="000000" w:sz="4" w:space="0"/>
              <w:right w:val="single" w:color="000000" w:sz="4" w:space="0"/>
            </w:tcBorders>
            <w:noWrap/>
            <w:vAlign w:val="center"/>
          </w:tcPr>
          <w:p w14:paraId="57CB2289">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慢病监管</w:t>
            </w:r>
          </w:p>
        </w:tc>
        <w:tc>
          <w:tcPr>
            <w:tcW w:w="1223" w:type="dxa"/>
            <w:tcBorders>
              <w:top w:val="single" w:color="000000" w:sz="4" w:space="0"/>
              <w:left w:val="nil"/>
              <w:bottom w:val="single" w:color="000000" w:sz="4" w:space="0"/>
              <w:right w:val="single" w:color="000000" w:sz="4" w:space="0"/>
            </w:tcBorders>
            <w:vAlign w:val="center"/>
          </w:tcPr>
          <w:p w14:paraId="6A70604D">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高血压服务监管</w:t>
            </w:r>
          </w:p>
        </w:tc>
        <w:tc>
          <w:tcPr>
            <w:tcW w:w="5216" w:type="dxa"/>
            <w:tcBorders>
              <w:top w:val="single" w:color="000000" w:sz="4" w:space="0"/>
              <w:left w:val="single" w:color="000000" w:sz="4" w:space="0"/>
              <w:bottom w:val="single" w:color="000000" w:sz="4" w:space="0"/>
              <w:right w:val="single" w:color="000000" w:sz="4" w:space="0"/>
            </w:tcBorders>
            <w:vAlign w:val="center"/>
          </w:tcPr>
          <w:p w14:paraId="3CC34E7A">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对辖区管理的高血压患者进行统计，涉及：指导人次、易患人次、新发人数、管理人次、随访人次、辖区人群分析、死亡率分析等信息。</w:t>
            </w:r>
          </w:p>
        </w:tc>
      </w:tr>
      <w:tr w14:paraId="5B8C1122">
        <w:tblPrEx>
          <w:tblCellMar>
            <w:top w:w="0" w:type="dxa"/>
            <w:left w:w="108" w:type="dxa"/>
            <w:bottom w:w="0" w:type="dxa"/>
            <w:right w:w="108" w:type="dxa"/>
          </w:tblCellMar>
        </w:tblPrEx>
        <w:trPr>
          <w:trHeight w:val="316" w:hRule="atLeast"/>
        </w:trPr>
        <w:tc>
          <w:tcPr>
            <w:tcW w:w="705" w:type="dxa"/>
            <w:vMerge w:val="continue"/>
            <w:tcBorders>
              <w:left w:val="single" w:color="000000" w:sz="4" w:space="0"/>
              <w:right w:val="single" w:color="000000" w:sz="4" w:space="0"/>
            </w:tcBorders>
            <w:vAlign w:val="center"/>
          </w:tcPr>
          <w:p w14:paraId="4CFF9825">
            <w:pPr>
              <w:jc w:val="center"/>
              <w:rPr>
                <w:rFonts w:ascii="宋体" w:hAnsi="宋体" w:eastAsia="宋体" w:cs="宋体"/>
                <w:b/>
                <w:bCs/>
                <w:color w:val="000000"/>
                <w:sz w:val="21"/>
                <w:szCs w:val="21"/>
                <w:highlight w:val="none"/>
              </w:rPr>
            </w:pPr>
          </w:p>
        </w:tc>
        <w:tc>
          <w:tcPr>
            <w:tcW w:w="1189" w:type="dxa"/>
            <w:vMerge w:val="continue"/>
            <w:tcBorders>
              <w:top w:val="single" w:color="000000" w:sz="4" w:space="0"/>
              <w:left w:val="single" w:color="000000" w:sz="4" w:space="0"/>
              <w:bottom w:val="nil"/>
              <w:right w:val="single" w:color="000000" w:sz="4" w:space="0"/>
            </w:tcBorders>
            <w:vAlign w:val="center"/>
          </w:tcPr>
          <w:p w14:paraId="4D02ECD4">
            <w:pPr>
              <w:jc w:val="left"/>
              <w:rPr>
                <w:rFonts w:ascii="宋体" w:hAnsi="宋体" w:eastAsia="宋体" w:cs="宋体"/>
                <w:color w:val="000000"/>
                <w:sz w:val="21"/>
                <w:szCs w:val="21"/>
                <w:highlight w:val="none"/>
              </w:rPr>
            </w:pPr>
          </w:p>
        </w:tc>
        <w:tc>
          <w:tcPr>
            <w:tcW w:w="1154" w:type="dxa"/>
            <w:vMerge w:val="continue"/>
            <w:tcBorders>
              <w:top w:val="single" w:color="000000" w:sz="4" w:space="0"/>
              <w:left w:val="single" w:color="000000" w:sz="4" w:space="0"/>
              <w:bottom w:val="single" w:color="000000" w:sz="4" w:space="0"/>
              <w:right w:val="single" w:color="000000" w:sz="4" w:space="0"/>
            </w:tcBorders>
            <w:noWrap/>
            <w:vAlign w:val="center"/>
          </w:tcPr>
          <w:p w14:paraId="24CCD227">
            <w:pPr>
              <w:jc w:val="left"/>
              <w:rPr>
                <w:rFonts w:ascii="宋体" w:hAnsi="宋体" w:eastAsia="宋体" w:cs="宋体"/>
                <w:color w:val="000000"/>
                <w:sz w:val="21"/>
                <w:szCs w:val="21"/>
                <w:highlight w:val="none"/>
              </w:rPr>
            </w:pPr>
          </w:p>
        </w:tc>
        <w:tc>
          <w:tcPr>
            <w:tcW w:w="1223" w:type="dxa"/>
            <w:tcBorders>
              <w:top w:val="single" w:color="000000" w:sz="4" w:space="0"/>
              <w:left w:val="single" w:color="000000" w:sz="4" w:space="0"/>
              <w:bottom w:val="single" w:color="000000" w:sz="4" w:space="0"/>
              <w:right w:val="single" w:color="000000" w:sz="4" w:space="0"/>
            </w:tcBorders>
            <w:vAlign w:val="center"/>
          </w:tcPr>
          <w:p w14:paraId="717C1364">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糖尿病服务监管</w:t>
            </w:r>
          </w:p>
        </w:tc>
        <w:tc>
          <w:tcPr>
            <w:tcW w:w="5216" w:type="dxa"/>
            <w:tcBorders>
              <w:top w:val="single" w:color="000000" w:sz="4" w:space="0"/>
              <w:left w:val="single" w:color="000000" w:sz="4" w:space="0"/>
              <w:bottom w:val="single" w:color="000000" w:sz="4" w:space="0"/>
              <w:right w:val="single" w:color="000000" w:sz="4" w:space="0"/>
            </w:tcBorders>
            <w:vAlign w:val="center"/>
          </w:tcPr>
          <w:p w14:paraId="0549004E">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对辖区管理的糖尿病患者进行统计，涉及：指导人次、易患人次、新发人数、管理人次、随访人次、辖区人群分析、死亡率分析等信息。</w:t>
            </w:r>
          </w:p>
        </w:tc>
      </w:tr>
      <w:tr w14:paraId="17D35F00">
        <w:tblPrEx>
          <w:tblCellMar>
            <w:top w:w="0" w:type="dxa"/>
            <w:left w:w="108" w:type="dxa"/>
            <w:bottom w:w="0" w:type="dxa"/>
            <w:right w:w="108" w:type="dxa"/>
          </w:tblCellMar>
        </w:tblPrEx>
        <w:trPr>
          <w:trHeight w:val="316" w:hRule="atLeast"/>
        </w:trPr>
        <w:tc>
          <w:tcPr>
            <w:tcW w:w="705" w:type="dxa"/>
            <w:vMerge w:val="continue"/>
            <w:tcBorders>
              <w:left w:val="single" w:color="000000" w:sz="4" w:space="0"/>
              <w:right w:val="single" w:color="000000" w:sz="4" w:space="0"/>
            </w:tcBorders>
            <w:vAlign w:val="center"/>
          </w:tcPr>
          <w:p w14:paraId="7A70ECFC">
            <w:pPr>
              <w:jc w:val="center"/>
              <w:rPr>
                <w:rFonts w:ascii="宋体" w:hAnsi="宋体" w:eastAsia="宋体" w:cs="宋体"/>
                <w:b/>
                <w:bCs/>
                <w:color w:val="000000"/>
                <w:sz w:val="21"/>
                <w:szCs w:val="21"/>
                <w:highlight w:val="none"/>
              </w:rPr>
            </w:pPr>
          </w:p>
        </w:tc>
        <w:tc>
          <w:tcPr>
            <w:tcW w:w="1189" w:type="dxa"/>
            <w:vMerge w:val="continue"/>
            <w:tcBorders>
              <w:top w:val="single" w:color="000000" w:sz="4" w:space="0"/>
              <w:left w:val="single" w:color="000000" w:sz="4" w:space="0"/>
              <w:bottom w:val="nil"/>
              <w:right w:val="single" w:color="000000" w:sz="4" w:space="0"/>
            </w:tcBorders>
            <w:vAlign w:val="center"/>
          </w:tcPr>
          <w:p w14:paraId="006FDD45">
            <w:pPr>
              <w:jc w:val="left"/>
              <w:rPr>
                <w:rFonts w:ascii="宋体" w:hAnsi="宋体" w:eastAsia="宋体" w:cs="宋体"/>
                <w:color w:val="000000"/>
                <w:sz w:val="21"/>
                <w:szCs w:val="21"/>
                <w:highlight w:val="none"/>
              </w:rPr>
            </w:pPr>
          </w:p>
        </w:tc>
        <w:tc>
          <w:tcPr>
            <w:tcW w:w="1154" w:type="dxa"/>
            <w:vMerge w:val="continue"/>
            <w:tcBorders>
              <w:top w:val="single" w:color="000000" w:sz="4" w:space="0"/>
              <w:left w:val="single" w:color="000000" w:sz="4" w:space="0"/>
              <w:bottom w:val="single" w:color="000000" w:sz="4" w:space="0"/>
              <w:right w:val="single" w:color="000000" w:sz="4" w:space="0"/>
            </w:tcBorders>
            <w:noWrap/>
            <w:vAlign w:val="center"/>
          </w:tcPr>
          <w:p w14:paraId="29B105D6">
            <w:pPr>
              <w:jc w:val="left"/>
              <w:rPr>
                <w:rFonts w:ascii="宋体" w:hAnsi="宋体" w:eastAsia="宋体" w:cs="宋体"/>
                <w:color w:val="000000"/>
                <w:sz w:val="21"/>
                <w:szCs w:val="21"/>
                <w:highlight w:val="none"/>
              </w:rPr>
            </w:pPr>
          </w:p>
        </w:tc>
        <w:tc>
          <w:tcPr>
            <w:tcW w:w="1223" w:type="dxa"/>
            <w:tcBorders>
              <w:top w:val="single" w:color="000000" w:sz="4" w:space="0"/>
              <w:left w:val="single" w:color="000000" w:sz="4" w:space="0"/>
              <w:bottom w:val="single" w:color="000000" w:sz="4" w:space="0"/>
              <w:right w:val="single" w:color="000000" w:sz="4" w:space="0"/>
            </w:tcBorders>
            <w:vAlign w:val="center"/>
          </w:tcPr>
          <w:p w14:paraId="18DB62E8">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慢阻肺服务监管</w:t>
            </w:r>
          </w:p>
        </w:tc>
        <w:tc>
          <w:tcPr>
            <w:tcW w:w="5216" w:type="dxa"/>
            <w:tcBorders>
              <w:top w:val="single" w:color="000000" w:sz="4" w:space="0"/>
              <w:left w:val="single" w:color="000000" w:sz="4" w:space="0"/>
              <w:bottom w:val="single" w:color="000000" w:sz="4" w:space="0"/>
              <w:right w:val="single" w:color="000000" w:sz="4" w:space="0"/>
            </w:tcBorders>
            <w:vAlign w:val="center"/>
          </w:tcPr>
          <w:p w14:paraId="5411F863">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对辖区管理的慢阻肺患者进行统计，涉及：指导人次、易患人次、新发人数、管理人次、随访人次、辖区人群分析、死亡率分析等信息。</w:t>
            </w:r>
          </w:p>
        </w:tc>
      </w:tr>
      <w:tr w14:paraId="381A073B">
        <w:tblPrEx>
          <w:tblCellMar>
            <w:top w:w="0" w:type="dxa"/>
            <w:left w:w="108" w:type="dxa"/>
            <w:bottom w:w="0" w:type="dxa"/>
            <w:right w:w="108" w:type="dxa"/>
          </w:tblCellMar>
        </w:tblPrEx>
        <w:trPr>
          <w:trHeight w:val="622" w:hRule="atLeast"/>
        </w:trPr>
        <w:tc>
          <w:tcPr>
            <w:tcW w:w="705" w:type="dxa"/>
            <w:vMerge w:val="continue"/>
            <w:tcBorders>
              <w:left w:val="single" w:color="000000" w:sz="4" w:space="0"/>
              <w:right w:val="single" w:color="000000" w:sz="4" w:space="0"/>
            </w:tcBorders>
            <w:vAlign w:val="center"/>
          </w:tcPr>
          <w:p w14:paraId="3D415C04">
            <w:pPr>
              <w:jc w:val="center"/>
              <w:rPr>
                <w:rFonts w:ascii="宋体" w:hAnsi="宋体" w:eastAsia="宋体" w:cs="宋体"/>
                <w:b/>
                <w:bCs/>
                <w:color w:val="000000"/>
                <w:sz w:val="21"/>
                <w:szCs w:val="21"/>
                <w:highlight w:val="none"/>
              </w:rPr>
            </w:pPr>
          </w:p>
        </w:tc>
        <w:tc>
          <w:tcPr>
            <w:tcW w:w="1189" w:type="dxa"/>
            <w:vMerge w:val="continue"/>
            <w:tcBorders>
              <w:top w:val="single" w:color="000000" w:sz="4" w:space="0"/>
              <w:left w:val="single" w:color="000000" w:sz="4" w:space="0"/>
              <w:right w:val="single" w:color="000000" w:sz="4" w:space="0"/>
            </w:tcBorders>
            <w:vAlign w:val="center"/>
          </w:tcPr>
          <w:p w14:paraId="5709307B">
            <w:pPr>
              <w:jc w:val="left"/>
              <w:rPr>
                <w:rFonts w:ascii="宋体" w:hAnsi="宋体" w:eastAsia="宋体" w:cs="宋体"/>
                <w:color w:val="000000"/>
                <w:sz w:val="21"/>
                <w:szCs w:val="21"/>
                <w:highlight w:val="none"/>
              </w:rPr>
            </w:pPr>
          </w:p>
        </w:tc>
        <w:tc>
          <w:tcPr>
            <w:tcW w:w="1154" w:type="dxa"/>
            <w:vMerge w:val="continue"/>
            <w:tcBorders>
              <w:top w:val="single" w:color="000000" w:sz="4" w:space="0"/>
              <w:left w:val="single" w:color="000000" w:sz="4" w:space="0"/>
              <w:right w:val="single" w:color="000000" w:sz="4" w:space="0"/>
            </w:tcBorders>
            <w:noWrap/>
            <w:vAlign w:val="center"/>
          </w:tcPr>
          <w:p w14:paraId="51BD9734">
            <w:pPr>
              <w:jc w:val="left"/>
              <w:rPr>
                <w:rFonts w:ascii="宋体" w:hAnsi="宋体" w:eastAsia="宋体" w:cs="宋体"/>
                <w:color w:val="000000"/>
                <w:sz w:val="21"/>
                <w:szCs w:val="21"/>
                <w:highlight w:val="none"/>
              </w:rPr>
            </w:pPr>
          </w:p>
        </w:tc>
        <w:tc>
          <w:tcPr>
            <w:tcW w:w="1223" w:type="dxa"/>
            <w:tcBorders>
              <w:top w:val="single" w:color="000000" w:sz="4" w:space="0"/>
              <w:left w:val="single" w:color="000000" w:sz="4" w:space="0"/>
              <w:bottom w:val="single" w:color="000000" w:sz="4" w:space="0"/>
              <w:right w:val="single" w:color="000000" w:sz="4" w:space="0"/>
            </w:tcBorders>
            <w:vAlign w:val="center"/>
          </w:tcPr>
          <w:p w14:paraId="70BFCDFF">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冠心病服务监管</w:t>
            </w:r>
          </w:p>
        </w:tc>
        <w:tc>
          <w:tcPr>
            <w:tcW w:w="5216" w:type="dxa"/>
            <w:tcBorders>
              <w:top w:val="single" w:color="000000" w:sz="4" w:space="0"/>
              <w:left w:val="single" w:color="000000" w:sz="4" w:space="0"/>
              <w:bottom w:val="single" w:color="000000" w:sz="4" w:space="0"/>
              <w:right w:val="single" w:color="000000" w:sz="4" w:space="0"/>
            </w:tcBorders>
            <w:vAlign w:val="center"/>
          </w:tcPr>
          <w:p w14:paraId="2D6ADAF8">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对辖区管理的冠心病患者进行统计，涉及：指导人次、易患人次、新发人数、管理人次、随访人次、辖区人群分析、死亡率分析等信息。</w:t>
            </w:r>
          </w:p>
        </w:tc>
      </w:tr>
      <w:tr w14:paraId="6D7ABAF8">
        <w:tblPrEx>
          <w:tblCellMar>
            <w:top w:w="0" w:type="dxa"/>
            <w:left w:w="108" w:type="dxa"/>
            <w:bottom w:w="0" w:type="dxa"/>
            <w:right w:w="108" w:type="dxa"/>
          </w:tblCellMar>
        </w:tblPrEx>
        <w:trPr>
          <w:trHeight w:val="622" w:hRule="atLeast"/>
        </w:trPr>
        <w:tc>
          <w:tcPr>
            <w:tcW w:w="705" w:type="dxa"/>
            <w:vMerge w:val="continue"/>
            <w:tcBorders>
              <w:left w:val="single" w:color="000000" w:sz="4" w:space="0"/>
              <w:right w:val="single" w:color="000000" w:sz="4" w:space="0"/>
            </w:tcBorders>
            <w:vAlign w:val="center"/>
          </w:tcPr>
          <w:p w14:paraId="0E96C52B">
            <w:pPr>
              <w:jc w:val="center"/>
              <w:rPr>
                <w:rFonts w:ascii="宋体" w:hAnsi="宋体" w:eastAsia="宋体" w:cs="宋体"/>
                <w:b/>
                <w:bCs/>
                <w:color w:val="000000"/>
                <w:sz w:val="21"/>
                <w:szCs w:val="21"/>
                <w:highlight w:val="none"/>
              </w:rPr>
            </w:pPr>
          </w:p>
        </w:tc>
        <w:tc>
          <w:tcPr>
            <w:tcW w:w="1189" w:type="dxa"/>
            <w:vMerge w:val="continue"/>
            <w:tcBorders>
              <w:left w:val="single" w:color="000000" w:sz="4" w:space="0"/>
              <w:right w:val="single" w:color="000000" w:sz="4" w:space="0"/>
            </w:tcBorders>
            <w:vAlign w:val="center"/>
          </w:tcPr>
          <w:p w14:paraId="0476341D">
            <w:pPr>
              <w:jc w:val="left"/>
              <w:rPr>
                <w:rFonts w:ascii="宋体" w:hAnsi="宋体" w:eastAsia="宋体" w:cs="宋体"/>
                <w:color w:val="000000"/>
                <w:sz w:val="21"/>
                <w:szCs w:val="21"/>
                <w:highlight w:val="none"/>
              </w:rPr>
            </w:pPr>
          </w:p>
        </w:tc>
        <w:tc>
          <w:tcPr>
            <w:tcW w:w="1154" w:type="dxa"/>
            <w:vMerge w:val="continue"/>
            <w:tcBorders>
              <w:left w:val="single" w:color="000000" w:sz="4" w:space="0"/>
              <w:right w:val="single" w:color="000000" w:sz="4" w:space="0"/>
            </w:tcBorders>
            <w:noWrap/>
            <w:vAlign w:val="center"/>
          </w:tcPr>
          <w:p w14:paraId="0B2709E8">
            <w:pPr>
              <w:jc w:val="left"/>
              <w:rPr>
                <w:rFonts w:ascii="宋体" w:hAnsi="宋体" w:eastAsia="宋体" w:cs="宋体"/>
                <w:color w:val="000000"/>
                <w:sz w:val="21"/>
                <w:szCs w:val="21"/>
                <w:highlight w:val="none"/>
              </w:rPr>
            </w:pPr>
          </w:p>
        </w:tc>
        <w:tc>
          <w:tcPr>
            <w:tcW w:w="1223" w:type="dxa"/>
            <w:tcBorders>
              <w:top w:val="single" w:color="000000" w:sz="4" w:space="0"/>
              <w:left w:val="single" w:color="000000" w:sz="4" w:space="0"/>
              <w:bottom w:val="single" w:color="000000" w:sz="4" w:space="0"/>
              <w:right w:val="single" w:color="000000" w:sz="4" w:space="0"/>
            </w:tcBorders>
            <w:vAlign w:val="center"/>
          </w:tcPr>
          <w:p w14:paraId="7DF5E7C6">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慢性肾病服务监管</w:t>
            </w:r>
          </w:p>
        </w:tc>
        <w:tc>
          <w:tcPr>
            <w:tcW w:w="5216" w:type="dxa"/>
            <w:tcBorders>
              <w:top w:val="single" w:color="000000" w:sz="4" w:space="0"/>
              <w:left w:val="single" w:color="000000" w:sz="4" w:space="0"/>
              <w:bottom w:val="single" w:color="000000" w:sz="4" w:space="0"/>
              <w:right w:val="single" w:color="000000" w:sz="4" w:space="0"/>
            </w:tcBorders>
            <w:vAlign w:val="center"/>
          </w:tcPr>
          <w:p w14:paraId="7F1EA090">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对辖区管理的慢性肾病患者进行统计，涉及：指导人次、易患人次、新发人数、管理人次、随访人次、辖区人群分析、死亡率分析等信息。</w:t>
            </w:r>
          </w:p>
        </w:tc>
      </w:tr>
      <w:tr w14:paraId="7D34C7CF">
        <w:tblPrEx>
          <w:tblCellMar>
            <w:top w:w="0" w:type="dxa"/>
            <w:left w:w="108" w:type="dxa"/>
            <w:bottom w:w="0" w:type="dxa"/>
            <w:right w:w="108" w:type="dxa"/>
          </w:tblCellMar>
        </w:tblPrEx>
        <w:trPr>
          <w:trHeight w:val="622" w:hRule="atLeast"/>
        </w:trPr>
        <w:tc>
          <w:tcPr>
            <w:tcW w:w="705" w:type="dxa"/>
            <w:vMerge w:val="continue"/>
            <w:tcBorders>
              <w:left w:val="single" w:color="000000" w:sz="4" w:space="0"/>
              <w:right w:val="single" w:color="000000" w:sz="4" w:space="0"/>
            </w:tcBorders>
            <w:vAlign w:val="center"/>
          </w:tcPr>
          <w:p w14:paraId="0F823BC2">
            <w:pPr>
              <w:jc w:val="center"/>
              <w:rPr>
                <w:rFonts w:ascii="宋体" w:hAnsi="宋体" w:eastAsia="宋体" w:cs="宋体"/>
                <w:b/>
                <w:bCs/>
                <w:color w:val="000000"/>
                <w:sz w:val="21"/>
                <w:szCs w:val="21"/>
                <w:highlight w:val="none"/>
              </w:rPr>
            </w:pPr>
          </w:p>
        </w:tc>
        <w:tc>
          <w:tcPr>
            <w:tcW w:w="1189" w:type="dxa"/>
            <w:vMerge w:val="continue"/>
            <w:tcBorders>
              <w:left w:val="single" w:color="000000" w:sz="4" w:space="0"/>
              <w:right w:val="single" w:color="000000" w:sz="4" w:space="0"/>
            </w:tcBorders>
            <w:vAlign w:val="center"/>
          </w:tcPr>
          <w:p w14:paraId="1C3B2147">
            <w:pPr>
              <w:jc w:val="left"/>
              <w:rPr>
                <w:rFonts w:ascii="宋体" w:hAnsi="宋体" w:eastAsia="宋体" w:cs="宋体"/>
                <w:color w:val="000000"/>
                <w:sz w:val="21"/>
                <w:szCs w:val="21"/>
                <w:highlight w:val="none"/>
              </w:rPr>
            </w:pPr>
          </w:p>
        </w:tc>
        <w:tc>
          <w:tcPr>
            <w:tcW w:w="1154" w:type="dxa"/>
            <w:vMerge w:val="continue"/>
            <w:tcBorders>
              <w:left w:val="single" w:color="000000" w:sz="4" w:space="0"/>
              <w:right w:val="single" w:color="000000" w:sz="4" w:space="0"/>
            </w:tcBorders>
            <w:noWrap/>
            <w:vAlign w:val="center"/>
          </w:tcPr>
          <w:p w14:paraId="4B591417">
            <w:pPr>
              <w:jc w:val="left"/>
              <w:rPr>
                <w:rFonts w:ascii="宋体" w:hAnsi="宋体" w:eastAsia="宋体" w:cs="宋体"/>
                <w:color w:val="000000"/>
                <w:sz w:val="21"/>
                <w:szCs w:val="21"/>
                <w:highlight w:val="none"/>
              </w:rPr>
            </w:pPr>
          </w:p>
        </w:tc>
        <w:tc>
          <w:tcPr>
            <w:tcW w:w="1223" w:type="dxa"/>
            <w:tcBorders>
              <w:top w:val="single" w:color="000000" w:sz="4" w:space="0"/>
              <w:left w:val="single" w:color="000000" w:sz="4" w:space="0"/>
              <w:bottom w:val="single" w:color="000000" w:sz="4" w:space="0"/>
              <w:right w:val="single" w:color="000000" w:sz="4" w:space="0"/>
            </w:tcBorders>
            <w:vAlign w:val="center"/>
          </w:tcPr>
          <w:p w14:paraId="58D6CED5">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脑卒中服务监管</w:t>
            </w:r>
          </w:p>
        </w:tc>
        <w:tc>
          <w:tcPr>
            <w:tcW w:w="5216" w:type="dxa"/>
            <w:tcBorders>
              <w:top w:val="single" w:color="000000" w:sz="4" w:space="0"/>
              <w:left w:val="single" w:color="000000" w:sz="4" w:space="0"/>
              <w:bottom w:val="single" w:color="000000" w:sz="4" w:space="0"/>
              <w:right w:val="single" w:color="000000" w:sz="4" w:space="0"/>
            </w:tcBorders>
            <w:vAlign w:val="center"/>
          </w:tcPr>
          <w:p w14:paraId="4F0F708F">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对辖区管理的脑卒中患者进行统计，涉及：指导人次、易患人次、新发人数、管理人次、随访人次、辖区人群分析、死亡率分析等信息。</w:t>
            </w:r>
          </w:p>
        </w:tc>
      </w:tr>
      <w:tr w14:paraId="7FFB2A3A">
        <w:tblPrEx>
          <w:tblCellMar>
            <w:top w:w="0" w:type="dxa"/>
            <w:left w:w="108" w:type="dxa"/>
            <w:bottom w:w="0" w:type="dxa"/>
            <w:right w:w="108" w:type="dxa"/>
          </w:tblCellMar>
        </w:tblPrEx>
        <w:trPr>
          <w:trHeight w:val="622" w:hRule="atLeast"/>
        </w:trPr>
        <w:tc>
          <w:tcPr>
            <w:tcW w:w="705" w:type="dxa"/>
            <w:vMerge w:val="continue"/>
            <w:tcBorders>
              <w:left w:val="single" w:color="000000" w:sz="4" w:space="0"/>
              <w:right w:val="single" w:color="000000" w:sz="4" w:space="0"/>
            </w:tcBorders>
            <w:vAlign w:val="center"/>
          </w:tcPr>
          <w:p w14:paraId="61F24D2E">
            <w:pPr>
              <w:jc w:val="center"/>
              <w:rPr>
                <w:rFonts w:ascii="宋体" w:hAnsi="宋体" w:eastAsia="宋体" w:cs="宋体"/>
                <w:b/>
                <w:bCs/>
                <w:color w:val="000000"/>
                <w:sz w:val="21"/>
                <w:szCs w:val="21"/>
                <w:highlight w:val="none"/>
              </w:rPr>
            </w:pPr>
          </w:p>
        </w:tc>
        <w:tc>
          <w:tcPr>
            <w:tcW w:w="1189" w:type="dxa"/>
            <w:vMerge w:val="continue"/>
            <w:tcBorders>
              <w:left w:val="single" w:color="000000" w:sz="4" w:space="0"/>
              <w:right w:val="single" w:color="000000" w:sz="4" w:space="0"/>
            </w:tcBorders>
            <w:vAlign w:val="center"/>
          </w:tcPr>
          <w:p w14:paraId="0A1F489D">
            <w:pPr>
              <w:jc w:val="left"/>
              <w:rPr>
                <w:rFonts w:ascii="宋体" w:hAnsi="宋体" w:eastAsia="宋体" w:cs="宋体"/>
                <w:color w:val="000000"/>
                <w:sz w:val="21"/>
                <w:szCs w:val="21"/>
                <w:highlight w:val="none"/>
              </w:rPr>
            </w:pPr>
          </w:p>
        </w:tc>
        <w:tc>
          <w:tcPr>
            <w:tcW w:w="1154" w:type="dxa"/>
            <w:vMerge w:val="restart"/>
            <w:tcBorders>
              <w:left w:val="single" w:color="000000" w:sz="4" w:space="0"/>
              <w:right w:val="single" w:color="000000" w:sz="4" w:space="0"/>
            </w:tcBorders>
            <w:noWrap/>
            <w:vAlign w:val="center"/>
          </w:tcPr>
          <w:p w14:paraId="0D4789FD">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肿瘤监管</w:t>
            </w:r>
          </w:p>
        </w:tc>
        <w:tc>
          <w:tcPr>
            <w:tcW w:w="1223" w:type="dxa"/>
            <w:tcBorders>
              <w:top w:val="single" w:color="000000" w:sz="4" w:space="0"/>
              <w:left w:val="single" w:color="000000" w:sz="4" w:space="0"/>
              <w:bottom w:val="single" w:color="000000" w:sz="4" w:space="0"/>
              <w:right w:val="single" w:color="000000" w:sz="4" w:space="0"/>
            </w:tcBorders>
            <w:vAlign w:val="center"/>
          </w:tcPr>
          <w:p w14:paraId="3F7F762E">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肺癌服务监管</w:t>
            </w:r>
          </w:p>
        </w:tc>
        <w:tc>
          <w:tcPr>
            <w:tcW w:w="5216" w:type="dxa"/>
            <w:tcBorders>
              <w:top w:val="single" w:color="000000" w:sz="4" w:space="0"/>
              <w:left w:val="single" w:color="000000" w:sz="4" w:space="0"/>
              <w:bottom w:val="single" w:color="000000" w:sz="4" w:space="0"/>
              <w:right w:val="single" w:color="000000" w:sz="4" w:space="0"/>
            </w:tcBorders>
            <w:vAlign w:val="center"/>
          </w:tcPr>
          <w:p w14:paraId="07F0FC04">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对辖区管理的肺癌患者进行统计，涉及：指导人次、易患人次、新发人数、管理人次、随访人次、辖区人群分析、死亡率分析等信息。</w:t>
            </w:r>
          </w:p>
        </w:tc>
      </w:tr>
      <w:tr w14:paraId="66BC35CA">
        <w:tblPrEx>
          <w:tblCellMar>
            <w:top w:w="0" w:type="dxa"/>
            <w:left w:w="108" w:type="dxa"/>
            <w:bottom w:w="0" w:type="dxa"/>
            <w:right w:w="108" w:type="dxa"/>
          </w:tblCellMar>
        </w:tblPrEx>
        <w:trPr>
          <w:trHeight w:val="622" w:hRule="atLeast"/>
        </w:trPr>
        <w:tc>
          <w:tcPr>
            <w:tcW w:w="705" w:type="dxa"/>
            <w:vMerge w:val="continue"/>
            <w:tcBorders>
              <w:left w:val="single" w:color="000000" w:sz="4" w:space="0"/>
              <w:right w:val="single" w:color="000000" w:sz="4" w:space="0"/>
            </w:tcBorders>
            <w:vAlign w:val="center"/>
          </w:tcPr>
          <w:p w14:paraId="741DB491">
            <w:pPr>
              <w:jc w:val="center"/>
              <w:rPr>
                <w:rFonts w:ascii="宋体" w:hAnsi="宋体" w:eastAsia="宋体" w:cs="宋体"/>
                <w:b/>
                <w:bCs/>
                <w:color w:val="000000"/>
                <w:sz w:val="21"/>
                <w:szCs w:val="21"/>
                <w:highlight w:val="none"/>
              </w:rPr>
            </w:pPr>
          </w:p>
        </w:tc>
        <w:tc>
          <w:tcPr>
            <w:tcW w:w="1189" w:type="dxa"/>
            <w:vMerge w:val="continue"/>
            <w:tcBorders>
              <w:left w:val="single" w:color="000000" w:sz="4" w:space="0"/>
              <w:right w:val="single" w:color="000000" w:sz="4" w:space="0"/>
            </w:tcBorders>
            <w:vAlign w:val="center"/>
          </w:tcPr>
          <w:p w14:paraId="3A0AA285">
            <w:pPr>
              <w:jc w:val="left"/>
              <w:rPr>
                <w:rFonts w:ascii="宋体" w:hAnsi="宋体" w:eastAsia="宋体" w:cs="宋体"/>
                <w:color w:val="000000"/>
                <w:sz w:val="21"/>
                <w:szCs w:val="21"/>
                <w:highlight w:val="none"/>
              </w:rPr>
            </w:pPr>
          </w:p>
        </w:tc>
        <w:tc>
          <w:tcPr>
            <w:tcW w:w="1154" w:type="dxa"/>
            <w:vMerge w:val="continue"/>
            <w:tcBorders>
              <w:left w:val="single" w:color="000000" w:sz="4" w:space="0"/>
              <w:right w:val="single" w:color="000000" w:sz="4" w:space="0"/>
            </w:tcBorders>
            <w:noWrap/>
            <w:vAlign w:val="center"/>
          </w:tcPr>
          <w:p w14:paraId="47E7E48A">
            <w:pPr>
              <w:jc w:val="left"/>
              <w:rPr>
                <w:rFonts w:ascii="宋体" w:hAnsi="宋体" w:eastAsia="宋体" w:cs="宋体"/>
                <w:color w:val="000000"/>
                <w:sz w:val="21"/>
                <w:szCs w:val="21"/>
                <w:highlight w:val="none"/>
              </w:rPr>
            </w:pPr>
          </w:p>
        </w:tc>
        <w:tc>
          <w:tcPr>
            <w:tcW w:w="1223" w:type="dxa"/>
            <w:tcBorders>
              <w:top w:val="single" w:color="000000" w:sz="4" w:space="0"/>
              <w:left w:val="single" w:color="000000" w:sz="4" w:space="0"/>
              <w:bottom w:val="single" w:color="000000" w:sz="4" w:space="0"/>
              <w:right w:val="single" w:color="000000" w:sz="4" w:space="0"/>
            </w:tcBorders>
            <w:vAlign w:val="center"/>
          </w:tcPr>
          <w:p w14:paraId="6A503D26">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结直肠癌服务监管</w:t>
            </w:r>
          </w:p>
        </w:tc>
        <w:tc>
          <w:tcPr>
            <w:tcW w:w="5216" w:type="dxa"/>
            <w:tcBorders>
              <w:top w:val="single" w:color="000000" w:sz="4" w:space="0"/>
              <w:left w:val="single" w:color="000000" w:sz="4" w:space="0"/>
              <w:bottom w:val="single" w:color="000000" w:sz="4" w:space="0"/>
              <w:right w:val="single" w:color="000000" w:sz="4" w:space="0"/>
            </w:tcBorders>
            <w:vAlign w:val="center"/>
          </w:tcPr>
          <w:p w14:paraId="6EB98162">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对辖区管理的结直肠癌患者进行统计，涉及：指导人次、易患人次、新发人数、管理人次、随访人次、辖区人群分析、死亡率分析等信息。</w:t>
            </w:r>
          </w:p>
        </w:tc>
      </w:tr>
      <w:tr w14:paraId="7BCD3B3C">
        <w:tblPrEx>
          <w:tblCellMar>
            <w:top w:w="0" w:type="dxa"/>
            <w:left w:w="108" w:type="dxa"/>
            <w:bottom w:w="0" w:type="dxa"/>
            <w:right w:w="108" w:type="dxa"/>
          </w:tblCellMar>
        </w:tblPrEx>
        <w:trPr>
          <w:trHeight w:val="730" w:hRule="atLeast"/>
        </w:trPr>
        <w:tc>
          <w:tcPr>
            <w:tcW w:w="705" w:type="dxa"/>
            <w:vMerge w:val="continue"/>
            <w:tcBorders>
              <w:left w:val="single" w:color="000000" w:sz="4" w:space="0"/>
              <w:right w:val="single" w:color="000000" w:sz="4" w:space="0"/>
            </w:tcBorders>
            <w:vAlign w:val="center"/>
          </w:tcPr>
          <w:p w14:paraId="7A9A0D25">
            <w:pPr>
              <w:jc w:val="center"/>
              <w:rPr>
                <w:rFonts w:ascii="宋体" w:hAnsi="宋体" w:eastAsia="宋体" w:cs="宋体"/>
                <w:b/>
                <w:bCs/>
                <w:color w:val="000000"/>
                <w:sz w:val="21"/>
                <w:szCs w:val="21"/>
                <w:highlight w:val="none"/>
              </w:rPr>
            </w:pPr>
          </w:p>
        </w:tc>
        <w:tc>
          <w:tcPr>
            <w:tcW w:w="1189" w:type="dxa"/>
            <w:vMerge w:val="continue"/>
            <w:tcBorders>
              <w:left w:val="single" w:color="000000" w:sz="4" w:space="0"/>
              <w:right w:val="single" w:color="000000" w:sz="4" w:space="0"/>
            </w:tcBorders>
            <w:vAlign w:val="center"/>
          </w:tcPr>
          <w:p w14:paraId="69948A0C">
            <w:pPr>
              <w:jc w:val="left"/>
              <w:rPr>
                <w:rFonts w:ascii="宋体" w:hAnsi="宋体" w:eastAsia="宋体" w:cs="宋体"/>
                <w:color w:val="000000"/>
                <w:sz w:val="21"/>
                <w:szCs w:val="21"/>
                <w:highlight w:val="none"/>
              </w:rPr>
            </w:pPr>
          </w:p>
        </w:tc>
        <w:tc>
          <w:tcPr>
            <w:tcW w:w="1154" w:type="dxa"/>
            <w:vMerge w:val="continue"/>
            <w:tcBorders>
              <w:left w:val="single" w:color="000000" w:sz="4" w:space="0"/>
              <w:right w:val="single" w:color="000000" w:sz="4" w:space="0"/>
            </w:tcBorders>
            <w:noWrap/>
            <w:vAlign w:val="center"/>
          </w:tcPr>
          <w:p w14:paraId="059C6269">
            <w:pPr>
              <w:jc w:val="left"/>
              <w:rPr>
                <w:rFonts w:ascii="宋体" w:hAnsi="宋体" w:eastAsia="宋体" w:cs="宋体"/>
                <w:color w:val="000000"/>
                <w:sz w:val="21"/>
                <w:szCs w:val="21"/>
                <w:highlight w:val="none"/>
              </w:rPr>
            </w:pPr>
          </w:p>
        </w:tc>
        <w:tc>
          <w:tcPr>
            <w:tcW w:w="1223" w:type="dxa"/>
            <w:tcBorders>
              <w:top w:val="single" w:color="000000" w:sz="4" w:space="0"/>
              <w:left w:val="single" w:color="000000" w:sz="4" w:space="0"/>
              <w:bottom w:val="single" w:color="000000" w:sz="4" w:space="0"/>
              <w:right w:val="single" w:color="000000" w:sz="4" w:space="0"/>
            </w:tcBorders>
            <w:vAlign w:val="center"/>
          </w:tcPr>
          <w:p w14:paraId="05C36793">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乳腺癌服务监管</w:t>
            </w:r>
          </w:p>
        </w:tc>
        <w:tc>
          <w:tcPr>
            <w:tcW w:w="5216" w:type="dxa"/>
            <w:tcBorders>
              <w:top w:val="single" w:color="000000" w:sz="4" w:space="0"/>
              <w:left w:val="single" w:color="000000" w:sz="4" w:space="0"/>
              <w:bottom w:val="single" w:color="000000" w:sz="4" w:space="0"/>
              <w:right w:val="single" w:color="000000" w:sz="4" w:space="0"/>
            </w:tcBorders>
            <w:vAlign w:val="center"/>
          </w:tcPr>
          <w:p w14:paraId="11B2928B">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对辖区管理的乳腺癌患者进行统计，涉及：指导人次、易患人次、新发人数、管理人次、随访人次、辖区人群分析、死亡率分析等信息。</w:t>
            </w:r>
          </w:p>
        </w:tc>
      </w:tr>
      <w:tr w14:paraId="7657D6E3">
        <w:tblPrEx>
          <w:tblCellMar>
            <w:top w:w="0" w:type="dxa"/>
            <w:left w:w="108" w:type="dxa"/>
            <w:bottom w:w="0" w:type="dxa"/>
            <w:right w:w="108" w:type="dxa"/>
          </w:tblCellMar>
        </w:tblPrEx>
        <w:trPr>
          <w:trHeight w:val="622" w:hRule="atLeast"/>
        </w:trPr>
        <w:tc>
          <w:tcPr>
            <w:tcW w:w="705" w:type="dxa"/>
            <w:vMerge w:val="continue"/>
            <w:tcBorders>
              <w:left w:val="single" w:color="000000" w:sz="4" w:space="0"/>
              <w:right w:val="single" w:color="000000" w:sz="4" w:space="0"/>
            </w:tcBorders>
            <w:vAlign w:val="center"/>
          </w:tcPr>
          <w:p w14:paraId="489D384D">
            <w:pPr>
              <w:jc w:val="center"/>
              <w:rPr>
                <w:rFonts w:ascii="宋体" w:hAnsi="宋体" w:eastAsia="宋体" w:cs="宋体"/>
                <w:b/>
                <w:bCs/>
                <w:color w:val="000000"/>
                <w:sz w:val="21"/>
                <w:szCs w:val="21"/>
                <w:highlight w:val="none"/>
              </w:rPr>
            </w:pPr>
          </w:p>
        </w:tc>
        <w:tc>
          <w:tcPr>
            <w:tcW w:w="1189" w:type="dxa"/>
            <w:vMerge w:val="continue"/>
            <w:tcBorders>
              <w:left w:val="single" w:color="000000" w:sz="4" w:space="0"/>
              <w:right w:val="single" w:color="000000" w:sz="4" w:space="0"/>
            </w:tcBorders>
            <w:vAlign w:val="center"/>
          </w:tcPr>
          <w:p w14:paraId="7AB1547E">
            <w:pPr>
              <w:jc w:val="left"/>
              <w:rPr>
                <w:rFonts w:ascii="宋体" w:hAnsi="宋体" w:eastAsia="宋体" w:cs="宋体"/>
                <w:color w:val="000000"/>
                <w:sz w:val="21"/>
                <w:szCs w:val="21"/>
                <w:highlight w:val="none"/>
              </w:rPr>
            </w:pPr>
          </w:p>
        </w:tc>
        <w:tc>
          <w:tcPr>
            <w:tcW w:w="1154" w:type="dxa"/>
            <w:vMerge w:val="continue"/>
            <w:tcBorders>
              <w:left w:val="single" w:color="000000" w:sz="4" w:space="0"/>
              <w:right w:val="single" w:color="000000" w:sz="4" w:space="0"/>
            </w:tcBorders>
            <w:noWrap/>
            <w:vAlign w:val="center"/>
          </w:tcPr>
          <w:p w14:paraId="6466E07A">
            <w:pPr>
              <w:jc w:val="left"/>
              <w:rPr>
                <w:rFonts w:ascii="宋体" w:hAnsi="宋体" w:eastAsia="宋体" w:cs="宋体"/>
                <w:color w:val="000000"/>
                <w:sz w:val="21"/>
                <w:szCs w:val="21"/>
                <w:highlight w:val="none"/>
              </w:rPr>
            </w:pPr>
          </w:p>
        </w:tc>
        <w:tc>
          <w:tcPr>
            <w:tcW w:w="1223" w:type="dxa"/>
            <w:tcBorders>
              <w:top w:val="single" w:color="000000" w:sz="4" w:space="0"/>
              <w:left w:val="single" w:color="000000" w:sz="4" w:space="0"/>
              <w:bottom w:val="single" w:color="000000" w:sz="4" w:space="0"/>
              <w:right w:val="single" w:color="000000" w:sz="4" w:space="0"/>
            </w:tcBorders>
            <w:vAlign w:val="center"/>
          </w:tcPr>
          <w:p w14:paraId="3DFDEF56">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宫颈癌服务监管</w:t>
            </w:r>
          </w:p>
        </w:tc>
        <w:tc>
          <w:tcPr>
            <w:tcW w:w="5216" w:type="dxa"/>
            <w:tcBorders>
              <w:top w:val="single" w:color="000000" w:sz="4" w:space="0"/>
              <w:left w:val="single" w:color="000000" w:sz="4" w:space="0"/>
              <w:bottom w:val="single" w:color="000000" w:sz="4" w:space="0"/>
              <w:right w:val="single" w:color="000000" w:sz="4" w:space="0"/>
            </w:tcBorders>
            <w:vAlign w:val="center"/>
          </w:tcPr>
          <w:p w14:paraId="45F30BE1">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对辖区管理的宫颈癌患者进行统计，涉及：指导人次、易患人次、新发人数、管理人次、随访人次、辖区人群分析、死亡率分析等信息。</w:t>
            </w:r>
          </w:p>
        </w:tc>
      </w:tr>
      <w:tr w14:paraId="66B0F919">
        <w:tblPrEx>
          <w:tblCellMar>
            <w:top w:w="0" w:type="dxa"/>
            <w:left w:w="108" w:type="dxa"/>
            <w:bottom w:w="0" w:type="dxa"/>
            <w:right w:w="108" w:type="dxa"/>
          </w:tblCellMar>
        </w:tblPrEx>
        <w:trPr>
          <w:trHeight w:val="927" w:hRule="atLeast"/>
        </w:trPr>
        <w:tc>
          <w:tcPr>
            <w:tcW w:w="705" w:type="dxa"/>
            <w:vMerge w:val="continue"/>
            <w:tcBorders>
              <w:left w:val="single" w:color="000000" w:sz="4" w:space="0"/>
              <w:right w:val="single" w:color="000000" w:sz="4" w:space="0"/>
            </w:tcBorders>
            <w:vAlign w:val="center"/>
          </w:tcPr>
          <w:p w14:paraId="20AE2117">
            <w:pPr>
              <w:jc w:val="center"/>
              <w:rPr>
                <w:rFonts w:ascii="宋体" w:hAnsi="宋体" w:eastAsia="宋体" w:cs="宋体"/>
                <w:b/>
                <w:bCs/>
                <w:color w:val="000000"/>
                <w:sz w:val="21"/>
                <w:szCs w:val="21"/>
                <w:highlight w:val="none"/>
              </w:rPr>
            </w:pPr>
          </w:p>
        </w:tc>
        <w:tc>
          <w:tcPr>
            <w:tcW w:w="1189" w:type="dxa"/>
            <w:vMerge w:val="continue"/>
            <w:tcBorders>
              <w:left w:val="single" w:color="000000" w:sz="4" w:space="0"/>
              <w:right w:val="single" w:color="000000" w:sz="4" w:space="0"/>
            </w:tcBorders>
            <w:vAlign w:val="center"/>
          </w:tcPr>
          <w:p w14:paraId="4B81C50B">
            <w:pPr>
              <w:jc w:val="left"/>
              <w:rPr>
                <w:rFonts w:ascii="宋体" w:hAnsi="宋体" w:eastAsia="宋体" w:cs="宋体"/>
                <w:color w:val="000000"/>
                <w:sz w:val="21"/>
                <w:szCs w:val="21"/>
                <w:highlight w:val="none"/>
              </w:rPr>
            </w:pPr>
          </w:p>
        </w:tc>
        <w:tc>
          <w:tcPr>
            <w:tcW w:w="1154" w:type="dxa"/>
            <w:vMerge w:val="continue"/>
            <w:tcBorders>
              <w:top w:val="single" w:color="000000" w:sz="4" w:space="0"/>
              <w:left w:val="single" w:color="000000" w:sz="4" w:space="0"/>
              <w:right w:val="single" w:color="000000" w:sz="4" w:space="0"/>
            </w:tcBorders>
            <w:noWrap/>
            <w:vAlign w:val="center"/>
          </w:tcPr>
          <w:p w14:paraId="27218E4E">
            <w:pPr>
              <w:jc w:val="left"/>
              <w:rPr>
                <w:rFonts w:ascii="宋体" w:hAnsi="宋体" w:eastAsia="宋体" w:cs="宋体"/>
                <w:color w:val="000000"/>
                <w:sz w:val="21"/>
                <w:szCs w:val="21"/>
                <w:highlight w:val="none"/>
              </w:rPr>
            </w:pPr>
          </w:p>
        </w:tc>
        <w:tc>
          <w:tcPr>
            <w:tcW w:w="1223" w:type="dxa"/>
            <w:tcBorders>
              <w:top w:val="single" w:color="000000" w:sz="4" w:space="0"/>
              <w:left w:val="single" w:color="000000" w:sz="4" w:space="0"/>
              <w:bottom w:val="single" w:color="000000" w:sz="4" w:space="0"/>
              <w:right w:val="single" w:color="000000" w:sz="4" w:space="0"/>
            </w:tcBorders>
            <w:vAlign w:val="center"/>
          </w:tcPr>
          <w:p w14:paraId="6022BB03">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肝癌服务监管</w:t>
            </w:r>
          </w:p>
        </w:tc>
        <w:tc>
          <w:tcPr>
            <w:tcW w:w="5216" w:type="dxa"/>
            <w:tcBorders>
              <w:top w:val="single" w:color="000000" w:sz="4" w:space="0"/>
              <w:left w:val="single" w:color="000000" w:sz="4" w:space="0"/>
              <w:bottom w:val="single" w:color="000000" w:sz="4" w:space="0"/>
              <w:right w:val="single" w:color="000000" w:sz="4" w:space="0"/>
            </w:tcBorders>
            <w:vAlign w:val="center"/>
          </w:tcPr>
          <w:p w14:paraId="6B27EB2F">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对辖区管理的肝癌患者进行统计，涉及：指导人次、易患人次、新发人数、管理人次、随访人次、辖区人群分析、死亡率分析等信息。</w:t>
            </w:r>
          </w:p>
        </w:tc>
      </w:tr>
      <w:tr w14:paraId="0A0F531F">
        <w:tblPrEx>
          <w:tblCellMar>
            <w:top w:w="0" w:type="dxa"/>
            <w:left w:w="108" w:type="dxa"/>
            <w:bottom w:w="0" w:type="dxa"/>
            <w:right w:w="108" w:type="dxa"/>
          </w:tblCellMar>
        </w:tblPrEx>
        <w:trPr>
          <w:trHeight w:val="927" w:hRule="atLeast"/>
        </w:trPr>
        <w:tc>
          <w:tcPr>
            <w:tcW w:w="705" w:type="dxa"/>
            <w:vMerge w:val="continue"/>
            <w:tcBorders>
              <w:left w:val="single" w:color="000000" w:sz="4" w:space="0"/>
              <w:right w:val="single" w:color="000000" w:sz="4" w:space="0"/>
            </w:tcBorders>
            <w:vAlign w:val="center"/>
          </w:tcPr>
          <w:p w14:paraId="12FC0589">
            <w:pPr>
              <w:jc w:val="center"/>
              <w:rPr>
                <w:rFonts w:ascii="宋体" w:hAnsi="宋体" w:eastAsia="宋体" w:cs="宋体"/>
                <w:b/>
                <w:bCs/>
                <w:color w:val="000000"/>
                <w:sz w:val="21"/>
                <w:szCs w:val="21"/>
                <w:highlight w:val="none"/>
              </w:rPr>
            </w:pPr>
          </w:p>
        </w:tc>
        <w:tc>
          <w:tcPr>
            <w:tcW w:w="1189" w:type="dxa"/>
            <w:vMerge w:val="continue"/>
            <w:tcBorders>
              <w:left w:val="single" w:color="000000" w:sz="4" w:space="0"/>
              <w:right w:val="single" w:color="000000" w:sz="4" w:space="0"/>
            </w:tcBorders>
            <w:vAlign w:val="center"/>
          </w:tcPr>
          <w:p w14:paraId="3DD95B34">
            <w:pPr>
              <w:jc w:val="left"/>
              <w:rPr>
                <w:rFonts w:ascii="宋体" w:hAnsi="宋体" w:eastAsia="宋体" w:cs="宋体"/>
                <w:color w:val="000000"/>
                <w:sz w:val="21"/>
                <w:szCs w:val="21"/>
                <w:highlight w:val="none"/>
              </w:rPr>
            </w:pPr>
          </w:p>
        </w:tc>
        <w:tc>
          <w:tcPr>
            <w:tcW w:w="1154" w:type="dxa"/>
            <w:vMerge w:val="continue"/>
            <w:tcBorders>
              <w:left w:val="single" w:color="000000" w:sz="4" w:space="0"/>
              <w:right w:val="single" w:color="000000" w:sz="4" w:space="0"/>
            </w:tcBorders>
            <w:noWrap/>
            <w:vAlign w:val="center"/>
          </w:tcPr>
          <w:p w14:paraId="2FB153BB">
            <w:pPr>
              <w:jc w:val="left"/>
              <w:rPr>
                <w:rFonts w:ascii="宋体" w:hAnsi="宋体" w:eastAsia="宋体" w:cs="宋体"/>
                <w:color w:val="000000"/>
                <w:sz w:val="21"/>
                <w:szCs w:val="21"/>
                <w:highlight w:val="none"/>
              </w:rPr>
            </w:pPr>
          </w:p>
        </w:tc>
        <w:tc>
          <w:tcPr>
            <w:tcW w:w="1223" w:type="dxa"/>
            <w:tcBorders>
              <w:top w:val="single" w:color="000000" w:sz="4" w:space="0"/>
              <w:left w:val="single" w:color="000000" w:sz="4" w:space="0"/>
              <w:bottom w:val="single" w:color="000000" w:sz="4" w:space="0"/>
              <w:right w:val="single" w:color="000000" w:sz="4" w:space="0"/>
            </w:tcBorders>
            <w:vAlign w:val="center"/>
          </w:tcPr>
          <w:p w14:paraId="4A6EDE49">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胃癌服务监管</w:t>
            </w:r>
          </w:p>
        </w:tc>
        <w:tc>
          <w:tcPr>
            <w:tcW w:w="5216" w:type="dxa"/>
            <w:tcBorders>
              <w:top w:val="single" w:color="000000" w:sz="4" w:space="0"/>
              <w:left w:val="single" w:color="000000" w:sz="4" w:space="0"/>
              <w:bottom w:val="single" w:color="000000" w:sz="4" w:space="0"/>
              <w:right w:val="single" w:color="000000" w:sz="4" w:space="0"/>
            </w:tcBorders>
            <w:vAlign w:val="center"/>
          </w:tcPr>
          <w:p w14:paraId="6E1C42F7">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对辖区管理的胃癌患者进行统计，涉及：指导人次、易患人次、新发人数、管理人次、随访人次、辖区人群分析、死亡率分析等信息。</w:t>
            </w:r>
          </w:p>
        </w:tc>
      </w:tr>
      <w:tr w14:paraId="4A7DEB96">
        <w:tblPrEx>
          <w:tblCellMar>
            <w:top w:w="0" w:type="dxa"/>
            <w:left w:w="108" w:type="dxa"/>
            <w:bottom w:w="0" w:type="dxa"/>
            <w:right w:w="108" w:type="dxa"/>
          </w:tblCellMar>
        </w:tblPrEx>
        <w:trPr>
          <w:trHeight w:val="927" w:hRule="atLeast"/>
        </w:trPr>
        <w:tc>
          <w:tcPr>
            <w:tcW w:w="705" w:type="dxa"/>
            <w:vMerge w:val="continue"/>
            <w:tcBorders>
              <w:left w:val="single" w:color="000000" w:sz="4" w:space="0"/>
              <w:right w:val="single" w:color="000000" w:sz="4" w:space="0"/>
            </w:tcBorders>
            <w:vAlign w:val="center"/>
          </w:tcPr>
          <w:p w14:paraId="56D30070">
            <w:pPr>
              <w:jc w:val="center"/>
              <w:rPr>
                <w:rFonts w:ascii="宋体" w:hAnsi="宋体" w:eastAsia="宋体" w:cs="宋体"/>
                <w:b/>
                <w:bCs/>
                <w:color w:val="000000"/>
                <w:sz w:val="21"/>
                <w:szCs w:val="21"/>
                <w:highlight w:val="none"/>
              </w:rPr>
            </w:pPr>
          </w:p>
        </w:tc>
        <w:tc>
          <w:tcPr>
            <w:tcW w:w="1189" w:type="dxa"/>
            <w:vMerge w:val="continue"/>
            <w:tcBorders>
              <w:left w:val="single" w:color="000000" w:sz="4" w:space="0"/>
              <w:right w:val="single" w:color="000000" w:sz="4" w:space="0"/>
            </w:tcBorders>
            <w:vAlign w:val="center"/>
          </w:tcPr>
          <w:p w14:paraId="7371B4CC">
            <w:pPr>
              <w:jc w:val="left"/>
              <w:rPr>
                <w:rFonts w:ascii="宋体" w:hAnsi="宋体" w:eastAsia="宋体" w:cs="宋体"/>
                <w:color w:val="000000"/>
                <w:sz w:val="21"/>
                <w:szCs w:val="21"/>
                <w:highlight w:val="none"/>
              </w:rPr>
            </w:pPr>
          </w:p>
        </w:tc>
        <w:tc>
          <w:tcPr>
            <w:tcW w:w="1154" w:type="dxa"/>
            <w:vMerge w:val="continue"/>
            <w:tcBorders>
              <w:left w:val="single" w:color="000000" w:sz="4" w:space="0"/>
              <w:right w:val="single" w:color="000000" w:sz="4" w:space="0"/>
            </w:tcBorders>
            <w:noWrap/>
            <w:vAlign w:val="center"/>
          </w:tcPr>
          <w:p w14:paraId="05788544">
            <w:pPr>
              <w:jc w:val="left"/>
              <w:rPr>
                <w:rFonts w:ascii="宋体" w:hAnsi="宋体" w:eastAsia="宋体" w:cs="宋体"/>
                <w:color w:val="000000"/>
                <w:sz w:val="21"/>
                <w:szCs w:val="21"/>
                <w:highlight w:val="none"/>
              </w:rPr>
            </w:pPr>
          </w:p>
        </w:tc>
        <w:tc>
          <w:tcPr>
            <w:tcW w:w="1223" w:type="dxa"/>
            <w:tcBorders>
              <w:top w:val="single" w:color="000000" w:sz="4" w:space="0"/>
              <w:left w:val="single" w:color="000000" w:sz="4" w:space="0"/>
              <w:bottom w:val="single" w:color="000000" w:sz="4" w:space="0"/>
              <w:right w:val="single" w:color="000000" w:sz="4" w:space="0"/>
            </w:tcBorders>
            <w:vAlign w:val="center"/>
          </w:tcPr>
          <w:p w14:paraId="2104142A">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前列腺癌服务监管</w:t>
            </w:r>
          </w:p>
        </w:tc>
        <w:tc>
          <w:tcPr>
            <w:tcW w:w="5216" w:type="dxa"/>
            <w:tcBorders>
              <w:top w:val="single" w:color="000000" w:sz="4" w:space="0"/>
              <w:left w:val="single" w:color="000000" w:sz="4" w:space="0"/>
              <w:bottom w:val="single" w:color="000000" w:sz="4" w:space="0"/>
              <w:right w:val="single" w:color="000000" w:sz="4" w:space="0"/>
            </w:tcBorders>
            <w:vAlign w:val="center"/>
          </w:tcPr>
          <w:p w14:paraId="63239EBD">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对辖区管理的前列腺癌患者进行统计，涉及：指导人次、易患人次、新发人数、管理人次、随访人次、辖区人群分析、死亡率分析等信息。</w:t>
            </w:r>
          </w:p>
        </w:tc>
      </w:tr>
      <w:tr w14:paraId="1AF0976A">
        <w:tblPrEx>
          <w:tblCellMar>
            <w:top w:w="0" w:type="dxa"/>
            <w:left w:w="108" w:type="dxa"/>
            <w:bottom w:w="0" w:type="dxa"/>
            <w:right w:w="108" w:type="dxa"/>
          </w:tblCellMar>
        </w:tblPrEx>
        <w:trPr>
          <w:trHeight w:val="927" w:hRule="atLeast"/>
        </w:trPr>
        <w:tc>
          <w:tcPr>
            <w:tcW w:w="705" w:type="dxa"/>
            <w:vMerge w:val="continue"/>
            <w:tcBorders>
              <w:left w:val="single" w:color="000000" w:sz="4" w:space="0"/>
              <w:right w:val="single" w:color="000000" w:sz="4" w:space="0"/>
            </w:tcBorders>
            <w:vAlign w:val="center"/>
          </w:tcPr>
          <w:p w14:paraId="5C02FF4C">
            <w:pPr>
              <w:jc w:val="center"/>
              <w:rPr>
                <w:rFonts w:ascii="宋体" w:hAnsi="宋体" w:eastAsia="宋体" w:cs="宋体"/>
                <w:b/>
                <w:bCs/>
                <w:color w:val="000000"/>
                <w:sz w:val="21"/>
                <w:szCs w:val="21"/>
                <w:highlight w:val="none"/>
              </w:rPr>
            </w:pPr>
          </w:p>
        </w:tc>
        <w:tc>
          <w:tcPr>
            <w:tcW w:w="1189" w:type="dxa"/>
            <w:vMerge w:val="continue"/>
            <w:tcBorders>
              <w:left w:val="single" w:color="000000" w:sz="4" w:space="0"/>
              <w:right w:val="single" w:color="000000" w:sz="4" w:space="0"/>
            </w:tcBorders>
            <w:vAlign w:val="center"/>
          </w:tcPr>
          <w:p w14:paraId="13222F0B">
            <w:pPr>
              <w:jc w:val="left"/>
              <w:rPr>
                <w:rFonts w:ascii="宋体" w:hAnsi="宋体" w:eastAsia="宋体" w:cs="宋体"/>
                <w:color w:val="000000"/>
                <w:sz w:val="21"/>
                <w:szCs w:val="21"/>
                <w:highlight w:val="none"/>
              </w:rPr>
            </w:pPr>
          </w:p>
        </w:tc>
        <w:tc>
          <w:tcPr>
            <w:tcW w:w="1154" w:type="dxa"/>
            <w:vMerge w:val="continue"/>
            <w:tcBorders>
              <w:left w:val="single" w:color="000000" w:sz="4" w:space="0"/>
              <w:right w:val="single" w:color="000000" w:sz="4" w:space="0"/>
            </w:tcBorders>
            <w:noWrap/>
            <w:vAlign w:val="center"/>
          </w:tcPr>
          <w:p w14:paraId="44250F75">
            <w:pPr>
              <w:jc w:val="left"/>
              <w:rPr>
                <w:rFonts w:ascii="宋体" w:hAnsi="宋体" w:eastAsia="宋体" w:cs="宋体"/>
                <w:color w:val="000000"/>
                <w:sz w:val="21"/>
                <w:szCs w:val="21"/>
                <w:highlight w:val="none"/>
              </w:rPr>
            </w:pPr>
          </w:p>
        </w:tc>
        <w:tc>
          <w:tcPr>
            <w:tcW w:w="1223" w:type="dxa"/>
            <w:tcBorders>
              <w:top w:val="single" w:color="000000" w:sz="4" w:space="0"/>
              <w:left w:val="single" w:color="000000" w:sz="4" w:space="0"/>
              <w:bottom w:val="nil"/>
              <w:right w:val="single" w:color="000000" w:sz="4" w:space="0"/>
            </w:tcBorders>
            <w:vAlign w:val="center"/>
          </w:tcPr>
          <w:p w14:paraId="388ADAF1">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甲状腺癌服务监管</w:t>
            </w:r>
          </w:p>
        </w:tc>
        <w:tc>
          <w:tcPr>
            <w:tcW w:w="5216" w:type="dxa"/>
            <w:tcBorders>
              <w:top w:val="single" w:color="000000" w:sz="4" w:space="0"/>
              <w:left w:val="single" w:color="000000" w:sz="4" w:space="0"/>
              <w:bottom w:val="single" w:color="000000" w:sz="4" w:space="0"/>
              <w:right w:val="single" w:color="000000" w:sz="4" w:space="0"/>
            </w:tcBorders>
            <w:vAlign w:val="center"/>
          </w:tcPr>
          <w:p w14:paraId="1AEA2AEB">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对辖区管理的甲状腺癌患者进行统计，涉及：指导人次、易患人次、新发人数、管理人次、随访人次、辖区人群分析、死亡率分析等信息。</w:t>
            </w:r>
          </w:p>
        </w:tc>
      </w:tr>
      <w:tr w14:paraId="57A393D7">
        <w:tblPrEx>
          <w:tblCellMar>
            <w:top w:w="0" w:type="dxa"/>
            <w:left w:w="108" w:type="dxa"/>
            <w:bottom w:w="0" w:type="dxa"/>
            <w:right w:w="108" w:type="dxa"/>
          </w:tblCellMar>
        </w:tblPrEx>
        <w:trPr>
          <w:trHeight w:val="927" w:hRule="atLeast"/>
        </w:trPr>
        <w:tc>
          <w:tcPr>
            <w:tcW w:w="705" w:type="dxa"/>
            <w:vMerge w:val="continue"/>
            <w:tcBorders>
              <w:left w:val="single" w:color="000000" w:sz="4" w:space="0"/>
              <w:right w:val="single" w:color="000000" w:sz="4" w:space="0"/>
            </w:tcBorders>
            <w:vAlign w:val="center"/>
          </w:tcPr>
          <w:p w14:paraId="72E6807A">
            <w:pPr>
              <w:jc w:val="center"/>
              <w:rPr>
                <w:rFonts w:ascii="宋体" w:hAnsi="宋体" w:eastAsia="宋体" w:cs="宋体"/>
                <w:b/>
                <w:bCs/>
                <w:color w:val="000000"/>
                <w:sz w:val="21"/>
                <w:szCs w:val="21"/>
                <w:highlight w:val="none"/>
              </w:rPr>
            </w:pPr>
          </w:p>
        </w:tc>
        <w:tc>
          <w:tcPr>
            <w:tcW w:w="1189" w:type="dxa"/>
            <w:vMerge w:val="continue"/>
            <w:tcBorders>
              <w:left w:val="single" w:color="000000" w:sz="4" w:space="0"/>
              <w:right w:val="single" w:color="000000" w:sz="4" w:space="0"/>
            </w:tcBorders>
            <w:vAlign w:val="center"/>
          </w:tcPr>
          <w:p w14:paraId="797CCFC1">
            <w:pPr>
              <w:jc w:val="left"/>
              <w:rPr>
                <w:rFonts w:ascii="宋体" w:hAnsi="宋体" w:eastAsia="宋体" w:cs="宋体"/>
                <w:color w:val="000000"/>
                <w:sz w:val="21"/>
                <w:szCs w:val="21"/>
                <w:highlight w:val="none"/>
              </w:rPr>
            </w:pPr>
          </w:p>
        </w:tc>
        <w:tc>
          <w:tcPr>
            <w:tcW w:w="1154" w:type="dxa"/>
            <w:vMerge w:val="continue"/>
            <w:tcBorders>
              <w:left w:val="single" w:color="000000" w:sz="4" w:space="0"/>
              <w:right w:val="nil"/>
            </w:tcBorders>
            <w:vAlign w:val="center"/>
          </w:tcPr>
          <w:p w14:paraId="5DD7C82E">
            <w:pPr>
              <w:jc w:val="left"/>
              <w:rPr>
                <w:rFonts w:ascii="宋体" w:hAnsi="宋体" w:eastAsia="宋体" w:cs="宋体"/>
                <w:color w:val="000000"/>
                <w:sz w:val="21"/>
                <w:szCs w:val="21"/>
                <w:highlight w:val="none"/>
              </w:rPr>
            </w:pPr>
          </w:p>
        </w:tc>
        <w:tc>
          <w:tcPr>
            <w:tcW w:w="1223" w:type="dxa"/>
            <w:tcBorders>
              <w:top w:val="single" w:color="000000" w:sz="4" w:space="0"/>
              <w:left w:val="single" w:color="000000" w:sz="4" w:space="0"/>
              <w:bottom w:val="single" w:color="000000" w:sz="4" w:space="0"/>
              <w:right w:val="single" w:color="000000" w:sz="4" w:space="0"/>
            </w:tcBorders>
            <w:vAlign w:val="center"/>
          </w:tcPr>
          <w:p w14:paraId="048E7B69">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其他癌种服务监管</w:t>
            </w:r>
          </w:p>
        </w:tc>
        <w:tc>
          <w:tcPr>
            <w:tcW w:w="5216" w:type="dxa"/>
            <w:tcBorders>
              <w:top w:val="single" w:color="000000" w:sz="4" w:space="0"/>
              <w:left w:val="nil"/>
              <w:bottom w:val="single" w:color="000000" w:sz="4" w:space="0"/>
              <w:right w:val="single" w:color="000000" w:sz="4" w:space="0"/>
            </w:tcBorders>
            <w:vAlign w:val="center"/>
          </w:tcPr>
          <w:p w14:paraId="05398C45">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对辖区管理的其他癌种患者进行统计，涉及：指导人次、易患人次、新发人数、管理人次、随访人次、辖区人群分析、死亡率分析等信息。</w:t>
            </w:r>
          </w:p>
        </w:tc>
      </w:tr>
      <w:tr w14:paraId="3A2C3652">
        <w:tblPrEx>
          <w:tblCellMar>
            <w:top w:w="0" w:type="dxa"/>
            <w:left w:w="108" w:type="dxa"/>
            <w:bottom w:w="0" w:type="dxa"/>
            <w:right w:w="108" w:type="dxa"/>
          </w:tblCellMar>
        </w:tblPrEx>
        <w:trPr>
          <w:trHeight w:val="927" w:hRule="atLeast"/>
        </w:trPr>
        <w:tc>
          <w:tcPr>
            <w:tcW w:w="705" w:type="dxa"/>
            <w:vMerge w:val="continue"/>
            <w:tcBorders>
              <w:left w:val="single" w:color="000000" w:sz="4" w:space="0"/>
              <w:right w:val="single" w:color="000000" w:sz="4" w:space="0"/>
            </w:tcBorders>
            <w:vAlign w:val="center"/>
          </w:tcPr>
          <w:p w14:paraId="250DCA01">
            <w:pPr>
              <w:jc w:val="center"/>
              <w:rPr>
                <w:rFonts w:ascii="宋体" w:hAnsi="宋体" w:eastAsia="宋体" w:cs="宋体"/>
                <w:b/>
                <w:bCs/>
                <w:color w:val="000000"/>
                <w:sz w:val="21"/>
                <w:szCs w:val="21"/>
                <w:highlight w:val="none"/>
              </w:rPr>
            </w:pPr>
          </w:p>
        </w:tc>
        <w:tc>
          <w:tcPr>
            <w:tcW w:w="1189" w:type="dxa"/>
            <w:tcBorders>
              <w:left w:val="single" w:color="000000" w:sz="4" w:space="0"/>
              <w:right w:val="single" w:color="000000" w:sz="4" w:space="0"/>
            </w:tcBorders>
            <w:vAlign w:val="center"/>
          </w:tcPr>
          <w:p w14:paraId="7720980A">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业务查询</w:t>
            </w:r>
          </w:p>
        </w:tc>
        <w:tc>
          <w:tcPr>
            <w:tcW w:w="1154" w:type="dxa"/>
            <w:tcBorders>
              <w:left w:val="single" w:color="000000" w:sz="4" w:space="0"/>
              <w:right w:val="single" w:color="000000" w:sz="4" w:space="0"/>
            </w:tcBorders>
            <w:noWrap/>
            <w:vAlign w:val="center"/>
          </w:tcPr>
          <w:p w14:paraId="255B088B">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疾病随访查询</w:t>
            </w:r>
          </w:p>
        </w:tc>
        <w:tc>
          <w:tcPr>
            <w:tcW w:w="1223" w:type="dxa"/>
            <w:tcBorders>
              <w:top w:val="nil"/>
              <w:left w:val="nil"/>
              <w:bottom w:val="single" w:color="000000" w:sz="4" w:space="0"/>
              <w:right w:val="single" w:color="000000" w:sz="4" w:space="0"/>
            </w:tcBorders>
            <w:vAlign w:val="center"/>
          </w:tcPr>
          <w:p w14:paraId="123E3755">
            <w:pPr>
              <w:rPr>
                <w:rFonts w:ascii="宋体" w:hAnsi="宋体" w:eastAsia="宋体" w:cs="宋体"/>
                <w:color w:val="000000"/>
                <w:sz w:val="21"/>
                <w:szCs w:val="21"/>
                <w:highlight w:val="none"/>
              </w:rPr>
            </w:pPr>
          </w:p>
        </w:tc>
        <w:tc>
          <w:tcPr>
            <w:tcW w:w="5216" w:type="dxa"/>
            <w:tcBorders>
              <w:top w:val="single" w:color="000000" w:sz="4" w:space="0"/>
              <w:left w:val="single" w:color="000000" w:sz="4" w:space="0"/>
              <w:bottom w:val="single" w:color="000000" w:sz="4" w:space="0"/>
              <w:right w:val="single" w:color="000000" w:sz="4" w:space="0"/>
            </w:tcBorders>
            <w:vAlign w:val="center"/>
          </w:tcPr>
          <w:p w14:paraId="6B8FFDCC">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查询当前疾病的随访的明细信息。</w:t>
            </w:r>
          </w:p>
        </w:tc>
      </w:tr>
      <w:tr w14:paraId="532F7EC9">
        <w:tblPrEx>
          <w:tblCellMar>
            <w:top w:w="0" w:type="dxa"/>
            <w:left w:w="108" w:type="dxa"/>
            <w:bottom w:w="0" w:type="dxa"/>
            <w:right w:w="108" w:type="dxa"/>
          </w:tblCellMar>
        </w:tblPrEx>
        <w:trPr>
          <w:trHeight w:val="927" w:hRule="atLeast"/>
        </w:trPr>
        <w:tc>
          <w:tcPr>
            <w:tcW w:w="705" w:type="dxa"/>
            <w:vMerge w:val="continue"/>
            <w:tcBorders>
              <w:left w:val="single" w:color="000000" w:sz="4" w:space="0"/>
              <w:right w:val="single" w:color="000000" w:sz="4" w:space="0"/>
            </w:tcBorders>
            <w:vAlign w:val="center"/>
          </w:tcPr>
          <w:p w14:paraId="044807C1">
            <w:pPr>
              <w:jc w:val="center"/>
              <w:rPr>
                <w:rFonts w:ascii="宋体" w:hAnsi="宋体" w:eastAsia="宋体" w:cs="宋体"/>
                <w:b/>
                <w:bCs/>
                <w:color w:val="000000"/>
                <w:sz w:val="21"/>
                <w:szCs w:val="21"/>
                <w:highlight w:val="none"/>
              </w:rPr>
            </w:pPr>
          </w:p>
        </w:tc>
        <w:tc>
          <w:tcPr>
            <w:tcW w:w="1189" w:type="dxa"/>
            <w:tcBorders>
              <w:left w:val="single" w:color="000000" w:sz="4" w:space="0"/>
              <w:right w:val="single" w:color="000000" w:sz="4" w:space="0"/>
            </w:tcBorders>
            <w:vAlign w:val="center"/>
          </w:tcPr>
          <w:p w14:paraId="48206199">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业务统计</w:t>
            </w:r>
          </w:p>
        </w:tc>
        <w:tc>
          <w:tcPr>
            <w:tcW w:w="1154" w:type="dxa"/>
            <w:tcBorders>
              <w:top w:val="single" w:color="000000" w:sz="4" w:space="0"/>
              <w:left w:val="single" w:color="000000" w:sz="4" w:space="0"/>
              <w:bottom w:val="single" w:color="000000" w:sz="4" w:space="0"/>
              <w:right w:val="single" w:color="000000" w:sz="4" w:space="0"/>
            </w:tcBorders>
            <w:noWrap/>
            <w:vAlign w:val="center"/>
          </w:tcPr>
          <w:p w14:paraId="0D75F17B">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业务量统计</w:t>
            </w:r>
          </w:p>
        </w:tc>
        <w:tc>
          <w:tcPr>
            <w:tcW w:w="1223" w:type="dxa"/>
            <w:tcBorders>
              <w:top w:val="single" w:color="000000" w:sz="4" w:space="0"/>
              <w:left w:val="nil"/>
              <w:bottom w:val="single" w:color="000000" w:sz="4" w:space="0"/>
              <w:right w:val="single" w:color="000000" w:sz="4" w:space="0"/>
            </w:tcBorders>
            <w:vAlign w:val="center"/>
          </w:tcPr>
          <w:p w14:paraId="2D90A6B0">
            <w:pPr>
              <w:rPr>
                <w:rFonts w:ascii="宋体" w:hAnsi="宋体" w:eastAsia="宋体" w:cs="宋体"/>
                <w:color w:val="000000"/>
                <w:sz w:val="21"/>
                <w:szCs w:val="21"/>
                <w:highlight w:val="none"/>
              </w:rPr>
            </w:pPr>
          </w:p>
        </w:tc>
        <w:tc>
          <w:tcPr>
            <w:tcW w:w="5216" w:type="dxa"/>
            <w:tcBorders>
              <w:top w:val="single" w:color="000000" w:sz="4" w:space="0"/>
              <w:left w:val="single" w:color="000000" w:sz="4" w:space="0"/>
              <w:bottom w:val="single" w:color="000000" w:sz="4" w:space="0"/>
              <w:right w:val="single" w:color="000000" w:sz="4" w:space="0"/>
            </w:tcBorders>
            <w:vAlign w:val="center"/>
          </w:tcPr>
          <w:p w14:paraId="1E592D7D">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按照辖区、机构、医生维度统计慢病、肿瘤及转诊的业务量信息。</w:t>
            </w:r>
          </w:p>
        </w:tc>
      </w:tr>
      <w:tr w14:paraId="5EE9B887">
        <w:tblPrEx>
          <w:tblCellMar>
            <w:top w:w="0" w:type="dxa"/>
            <w:left w:w="108" w:type="dxa"/>
            <w:bottom w:w="0" w:type="dxa"/>
            <w:right w:w="108" w:type="dxa"/>
          </w:tblCellMar>
        </w:tblPrEx>
        <w:trPr>
          <w:trHeight w:val="622" w:hRule="atLeast"/>
        </w:trPr>
        <w:tc>
          <w:tcPr>
            <w:tcW w:w="705" w:type="dxa"/>
            <w:vMerge w:val="continue"/>
            <w:tcBorders>
              <w:left w:val="single" w:color="000000" w:sz="4" w:space="0"/>
              <w:right w:val="single" w:color="000000" w:sz="4" w:space="0"/>
            </w:tcBorders>
            <w:vAlign w:val="center"/>
          </w:tcPr>
          <w:p w14:paraId="24496481">
            <w:pPr>
              <w:jc w:val="center"/>
              <w:rPr>
                <w:rFonts w:ascii="宋体" w:hAnsi="宋体" w:eastAsia="宋体" w:cs="宋体"/>
                <w:b/>
                <w:bCs/>
                <w:color w:val="000000"/>
                <w:sz w:val="21"/>
                <w:szCs w:val="21"/>
                <w:highlight w:val="none"/>
              </w:rPr>
            </w:pPr>
          </w:p>
        </w:tc>
        <w:tc>
          <w:tcPr>
            <w:tcW w:w="1189" w:type="dxa"/>
            <w:vMerge w:val="restart"/>
            <w:tcBorders>
              <w:left w:val="single" w:color="000000" w:sz="4" w:space="0"/>
              <w:right w:val="single" w:color="000000" w:sz="4" w:space="0"/>
            </w:tcBorders>
            <w:vAlign w:val="center"/>
          </w:tcPr>
          <w:p w14:paraId="34E8E80E">
            <w:pPr>
              <w:keepNext w:val="0"/>
              <w:keepLines w:val="0"/>
              <w:widowControl/>
              <w:suppressLineNumbers w:val="0"/>
              <w:jc w:val="center"/>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业务报表</w:t>
            </w:r>
          </w:p>
        </w:tc>
        <w:tc>
          <w:tcPr>
            <w:tcW w:w="1154" w:type="dxa"/>
            <w:vMerge w:val="restart"/>
            <w:tcBorders>
              <w:top w:val="single" w:color="000000" w:sz="4" w:space="0"/>
              <w:left w:val="single" w:color="000000" w:sz="4" w:space="0"/>
              <w:right w:val="single" w:color="000000" w:sz="4" w:space="0"/>
            </w:tcBorders>
            <w:noWrap/>
            <w:vAlign w:val="center"/>
          </w:tcPr>
          <w:p w14:paraId="530B93FE">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慢病患者数据报表</w:t>
            </w:r>
          </w:p>
        </w:tc>
        <w:tc>
          <w:tcPr>
            <w:tcW w:w="1223" w:type="dxa"/>
            <w:tcBorders>
              <w:top w:val="single" w:color="000000" w:sz="4" w:space="0"/>
              <w:left w:val="nil"/>
              <w:bottom w:val="single" w:color="000000" w:sz="4" w:space="0"/>
              <w:right w:val="single" w:color="000000" w:sz="4" w:space="0"/>
            </w:tcBorders>
            <w:vAlign w:val="center"/>
          </w:tcPr>
          <w:p w14:paraId="23E9BA15">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高血压患者管理报表</w:t>
            </w:r>
          </w:p>
        </w:tc>
        <w:tc>
          <w:tcPr>
            <w:tcW w:w="5216" w:type="dxa"/>
            <w:tcBorders>
              <w:top w:val="single" w:color="000000" w:sz="4" w:space="0"/>
              <w:left w:val="single" w:color="000000" w:sz="4" w:space="0"/>
              <w:bottom w:val="single" w:color="000000" w:sz="4" w:space="0"/>
              <w:right w:val="single" w:color="000000" w:sz="4" w:space="0"/>
            </w:tcBorders>
            <w:vAlign w:val="center"/>
          </w:tcPr>
          <w:p w14:paraId="38E13A99">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对高血压患者的信息进行统计，形成报表。</w:t>
            </w:r>
          </w:p>
        </w:tc>
      </w:tr>
      <w:tr w14:paraId="552A8F18">
        <w:tblPrEx>
          <w:tblCellMar>
            <w:top w:w="0" w:type="dxa"/>
            <w:left w:w="108" w:type="dxa"/>
            <w:bottom w:w="0" w:type="dxa"/>
            <w:right w:w="108" w:type="dxa"/>
          </w:tblCellMar>
        </w:tblPrEx>
        <w:trPr>
          <w:trHeight w:val="622" w:hRule="atLeast"/>
        </w:trPr>
        <w:tc>
          <w:tcPr>
            <w:tcW w:w="705" w:type="dxa"/>
            <w:vMerge w:val="continue"/>
            <w:tcBorders>
              <w:left w:val="single" w:color="000000" w:sz="4" w:space="0"/>
              <w:right w:val="single" w:color="000000" w:sz="4" w:space="0"/>
            </w:tcBorders>
            <w:vAlign w:val="center"/>
          </w:tcPr>
          <w:p w14:paraId="64E06914">
            <w:pPr>
              <w:jc w:val="center"/>
              <w:rPr>
                <w:rFonts w:ascii="宋体" w:hAnsi="宋体" w:eastAsia="宋体" w:cs="宋体"/>
                <w:b/>
                <w:bCs/>
                <w:color w:val="000000"/>
                <w:sz w:val="21"/>
                <w:szCs w:val="21"/>
                <w:highlight w:val="none"/>
              </w:rPr>
            </w:pPr>
          </w:p>
        </w:tc>
        <w:tc>
          <w:tcPr>
            <w:tcW w:w="1189" w:type="dxa"/>
            <w:vMerge w:val="continue"/>
            <w:tcBorders>
              <w:left w:val="single" w:color="000000" w:sz="4" w:space="0"/>
              <w:right w:val="single" w:color="000000" w:sz="4" w:space="0"/>
            </w:tcBorders>
            <w:vAlign w:val="center"/>
          </w:tcPr>
          <w:p w14:paraId="28B4A24D">
            <w:pPr>
              <w:jc w:val="center"/>
              <w:rPr>
                <w:rFonts w:ascii="宋体" w:hAnsi="宋体" w:eastAsia="宋体" w:cs="宋体"/>
                <w:color w:val="000000"/>
                <w:sz w:val="21"/>
                <w:szCs w:val="21"/>
                <w:highlight w:val="none"/>
              </w:rPr>
            </w:pPr>
          </w:p>
        </w:tc>
        <w:tc>
          <w:tcPr>
            <w:tcW w:w="1154" w:type="dxa"/>
            <w:vMerge w:val="continue"/>
            <w:tcBorders>
              <w:left w:val="single" w:color="000000" w:sz="4" w:space="0"/>
              <w:right w:val="single" w:color="000000" w:sz="4" w:space="0"/>
            </w:tcBorders>
            <w:noWrap/>
            <w:vAlign w:val="center"/>
          </w:tcPr>
          <w:p w14:paraId="70B32C5A">
            <w:pPr>
              <w:rPr>
                <w:rFonts w:ascii="宋体" w:hAnsi="宋体" w:eastAsia="宋体" w:cs="宋体"/>
                <w:color w:val="000000"/>
                <w:sz w:val="21"/>
                <w:szCs w:val="21"/>
                <w:highlight w:val="none"/>
              </w:rPr>
            </w:pPr>
          </w:p>
        </w:tc>
        <w:tc>
          <w:tcPr>
            <w:tcW w:w="1223" w:type="dxa"/>
            <w:tcBorders>
              <w:top w:val="single" w:color="000000" w:sz="4" w:space="0"/>
              <w:left w:val="nil"/>
              <w:bottom w:val="single" w:color="000000" w:sz="4" w:space="0"/>
              <w:right w:val="single" w:color="000000" w:sz="4" w:space="0"/>
            </w:tcBorders>
            <w:vAlign w:val="center"/>
          </w:tcPr>
          <w:p w14:paraId="1442B770">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糖尿病患者管理报表</w:t>
            </w:r>
          </w:p>
        </w:tc>
        <w:tc>
          <w:tcPr>
            <w:tcW w:w="5216" w:type="dxa"/>
            <w:tcBorders>
              <w:top w:val="single" w:color="000000" w:sz="4" w:space="0"/>
              <w:left w:val="single" w:color="000000" w:sz="4" w:space="0"/>
              <w:bottom w:val="single" w:color="000000" w:sz="4" w:space="0"/>
              <w:right w:val="single" w:color="000000" w:sz="4" w:space="0"/>
            </w:tcBorders>
            <w:vAlign w:val="center"/>
          </w:tcPr>
          <w:p w14:paraId="5BEDC3FB">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对糖尿病患者的信息进行统计，形成报表。</w:t>
            </w:r>
          </w:p>
        </w:tc>
      </w:tr>
      <w:tr w14:paraId="107B922C">
        <w:tblPrEx>
          <w:tblCellMar>
            <w:top w:w="0" w:type="dxa"/>
            <w:left w:w="108" w:type="dxa"/>
            <w:bottom w:w="0" w:type="dxa"/>
            <w:right w:w="108" w:type="dxa"/>
          </w:tblCellMar>
        </w:tblPrEx>
        <w:trPr>
          <w:trHeight w:val="622" w:hRule="atLeast"/>
        </w:trPr>
        <w:tc>
          <w:tcPr>
            <w:tcW w:w="705" w:type="dxa"/>
            <w:vMerge w:val="continue"/>
            <w:tcBorders>
              <w:left w:val="single" w:color="000000" w:sz="4" w:space="0"/>
              <w:right w:val="single" w:color="000000" w:sz="4" w:space="0"/>
            </w:tcBorders>
            <w:vAlign w:val="center"/>
          </w:tcPr>
          <w:p w14:paraId="183951DB">
            <w:pPr>
              <w:jc w:val="center"/>
              <w:rPr>
                <w:rFonts w:ascii="宋体" w:hAnsi="宋体" w:eastAsia="宋体" w:cs="宋体"/>
                <w:b/>
                <w:bCs/>
                <w:color w:val="000000"/>
                <w:sz w:val="21"/>
                <w:szCs w:val="21"/>
                <w:highlight w:val="none"/>
              </w:rPr>
            </w:pPr>
          </w:p>
        </w:tc>
        <w:tc>
          <w:tcPr>
            <w:tcW w:w="1189" w:type="dxa"/>
            <w:vMerge w:val="continue"/>
            <w:tcBorders>
              <w:left w:val="single" w:color="000000" w:sz="4" w:space="0"/>
              <w:right w:val="single" w:color="000000" w:sz="4" w:space="0"/>
            </w:tcBorders>
            <w:vAlign w:val="center"/>
          </w:tcPr>
          <w:p w14:paraId="3B382F4E">
            <w:pPr>
              <w:jc w:val="center"/>
              <w:rPr>
                <w:rFonts w:ascii="宋体" w:hAnsi="宋体" w:eastAsia="宋体" w:cs="宋体"/>
                <w:color w:val="000000"/>
                <w:sz w:val="21"/>
                <w:szCs w:val="21"/>
                <w:highlight w:val="none"/>
              </w:rPr>
            </w:pPr>
          </w:p>
        </w:tc>
        <w:tc>
          <w:tcPr>
            <w:tcW w:w="1154" w:type="dxa"/>
            <w:vMerge w:val="continue"/>
            <w:tcBorders>
              <w:left w:val="single" w:color="000000" w:sz="4" w:space="0"/>
              <w:right w:val="single" w:color="000000" w:sz="4" w:space="0"/>
            </w:tcBorders>
            <w:noWrap/>
            <w:vAlign w:val="center"/>
          </w:tcPr>
          <w:p w14:paraId="78F0C49E">
            <w:pPr>
              <w:rPr>
                <w:rFonts w:ascii="宋体" w:hAnsi="宋体" w:eastAsia="宋体" w:cs="宋体"/>
                <w:color w:val="000000"/>
                <w:sz w:val="21"/>
                <w:szCs w:val="21"/>
                <w:highlight w:val="none"/>
              </w:rPr>
            </w:pPr>
          </w:p>
        </w:tc>
        <w:tc>
          <w:tcPr>
            <w:tcW w:w="1223" w:type="dxa"/>
            <w:tcBorders>
              <w:top w:val="single" w:color="000000" w:sz="4" w:space="0"/>
              <w:left w:val="nil"/>
              <w:bottom w:val="single" w:color="000000" w:sz="4" w:space="0"/>
              <w:right w:val="single" w:color="000000" w:sz="4" w:space="0"/>
            </w:tcBorders>
            <w:vAlign w:val="center"/>
          </w:tcPr>
          <w:p w14:paraId="577D4ECC">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冠心病患者管理报表</w:t>
            </w:r>
          </w:p>
        </w:tc>
        <w:tc>
          <w:tcPr>
            <w:tcW w:w="5216" w:type="dxa"/>
            <w:tcBorders>
              <w:top w:val="single" w:color="000000" w:sz="4" w:space="0"/>
              <w:left w:val="single" w:color="000000" w:sz="4" w:space="0"/>
              <w:bottom w:val="single" w:color="000000" w:sz="4" w:space="0"/>
              <w:right w:val="single" w:color="000000" w:sz="4" w:space="0"/>
            </w:tcBorders>
            <w:vAlign w:val="center"/>
          </w:tcPr>
          <w:p w14:paraId="33D4FDBD">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对冠心病患者的信息进行统计，形成报表。</w:t>
            </w:r>
          </w:p>
        </w:tc>
      </w:tr>
      <w:tr w14:paraId="37D3E7F0">
        <w:tblPrEx>
          <w:tblCellMar>
            <w:top w:w="0" w:type="dxa"/>
            <w:left w:w="108" w:type="dxa"/>
            <w:bottom w:w="0" w:type="dxa"/>
            <w:right w:w="108" w:type="dxa"/>
          </w:tblCellMar>
        </w:tblPrEx>
        <w:trPr>
          <w:trHeight w:val="622" w:hRule="atLeast"/>
        </w:trPr>
        <w:tc>
          <w:tcPr>
            <w:tcW w:w="705" w:type="dxa"/>
            <w:vMerge w:val="continue"/>
            <w:tcBorders>
              <w:left w:val="single" w:color="000000" w:sz="4" w:space="0"/>
              <w:right w:val="single" w:color="000000" w:sz="4" w:space="0"/>
            </w:tcBorders>
            <w:vAlign w:val="center"/>
          </w:tcPr>
          <w:p w14:paraId="576C90D7">
            <w:pPr>
              <w:jc w:val="center"/>
              <w:rPr>
                <w:rFonts w:ascii="宋体" w:hAnsi="宋体" w:eastAsia="宋体" w:cs="宋体"/>
                <w:b/>
                <w:bCs/>
                <w:color w:val="000000"/>
                <w:sz w:val="21"/>
                <w:szCs w:val="21"/>
                <w:highlight w:val="none"/>
              </w:rPr>
            </w:pPr>
          </w:p>
        </w:tc>
        <w:tc>
          <w:tcPr>
            <w:tcW w:w="1189" w:type="dxa"/>
            <w:vMerge w:val="continue"/>
            <w:tcBorders>
              <w:left w:val="single" w:color="000000" w:sz="4" w:space="0"/>
              <w:right w:val="single" w:color="000000" w:sz="4" w:space="0"/>
            </w:tcBorders>
            <w:vAlign w:val="center"/>
          </w:tcPr>
          <w:p w14:paraId="5B4FA95F">
            <w:pPr>
              <w:jc w:val="center"/>
              <w:rPr>
                <w:rFonts w:ascii="宋体" w:hAnsi="宋体" w:eastAsia="宋体" w:cs="宋体"/>
                <w:color w:val="000000"/>
                <w:sz w:val="21"/>
                <w:szCs w:val="21"/>
                <w:highlight w:val="none"/>
              </w:rPr>
            </w:pPr>
          </w:p>
        </w:tc>
        <w:tc>
          <w:tcPr>
            <w:tcW w:w="1154" w:type="dxa"/>
            <w:vMerge w:val="continue"/>
            <w:tcBorders>
              <w:left w:val="single" w:color="000000" w:sz="4" w:space="0"/>
              <w:right w:val="single" w:color="000000" w:sz="4" w:space="0"/>
            </w:tcBorders>
            <w:noWrap/>
            <w:vAlign w:val="center"/>
          </w:tcPr>
          <w:p w14:paraId="05D6BF1C">
            <w:pPr>
              <w:rPr>
                <w:rFonts w:ascii="宋体" w:hAnsi="宋体" w:eastAsia="宋体" w:cs="宋体"/>
                <w:color w:val="000000"/>
                <w:sz w:val="21"/>
                <w:szCs w:val="21"/>
                <w:highlight w:val="none"/>
              </w:rPr>
            </w:pPr>
          </w:p>
        </w:tc>
        <w:tc>
          <w:tcPr>
            <w:tcW w:w="1223" w:type="dxa"/>
            <w:tcBorders>
              <w:top w:val="single" w:color="000000" w:sz="4" w:space="0"/>
              <w:left w:val="nil"/>
              <w:bottom w:val="single" w:color="000000" w:sz="4" w:space="0"/>
              <w:right w:val="single" w:color="000000" w:sz="4" w:space="0"/>
            </w:tcBorders>
            <w:vAlign w:val="center"/>
          </w:tcPr>
          <w:p w14:paraId="1975ECB7">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脑卒中患者管理报表</w:t>
            </w:r>
          </w:p>
        </w:tc>
        <w:tc>
          <w:tcPr>
            <w:tcW w:w="5216" w:type="dxa"/>
            <w:tcBorders>
              <w:top w:val="single" w:color="000000" w:sz="4" w:space="0"/>
              <w:left w:val="single" w:color="000000" w:sz="4" w:space="0"/>
              <w:bottom w:val="single" w:color="000000" w:sz="4" w:space="0"/>
              <w:right w:val="single" w:color="000000" w:sz="4" w:space="0"/>
            </w:tcBorders>
            <w:vAlign w:val="center"/>
          </w:tcPr>
          <w:p w14:paraId="48540BEE">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对脑卒中患者的信息进行统计，形成报表。</w:t>
            </w:r>
          </w:p>
        </w:tc>
      </w:tr>
      <w:tr w14:paraId="0BAB2A6D">
        <w:tblPrEx>
          <w:tblCellMar>
            <w:top w:w="0" w:type="dxa"/>
            <w:left w:w="108" w:type="dxa"/>
            <w:bottom w:w="0" w:type="dxa"/>
            <w:right w:w="108" w:type="dxa"/>
          </w:tblCellMar>
        </w:tblPrEx>
        <w:trPr>
          <w:trHeight w:val="622" w:hRule="atLeast"/>
        </w:trPr>
        <w:tc>
          <w:tcPr>
            <w:tcW w:w="705" w:type="dxa"/>
            <w:vMerge w:val="continue"/>
            <w:tcBorders>
              <w:left w:val="single" w:color="000000" w:sz="4" w:space="0"/>
              <w:right w:val="single" w:color="000000" w:sz="4" w:space="0"/>
            </w:tcBorders>
            <w:vAlign w:val="center"/>
          </w:tcPr>
          <w:p w14:paraId="3FD03B58">
            <w:pPr>
              <w:jc w:val="center"/>
              <w:rPr>
                <w:rFonts w:ascii="宋体" w:hAnsi="宋体" w:eastAsia="宋体" w:cs="宋体"/>
                <w:b/>
                <w:bCs/>
                <w:color w:val="000000"/>
                <w:sz w:val="21"/>
                <w:szCs w:val="21"/>
                <w:highlight w:val="none"/>
              </w:rPr>
            </w:pPr>
          </w:p>
        </w:tc>
        <w:tc>
          <w:tcPr>
            <w:tcW w:w="1189" w:type="dxa"/>
            <w:vMerge w:val="continue"/>
            <w:tcBorders>
              <w:left w:val="single" w:color="000000" w:sz="4" w:space="0"/>
              <w:right w:val="single" w:color="000000" w:sz="4" w:space="0"/>
            </w:tcBorders>
            <w:vAlign w:val="center"/>
          </w:tcPr>
          <w:p w14:paraId="18749390">
            <w:pPr>
              <w:jc w:val="center"/>
              <w:rPr>
                <w:rFonts w:ascii="宋体" w:hAnsi="宋体" w:eastAsia="宋体" w:cs="宋体"/>
                <w:color w:val="000000"/>
                <w:sz w:val="21"/>
                <w:szCs w:val="21"/>
                <w:highlight w:val="none"/>
              </w:rPr>
            </w:pPr>
          </w:p>
        </w:tc>
        <w:tc>
          <w:tcPr>
            <w:tcW w:w="1154" w:type="dxa"/>
            <w:vMerge w:val="continue"/>
            <w:tcBorders>
              <w:left w:val="single" w:color="000000" w:sz="4" w:space="0"/>
              <w:right w:val="single" w:color="000000" w:sz="4" w:space="0"/>
            </w:tcBorders>
            <w:noWrap/>
            <w:vAlign w:val="center"/>
          </w:tcPr>
          <w:p w14:paraId="6C66A1E5">
            <w:pPr>
              <w:rPr>
                <w:rFonts w:ascii="宋体" w:hAnsi="宋体" w:eastAsia="宋体" w:cs="宋体"/>
                <w:color w:val="000000"/>
                <w:sz w:val="21"/>
                <w:szCs w:val="21"/>
                <w:highlight w:val="none"/>
              </w:rPr>
            </w:pPr>
          </w:p>
        </w:tc>
        <w:tc>
          <w:tcPr>
            <w:tcW w:w="1223" w:type="dxa"/>
            <w:tcBorders>
              <w:top w:val="single" w:color="000000" w:sz="4" w:space="0"/>
              <w:left w:val="nil"/>
              <w:bottom w:val="nil"/>
              <w:right w:val="single" w:color="000000" w:sz="4" w:space="0"/>
            </w:tcBorders>
            <w:vAlign w:val="center"/>
          </w:tcPr>
          <w:p w14:paraId="28C40C1E">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慢阻肺患者管理报表</w:t>
            </w:r>
          </w:p>
        </w:tc>
        <w:tc>
          <w:tcPr>
            <w:tcW w:w="5216" w:type="dxa"/>
            <w:tcBorders>
              <w:top w:val="single" w:color="000000" w:sz="4" w:space="0"/>
              <w:left w:val="single" w:color="000000" w:sz="4" w:space="0"/>
              <w:bottom w:val="single" w:color="000000" w:sz="4" w:space="0"/>
              <w:right w:val="single" w:color="000000" w:sz="4" w:space="0"/>
            </w:tcBorders>
            <w:vAlign w:val="center"/>
          </w:tcPr>
          <w:p w14:paraId="190A087C">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对慢阻肺患者的信息进行统计，形成报表。</w:t>
            </w:r>
          </w:p>
        </w:tc>
      </w:tr>
      <w:tr w14:paraId="2FBAEEAF">
        <w:tblPrEx>
          <w:tblCellMar>
            <w:top w:w="0" w:type="dxa"/>
            <w:left w:w="108" w:type="dxa"/>
            <w:bottom w:w="0" w:type="dxa"/>
            <w:right w:w="108" w:type="dxa"/>
          </w:tblCellMar>
        </w:tblPrEx>
        <w:trPr>
          <w:trHeight w:val="622" w:hRule="atLeast"/>
        </w:trPr>
        <w:tc>
          <w:tcPr>
            <w:tcW w:w="705" w:type="dxa"/>
            <w:vMerge w:val="continue"/>
            <w:tcBorders>
              <w:left w:val="single" w:color="000000" w:sz="4" w:space="0"/>
              <w:right w:val="single" w:color="000000" w:sz="4" w:space="0"/>
            </w:tcBorders>
            <w:vAlign w:val="center"/>
          </w:tcPr>
          <w:p w14:paraId="098CDB46">
            <w:pPr>
              <w:jc w:val="center"/>
              <w:rPr>
                <w:rFonts w:ascii="宋体" w:hAnsi="宋体" w:eastAsia="宋体" w:cs="宋体"/>
                <w:b/>
                <w:bCs/>
                <w:color w:val="000000"/>
                <w:sz w:val="21"/>
                <w:szCs w:val="21"/>
                <w:highlight w:val="none"/>
              </w:rPr>
            </w:pPr>
          </w:p>
        </w:tc>
        <w:tc>
          <w:tcPr>
            <w:tcW w:w="1189" w:type="dxa"/>
            <w:vMerge w:val="continue"/>
            <w:tcBorders>
              <w:left w:val="single" w:color="000000" w:sz="4" w:space="0"/>
              <w:right w:val="single" w:color="000000" w:sz="4" w:space="0"/>
            </w:tcBorders>
            <w:vAlign w:val="center"/>
          </w:tcPr>
          <w:p w14:paraId="75DEA9E3">
            <w:pPr>
              <w:jc w:val="center"/>
              <w:rPr>
                <w:rFonts w:ascii="宋体" w:hAnsi="宋体" w:eastAsia="宋体" w:cs="宋体"/>
                <w:color w:val="000000"/>
                <w:sz w:val="21"/>
                <w:szCs w:val="21"/>
                <w:highlight w:val="none"/>
              </w:rPr>
            </w:pPr>
          </w:p>
        </w:tc>
        <w:tc>
          <w:tcPr>
            <w:tcW w:w="1154" w:type="dxa"/>
            <w:vMerge w:val="continue"/>
            <w:tcBorders>
              <w:left w:val="single" w:color="000000" w:sz="4" w:space="0"/>
              <w:right w:val="single" w:color="000000" w:sz="4" w:space="0"/>
            </w:tcBorders>
            <w:vAlign w:val="center"/>
          </w:tcPr>
          <w:p w14:paraId="6C7F9E22">
            <w:pPr>
              <w:rPr>
                <w:rFonts w:ascii="宋体" w:hAnsi="宋体" w:eastAsia="宋体" w:cs="宋体"/>
                <w:color w:val="000000"/>
                <w:sz w:val="21"/>
                <w:szCs w:val="21"/>
                <w:highlight w:val="none"/>
              </w:rPr>
            </w:pPr>
          </w:p>
        </w:tc>
        <w:tc>
          <w:tcPr>
            <w:tcW w:w="1223" w:type="dxa"/>
            <w:tcBorders>
              <w:top w:val="single" w:color="000000" w:sz="4" w:space="0"/>
              <w:left w:val="single" w:color="000000" w:sz="4" w:space="0"/>
              <w:bottom w:val="single" w:color="000000" w:sz="4" w:space="0"/>
              <w:right w:val="single" w:color="000000" w:sz="4" w:space="0"/>
            </w:tcBorders>
            <w:vAlign w:val="center"/>
          </w:tcPr>
          <w:p w14:paraId="2B45DDAC">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慢性肾病患者管理报表</w:t>
            </w:r>
          </w:p>
        </w:tc>
        <w:tc>
          <w:tcPr>
            <w:tcW w:w="5216" w:type="dxa"/>
            <w:tcBorders>
              <w:top w:val="single" w:color="000000" w:sz="4" w:space="0"/>
              <w:left w:val="single" w:color="000000" w:sz="4" w:space="0"/>
              <w:bottom w:val="single" w:color="000000" w:sz="4" w:space="0"/>
              <w:right w:val="single" w:color="000000" w:sz="4" w:space="0"/>
            </w:tcBorders>
            <w:vAlign w:val="center"/>
          </w:tcPr>
          <w:p w14:paraId="39955621">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对慢性肾病患者的信息进行统计，形成报表。</w:t>
            </w:r>
          </w:p>
        </w:tc>
      </w:tr>
      <w:tr w14:paraId="77F82D34">
        <w:tblPrEx>
          <w:tblCellMar>
            <w:top w:w="0" w:type="dxa"/>
            <w:left w:w="108" w:type="dxa"/>
            <w:bottom w:w="0" w:type="dxa"/>
            <w:right w:w="108" w:type="dxa"/>
          </w:tblCellMar>
        </w:tblPrEx>
        <w:trPr>
          <w:trHeight w:val="622" w:hRule="atLeast"/>
        </w:trPr>
        <w:tc>
          <w:tcPr>
            <w:tcW w:w="705" w:type="dxa"/>
            <w:vMerge w:val="continue"/>
            <w:tcBorders>
              <w:left w:val="single" w:color="000000" w:sz="4" w:space="0"/>
              <w:right w:val="single" w:color="000000" w:sz="4" w:space="0"/>
            </w:tcBorders>
            <w:vAlign w:val="center"/>
          </w:tcPr>
          <w:p w14:paraId="64B8D60F">
            <w:pPr>
              <w:jc w:val="center"/>
              <w:rPr>
                <w:rFonts w:ascii="宋体" w:hAnsi="宋体" w:eastAsia="宋体" w:cs="宋体"/>
                <w:b/>
                <w:bCs/>
                <w:color w:val="000000"/>
                <w:sz w:val="21"/>
                <w:szCs w:val="21"/>
                <w:highlight w:val="none"/>
              </w:rPr>
            </w:pPr>
          </w:p>
        </w:tc>
        <w:tc>
          <w:tcPr>
            <w:tcW w:w="1189" w:type="dxa"/>
            <w:vMerge w:val="continue"/>
            <w:tcBorders>
              <w:left w:val="single" w:color="000000" w:sz="4" w:space="0"/>
              <w:right w:val="single" w:color="000000" w:sz="4" w:space="0"/>
            </w:tcBorders>
            <w:vAlign w:val="center"/>
          </w:tcPr>
          <w:p w14:paraId="59C72C01">
            <w:pPr>
              <w:jc w:val="center"/>
              <w:rPr>
                <w:rFonts w:ascii="宋体" w:hAnsi="宋体" w:eastAsia="宋体" w:cs="宋体"/>
                <w:color w:val="000000"/>
                <w:sz w:val="21"/>
                <w:szCs w:val="21"/>
                <w:highlight w:val="none"/>
              </w:rPr>
            </w:pPr>
          </w:p>
        </w:tc>
        <w:tc>
          <w:tcPr>
            <w:tcW w:w="1154" w:type="dxa"/>
            <w:vMerge w:val="continue"/>
            <w:tcBorders>
              <w:left w:val="single" w:color="000000" w:sz="4" w:space="0"/>
              <w:right w:val="single" w:color="000000" w:sz="4" w:space="0"/>
            </w:tcBorders>
            <w:vAlign w:val="center"/>
          </w:tcPr>
          <w:p w14:paraId="6C1420C0">
            <w:pPr>
              <w:rPr>
                <w:rFonts w:ascii="宋体" w:hAnsi="宋体" w:eastAsia="宋体" w:cs="宋体"/>
                <w:color w:val="000000"/>
                <w:sz w:val="21"/>
                <w:szCs w:val="21"/>
                <w:highlight w:val="none"/>
              </w:rPr>
            </w:pPr>
          </w:p>
        </w:tc>
        <w:tc>
          <w:tcPr>
            <w:tcW w:w="1223" w:type="dxa"/>
            <w:tcBorders>
              <w:top w:val="single" w:color="000000" w:sz="4" w:space="0"/>
              <w:left w:val="single" w:color="000000" w:sz="4" w:space="0"/>
              <w:bottom w:val="single" w:color="000000" w:sz="4" w:space="0"/>
              <w:right w:val="single" w:color="000000" w:sz="4" w:space="0"/>
            </w:tcBorders>
            <w:vAlign w:val="center"/>
          </w:tcPr>
          <w:p w14:paraId="39316503">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高血脂患者管理报表</w:t>
            </w:r>
          </w:p>
        </w:tc>
        <w:tc>
          <w:tcPr>
            <w:tcW w:w="5216" w:type="dxa"/>
            <w:tcBorders>
              <w:top w:val="single" w:color="000000" w:sz="4" w:space="0"/>
              <w:left w:val="single" w:color="000000" w:sz="4" w:space="0"/>
              <w:bottom w:val="single" w:color="000000" w:sz="4" w:space="0"/>
              <w:right w:val="single" w:color="000000" w:sz="4" w:space="0"/>
            </w:tcBorders>
            <w:vAlign w:val="center"/>
          </w:tcPr>
          <w:p w14:paraId="7566387F">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对高血脂患者的信息进行统计，形成报表。</w:t>
            </w:r>
          </w:p>
        </w:tc>
      </w:tr>
      <w:tr w14:paraId="11ADBCEE">
        <w:tblPrEx>
          <w:tblCellMar>
            <w:top w:w="0" w:type="dxa"/>
            <w:left w:w="108" w:type="dxa"/>
            <w:bottom w:w="0" w:type="dxa"/>
            <w:right w:w="108" w:type="dxa"/>
          </w:tblCellMar>
        </w:tblPrEx>
        <w:trPr>
          <w:trHeight w:val="730" w:hRule="atLeast"/>
        </w:trPr>
        <w:tc>
          <w:tcPr>
            <w:tcW w:w="705" w:type="dxa"/>
            <w:vMerge w:val="continue"/>
            <w:tcBorders>
              <w:left w:val="single" w:color="000000" w:sz="4" w:space="0"/>
              <w:right w:val="single" w:color="000000" w:sz="4" w:space="0"/>
            </w:tcBorders>
            <w:vAlign w:val="center"/>
          </w:tcPr>
          <w:p w14:paraId="350C4AB3">
            <w:pPr>
              <w:jc w:val="center"/>
              <w:rPr>
                <w:rFonts w:ascii="宋体" w:hAnsi="宋体" w:eastAsia="宋体" w:cs="宋体"/>
                <w:b/>
                <w:bCs/>
                <w:color w:val="000000"/>
                <w:sz w:val="21"/>
                <w:szCs w:val="21"/>
                <w:highlight w:val="none"/>
              </w:rPr>
            </w:pPr>
          </w:p>
        </w:tc>
        <w:tc>
          <w:tcPr>
            <w:tcW w:w="1189" w:type="dxa"/>
            <w:vMerge w:val="continue"/>
            <w:tcBorders>
              <w:top w:val="single" w:color="000000" w:sz="4" w:space="0"/>
              <w:left w:val="single" w:color="000000" w:sz="4" w:space="0"/>
              <w:right w:val="single" w:color="000000" w:sz="4" w:space="0"/>
            </w:tcBorders>
            <w:vAlign w:val="center"/>
          </w:tcPr>
          <w:p w14:paraId="21FBE9D0">
            <w:pPr>
              <w:jc w:val="center"/>
              <w:rPr>
                <w:rFonts w:ascii="宋体" w:hAnsi="宋体" w:eastAsia="宋体" w:cs="宋体"/>
                <w:color w:val="000000"/>
                <w:sz w:val="21"/>
                <w:szCs w:val="21"/>
                <w:highlight w:val="none"/>
              </w:rPr>
            </w:pPr>
          </w:p>
        </w:tc>
        <w:tc>
          <w:tcPr>
            <w:tcW w:w="1154" w:type="dxa"/>
            <w:vMerge w:val="restart"/>
            <w:tcBorders>
              <w:top w:val="single" w:color="000000" w:sz="4" w:space="0"/>
              <w:left w:val="single" w:color="000000" w:sz="4" w:space="0"/>
              <w:bottom w:val="single" w:color="000000" w:sz="4" w:space="0"/>
              <w:right w:val="single" w:color="000000" w:sz="4" w:space="0"/>
            </w:tcBorders>
            <w:vAlign w:val="center"/>
          </w:tcPr>
          <w:p w14:paraId="39FD9CA0">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慢病高危人群报表</w:t>
            </w:r>
          </w:p>
        </w:tc>
        <w:tc>
          <w:tcPr>
            <w:tcW w:w="1223" w:type="dxa"/>
            <w:tcBorders>
              <w:top w:val="single" w:color="000000" w:sz="4" w:space="0"/>
              <w:left w:val="single" w:color="000000" w:sz="4" w:space="0"/>
              <w:bottom w:val="single" w:color="000000" w:sz="4" w:space="0"/>
              <w:right w:val="single" w:color="000000" w:sz="4" w:space="0"/>
            </w:tcBorders>
            <w:vAlign w:val="center"/>
          </w:tcPr>
          <w:p w14:paraId="03D95849">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高血压高危人群管理报表</w:t>
            </w:r>
          </w:p>
        </w:tc>
        <w:tc>
          <w:tcPr>
            <w:tcW w:w="5216" w:type="dxa"/>
            <w:tcBorders>
              <w:top w:val="single" w:color="000000" w:sz="4" w:space="0"/>
              <w:left w:val="single" w:color="000000" w:sz="4" w:space="0"/>
              <w:bottom w:val="single" w:color="000000" w:sz="4" w:space="0"/>
              <w:right w:val="single" w:color="000000" w:sz="4" w:space="0"/>
            </w:tcBorders>
            <w:vAlign w:val="center"/>
          </w:tcPr>
          <w:p w14:paraId="1DB4AC8D">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对高血压高危患者的信息进行统计，形成报表。</w:t>
            </w:r>
          </w:p>
        </w:tc>
      </w:tr>
      <w:tr w14:paraId="730CC4B4">
        <w:tblPrEx>
          <w:tblCellMar>
            <w:top w:w="0" w:type="dxa"/>
            <w:left w:w="108" w:type="dxa"/>
            <w:bottom w:w="0" w:type="dxa"/>
            <w:right w:w="108" w:type="dxa"/>
          </w:tblCellMar>
        </w:tblPrEx>
        <w:trPr>
          <w:trHeight w:val="730" w:hRule="atLeast"/>
        </w:trPr>
        <w:tc>
          <w:tcPr>
            <w:tcW w:w="705" w:type="dxa"/>
            <w:vMerge w:val="continue"/>
            <w:tcBorders>
              <w:left w:val="single" w:color="000000" w:sz="4" w:space="0"/>
              <w:right w:val="single" w:color="000000" w:sz="4" w:space="0"/>
            </w:tcBorders>
            <w:vAlign w:val="center"/>
          </w:tcPr>
          <w:p w14:paraId="39F99E47">
            <w:pPr>
              <w:jc w:val="center"/>
              <w:rPr>
                <w:rFonts w:ascii="宋体" w:hAnsi="宋体" w:eastAsia="宋体" w:cs="宋体"/>
                <w:b/>
                <w:bCs/>
                <w:color w:val="000000"/>
                <w:sz w:val="21"/>
                <w:szCs w:val="21"/>
                <w:highlight w:val="none"/>
              </w:rPr>
            </w:pPr>
          </w:p>
        </w:tc>
        <w:tc>
          <w:tcPr>
            <w:tcW w:w="1189" w:type="dxa"/>
            <w:vMerge w:val="continue"/>
            <w:tcBorders>
              <w:left w:val="single" w:color="000000" w:sz="4" w:space="0"/>
              <w:right w:val="single" w:color="000000" w:sz="4" w:space="0"/>
            </w:tcBorders>
            <w:vAlign w:val="center"/>
          </w:tcPr>
          <w:p w14:paraId="76FA9A42">
            <w:pPr>
              <w:jc w:val="center"/>
              <w:rPr>
                <w:rFonts w:ascii="宋体" w:hAnsi="宋体" w:eastAsia="宋体" w:cs="宋体"/>
                <w:color w:val="000000"/>
                <w:sz w:val="21"/>
                <w:szCs w:val="21"/>
                <w:highlight w:val="none"/>
              </w:rPr>
            </w:pPr>
          </w:p>
        </w:tc>
        <w:tc>
          <w:tcPr>
            <w:tcW w:w="1154" w:type="dxa"/>
            <w:vMerge w:val="continue"/>
            <w:tcBorders>
              <w:top w:val="single" w:color="000000" w:sz="4" w:space="0"/>
              <w:left w:val="single" w:color="000000" w:sz="4" w:space="0"/>
              <w:bottom w:val="single" w:color="000000" w:sz="4" w:space="0"/>
              <w:right w:val="single" w:color="000000" w:sz="4" w:space="0"/>
            </w:tcBorders>
            <w:vAlign w:val="center"/>
          </w:tcPr>
          <w:p w14:paraId="7FC15047">
            <w:pPr>
              <w:rPr>
                <w:rFonts w:ascii="宋体" w:hAnsi="宋体" w:eastAsia="宋体" w:cs="宋体"/>
                <w:color w:val="000000"/>
                <w:sz w:val="21"/>
                <w:szCs w:val="21"/>
                <w:highlight w:val="none"/>
              </w:rPr>
            </w:pPr>
          </w:p>
        </w:tc>
        <w:tc>
          <w:tcPr>
            <w:tcW w:w="1223" w:type="dxa"/>
            <w:tcBorders>
              <w:top w:val="single" w:color="000000" w:sz="4" w:space="0"/>
              <w:left w:val="single" w:color="000000" w:sz="4" w:space="0"/>
              <w:bottom w:val="single" w:color="000000" w:sz="4" w:space="0"/>
              <w:right w:val="single" w:color="000000" w:sz="4" w:space="0"/>
            </w:tcBorders>
            <w:vAlign w:val="center"/>
          </w:tcPr>
          <w:p w14:paraId="3CBC8D62">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糖尿病高危人群管理报表</w:t>
            </w:r>
          </w:p>
        </w:tc>
        <w:tc>
          <w:tcPr>
            <w:tcW w:w="5216" w:type="dxa"/>
            <w:tcBorders>
              <w:top w:val="single" w:color="000000" w:sz="4" w:space="0"/>
              <w:left w:val="single" w:color="000000" w:sz="4" w:space="0"/>
              <w:bottom w:val="single" w:color="000000" w:sz="4" w:space="0"/>
              <w:right w:val="single" w:color="000000" w:sz="4" w:space="0"/>
            </w:tcBorders>
            <w:vAlign w:val="center"/>
          </w:tcPr>
          <w:p w14:paraId="1F87D7ED">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对糖尿病高危患者的信息进行统计，形成报表。</w:t>
            </w:r>
          </w:p>
        </w:tc>
      </w:tr>
      <w:tr w14:paraId="6092B8B2">
        <w:tblPrEx>
          <w:tblCellMar>
            <w:top w:w="0" w:type="dxa"/>
            <w:left w:w="108" w:type="dxa"/>
            <w:bottom w:w="0" w:type="dxa"/>
            <w:right w:w="108" w:type="dxa"/>
          </w:tblCellMar>
        </w:tblPrEx>
        <w:trPr>
          <w:trHeight w:val="730" w:hRule="atLeast"/>
        </w:trPr>
        <w:tc>
          <w:tcPr>
            <w:tcW w:w="705" w:type="dxa"/>
            <w:vMerge w:val="continue"/>
            <w:tcBorders>
              <w:left w:val="single" w:color="000000" w:sz="4" w:space="0"/>
              <w:right w:val="single" w:color="000000" w:sz="4" w:space="0"/>
            </w:tcBorders>
            <w:vAlign w:val="center"/>
          </w:tcPr>
          <w:p w14:paraId="6179E874">
            <w:pPr>
              <w:jc w:val="center"/>
              <w:rPr>
                <w:rFonts w:ascii="宋体" w:hAnsi="宋体" w:eastAsia="宋体" w:cs="宋体"/>
                <w:b/>
                <w:bCs/>
                <w:color w:val="000000"/>
                <w:sz w:val="21"/>
                <w:szCs w:val="21"/>
                <w:highlight w:val="none"/>
              </w:rPr>
            </w:pPr>
          </w:p>
        </w:tc>
        <w:tc>
          <w:tcPr>
            <w:tcW w:w="1189" w:type="dxa"/>
            <w:vMerge w:val="continue"/>
            <w:tcBorders>
              <w:left w:val="single" w:color="000000" w:sz="4" w:space="0"/>
              <w:right w:val="single" w:color="000000" w:sz="4" w:space="0"/>
            </w:tcBorders>
            <w:vAlign w:val="center"/>
          </w:tcPr>
          <w:p w14:paraId="50E35C80">
            <w:pPr>
              <w:jc w:val="center"/>
              <w:rPr>
                <w:rFonts w:ascii="宋体" w:hAnsi="宋体" w:eastAsia="宋体" w:cs="宋体"/>
                <w:color w:val="000000"/>
                <w:sz w:val="21"/>
                <w:szCs w:val="21"/>
                <w:highlight w:val="none"/>
              </w:rPr>
            </w:pPr>
          </w:p>
        </w:tc>
        <w:tc>
          <w:tcPr>
            <w:tcW w:w="1154" w:type="dxa"/>
            <w:vMerge w:val="continue"/>
            <w:tcBorders>
              <w:top w:val="single" w:color="000000" w:sz="4" w:space="0"/>
              <w:left w:val="single" w:color="000000" w:sz="4" w:space="0"/>
              <w:bottom w:val="single" w:color="000000" w:sz="4" w:space="0"/>
              <w:right w:val="single" w:color="000000" w:sz="4" w:space="0"/>
            </w:tcBorders>
            <w:vAlign w:val="center"/>
          </w:tcPr>
          <w:p w14:paraId="5B265C96">
            <w:pPr>
              <w:rPr>
                <w:rFonts w:ascii="宋体" w:hAnsi="宋体" w:eastAsia="宋体" w:cs="宋体"/>
                <w:color w:val="000000"/>
                <w:sz w:val="21"/>
                <w:szCs w:val="21"/>
                <w:highlight w:val="none"/>
              </w:rPr>
            </w:pPr>
          </w:p>
        </w:tc>
        <w:tc>
          <w:tcPr>
            <w:tcW w:w="1223" w:type="dxa"/>
            <w:tcBorders>
              <w:top w:val="single" w:color="000000" w:sz="4" w:space="0"/>
              <w:left w:val="single" w:color="000000" w:sz="4" w:space="0"/>
              <w:bottom w:val="single" w:color="000000" w:sz="4" w:space="0"/>
              <w:right w:val="single" w:color="000000" w:sz="4" w:space="0"/>
            </w:tcBorders>
            <w:vAlign w:val="center"/>
          </w:tcPr>
          <w:p w14:paraId="76E0D87D">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冠心病高危人群管理报表</w:t>
            </w:r>
          </w:p>
        </w:tc>
        <w:tc>
          <w:tcPr>
            <w:tcW w:w="5216" w:type="dxa"/>
            <w:tcBorders>
              <w:top w:val="single" w:color="000000" w:sz="4" w:space="0"/>
              <w:left w:val="single" w:color="000000" w:sz="4" w:space="0"/>
              <w:bottom w:val="single" w:color="000000" w:sz="4" w:space="0"/>
              <w:right w:val="single" w:color="000000" w:sz="4" w:space="0"/>
            </w:tcBorders>
            <w:vAlign w:val="center"/>
          </w:tcPr>
          <w:p w14:paraId="65579366">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对冠心病高危患者的信息进行统计，形成报表。</w:t>
            </w:r>
          </w:p>
        </w:tc>
      </w:tr>
      <w:tr w14:paraId="389B33AB">
        <w:tblPrEx>
          <w:tblCellMar>
            <w:top w:w="0" w:type="dxa"/>
            <w:left w:w="108" w:type="dxa"/>
            <w:bottom w:w="0" w:type="dxa"/>
            <w:right w:w="108" w:type="dxa"/>
          </w:tblCellMar>
        </w:tblPrEx>
        <w:trPr>
          <w:trHeight w:val="730" w:hRule="atLeast"/>
        </w:trPr>
        <w:tc>
          <w:tcPr>
            <w:tcW w:w="705" w:type="dxa"/>
            <w:vMerge w:val="continue"/>
            <w:tcBorders>
              <w:left w:val="single" w:color="000000" w:sz="4" w:space="0"/>
              <w:right w:val="single" w:color="000000" w:sz="4" w:space="0"/>
            </w:tcBorders>
            <w:vAlign w:val="center"/>
          </w:tcPr>
          <w:p w14:paraId="00D93780">
            <w:pPr>
              <w:jc w:val="center"/>
              <w:rPr>
                <w:rFonts w:ascii="宋体" w:hAnsi="宋体" w:eastAsia="宋体" w:cs="宋体"/>
                <w:b/>
                <w:bCs/>
                <w:color w:val="000000"/>
                <w:sz w:val="21"/>
                <w:szCs w:val="21"/>
                <w:highlight w:val="none"/>
              </w:rPr>
            </w:pPr>
          </w:p>
        </w:tc>
        <w:tc>
          <w:tcPr>
            <w:tcW w:w="1189" w:type="dxa"/>
            <w:vMerge w:val="continue"/>
            <w:tcBorders>
              <w:left w:val="single" w:color="000000" w:sz="4" w:space="0"/>
              <w:right w:val="single" w:color="000000" w:sz="4" w:space="0"/>
            </w:tcBorders>
            <w:vAlign w:val="center"/>
          </w:tcPr>
          <w:p w14:paraId="6F62BFC0">
            <w:pPr>
              <w:jc w:val="center"/>
              <w:rPr>
                <w:rFonts w:ascii="宋体" w:hAnsi="宋体" w:eastAsia="宋体" w:cs="宋体"/>
                <w:color w:val="000000"/>
                <w:sz w:val="21"/>
                <w:szCs w:val="21"/>
                <w:highlight w:val="none"/>
              </w:rPr>
            </w:pPr>
          </w:p>
        </w:tc>
        <w:tc>
          <w:tcPr>
            <w:tcW w:w="1154" w:type="dxa"/>
            <w:vMerge w:val="continue"/>
            <w:tcBorders>
              <w:top w:val="single" w:color="000000" w:sz="4" w:space="0"/>
              <w:left w:val="single" w:color="000000" w:sz="4" w:space="0"/>
              <w:bottom w:val="single" w:color="000000" w:sz="4" w:space="0"/>
              <w:right w:val="single" w:color="000000" w:sz="4" w:space="0"/>
            </w:tcBorders>
            <w:vAlign w:val="center"/>
          </w:tcPr>
          <w:p w14:paraId="7A568AD6">
            <w:pPr>
              <w:rPr>
                <w:rFonts w:ascii="宋体" w:hAnsi="宋体" w:eastAsia="宋体" w:cs="宋体"/>
                <w:color w:val="000000"/>
                <w:sz w:val="21"/>
                <w:szCs w:val="21"/>
                <w:highlight w:val="none"/>
              </w:rPr>
            </w:pPr>
          </w:p>
        </w:tc>
        <w:tc>
          <w:tcPr>
            <w:tcW w:w="1223" w:type="dxa"/>
            <w:tcBorders>
              <w:top w:val="single" w:color="000000" w:sz="4" w:space="0"/>
              <w:left w:val="single" w:color="000000" w:sz="4" w:space="0"/>
              <w:bottom w:val="single" w:color="000000" w:sz="4" w:space="0"/>
              <w:right w:val="single" w:color="000000" w:sz="4" w:space="0"/>
            </w:tcBorders>
            <w:vAlign w:val="center"/>
          </w:tcPr>
          <w:p w14:paraId="31E85758">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脑卒中高危人群管理报表</w:t>
            </w:r>
          </w:p>
        </w:tc>
        <w:tc>
          <w:tcPr>
            <w:tcW w:w="5216" w:type="dxa"/>
            <w:tcBorders>
              <w:top w:val="single" w:color="000000" w:sz="4" w:space="0"/>
              <w:left w:val="single" w:color="000000" w:sz="4" w:space="0"/>
              <w:bottom w:val="single" w:color="000000" w:sz="4" w:space="0"/>
              <w:right w:val="single" w:color="000000" w:sz="4" w:space="0"/>
            </w:tcBorders>
            <w:vAlign w:val="center"/>
          </w:tcPr>
          <w:p w14:paraId="3774B420">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对脑卒中高危患者的信息进行统计，形成报表。</w:t>
            </w:r>
          </w:p>
        </w:tc>
      </w:tr>
      <w:tr w14:paraId="3E214533">
        <w:tblPrEx>
          <w:tblCellMar>
            <w:top w:w="0" w:type="dxa"/>
            <w:left w:w="108" w:type="dxa"/>
            <w:bottom w:w="0" w:type="dxa"/>
            <w:right w:w="108" w:type="dxa"/>
          </w:tblCellMar>
        </w:tblPrEx>
        <w:trPr>
          <w:trHeight w:val="730" w:hRule="atLeast"/>
        </w:trPr>
        <w:tc>
          <w:tcPr>
            <w:tcW w:w="705" w:type="dxa"/>
            <w:vMerge w:val="continue"/>
            <w:tcBorders>
              <w:left w:val="single" w:color="000000" w:sz="4" w:space="0"/>
              <w:right w:val="single" w:color="000000" w:sz="4" w:space="0"/>
            </w:tcBorders>
            <w:vAlign w:val="center"/>
          </w:tcPr>
          <w:p w14:paraId="4E0E0F6F">
            <w:pPr>
              <w:jc w:val="center"/>
              <w:rPr>
                <w:rFonts w:ascii="宋体" w:hAnsi="宋体" w:eastAsia="宋体" w:cs="宋体"/>
                <w:b/>
                <w:bCs/>
                <w:color w:val="000000"/>
                <w:sz w:val="21"/>
                <w:szCs w:val="21"/>
                <w:highlight w:val="none"/>
              </w:rPr>
            </w:pPr>
          </w:p>
        </w:tc>
        <w:tc>
          <w:tcPr>
            <w:tcW w:w="1189" w:type="dxa"/>
            <w:vMerge w:val="continue"/>
            <w:tcBorders>
              <w:left w:val="single" w:color="000000" w:sz="4" w:space="0"/>
              <w:right w:val="single" w:color="000000" w:sz="4" w:space="0"/>
            </w:tcBorders>
            <w:vAlign w:val="center"/>
          </w:tcPr>
          <w:p w14:paraId="4F2FD9DF">
            <w:pPr>
              <w:jc w:val="center"/>
              <w:rPr>
                <w:rFonts w:ascii="宋体" w:hAnsi="宋体" w:eastAsia="宋体" w:cs="宋体"/>
                <w:color w:val="000000"/>
                <w:sz w:val="21"/>
                <w:szCs w:val="21"/>
                <w:highlight w:val="none"/>
              </w:rPr>
            </w:pPr>
          </w:p>
        </w:tc>
        <w:tc>
          <w:tcPr>
            <w:tcW w:w="1154" w:type="dxa"/>
            <w:vMerge w:val="continue"/>
            <w:tcBorders>
              <w:top w:val="single" w:color="000000" w:sz="4" w:space="0"/>
              <w:left w:val="single" w:color="000000" w:sz="4" w:space="0"/>
              <w:bottom w:val="single" w:color="000000" w:sz="4" w:space="0"/>
              <w:right w:val="single" w:color="000000" w:sz="4" w:space="0"/>
            </w:tcBorders>
            <w:vAlign w:val="center"/>
          </w:tcPr>
          <w:p w14:paraId="65B7648F">
            <w:pPr>
              <w:rPr>
                <w:rFonts w:ascii="宋体" w:hAnsi="宋体" w:eastAsia="宋体" w:cs="宋体"/>
                <w:color w:val="000000"/>
                <w:sz w:val="21"/>
                <w:szCs w:val="21"/>
                <w:highlight w:val="none"/>
              </w:rPr>
            </w:pPr>
          </w:p>
        </w:tc>
        <w:tc>
          <w:tcPr>
            <w:tcW w:w="1223" w:type="dxa"/>
            <w:tcBorders>
              <w:top w:val="single" w:color="000000" w:sz="4" w:space="0"/>
              <w:left w:val="single" w:color="000000" w:sz="4" w:space="0"/>
              <w:bottom w:val="single" w:color="000000" w:sz="4" w:space="0"/>
              <w:right w:val="single" w:color="000000" w:sz="4" w:space="0"/>
            </w:tcBorders>
            <w:vAlign w:val="center"/>
          </w:tcPr>
          <w:p w14:paraId="5B77A747">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慢阻肺高危人群管理报表</w:t>
            </w:r>
          </w:p>
        </w:tc>
        <w:tc>
          <w:tcPr>
            <w:tcW w:w="5216" w:type="dxa"/>
            <w:tcBorders>
              <w:top w:val="single" w:color="000000" w:sz="4" w:space="0"/>
              <w:left w:val="single" w:color="000000" w:sz="4" w:space="0"/>
              <w:bottom w:val="single" w:color="000000" w:sz="4" w:space="0"/>
              <w:right w:val="single" w:color="000000" w:sz="4" w:space="0"/>
            </w:tcBorders>
            <w:vAlign w:val="center"/>
          </w:tcPr>
          <w:p w14:paraId="4731C557">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对慢阻肺高危患者的信息进行统计，形成报表。</w:t>
            </w:r>
          </w:p>
        </w:tc>
      </w:tr>
      <w:tr w14:paraId="2A6F8BA2">
        <w:tblPrEx>
          <w:tblCellMar>
            <w:top w:w="0" w:type="dxa"/>
            <w:left w:w="108" w:type="dxa"/>
            <w:bottom w:w="0" w:type="dxa"/>
            <w:right w:w="108" w:type="dxa"/>
          </w:tblCellMar>
        </w:tblPrEx>
        <w:trPr>
          <w:trHeight w:val="316" w:hRule="atLeast"/>
        </w:trPr>
        <w:tc>
          <w:tcPr>
            <w:tcW w:w="705" w:type="dxa"/>
            <w:vMerge w:val="continue"/>
            <w:tcBorders>
              <w:left w:val="single" w:color="000000" w:sz="4" w:space="0"/>
              <w:right w:val="single" w:color="000000" w:sz="4" w:space="0"/>
            </w:tcBorders>
            <w:vAlign w:val="center"/>
          </w:tcPr>
          <w:p w14:paraId="686AC789">
            <w:pPr>
              <w:jc w:val="center"/>
              <w:rPr>
                <w:rFonts w:ascii="宋体" w:hAnsi="宋体" w:eastAsia="宋体" w:cs="宋体"/>
                <w:b/>
                <w:bCs/>
                <w:color w:val="000000"/>
                <w:sz w:val="21"/>
                <w:szCs w:val="21"/>
                <w:highlight w:val="none"/>
              </w:rPr>
            </w:pPr>
          </w:p>
        </w:tc>
        <w:tc>
          <w:tcPr>
            <w:tcW w:w="1189" w:type="dxa"/>
            <w:vMerge w:val="continue"/>
            <w:tcBorders>
              <w:left w:val="single" w:color="000000" w:sz="4" w:space="0"/>
              <w:right w:val="single" w:color="000000" w:sz="4" w:space="0"/>
            </w:tcBorders>
            <w:vAlign w:val="center"/>
          </w:tcPr>
          <w:p w14:paraId="64A060C6">
            <w:pPr>
              <w:jc w:val="center"/>
              <w:rPr>
                <w:rFonts w:ascii="宋体" w:hAnsi="宋体" w:eastAsia="宋体" w:cs="宋体"/>
                <w:color w:val="000000"/>
                <w:sz w:val="21"/>
                <w:szCs w:val="21"/>
                <w:highlight w:val="none"/>
              </w:rPr>
            </w:pPr>
          </w:p>
        </w:tc>
        <w:tc>
          <w:tcPr>
            <w:tcW w:w="1154" w:type="dxa"/>
            <w:vMerge w:val="continue"/>
            <w:tcBorders>
              <w:top w:val="single" w:color="000000" w:sz="4" w:space="0"/>
              <w:left w:val="single" w:color="000000" w:sz="4" w:space="0"/>
              <w:bottom w:val="single" w:color="000000" w:sz="4" w:space="0"/>
              <w:right w:val="single" w:color="000000" w:sz="4" w:space="0"/>
            </w:tcBorders>
            <w:vAlign w:val="center"/>
          </w:tcPr>
          <w:p w14:paraId="6F4CD58E">
            <w:pPr>
              <w:rPr>
                <w:rFonts w:ascii="宋体" w:hAnsi="宋体" w:eastAsia="宋体" w:cs="宋体"/>
                <w:color w:val="000000"/>
                <w:sz w:val="21"/>
                <w:szCs w:val="21"/>
                <w:highlight w:val="none"/>
              </w:rPr>
            </w:pPr>
          </w:p>
        </w:tc>
        <w:tc>
          <w:tcPr>
            <w:tcW w:w="1223" w:type="dxa"/>
            <w:tcBorders>
              <w:top w:val="single" w:color="000000" w:sz="4" w:space="0"/>
              <w:left w:val="single" w:color="000000" w:sz="4" w:space="0"/>
              <w:bottom w:val="single" w:color="000000" w:sz="4" w:space="0"/>
              <w:right w:val="single" w:color="000000" w:sz="4" w:space="0"/>
            </w:tcBorders>
            <w:vAlign w:val="center"/>
          </w:tcPr>
          <w:p w14:paraId="55F6ECF8">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慢性肾病高危人群管理报表</w:t>
            </w:r>
          </w:p>
        </w:tc>
        <w:tc>
          <w:tcPr>
            <w:tcW w:w="5216" w:type="dxa"/>
            <w:tcBorders>
              <w:top w:val="single" w:color="000000" w:sz="4" w:space="0"/>
              <w:left w:val="single" w:color="000000" w:sz="4" w:space="0"/>
              <w:bottom w:val="single" w:color="000000" w:sz="4" w:space="0"/>
              <w:right w:val="single" w:color="000000" w:sz="4" w:space="0"/>
            </w:tcBorders>
            <w:vAlign w:val="center"/>
          </w:tcPr>
          <w:p w14:paraId="5E3A1AB8">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对慢性肾病高危患者的信息进行统计，形成报表。</w:t>
            </w:r>
          </w:p>
        </w:tc>
      </w:tr>
      <w:tr w14:paraId="148EB1A4">
        <w:tblPrEx>
          <w:tblCellMar>
            <w:top w:w="0" w:type="dxa"/>
            <w:left w:w="108" w:type="dxa"/>
            <w:bottom w:w="0" w:type="dxa"/>
            <w:right w:w="108" w:type="dxa"/>
          </w:tblCellMar>
        </w:tblPrEx>
        <w:trPr>
          <w:trHeight w:val="378" w:hRule="atLeast"/>
        </w:trPr>
        <w:tc>
          <w:tcPr>
            <w:tcW w:w="705" w:type="dxa"/>
            <w:vMerge w:val="continue"/>
            <w:tcBorders>
              <w:left w:val="single" w:color="000000" w:sz="4" w:space="0"/>
              <w:right w:val="single" w:color="000000" w:sz="4" w:space="0"/>
            </w:tcBorders>
            <w:vAlign w:val="center"/>
          </w:tcPr>
          <w:p w14:paraId="21D4595E">
            <w:pPr>
              <w:jc w:val="center"/>
              <w:rPr>
                <w:rFonts w:ascii="宋体" w:hAnsi="宋体" w:eastAsia="宋体" w:cs="宋体"/>
                <w:b/>
                <w:bCs/>
                <w:color w:val="000000"/>
                <w:sz w:val="21"/>
                <w:szCs w:val="21"/>
                <w:highlight w:val="none"/>
              </w:rPr>
            </w:pPr>
          </w:p>
        </w:tc>
        <w:tc>
          <w:tcPr>
            <w:tcW w:w="1189" w:type="dxa"/>
            <w:vMerge w:val="continue"/>
            <w:tcBorders>
              <w:left w:val="single" w:color="000000" w:sz="4" w:space="0"/>
              <w:right w:val="single" w:color="000000" w:sz="4" w:space="0"/>
            </w:tcBorders>
            <w:vAlign w:val="center"/>
          </w:tcPr>
          <w:p w14:paraId="3D4501AD">
            <w:pPr>
              <w:jc w:val="center"/>
              <w:rPr>
                <w:rFonts w:ascii="宋体" w:hAnsi="宋体" w:eastAsia="宋体" w:cs="宋体"/>
                <w:color w:val="000000"/>
                <w:sz w:val="21"/>
                <w:szCs w:val="21"/>
                <w:highlight w:val="none"/>
              </w:rPr>
            </w:pPr>
          </w:p>
        </w:tc>
        <w:tc>
          <w:tcPr>
            <w:tcW w:w="1154" w:type="dxa"/>
            <w:tcBorders>
              <w:top w:val="single" w:color="000000" w:sz="4" w:space="0"/>
              <w:left w:val="single" w:color="000000" w:sz="4" w:space="0"/>
              <w:right w:val="single" w:color="000000" w:sz="4" w:space="0"/>
            </w:tcBorders>
            <w:vAlign w:val="center"/>
          </w:tcPr>
          <w:p w14:paraId="1ABC9FED">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慢病患者管理医生工作量报表</w:t>
            </w:r>
          </w:p>
        </w:tc>
        <w:tc>
          <w:tcPr>
            <w:tcW w:w="1223" w:type="dxa"/>
            <w:tcBorders>
              <w:top w:val="single" w:color="000000" w:sz="4" w:space="0"/>
              <w:left w:val="single" w:color="000000" w:sz="4" w:space="0"/>
              <w:bottom w:val="single" w:color="000000" w:sz="4" w:space="0"/>
              <w:right w:val="single" w:color="000000" w:sz="4" w:space="0"/>
            </w:tcBorders>
            <w:vAlign w:val="center"/>
          </w:tcPr>
          <w:p w14:paraId="16521801">
            <w:pPr>
              <w:rPr>
                <w:rFonts w:ascii="宋体" w:hAnsi="宋体" w:eastAsia="宋体" w:cs="宋体"/>
                <w:color w:val="000000"/>
                <w:sz w:val="21"/>
                <w:szCs w:val="21"/>
                <w:highlight w:val="none"/>
              </w:rPr>
            </w:pPr>
          </w:p>
        </w:tc>
        <w:tc>
          <w:tcPr>
            <w:tcW w:w="5216" w:type="dxa"/>
            <w:tcBorders>
              <w:top w:val="single" w:color="000000" w:sz="4" w:space="0"/>
              <w:left w:val="single" w:color="000000" w:sz="4" w:space="0"/>
              <w:bottom w:val="single" w:color="000000" w:sz="4" w:space="0"/>
              <w:right w:val="single" w:color="000000" w:sz="4" w:space="0"/>
            </w:tcBorders>
            <w:vAlign w:val="center"/>
          </w:tcPr>
          <w:p w14:paraId="294267F6">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针对慢病患者的医生工作量进行统计，形成报表。</w:t>
            </w:r>
          </w:p>
        </w:tc>
      </w:tr>
      <w:tr w14:paraId="1E6E4302">
        <w:tblPrEx>
          <w:tblCellMar>
            <w:top w:w="0" w:type="dxa"/>
            <w:left w:w="108" w:type="dxa"/>
            <w:bottom w:w="0" w:type="dxa"/>
            <w:right w:w="108" w:type="dxa"/>
          </w:tblCellMar>
        </w:tblPrEx>
        <w:trPr>
          <w:trHeight w:val="378" w:hRule="atLeast"/>
        </w:trPr>
        <w:tc>
          <w:tcPr>
            <w:tcW w:w="705" w:type="dxa"/>
            <w:vMerge w:val="continue"/>
            <w:tcBorders>
              <w:left w:val="single" w:color="000000" w:sz="4" w:space="0"/>
              <w:right w:val="single" w:color="000000" w:sz="4" w:space="0"/>
            </w:tcBorders>
            <w:vAlign w:val="center"/>
          </w:tcPr>
          <w:p w14:paraId="31C69F66">
            <w:pPr>
              <w:jc w:val="center"/>
              <w:rPr>
                <w:rFonts w:ascii="宋体" w:hAnsi="宋体" w:eastAsia="宋体" w:cs="宋体"/>
                <w:b/>
                <w:bCs/>
                <w:color w:val="000000"/>
                <w:sz w:val="21"/>
                <w:szCs w:val="21"/>
                <w:highlight w:val="none"/>
              </w:rPr>
            </w:pPr>
          </w:p>
        </w:tc>
        <w:tc>
          <w:tcPr>
            <w:tcW w:w="1189" w:type="dxa"/>
            <w:vMerge w:val="continue"/>
            <w:tcBorders>
              <w:left w:val="single" w:color="000000" w:sz="4" w:space="0"/>
              <w:right w:val="single" w:color="000000" w:sz="4" w:space="0"/>
            </w:tcBorders>
            <w:vAlign w:val="center"/>
          </w:tcPr>
          <w:p w14:paraId="12ED3169">
            <w:pPr>
              <w:jc w:val="center"/>
              <w:rPr>
                <w:rFonts w:ascii="宋体" w:hAnsi="宋体" w:eastAsia="宋体" w:cs="宋体"/>
                <w:color w:val="000000"/>
                <w:sz w:val="21"/>
                <w:szCs w:val="21"/>
                <w:highlight w:val="none"/>
              </w:rPr>
            </w:pPr>
          </w:p>
        </w:tc>
        <w:tc>
          <w:tcPr>
            <w:tcW w:w="1154" w:type="dxa"/>
            <w:vMerge w:val="restart"/>
            <w:tcBorders>
              <w:left w:val="single" w:color="000000" w:sz="4" w:space="0"/>
              <w:right w:val="single" w:color="000000" w:sz="4" w:space="0"/>
            </w:tcBorders>
            <w:vAlign w:val="center"/>
          </w:tcPr>
          <w:p w14:paraId="7499045F">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慢病管理质控表</w:t>
            </w:r>
          </w:p>
        </w:tc>
        <w:tc>
          <w:tcPr>
            <w:tcW w:w="1223" w:type="dxa"/>
            <w:tcBorders>
              <w:top w:val="single" w:color="000000" w:sz="4" w:space="0"/>
              <w:left w:val="single" w:color="000000" w:sz="4" w:space="0"/>
              <w:bottom w:val="single" w:color="000000" w:sz="4" w:space="0"/>
              <w:right w:val="single" w:color="000000" w:sz="4" w:space="0"/>
            </w:tcBorders>
            <w:vAlign w:val="center"/>
          </w:tcPr>
          <w:p w14:paraId="5D42A3E9">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高血压质控表</w:t>
            </w:r>
          </w:p>
        </w:tc>
        <w:tc>
          <w:tcPr>
            <w:tcW w:w="5216" w:type="dxa"/>
            <w:tcBorders>
              <w:top w:val="single" w:color="000000" w:sz="4" w:space="0"/>
              <w:left w:val="single" w:color="000000" w:sz="4" w:space="0"/>
              <w:bottom w:val="single" w:color="000000" w:sz="4" w:space="0"/>
              <w:right w:val="single" w:color="000000" w:sz="4" w:space="0"/>
            </w:tcBorders>
            <w:vAlign w:val="center"/>
          </w:tcPr>
          <w:p w14:paraId="7838A661">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对高血压患者质控情况进行统计，形成报表。</w:t>
            </w:r>
          </w:p>
        </w:tc>
      </w:tr>
      <w:tr w14:paraId="4D72CBB3">
        <w:tblPrEx>
          <w:tblCellMar>
            <w:top w:w="0" w:type="dxa"/>
            <w:left w:w="108" w:type="dxa"/>
            <w:bottom w:w="0" w:type="dxa"/>
            <w:right w:w="108" w:type="dxa"/>
          </w:tblCellMar>
        </w:tblPrEx>
        <w:trPr>
          <w:trHeight w:val="730" w:hRule="atLeast"/>
        </w:trPr>
        <w:tc>
          <w:tcPr>
            <w:tcW w:w="705" w:type="dxa"/>
            <w:vMerge w:val="continue"/>
            <w:tcBorders>
              <w:left w:val="single" w:color="000000" w:sz="4" w:space="0"/>
              <w:right w:val="single" w:color="000000" w:sz="4" w:space="0"/>
            </w:tcBorders>
            <w:vAlign w:val="center"/>
          </w:tcPr>
          <w:p w14:paraId="54EB66EB">
            <w:pPr>
              <w:jc w:val="center"/>
              <w:rPr>
                <w:rFonts w:ascii="宋体" w:hAnsi="宋体" w:eastAsia="宋体" w:cs="宋体"/>
                <w:b/>
                <w:bCs/>
                <w:color w:val="000000"/>
                <w:sz w:val="21"/>
                <w:szCs w:val="21"/>
                <w:highlight w:val="none"/>
              </w:rPr>
            </w:pPr>
          </w:p>
        </w:tc>
        <w:tc>
          <w:tcPr>
            <w:tcW w:w="1189" w:type="dxa"/>
            <w:vMerge w:val="continue"/>
            <w:tcBorders>
              <w:left w:val="single" w:color="000000" w:sz="4" w:space="0"/>
              <w:right w:val="single" w:color="000000" w:sz="4" w:space="0"/>
            </w:tcBorders>
            <w:vAlign w:val="center"/>
          </w:tcPr>
          <w:p w14:paraId="2FCF6C1A">
            <w:pPr>
              <w:jc w:val="center"/>
              <w:rPr>
                <w:rFonts w:ascii="宋体" w:hAnsi="宋体" w:eastAsia="宋体" w:cs="宋体"/>
                <w:color w:val="000000"/>
                <w:sz w:val="21"/>
                <w:szCs w:val="21"/>
                <w:highlight w:val="none"/>
              </w:rPr>
            </w:pPr>
          </w:p>
        </w:tc>
        <w:tc>
          <w:tcPr>
            <w:tcW w:w="1154" w:type="dxa"/>
            <w:vMerge w:val="continue"/>
            <w:tcBorders>
              <w:top w:val="single" w:color="000000" w:sz="4" w:space="0"/>
              <w:left w:val="single" w:color="000000" w:sz="4" w:space="0"/>
              <w:right w:val="single" w:color="000000" w:sz="4" w:space="0"/>
            </w:tcBorders>
            <w:vAlign w:val="center"/>
          </w:tcPr>
          <w:p w14:paraId="7B5CD144">
            <w:pPr>
              <w:rPr>
                <w:rFonts w:ascii="宋体" w:hAnsi="宋体" w:eastAsia="宋体" w:cs="宋体"/>
                <w:color w:val="000000"/>
                <w:sz w:val="21"/>
                <w:szCs w:val="21"/>
                <w:highlight w:val="none"/>
              </w:rPr>
            </w:pPr>
          </w:p>
        </w:tc>
        <w:tc>
          <w:tcPr>
            <w:tcW w:w="1223" w:type="dxa"/>
            <w:tcBorders>
              <w:top w:val="single" w:color="000000" w:sz="4" w:space="0"/>
              <w:left w:val="single" w:color="000000" w:sz="4" w:space="0"/>
              <w:bottom w:val="single" w:color="000000" w:sz="4" w:space="0"/>
              <w:right w:val="single" w:color="000000" w:sz="4" w:space="0"/>
            </w:tcBorders>
            <w:vAlign w:val="center"/>
          </w:tcPr>
          <w:p w14:paraId="7DD6E604">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糖尿病质控表</w:t>
            </w:r>
          </w:p>
        </w:tc>
        <w:tc>
          <w:tcPr>
            <w:tcW w:w="5216" w:type="dxa"/>
            <w:tcBorders>
              <w:top w:val="single" w:color="000000" w:sz="4" w:space="0"/>
              <w:left w:val="single" w:color="000000" w:sz="4" w:space="0"/>
              <w:bottom w:val="single" w:color="000000" w:sz="4" w:space="0"/>
              <w:right w:val="single" w:color="000000" w:sz="4" w:space="0"/>
            </w:tcBorders>
            <w:vAlign w:val="center"/>
          </w:tcPr>
          <w:p w14:paraId="1654D1D9">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对糖尿病患者质控情况进行统计，形成报表。</w:t>
            </w:r>
          </w:p>
        </w:tc>
      </w:tr>
      <w:tr w14:paraId="1BD0B226">
        <w:tblPrEx>
          <w:tblCellMar>
            <w:top w:w="0" w:type="dxa"/>
            <w:left w:w="108" w:type="dxa"/>
            <w:bottom w:w="0" w:type="dxa"/>
            <w:right w:w="108" w:type="dxa"/>
          </w:tblCellMar>
        </w:tblPrEx>
        <w:trPr>
          <w:trHeight w:val="730" w:hRule="atLeast"/>
        </w:trPr>
        <w:tc>
          <w:tcPr>
            <w:tcW w:w="705" w:type="dxa"/>
            <w:vMerge w:val="continue"/>
            <w:tcBorders>
              <w:left w:val="single" w:color="000000" w:sz="4" w:space="0"/>
              <w:right w:val="single" w:color="000000" w:sz="4" w:space="0"/>
            </w:tcBorders>
            <w:vAlign w:val="center"/>
          </w:tcPr>
          <w:p w14:paraId="27A4ABD8">
            <w:pPr>
              <w:jc w:val="center"/>
              <w:rPr>
                <w:rFonts w:ascii="宋体" w:hAnsi="宋体" w:eastAsia="宋体" w:cs="宋体"/>
                <w:b/>
                <w:bCs/>
                <w:color w:val="000000"/>
                <w:sz w:val="21"/>
                <w:szCs w:val="21"/>
                <w:highlight w:val="none"/>
              </w:rPr>
            </w:pPr>
          </w:p>
        </w:tc>
        <w:tc>
          <w:tcPr>
            <w:tcW w:w="1189" w:type="dxa"/>
            <w:vMerge w:val="continue"/>
            <w:tcBorders>
              <w:left w:val="single" w:color="000000" w:sz="4" w:space="0"/>
              <w:right w:val="single" w:color="000000" w:sz="4" w:space="0"/>
            </w:tcBorders>
            <w:vAlign w:val="center"/>
          </w:tcPr>
          <w:p w14:paraId="1CFFE2B8">
            <w:pPr>
              <w:jc w:val="center"/>
              <w:rPr>
                <w:rFonts w:ascii="宋体" w:hAnsi="宋体" w:eastAsia="宋体" w:cs="宋体"/>
                <w:color w:val="000000"/>
                <w:sz w:val="21"/>
                <w:szCs w:val="21"/>
                <w:highlight w:val="none"/>
              </w:rPr>
            </w:pPr>
          </w:p>
        </w:tc>
        <w:tc>
          <w:tcPr>
            <w:tcW w:w="1154" w:type="dxa"/>
            <w:vMerge w:val="continue"/>
            <w:tcBorders>
              <w:left w:val="single" w:color="000000" w:sz="4" w:space="0"/>
              <w:right w:val="single" w:color="000000" w:sz="4" w:space="0"/>
            </w:tcBorders>
            <w:vAlign w:val="center"/>
          </w:tcPr>
          <w:p w14:paraId="0330AD48">
            <w:pPr>
              <w:rPr>
                <w:rFonts w:ascii="宋体" w:hAnsi="宋体" w:eastAsia="宋体" w:cs="宋体"/>
                <w:color w:val="000000"/>
                <w:sz w:val="21"/>
                <w:szCs w:val="21"/>
                <w:highlight w:val="none"/>
              </w:rPr>
            </w:pPr>
          </w:p>
        </w:tc>
        <w:tc>
          <w:tcPr>
            <w:tcW w:w="1223" w:type="dxa"/>
            <w:tcBorders>
              <w:top w:val="single" w:color="000000" w:sz="4" w:space="0"/>
              <w:left w:val="single" w:color="000000" w:sz="4" w:space="0"/>
              <w:bottom w:val="single" w:color="000000" w:sz="4" w:space="0"/>
              <w:right w:val="single" w:color="000000" w:sz="4" w:space="0"/>
            </w:tcBorders>
            <w:vAlign w:val="center"/>
          </w:tcPr>
          <w:p w14:paraId="3D7AD902">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冠心病质控表</w:t>
            </w:r>
          </w:p>
        </w:tc>
        <w:tc>
          <w:tcPr>
            <w:tcW w:w="5216" w:type="dxa"/>
            <w:tcBorders>
              <w:top w:val="single" w:color="000000" w:sz="4" w:space="0"/>
              <w:left w:val="single" w:color="000000" w:sz="4" w:space="0"/>
              <w:bottom w:val="single" w:color="000000" w:sz="4" w:space="0"/>
              <w:right w:val="single" w:color="000000" w:sz="4" w:space="0"/>
            </w:tcBorders>
            <w:vAlign w:val="center"/>
          </w:tcPr>
          <w:p w14:paraId="732CBCC4">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对冠心病患者质控情况进行统计，形成报表。</w:t>
            </w:r>
          </w:p>
        </w:tc>
      </w:tr>
      <w:tr w14:paraId="507DEDC9">
        <w:tblPrEx>
          <w:tblCellMar>
            <w:top w:w="0" w:type="dxa"/>
            <w:left w:w="108" w:type="dxa"/>
            <w:bottom w:w="0" w:type="dxa"/>
            <w:right w:w="108" w:type="dxa"/>
          </w:tblCellMar>
        </w:tblPrEx>
        <w:trPr>
          <w:trHeight w:val="316" w:hRule="atLeast"/>
        </w:trPr>
        <w:tc>
          <w:tcPr>
            <w:tcW w:w="705" w:type="dxa"/>
            <w:vMerge w:val="continue"/>
            <w:tcBorders>
              <w:left w:val="single" w:color="000000" w:sz="4" w:space="0"/>
              <w:right w:val="single" w:color="000000" w:sz="4" w:space="0"/>
            </w:tcBorders>
            <w:vAlign w:val="center"/>
          </w:tcPr>
          <w:p w14:paraId="61A7BA54">
            <w:pPr>
              <w:jc w:val="center"/>
              <w:rPr>
                <w:rFonts w:ascii="宋体" w:hAnsi="宋体" w:eastAsia="宋体" w:cs="宋体"/>
                <w:b/>
                <w:bCs/>
                <w:color w:val="000000"/>
                <w:sz w:val="21"/>
                <w:szCs w:val="21"/>
                <w:highlight w:val="none"/>
              </w:rPr>
            </w:pPr>
          </w:p>
        </w:tc>
        <w:tc>
          <w:tcPr>
            <w:tcW w:w="1189" w:type="dxa"/>
            <w:vMerge w:val="continue"/>
            <w:tcBorders>
              <w:left w:val="single" w:color="000000" w:sz="4" w:space="0"/>
              <w:right w:val="single" w:color="000000" w:sz="4" w:space="0"/>
            </w:tcBorders>
            <w:vAlign w:val="center"/>
          </w:tcPr>
          <w:p w14:paraId="0EB54268">
            <w:pPr>
              <w:jc w:val="center"/>
              <w:rPr>
                <w:rFonts w:ascii="宋体" w:hAnsi="宋体" w:eastAsia="宋体" w:cs="宋体"/>
                <w:color w:val="000000"/>
                <w:sz w:val="21"/>
                <w:szCs w:val="21"/>
                <w:highlight w:val="none"/>
              </w:rPr>
            </w:pPr>
          </w:p>
        </w:tc>
        <w:tc>
          <w:tcPr>
            <w:tcW w:w="1154" w:type="dxa"/>
            <w:vMerge w:val="continue"/>
            <w:tcBorders>
              <w:top w:val="single" w:color="000000" w:sz="4" w:space="0"/>
              <w:left w:val="single" w:color="000000" w:sz="4" w:space="0"/>
              <w:bottom w:val="single" w:color="000000" w:sz="4" w:space="0"/>
              <w:right w:val="single" w:color="000000" w:sz="4" w:space="0"/>
            </w:tcBorders>
            <w:vAlign w:val="center"/>
          </w:tcPr>
          <w:p w14:paraId="7A51DD16">
            <w:pPr>
              <w:rPr>
                <w:rFonts w:ascii="宋体" w:hAnsi="宋体" w:eastAsia="宋体" w:cs="宋体"/>
                <w:color w:val="000000"/>
                <w:sz w:val="21"/>
                <w:szCs w:val="21"/>
                <w:highlight w:val="none"/>
              </w:rPr>
            </w:pPr>
          </w:p>
        </w:tc>
        <w:tc>
          <w:tcPr>
            <w:tcW w:w="1223" w:type="dxa"/>
            <w:tcBorders>
              <w:top w:val="single" w:color="000000" w:sz="4" w:space="0"/>
              <w:left w:val="single" w:color="000000" w:sz="4" w:space="0"/>
              <w:bottom w:val="single" w:color="000000" w:sz="4" w:space="0"/>
              <w:right w:val="single" w:color="000000" w:sz="4" w:space="0"/>
            </w:tcBorders>
            <w:vAlign w:val="center"/>
          </w:tcPr>
          <w:p w14:paraId="3CA99637">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脑卒中质控表</w:t>
            </w:r>
          </w:p>
        </w:tc>
        <w:tc>
          <w:tcPr>
            <w:tcW w:w="5216" w:type="dxa"/>
            <w:tcBorders>
              <w:top w:val="single" w:color="000000" w:sz="4" w:space="0"/>
              <w:left w:val="single" w:color="000000" w:sz="4" w:space="0"/>
              <w:bottom w:val="single" w:color="000000" w:sz="4" w:space="0"/>
              <w:right w:val="single" w:color="000000" w:sz="4" w:space="0"/>
            </w:tcBorders>
            <w:vAlign w:val="center"/>
          </w:tcPr>
          <w:p w14:paraId="2FF81F6D">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对脑卒中患者质控情况进行统计，形成报表。</w:t>
            </w:r>
          </w:p>
        </w:tc>
      </w:tr>
      <w:tr w14:paraId="2B3A7C3D">
        <w:tblPrEx>
          <w:tblCellMar>
            <w:top w:w="0" w:type="dxa"/>
            <w:left w:w="108" w:type="dxa"/>
            <w:bottom w:w="0" w:type="dxa"/>
            <w:right w:w="108" w:type="dxa"/>
          </w:tblCellMar>
        </w:tblPrEx>
        <w:trPr>
          <w:trHeight w:val="316" w:hRule="atLeast"/>
        </w:trPr>
        <w:tc>
          <w:tcPr>
            <w:tcW w:w="705" w:type="dxa"/>
            <w:vMerge w:val="continue"/>
            <w:tcBorders>
              <w:left w:val="single" w:color="000000" w:sz="4" w:space="0"/>
              <w:right w:val="single" w:color="000000" w:sz="4" w:space="0"/>
            </w:tcBorders>
            <w:vAlign w:val="center"/>
          </w:tcPr>
          <w:p w14:paraId="3A8B877B">
            <w:pPr>
              <w:jc w:val="center"/>
              <w:rPr>
                <w:rFonts w:ascii="宋体" w:hAnsi="宋体" w:eastAsia="宋体" w:cs="宋体"/>
                <w:b/>
                <w:bCs/>
                <w:color w:val="000000"/>
                <w:sz w:val="21"/>
                <w:szCs w:val="21"/>
                <w:highlight w:val="none"/>
              </w:rPr>
            </w:pPr>
          </w:p>
        </w:tc>
        <w:tc>
          <w:tcPr>
            <w:tcW w:w="1189" w:type="dxa"/>
            <w:vMerge w:val="continue"/>
            <w:tcBorders>
              <w:left w:val="single" w:color="000000" w:sz="4" w:space="0"/>
              <w:right w:val="single" w:color="000000" w:sz="4" w:space="0"/>
            </w:tcBorders>
            <w:vAlign w:val="center"/>
          </w:tcPr>
          <w:p w14:paraId="56297304">
            <w:pPr>
              <w:jc w:val="center"/>
              <w:rPr>
                <w:rFonts w:ascii="宋体" w:hAnsi="宋体" w:eastAsia="宋体" w:cs="宋体"/>
                <w:color w:val="000000"/>
                <w:sz w:val="21"/>
                <w:szCs w:val="21"/>
                <w:highlight w:val="none"/>
              </w:rPr>
            </w:pPr>
          </w:p>
        </w:tc>
        <w:tc>
          <w:tcPr>
            <w:tcW w:w="1154" w:type="dxa"/>
            <w:vMerge w:val="continue"/>
            <w:tcBorders>
              <w:top w:val="single" w:color="000000" w:sz="4" w:space="0"/>
              <w:left w:val="single" w:color="000000" w:sz="4" w:space="0"/>
              <w:bottom w:val="single" w:color="000000" w:sz="4" w:space="0"/>
              <w:right w:val="single" w:color="000000" w:sz="4" w:space="0"/>
            </w:tcBorders>
            <w:vAlign w:val="center"/>
          </w:tcPr>
          <w:p w14:paraId="65A0ABDC">
            <w:pPr>
              <w:rPr>
                <w:rFonts w:ascii="宋体" w:hAnsi="宋体" w:eastAsia="宋体" w:cs="宋体"/>
                <w:color w:val="000000"/>
                <w:sz w:val="21"/>
                <w:szCs w:val="21"/>
                <w:highlight w:val="none"/>
              </w:rPr>
            </w:pPr>
          </w:p>
        </w:tc>
        <w:tc>
          <w:tcPr>
            <w:tcW w:w="1223" w:type="dxa"/>
            <w:tcBorders>
              <w:top w:val="single" w:color="000000" w:sz="4" w:space="0"/>
              <w:left w:val="single" w:color="000000" w:sz="4" w:space="0"/>
              <w:bottom w:val="single" w:color="000000" w:sz="4" w:space="0"/>
              <w:right w:val="single" w:color="000000" w:sz="4" w:space="0"/>
            </w:tcBorders>
            <w:vAlign w:val="center"/>
          </w:tcPr>
          <w:p w14:paraId="17AF9334">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慢阻肺质控表</w:t>
            </w:r>
          </w:p>
        </w:tc>
        <w:tc>
          <w:tcPr>
            <w:tcW w:w="5216" w:type="dxa"/>
            <w:tcBorders>
              <w:top w:val="single" w:color="000000" w:sz="4" w:space="0"/>
              <w:left w:val="single" w:color="000000" w:sz="4" w:space="0"/>
              <w:bottom w:val="single" w:color="000000" w:sz="4" w:space="0"/>
              <w:right w:val="single" w:color="000000" w:sz="4" w:space="0"/>
            </w:tcBorders>
            <w:vAlign w:val="center"/>
          </w:tcPr>
          <w:p w14:paraId="676F40A4">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对慢阻肺患者质控情况进行统计，形成报表。</w:t>
            </w:r>
          </w:p>
        </w:tc>
      </w:tr>
      <w:tr w14:paraId="2F136C0F">
        <w:tblPrEx>
          <w:tblCellMar>
            <w:top w:w="0" w:type="dxa"/>
            <w:left w:w="108" w:type="dxa"/>
            <w:bottom w:w="0" w:type="dxa"/>
            <w:right w:w="108" w:type="dxa"/>
          </w:tblCellMar>
        </w:tblPrEx>
        <w:trPr>
          <w:trHeight w:val="316" w:hRule="atLeast"/>
        </w:trPr>
        <w:tc>
          <w:tcPr>
            <w:tcW w:w="705" w:type="dxa"/>
            <w:vMerge w:val="continue"/>
            <w:tcBorders>
              <w:left w:val="single" w:color="000000" w:sz="4" w:space="0"/>
              <w:right w:val="single" w:color="000000" w:sz="4" w:space="0"/>
            </w:tcBorders>
            <w:vAlign w:val="center"/>
          </w:tcPr>
          <w:p w14:paraId="0E2F9975">
            <w:pPr>
              <w:jc w:val="center"/>
              <w:rPr>
                <w:rFonts w:ascii="宋体" w:hAnsi="宋体" w:eastAsia="宋体" w:cs="宋体"/>
                <w:b/>
                <w:bCs/>
                <w:color w:val="000000"/>
                <w:sz w:val="21"/>
                <w:szCs w:val="21"/>
                <w:highlight w:val="none"/>
              </w:rPr>
            </w:pPr>
          </w:p>
        </w:tc>
        <w:tc>
          <w:tcPr>
            <w:tcW w:w="1189" w:type="dxa"/>
            <w:vMerge w:val="continue"/>
            <w:tcBorders>
              <w:left w:val="single" w:color="000000" w:sz="4" w:space="0"/>
              <w:right w:val="single" w:color="000000" w:sz="4" w:space="0"/>
            </w:tcBorders>
            <w:vAlign w:val="center"/>
          </w:tcPr>
          <w:p w14:paraId="13CEBF9E">
            <w:pPr>
              <w:jc w:val="center"/>
              <w:rPr>
                <w:rFonts w:ascii="宋体" w:hAnsi="宋体" w:eastAsia="宋体" w:cs="宋体"/>
                <w:color w:val="000000"/>
                <w:sz w:val="21"/>
                <w:szCs w:val="21"/>
                <w:highlight w:val="none"/>
              </w:rPr>
            </w:pPr>
          </w:p>
        </w:tc>
        <w:tc>
          <w:tcPr>
            <w:tcW w:w="1154" w:type="dxa"/>
            <w:vMerge w:val="continue"/>
            <w:tcBorders>
              <w:top w:val="single" w:color="000000" w:sz="4" w:space="0"/>
              <w:left w:val="single" w:color="000000" w:sz="4" w:space="0"/>
              <w:bottom w:val="single" w:color="000000" w:sz="4" w:space="0"/>
              <w:right w:val="single" w:color="000000" w:sz="4" w:space="0"/>
            </w:tcBorders>
            <w:vAlign w:val="center"/>
          </w:tcPr>
          <w:p w14:paraId="74EABD4B">
            <w:pPr>
              <w:rPr>
                <w:rFonts w:ascii="宋体" w:hAnsi="宋体" w:eastAsia="宋体" w:cs="宋体"/>
                <w:color w:val="000000"/>
                <w:sz w:val="21"/>
                <w:szCs w:val="21"/>
                <w:highlight w:val="none"/>
              </w:rPr>
            </w:pPr>
          </w:p>
        </w:tc>
        <w:tc>
          <w:tcPr>
            <w:tcW w:w="1223" w:type="dxa"/>
            <w:tcBorders>
              <w:top w:val="single" w:color="000000" w:sz="4" w:space="0"/>
              <w:left w:val="single" w:color="000000" w:sz="4" w:space="0"/>
              <w:bottom w:val="single" w:color="000000" w:sz="4" w:space="0"/>
              <w:right w:val="single" w:color="000000" w:sz="4" w:space="0"/>
            </w:tcBorders>
            <w:vAlign w:val="center"/>
          </w:tcPr>
          <w:p w14:paraId="34DCB157">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慢性肾病质控表</w:t>
            </w:r>
          </w:p>
        </w:tc>
        <w:tc>
          <w:tcPr>
            <w:tcW w:w="5216" w:type="dxa"/>
            <w:tcBorders>
              <w:top w:val="single" w:color="000000" w:sz="4" w:space="0"/>
              <w:left w:val="single" w:color="000000" w:sz="4" w:space="0"/>
              <w:bottom w:val="single" w:color="000000" w:sz="4" w:space="0"/>
              <w:right w:val="single" w:color="000000" w:sz="4" w:space="0"/>
            </w:tcBorders>
            <w:vAlign w:val="center"/>
          </w:tcPr>
          <w:p w14:paraId="3BE10540">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对慢性肾病患者质控情况进行统计，形成报表。</w:t>
            </w:r>
          </w:p>
        </w:tc>
      </w:tr>
      <w:tr w14:paraId="1D0C5338">
        <w:tblPrEx>
          <w:tblCellMar>
            <w:top w:w="0" w:type="dxa"/>
            <w:left w:w="108" w:type="dxa"/>
            <w:bottom w:w="0" w:type="dxa"/>
            <w:right w:w="108" w:type="dxa"/>
          </w:tblCellMar>
        </w:tblPrEx>
        <w:trPr>
          <w:trHeight w:val="316" w:hRule="atLeast"/>
        </w:trPr>
        <w:tc>
          <w:tcPr>
            <w:tcW w:w="705" w:type="dxa"/>
            <w:vMerge w:val="continue"/>
            <w:tcBorders>
              <w:left w:val="single" w:color="000000" w:sz="4" w:space="0"/>
              <w:right w:val="single" w:color="000000" w:sz="4" w:space="0"/>
            </w:tcBorders>
            <w:vAlign w:val="center"/>
          </w:tcPr>
          <w:p w14:paraId="2E9C47A7">
            <w:pPr>
              <w:jc w:val="center"/>
              <w:rPr>
                <w:rFonts w:ascii="宋体" w:hAnsi="宋体" w:eastAsia="宋体" w:cs="宋体"/>
                <w:b/>
                <w:bCs/>
                <w:color w:val="000000"/>
                <w:sz w:val="21"/>
                <w:szCs w:val="21"/>
                <w:highlight w:val="none"/>
              </w:rPr>
            </w:pPr>
          </w:p>
        </w:tc>
        <w:tc>
          <w:tcPr>
            <w:tcW w:w="1189" w:type="dxa"/>
            <w:vMerge w:val="continue"/>
            <w:tcBorders>
              <w:left w:val="single" w:color="000000" w:sz="4" w:space="0"/>
              <w:right w:val="single" w:color="000000" w:sz="4" w:space="0"/>
            </w:tcBorders>
            <w:vAlign w:val="center"/>
          </w:tcPr>
          <w:p w14:paraId="69436026">
            <w:pPr>
              <w:jc w:val="center"/>
              <w:rPr>
                <w:rFonts w:ascii="宋体" w:hAnsi="宋体" w:eastAsia="宋体" w:cs="宋体"/>
                <w:color w:val="000000"/>
                <w:sz w:val="21"/>
                <w:szCs w:val="21"/>
                <w:highlight w:val="none"/>
              </w:rPr>
            </w:pPr>
          </w:p>
        </w:tc>
        <w:tc>
          <w:tcPr>
            <w:tcW w:w="1154" w:type="dxa"/>
            <w:vMerge w:val="continue"/>
            <w:tcBorders>
              <w:top w:val="single" w:color="000000" w:sz="4" w:space="0"/>
              <w:left w:val="single" w:color="000000" w:sz="4" w:space="0"/>
              <w:bottom w:val="single" w:color="000000" w:sz="4" w:space="0"/>
              <w:right w:val="single" w:color="000000" w:sz="4" w:space="0"/>
            </w:tcBorders>
            <w:vAlign w:val="center"/>
          </w:tcPr>
          <w:p w14:paraId="5ABC13CF">
            <w:pPr>
              <w:rPr>
                <w:rFonts w:ascii="宋体" w:hAnsi="宋体" w:eastAsia="宋体" w:cs="宋体"/>
                <w:color w:val="000000"/>
                <w:sz w:val="21"/>
                <w:szCs w:val="21"/>
                <w:highlight w:val="none"/>
              </w:rPr>
            </w:pPr>
          </w:p>
        </w:tc>
        <w:tc>
          <w:tcPr>
            <w:tcW w:w="1223" w:type="dxa"/>
            <w:tcBorders>
              <w:top w:val="single" w:color="000000" w:sz="4" w:space="0"/>
              <w:left w:val="single" w:color="000000" w:sz="4" w:space="0"/>
              <w:bottom w:val="single" w:color="000000" w:sz="4" w:space="0"/>
              <w:right w:val="single" w:color="000000" w:sz="4" w:space="0"/>
            </w:tcBorders>
            <w:vAlign w:val="center"/>
          </w:tcPr>
          <w:p w14:paraId="7C77F304">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高血脂质控表</w:t>
            </w:r>
          </w:p>
        </w:tc>
        <w:tc>
          <w:tcPr>
            <w:tcW w:w="5216" w:type="dxa"/>
            <w:tcBorders>
              <w:top w:val="single" w:color="000000" w:sz="4" w:space="0"/>
              <w:left w:val="single" w:color="000000" w:sz="4" w:space="0"/>
              <w:bottom w:val="single" w:color="000000" w:sz="4" w:space="0"/>
              <w:right w:val="single" w:color="000000" w:sz="4" w:space="0"/>
            </w:tcBorders>
            <w:vAlign w:val="center"/>
          </w:tcPr>
          <w:p w14:paraId="205C62B4">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对高血脂患者质控情况进行统计，形成报表。</w:t>
            </w:r>
          </w:p>
        </w:tc>
      </w:tr>
      <w:tr w14:paraId="4C434A53">
        <w:tblPrEx>
          <w:tblCellMar>
            <w:top w:w="0" w:type="dxa"/>
            <w:left w:w="108" w:type="dxa"/>
            <w:bottom w:w="0" w:type="dxa"/>
            <w:right w:w="108" w:type="dxa"/>
          </w:tblCellMar>
        </w:tblPrEx>
        <w:trPr>
          <w:trHeight w:val="316" w:hRule="atLeast"/>
        </w:trPr>
        <w:tc>
          <w:tcPr>
            <w:tcW w:w="705" w:type="dxa"/>
            <w:vMerge w:val="continue"/>
            <w:tcBorders>
              <w:left w:val="single" w:color="000000" w:sz="4" w:space="0"/>
              <w:right w:val="single" w:color="000000" w:sz="4" w:space="0"/>
            </w:tcBorders>
            <w:vAlign w:val="center"/>
          </w:tcPr>
          <w:p w14:paraId="168ABBF3">
            <w:pPr>
              <w:jc w:val="center"/>
              <w:rPr>
                <w:rFonts w:ascii="宋体" w:hAnsi="宋体" w:eastAsia="宋体" w:cs="宋体"/>
                <w:b/>
                <w:bCs/>
                <w:color w:val="000000"/>
                <w:sz w:val="21"/>
                <w:szCs w:val="21"/>
                <w:highlight w:val="none"/>
              </w:rPr>
            </w:pPr>
          </w:p>
        </w:tc>
        <w:tc>
          <w:tcPr>
            <w:tcW w:w="1189" w:type="dxa"/>
            <w:vMerge w:val="continue"/>
            <w:tcBorders>
              <w:top w:val="single" w:color="000000" w:sz="4" w:space="0"/>
              <w:left w:val="single" w:color="000000" w:sz="4" w:space="0"/>
              <w:right w:val="single" w:color="000000" w:sz="4" w:space="0"/>
            </w:tcBorders>
            <w:vAlign w:val="center"/>
          </w:tcPr>
          <w:p w14:paraId="5E808B77">
            <w:pPr>
              <w:jc w:val="center"/>
              <w:rPr>
                <w:rFonts w:ascii="宋体" w:hAnsi="宋体" w:eastAsia="宋体" w:cs="宋体"/>
                <w:color w:val="000000"/>
                <w:sz w:val="21"/>
                <w:szCs w:val="21"/>
                <w:highlight w:val="none"/>
              </w:rPr>
            </w:pPr>
          </w:p>
        </w:tc>
        <w:tc>
          <w:tcPr>
            <w:tcW w:w="1154" w:type="dxa"/>
            <w:vMerge w:val="restart"/>
            <w:tcBorders>
              <w:top w:val="single" w:color="000000" w:sz="4" w:space="0"/>
              <w:left w:val="single" w:color="000000" w:sz="4" w:space="0"/>
              <w:bottom w:val="single" w:color="000000" w:sz="4" w:space="0"/>
              <w:right w:val="single" w:color="000000" w:sz="4" w:space="0"/>
            </w:tcBorders>
            <w:vAlign w:val="center"/>
          </w:tcPr>
          <w:p w14:paraId="482F361B">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肿瘤报表</w:t>
            </w:r>
          </w:p>
        </w:tc>
        <w:tc>
          <w:tcPr>
            <w:tcW w:w="1223" w:type="dxa"/>
            <w:tcBorders>
              <w:top w:val="single" w:color="000000" w:sz="4" w:space="0"/>
              <w:left w:val="single" w:color="000000" w:sz="4" w:space="0"/>
              <w:bottom w:val="single" w:color="000000" w:sz="4" w:space="0"/>
              <w:right w:val="single" w:color="000000" w:sz="4" w:space="0"/>
            </w:tcBorders>
            <w:vAlign w:val="center"/>
          </w:tcPr>
          <w:p w14:paraId="3FD81362">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肺癌患者管理报表</w:t>
            </w:r>
          </w:p>
        </w:tc>
        <w:tc>
          <w:tcPr>
            <w:tcW w:w="5216" w:type="dxa"/>
            <w:tcBorders>
              <w:top w:val="single" w:color="000000" w:sz="4" w:space="0"/>
              <w:left w:val="single" w:color="000000" w:sz="4" w:space="0"/>
              <w:bottom w:val="single" w:color="000000" w:sz="4" w:space="0"/>
              <w:right w:val="single" w:color="000000" w:sz="4" w:space="0"/>
            </w:tcBorders>
            <w:vAlign w:val="center"/>
          </w:tcPr>
          <w:p w14:paraId="777C88F8">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对肺癌患者的信息进行统计，形成报表。</w:t>
            </w:r>
          </w:p>
        </w:tc>
      </w:tr>
      <w:tr w14:paraId="03959AB2">
        <w:tblPrEx>
          <w:tblCellMar>
            <w:top w:w="0" w:type="dxa"/>
            <w:left w:w="108" w:type="dxa"/>
            <w:bottom w:w="0" w:type="dxa"/>
            <w:right w:w="108" w:type="dxa"/>
          </w:tblCellMar>
        </w:tblPrEx>
        <w:trPr>
          <w:trHeight w:val="316" w:hRule="atLeast"/>
        </w:trPr>
        <w:tc>
          <w:tcPr>
            <w:tcW w:w="705" w:type="dxa"/>
            <w:vMerge w:val="continue"/>
            <w:tcBorders>
              <w:left w:val="single" w:color="000000" w:sz="4" w:space="0"/>
              <w:right w:val="single" w:color="000000" w:sz="4" w:space="0"/>
            </w:tcBorders>
            <w:vAlign w:val="center"/>
          </w:tcPr>
          <w:p w14:paraId="689118DA">
            <w:pPr>
              <w:jc w:val="center"/>
              <w:rPr>
                <w:rFonts w:ascii="宋体" w:hAnsi="宋体" w:eastAsia="宋体" w:cs="宋体"/>
                <w:b/>
                <w:bCs/>
                <w:color w:val="000000"/>
                <w:sz w:val="21"/>
                <w:szCs w:val="21"/>
                <w:highlight w:val="none"/>
              </w:rPr>
            </w:pPr>
          </w:p>
        </w:tc>
        <w:tc>
          <w:tcPr>
            <w:tcW w:w="1189" w:type="dxa"/>
            <w:vMerge w:val="continue"/>
            <w:tcBorders>
              <w:left w:val="single" w:color="000000" w:sz="4" w:space="0"/>
              <w:right w:val="single" w:color="000000" w:sz="4" w:space="0"/>
            </w:tcBorders>
            <w:vAlign w:val="center"/>
          </w:tcPr>
          <w:p w14:paraId="7372F106">
            <w:pPr>
              <w:jc w:val="center"/>
              <w:rPr>
                <w:rFonts w:ascii="宋体" w:hAnsi="宋体" w:eastAsia="宋体" w:cs="宋体"/>
                <w:color w:val="000000"/>
                <w:sz w:val="21"/>
                <w:szCs w:val="21"/>
                <w:highlight w:val="none"/>
              </w:rPr>
            </w:pPr>
          </w:p>
        </w:tc>
        <w:tc>
          <w:tcPr>
            <w:tcW w:w="1154" w:type="dxa"/>
            <w:vMerge w:val="continue"/>
            <w:tcBorders>
              <w:top w:val="single" w:color="000000" w:sz="4" w:space="0"/>
              <w:left w:val="single" w:color="000000" w:sz="4" w:space="0"/>
              <w:bottom w:val="single" w:color="000000" w:sz="4" w:space="0"/>
              <w:right w:val="single" w:color="000000" w:sz="4" w:space="0"/>
            </w:tcBorders>
            <w:vAlign w:val="center"/>
          </w:tcPr>
          <w:p w14:paraId="0A911D44">
            <w:pPr>
              <w:rPr>
                <w:rFonts w:ascii="宋体" w:hAnsi="宋体" w:eastAsia="宋体" w:cs="宋体"/>
                <w:color w:val="000000"/>
                <w:sz w:val="21"/>
                <w:szCs w:val="21"/>
                <w:highlight w:val="none"/>
              </w:rPr>
            </w:pPr>
          </w:p>
        </w:tc>
        <w:tc>
          <w:tcPr>
            <w:tcW w:w="1223" w:type="dxa"/>
            <w:tcBorders>
              <w:top w:val="single" w:color="000000" w:sz="4" w:space="0"/>
              <w:left w:val="single" w:color="000000" w:sz="4" w:space="0"/>
              <w:bottom w:val="single" w:color="000000" w:sz="4" w:space="0"/>
              <w:right w:val="single" w:color="000000" w:sz="4" w:space="0"/>
            </w:tcBorders>
            <w:vAlign w:val="center"/>
          </w:tcPr>
          <w:p w14:paraId="6E4732FD">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结直肠癌患者管理报表</w:t>
            </w:r>
          </w:p>
        </w:tc>
        <w:tc>
          <w:tcPr>
            <w:tcW w:w="5216" w:type="dxa"/>
            <w:tcBorders>
              <w:top w:val="single" w:color="000000" w:sz="4" w:space="0"/>
              <w:left w:val="single" w:color="000000" w:sz="4" w:space="0"/>
              <w:bottom w:val="single" w:color="000000" w:sz="4" w:space="0"/>
              <w:right w:val="single" w:color="000000" w:sz="4" w:space="0"/>
            </w:tcBorders>
            <w:vAlign w:val="center"/>
          </w:tcPr>
          <w:p w14:paraId="21D4F580">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对结直肠癌患者的信息进行统计，形成报表。</w:t>
            </w:r>
          </w:p>
        </w:tc>
      </w:tr>
      <w:tr w14:paraId="597A0937">
        <w:tblPrEx>
          <w:tblCellMar>
            <w:top w:w="0" w:type="dxa"/>
            <w:left w:w="108" w:type="dxa"/>
            <w:bottom w:w="0" w:type="dxa"/>
            <w:right w:w="108" w:type="dxa"/>
          </w:tblCellMar>
        </w:tblPrEx>
        <w:trPr>
          <w:trHeight w:val="622" w:hRule="atLeast"/>
        </w:trPr>
        <w:tc>
          <w:tcPr>
            <w:tcW w:w="705" w:type="dxa"/>
            <w:vMerge w:val="continue"/>
            <w:tcBorders>
              <w:left w:val="single" w:color="000000" w:sz="4" w:space="0"/>
              <w:right w:val="single" w:color="000000" w:sz="4" w:space="0"/>
            </w:tcBorders>
            <w:vAlign w:val="center"/>
          </w:tcPr>
          <w:p w14:paraId="51836402">
            <w:pPr>
              <w:jc w:val="center"/>
              <w:rPr>
                <w:rFonts w:ascii="宋体" w:hAnsi="宋体" w:eastAsia="宋体" w:cs="宋体"/>
                <w:b/>
                <w:bCs/>
                <w:color w:val="000000"/>
                <w:sz w:val="21"/>
                <w:szCs w:val="21"/>
                <w:highlight w:val="none"/>
              </w:rPr>
            </w:pPr>
          </w:p>
        </w:tc>
        <w:tc>
          <w:tcPr>
            <w:tcW w:w="1189" w:type="dxa"/>
            <w:vMerge w:val="continue"/>
            <w:tcBorders>
              <w:left w:val="single" w:color="000000" w:sz="4" w:space="0"/>
              <w:right w:val="single" w:color="000000" w:sz="4" w:space="0"/>
            </w:tcBorders>
            <w:vAlign w:val="center"/>
          </w:tcPr>
          <w:p w14:paraId="4F127369">
            <w:pPr>
              <w:jc w:val="center"/>
              <w:rPr>
                <w:rFonts w:ascii="宋体" w:hAnsi="宋体" w:eastAsia="宋体" w:cs="宋体"/>
                <w:color w:val="000000"/>
                <w:sz w:val="21"/>
                <w:szCs w:val="21"/>
                <w:highlight w:val="none"/>
              </w:rPr>
            </w:pPr>
          </w:p>
        </w:tc>
        <w:tc>
          <w:tcPr>
            <w:tcW w:w="1154" w:type="dxa"/>
            <w:vMerge w:val="continue"/>
            <w:tcBorders>
              <w:top w:val="single" w:color="000000" w:sz="4" w:space="0"/>
              <w:left w:val="single" w:color="000000" w:sz="4" w:space="0"/>
              <w:bottom w:val="single" w:color="000000" w:sz="4" w:space="0"/>
              <w:right w:val="single" w:color="000000" w:sz="4" w:space="0"/>
            </w:tcBorders>
            <w:vAlign w:val="center"/>
          </w:tcPr>
          <w:p w14:paraId="42C8897C">
            <w:pPr>
              <w:rPr>
                <w:rFonts w:ascii="宋体" w:hAnsi="宋体" w:eastAsia="宋体" w:cs="宋体"/>
                <w:color w:val="000000"/>
                <w:sz w:val="21"/>
                <w:szCs w:val="21"/>
                <w:highlight w:val="none"/>
              </w:rPr>
            </w:pPr>
          </w:p>
        </w:tc>
        <w:tc>
          <w:tcPr>
            <w:tcW w:w="1223" w:type="dxa"/>
            <w:tcBorders>
              <w:top w:val="single" w:color="000000" w:sz="4" w:space="0"/>
              <w:left w:val="single" w:color="000000" w:sz="4" w:space="0"/>
              <w:bottom w:val="single" w:color="000000" w:sz="4" w:space="0"/>
              <w:right w:val="single" w:color="000000" w:sz="4" w:space="0"/>
            </w:tcBorders>
            <w:vAlign w:val="center"/>
          </w:tcPr>
          <w:p w14:paraId="1F73A49D">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乳腺癌患者管理报表</w:t>
            </w:r>
          </w:p>
        </w:tc>
        <w:tc>
          <w:tcPr>
            <w:tcW w:w="5216" w:type="dxa"/>
            <w:tcBorders>
              <w:top w:val="single" w:color="000000" w:sz="4" w:space="0"/>
              <w:left w:val="single" w:color="000000" w:sz="4" w:space="0"/>
              <w:bottom w:val="single" w:color="000000" w:sz="4" w:space="0"/>
              <w:right w:val="single" w:color="000000" w:sz="4" w:space="0"/>
            </w:tcBorders>
            <w:vAlign w:val="center"/>
          </w:tcPr>
          <w:p w14:paraId="3781BC2C">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对乳腺癌患者的信息进行统计，形成报表。</w:t>
            </w:r>
          </w:p>
        </w:tc>
      </w:tr>
      <w:tr w14:paraId="67B5418F">
        <w:tblPrEx>
          <w:tblCellMar>
            <w:top w:w="0" w:type="dxa"/>
            <w:left w:w="108" w:type="dxa"/>
            <w:bottom w:w="0" w:type="dxa"/>
            <w:right w:w="108" w:type="dxa"/>
          </w:tblCellMar>
        </w:tblPrEx>
        <w:trPr>
          <w:trHeight w:val="622" w:hRule="atLeast"/>
        </w:trPr>
        <w:tc>
          <w:tcPr>
            <w:tcW w:w="705" w:type="dxa"/>
            <w:vMerge w:val="continue"/>
            <w:tcBorders>
              <w:left w:val="single" w:color="000000" w:sz="4" w:space="0"/>
              <w:right w:val="single" w:color="000000" w:sz="4" w:space="0"/>
            </w:tcBorders>
            <w:vAlign w:val="center"/>
          </w:tcPr>
          <w:p w14:paraId="38FB9755">
            <w:pPr>
              <w:jc w:val="center"/>
              <w:rPr>
                <w:rFonts w:ascii="宋体" w:hAnsi="宋体" w:eastAsia="宋体" w:cs="宋体"/>
                <w:b/>
                <w:bCs/>
                <w:color w:val="000000"/>
                <w:sz w:val="21"/>
                <w:szCs w:val="21"/>
                <w:highlight w:val="none"/>
              </w:rPr>
            </w:pPr>
          </w:p>
        </w:tc>
        <w:tc>
          <w:tcPr>
            <w:tcW w:w="1189" w:type="dxa"/>
            <w:vMerge w:val="continue"/>
            <w:tcBorders>
              <w:left w:val="single" w:color="000000" w:sz="4" w:space="0"/>
              <w:right w:val="single" w:color="000000" w:sz="4" w:space="0"/>
            </w:tcBorders>
            <w:vAlign w:val="center"/>
          </w:tcPr>
          <w:p w14:paraId="22185804">
            <w:pPr>
              <w:jc w:val="center"/>
              <w:rPr>
                <w:rFonts w:ascii="宋体" w:hAnsi="宋体" w:eastAsia="宋体" w:cs="宋体"/>
                <w:color w:val="000000"/>
                <w:sz w:val="21"/>
                <w:szCs w:val="21"/>
                <w:highlight w:val="none"/>
              </w:rPr>
            </w:pPr>
          </w:p>
        </w:tc>
        <w:tc>
          <w:tcPr>
            <w:tcW w:w="1154" w:type="dxa"/>
            <w:vMerge w:val="continue"/>
            <w:tcBorders>
              <w:top w:val="single" w:color="000000" w:sz="4" w:space="0"/>
              <w:left w:val="single" w:color="000000" w:sz="4" w:space="0"/>
              <w:bottom w:val="single" w:color="000000" w:sz="4" w:space="0"/>
              <w:right w:val="single" w:color="000000" w:sz="4" w:space="0"/>
            </w:tcBorders>
            <w:vAlign w:val="center"/>
          </w:tcPr>
          <w:p w14:paraId="06367E8D">
            <w:pPr>
              <w:rPr>
                <w:rFonts w:ascii="宋体" w:hAnsi="宋体" w:eastAsia="宋体" w:cs="宋体"/>
                <w:color w:val="000000"/>
                <w:sz w:val="21"/>
                <w:szCs w:val="21"/>
                <w:highlight w:val="none"/>
              </w:rPr>
            </w:pPr>
          </w:p>
        </w:tc>
        <w:tc>
          <w:tcPr>
            <w:tcW w:w="1223" w:type="dxa"/>
            <w:tcBorders>
              <w:top w:val="single" w:color="000000" w:sz="4" w:space="0"/>
              <w:left w:val="single" w:color="000000" w:sz="4" w:space="0"/>
              <w:bottom w:val="single" w:color="000000" w:sz="4" w:space="0"/>
              <w:right w:val="single" w:color="000000" w:sz="4" w:space="0"/>
            </w:tcBorders>
            <w:vAlign w:val="center"/>
          </w:tcPr>
          <w:p w14:paraId="7BDA4660">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宫颈癌患者管理报表</w:t>
            </w:r>
          </w:p>
        </w:tc>
        <w:tc>
          <w:tcPr>
            <w:tcW w:w="5216" w:type="dxa"/>
            <w:tcBorders>
              <w:top w:val="single" w:color="000000" w:sz="4" w:space="0"/>
              <w:left w:val="single" w:color="000000" w:sz="4" w:space="0"/>
              <w:bottom w:val="single" w:color="000000" w:sz="4" w:space="0"/>
              <w:right w:val="single" w:color="000000" w:sz="4" w:space="0"/>
            </w:tcBorders>
            <w:vAlign w:val="center"/>
          </w:tcPr>
          <w:p w14:paraId="5E928FF9">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对宫颈癌患者的信息进行统计，形成报表。</w:t>
            </w:r>
          </w:p>
        </w:tc>
      </w:tr>
      <w:tr w14:paraId="6A54FA56">
        <w:tblPrEx>
          <w:tblCellMar>
            <w:top w:w="0" w:type="dxa"/>
            <w:left w:w="108" w:type="dxa"/>
            <w:bottom w:w="0" w:type="dxa"/>
            <w:right w:w="108" w:type="dxa"/>
          </w:tblCellMar>
        </w:tblPrEx>
        <w:trPr>
          <w:trHeight w:val="622" w:hRule="atLeast"/>
        </w:trPr>
        <w:tc>
          <w:tcPr>
            <w:tcW w:w="705" w:type="dxa"/>
            <w:vMerge w:val="continue"/>
            <w:tcBorders>
              <w:left w:val="single" w:color="000000" w:sz="4" w:space="0"/>
              <w:right w:val="single" w:color="000000" w:sz="4" w:space="0"/>
            </w:tcBorders>
            <w:vAlign w:val="center"/>
          </w:tcPr>
          <w:p w14:paraId="52705007">
            <w:pPr>
              <w:jc w:val="center"/>
              <w:rPr>
                <w:rFonts w:ascii="宋体" w:hAnsi="宋体" w:eastAsia="宋体" w:cs="宋体"/>
                <w:b/>
                <w:bCs/>
                <w:color w:val="000000"/>
                <w:sz w:val="21"/>
                <w:szCs w:val="21"/>
                <w:highlight w:val="none"/>
              </w:rPr>
            </w:pPr>
          </w:p>
        </w:tc>
        <w:tc>
          <w:tcPr>
            <w:tcW w:w="1189" w:type="dxa"/>
            <w:vMerge w:val="continue"/>
            <w:tcBorders>
              <w:left w:val="single" w:color="000000" w:sz="4" w:space="0"/>
              <w:right w:val="single" w:color="000000" w:sz="4" w:space="0"/>
            </w:tcBorders>
            <w:vAlign w:val="center"/>
          </w:tcPr>
          <w:p w14:paraId="0F209D15">
            <w:pPr>
              <w:jc w:val="center"/>
              <w:rPr>
                <w:rFonts w:ascii="宋体" w:hAnsi="宋体" w:eastAsia="宋体" w:cs="宋体"/>
                <w:color w:val="000000"/>
                <w:sz w:val="21"/>
                <w:szCs w:val="21"/>
                <w:highlight w:val="none"/>
              </w:rPr>
            </w:pPr>
          </w:p>
        </w:tc>
        <w:tc>
          <w:tcPr>
            <w:tcW w:w="1154" w:type="dxa"/>
            <w:vMerge w:val="continue"/>
            <w:tcBorders>
              <w:top w:val="single" w:color="000000" w:sz="4" w:space="0"/>
              <w:left w:val="single" w:color="000000" w:sz="4" w:space="0"/>
              <w:bottom w:val="single" w:color="000000" w:sz="4" w:space="0"/>
              <w:right w:val="single" w:color="000000" w:sz="4" w:space="0"/>
            </w:tcBorders>
            <w:vAlign w:val="center"/>
          </w:tcPr>
          <w:p w14:paraId="28CAD14C">
            <w:pPr>
              <w:rPr>
                <w:rFonts w:ascii="宋体" w:hAnsi="宋体" w:eastAsia="宋体" w:cs="宋体"/>
                <w:color w:val="000000"/>
                <w:sz w:val="21"/>
                <w:szCs w:val="21"/>
                <w:highlight w:val="none"/>
              </w:rPr>
            </w:pPr>
          </w:p>
        </w:tc>
        <w:tc>
          <w:tcPr>
            <w:tcW w:w="1223" w:type="dxa"/>
            <w:tcBorders>
              <w:top w:val="single" w:color="000000" w:sz="4" w:space="0"/>
              <w:left w:val="single" w:color="000000" w:sz="4" w:space="0"/>
              <w:bottom w:val="single" w:color="000000" w:sz="4" w:space="0"/>
              <w:right w:val="single" w:color="000000" w:sz="4" w:space="0"/>
            </w:tcBorders>
            <w:vAlign w:val="center"/>
          </w:tcPr>
          <w:p w14:paraId="6F55CEB0">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肝癌患者管理报表</w:t>
            </w:r>
          </w:p>
        </w:tc>
        <w:tc>
          <w:tcPr>
            <w:tcW w:w="5216" w:type="dxa"/>
            <w:tcBorders>
              <w:top w:val="single" w:color="000000" w:sz="4" w:space="0"/>
              <w:left w:val="single" w:color="000000" w:sz="4" w:space="0"/>
              <w:bottom w:val="single" w:color="000000" w:sz="4" w:space="0"/>
              <w:right w:val="single" w:color="000000" w:sz="4" w:space="0"/>
            </w:tcBorders>
            <w:vAlign w:val="center"/>
          </w:tcPr>
          <w:p w14:paraId="3CB1055C">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对肝癌患者的信息进行统计，形成报表。</w:t>
            </w:r>
          </w:p>
        </w:tc>
      </w:tr>
      <w:tr w14:paraId="70AFC9B1">
        <w:tblPrEx>
          <w:tblCellMar>
            <w:top w:w="0" w:type="dxa"/>
            <w:left w:w="108" w:type="dxa"/>
            <w:bottom w:w="0" w:type="dxa"/>
            <w:right w:w="108" w:type="dxa"/>
          </w:tblCellMar>
        </w:tblPrEx>
        <w:trPr>
          <w:trHeight w:val="622" w:hRule="atLeast"/>
        </w:trPr>
        <w:tc>
          <w:tcPr>
            <w:tcW w:w="705" w:type="dxa"/>
            <w:vMerge w:val="continue"/>
            <w:tcBorders>
              <w:left w:val="single" w:color="000000" w:sz="4" w:space="0"/>
              <w:right w:val="single" w:color="000000" w:sz="4" w:space="0"/>
            </w:tcBorders>
            <w:vAlign w:val="center"/>
          </w:tcPr>
          <w:p w14:paraId="367DBB3B">
            <w:pPr>
              <w:jc w:val="center"/>
              <w:rPr>
                <w:rFonts w:ascii="宋体" w:hAnsi="宋体" w:eastAsia="宋体" w:cs="宋体"/>
                <w:b/>
                <w:bCs/>
                <w:color w:val="000000"/>
                <w:sz w:val="21"/>
                <w:szCs w:val="21"/>
                <w:highlight w:val="none"/>
              </w:rPr>
            </w:pPr>
          </w:p>
        </w:tc>
        <w:tc>
          <w:tcPr>
            <w:tcW w:w="1189" w:type="dxa"/>
            <w:vMerge w:val="continue"/>
            <w:tcBorders>
              <w:left w:val="single" w:color="000000" w:sz="4" w:space="0"/>
              <w:right w:val="single" w:color="000000" w:sz="4" w:space="0"/>
            </w:tcBorders>
            <w:vAlign w:val="center"/>
          </w:tcPr>
          <w:p w14:paraId="45088E5C">
            <w:pPr>
              <w:jc w:val="center"/>
              <w:rPr>
                <w:rFonts w:ascii="宋体" w:hAnsi="宋体" w:eastAsia="宋体" w:cs="宋体"/>
                <w:color w:val="000000"/>
                <w:sz w:val="21"/>
                <w:szCs w:val="21"/>
                <w:highlight w:val="none"/>
              </w:rPr>
            </w:pPr>
          </w:p>
        </w:tc>
        <w:tc>
          <w:tcPr>
            <w:tcW w:w="1154" w:type="dxa"/>
            <w:vMerge w:val="continue"/>
            <w:tcBorders>
              <w:top w:val="single" w:color="000000" w:sz="4" w:space="0"/>
              <w:left w:val="single" w:color="000000" w:sz="4" w:space="0"/>
              <w:bottom w:val="single" w:color="000000" w:sz="4" w:space="0"/>
              <w:right w:val="single" w:color="000000" w:sz="4" w:space="0"/>
            </w:tcBorders>
            <w:vAlign w:val="center"/>
          </w:tcPr>
          <w:p w14:paraId="58226881">
            <w:pPr>
              <w:rPr>
                <w:rFonts w:ascii="宋体" w:hAnsi="宋体" w:eastAsia="宋体" w:cs="宋体"/>
                <w:color w:val="000000"/>
                <w:sz w:val="21"/>
                <w:szCs w:val="21"/>
                <w:highlight w:val="none"/>
              </w:rPr>
            </w:pPr>
          </w:p>
        </w:tc>
        <w:tc>
          <w:tcPr>
            <w:tcW w:w="1223" w:type="dxa"/>
            <w:tcBorders>
              <w:top w:val="single" w:color="000000" w:sz="4" w:space="0"/>
              <w:left w:val="single" w:color="000000" w:sz="4" w:space="0"/>
              <w:bottom w:val="single" w:color="000000" w:sz="4" w:space="0"/>
              <w:right w:val="single" w:color="000000" w:sz="4" w:space="0"/>
            </w:tcBorders>
            <w:vAlign w:val="center"/>
          </w:tcPr>
          <w:p w14:paraId="6891FC46">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胃癌患者管理报表</w:t>
            </w:r>
          </w:p>
        </w:tc>
        <w:tc>
          <w:tcPr>
            <w:tcW w:w="5216" w:type="dxa"/>
            <w:tcBorders>
              <w:top w:val="single" w:color="000000" w:sz="4" w:space="0"/>
              <w:left w:val="single" w:color="000000" w:sz="4" w:space="0"/>
              <w:bottom w:val="single" w:color="000000" w:sz="4" w:space="0"/>
              <w:right w:val="single" w:color="000000" w:sz="4" w:space="0"/>
            </w:tcBorders>
            <w:vAlign w:val="center"/>
          </w:tcPr>
          <w:p w14:paraId="714E09ED">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对胃癌患者的信息进行统计，形成报表。</w:t>
            </w:r>
          </w:p>
        </w:tc>
      </w:tr>
      <w:tr w14:paraId="6B2BA079">
        <w:tblPrEx>
          <w:tblCellMar>
            <w:top w:w="0" w:type="dxa"/>
            <w:left w:w="108" w:type="dxa"/>
            <w:bottom w:w="0" w:type="dxa"/>
            <w:right w:w="108" w:type="dxa"/>
          </w:tblCellMar>
        </w:tblPrEx>
        <w:trPr>
          <w:trHeight w:val="622" w:hRule="atLeast"/>
        </w:trPr>
        <w:tc>
          <w:tcPr>
            <w:tcW w:w="705" w:type="dxa"/>
            <w:vMerge w:val="continue"/>
            <w:tcBorders>
              <w:left w:val="single" w:color="000000" w:sz="4" w:space="0"/>
              <w:right w:val="single" w:color="000000" w:sz="4" w:space="0"/>
            </w:tcBorders>
            <w:vAlign w:val="center"/>
          </w:tcPr>
          <w:p w14:paraId="7F34BFB8">
            <w:pPr>
              <w:jc w:val="center"/>
              <w:rPr>
                <w:rFonts w:ascii="宋体" w:hAnsi="宋体" w:eastAsia="宋体" w:cs="宋体"/>
                <w:b/>
                <w:bCs/>
                <w:color w:val="000000"/>
                <w:sz w:val="21"/>
                <w:szCs w:val="21"/>
                <w:highlight w:val="none"/>
              </w:rPr>
            </w:pPr>
          </w:p>
        </w:tc>
        <w:tc>
          <w:tcPr>
            <w:tcW w:w="1189" w:type="dxa"/>
            <w:vMerge w:val="continue"/>
            <w:tcBorders>
              <w:left w:val="single" w:color="000000" w:sz="4" w:space="0"/>
              <w:right w:val="single" w:color="000000" w:sz="4" w:space="0"/>
            </w:tcBorders>
            <w:vAlign w:val="center"/>
          </w:tcPr>
          <w:p w14:paraId="3AA57387">
            <w:pPr>
              <w:jc w:val="center"/>
              <w:rPr>
                <w:rFonts w:ascii="宋体" w:hAnsi="宋体" w:eastAsia="宋体" w:cs="宋体"/>
                <w:color w:val="000000"/>
                <w:sz w:val="21"/>
                <w:szCs w:val="21"/>
                <w:highlight w:val="none"/>
              </w:rPr>
            </w:pPr>
          </w:p>
        </w:tc>
        <w:tc>
          <w:tcPr>
            <w:tcW w:w="1154" w:type="dxa"/>
            <w:vMerge w:val="continue"/>
            <w:tcBorders>
              <w:top w:val="single" w:color="000000" w:sz="4" w:space="0"/>
              <w:left w:val="single" w:color="000000" w:sz="4" w:space="0"/>
              <w:bottom w:val="single" w:color="000000" w:sz="4" w:space="0"/>
              <w:right w:val="single" w:color="000000" w:sz="4" w:space="0"/>
            </w:tcBorders>
            <w:vAlign w:val="center"/>
          </w:tcPr>
          <w:p w14:paraId="4716F220">
            <w:pPr>
              <w:rPr>
                <w:rFonts w:ascii="宋体" w:hAnsi="宋体" w:eastAsia="宋体" w:cs="宋体"/>
                <w:color w:val="000000"/>
                <w:sz w:val="21"/>
                <w:szCs w:val="21"/>
                <w:highlight w:val="none"/>
              </w:rPr>
            </w:pPr>
          </w:p>
        </w:tc>
        <w:tc>
          <w:tcPr>
            <w:tcW w:w="1223" w:type="dxa"/>
            <w:tcBorders>
              <w:top w:val="single" w:color="000000" w:sz="4" w:space="0"/>
              <w:left w:val="single" w:color="000000" w:sz="4" w:space="0"/>
              <w:bottom w:val="single" w:color="000000" w:sz="4" w:space="0"/>
              <w:right w:val="single" w:color="000000" w:sz="4" w:space="0"/>
            </w:tcBorders>
            <w:vAlign w:val="center"/>
          </w:tcPr>
          <w:p w14:paraId="5548CD30">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前列腺癌患者管理报表</w:t>
            </w:r>
          </w:p>
        </w:tc>
        <w:tc>
          <w:tcPr>
            <w:tcW w:w="5216" w:type="dxa"/>
            <w:tcBorders>
              <w:top w:val="single" w:color="000000" w:sz="4" w:space="0"/>
              <w:left w:val="single" w:color="000000" w:sz="4" w:space="0"/>
              <w:bottom w:val="single" w:color="000000" w:sz="4" w:space="0"/>
              <w:right w:val="single" w:color="000000" w:sz="4" w:space="0"/>
            </w:tcBorders>
            <w:vAlign w:val="center"/>
          </w:tcPr>
          <w:p w14:paraId="1FB71165">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对前列腺癌患者的信息进行统计，形成报表。</w:t>
            </w:r>
          </w:p>
        </w:tc>
      </w:tr>
      <w:tr w14:paraId="07E51DA5">
        <w:tblPrEx>
          <w:tblCellMar>
            <w:top w:w="0" w:type="dxa"/>
            <w:left w:w="108" w:type="dxa"/>
            <w:bottom w:w="0" w:type="dxa"/>
            <w:right w:w="108" w:type="dxa"/>
          </w:tblCellMar>
        </w:tblPrEx>
        <w:trPr>
          <w:trHeight w:val="316" w:hRule="atLeast"/>
        </w:trPr>
        <w:tc>
          <w:tcPr>
            <w:tcW w:w="705" w:type="dxa"/>
            <w:vMerge w:val="continue"/>
            <w:tcBorders>
              <w:left w:val="single" w:color="000000" w:sz="4" w:space="0"/>
              <w:right w:val="single" w:color="000000" w:sz="4" w:space="0"/>
            </w:tcBorders>
            <w:vAlign w:val="center"/>
          </w:tcPr>
          <w:p w14:paraId="1750480D">
            <w:pPr>
              <w:jc w:val="center"/>
              <w:rPr>
                <w:rFonts w:ascii="宋体" w:hAnsi="宋体" w:eastAsia="宋体" w:cs="宋体"/>
                <w:b/>
                <w:bCs/>
                <w:color w:val="000000"/>
                <w:sz w:val="21"/>
                <w:szCs w:val="21"/>
                <w:highlight w:val="none"/>
              </w:rPr>
            </w:pPr>
          </w:p>
        </w:tc>
        <w:tc>
          <w:tcPr>
            <w:tcW w:w="1189" w:type="dxa"/>
            <w:vMerge w:val="continue"/>
            <w:tcBorders>
              <w:left w:val="nil"/>
              <w:right w:val="single" w:color="000000" w:sz="4" w:space="0"/>
            </w:tcBorders>
            <w:vAlign w:val="center"/>
          </w:tcPr>
          <w:p w14:paraId="5CBA3507">
            <w:pPr>
              <w:jc w:val="center"/>
              <w:rPr>
                <w:rFonts w:ascii="宋体" w:hAnsi="宋体" w:eastAsia="宋体" w:cs="宋体"/>
                <w:color w:val="000000"/>
                <w:sz w:val="21"/>
                <w:szCs w:val="21"/>
                <w:highlight w:val="none"/>
              </w:rPr>
            </w:pPr>
          </w:p>
        </w:tc>
        <w:tc>
          <w:tcPr>
            <w:tcW w:w="1154" w:type="dxa"/>
            <w:vMerge w:val="continue"/>
            <w:tcBorders>
              <w:top w:val="single" w:color="000000" w:sz="4" w:space="0"/>
              <w:left w:val="single" w:color="000000" w:sz="4" w:space="0"/>
              <w:bottom w:val="single" w:color="000000" w:sz="4" w:space="0"/>
              <w:right w:val="single" w:color="000000" w:sz="4" w:space="0"/>
            </w:tcBorders>
            <w:vAlign w:val="center"/>
          </w:tcPr>
          <w:p w14:paraId="6FA31A5F">
            <w:pPr>
              <w:rPr>
                <w:rFonts w:ascii="宋体" w:hAnsi="宋体" w:eastAsia="宋体" w:cs="宋体"/>
                <w:color w:val="000000"/>
                <w:sz w:val="21"/>
                <w:szCs w:val="21"/>
                <w:highlight w:val="none"/>
              </w:rPr>
            </w:pPr>
          </w:p>
        </w:tc>
        <w:tc>
          <w:tcPr>
            <w:tcW w:w="1223" w:type="dxa"/>
            <w:tcBorders>
              <w:top w:val="single" w:color="000000" w:sz="4" w:space="0"/>
              <w:left w:val="single" w:color="000000" w:sz="4" w:space="0"/>
              <w:bottom w:val="single" w:color="000000" w:sz="4" w:space="0"/>
              <w:right w:val="single" w:color="000000" w:sz="4" w:space="0"/>
            </w:tcBorders>
            <w:vAlign w:val="center"/>
          </w:tcPr>
          <w:p w14:paraId="39E00B85">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甲状腺癌患者管理报表</w:t>
            </w:r>
          </w:p>
        </w:tc>
        <w:tc>
          <w:tcPr>
            <w:tcW w:w="5216" w:type="dxa"/>
            <w:tcBorders>
              <w:top w:val="single" w:color="000000" w:sz="4" w:space="0"/>
              <w:left w:val="single" w:color="000000" w:sz="4" w:space="0"/>
              <w:bottom w:val="single" w:color="000000" w:sz="4" w:space="0"/>
              <w:right w:val="single" w:color="000000" w:sz="4" w:space="0"/>
            </w:tcBorders>
            <w:vAlign w:val="center"/>
          </w:tcPr>
          <w:p w14:paraId="42A22EC2">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对甲状腺癌患者的信息进行统计，形成报表。</w:t>
            </w:r>
          </w:p>
        </w:tc>
      </w:tr>
      <w:tr w14:paraId="6155341D">
        <w:tblPrEx>
          <w:tblCellMar>
            <w:top w:w="0" w:type="dxa"/>
            <w:left w:w="108" w:type="dxa"/>
            <w:bottom w:w="0" w:type="dxa"/>
            <w:right w:w="108" w:type="dxa"/>
          </w:tblCellMar>
        </w:tblPrEx>
        <w:trPr>
          <w:trHeight w:val="316" w:hRule="atLeast"/>
        </w:trPr>
        <w:tc>
          <w:tcPr>
            <w:tcW w:w="705" w:type="dxa"/>
            <w:vMerge w:val="continue"/>
            <w:tcBorders>
              <w:left w:val="single" w:color="000000" w:sz="4" w:space="0"/>
              <w:right w:val="single" w:color="000000" w:sz="4" w:space="0"/>
            </w:tcBorders>
            <w:vAlign w:val="center"/>
          </w:tcPr>
          <w:p w14:paraId="37005C49">
            <w:pPr>
              <w:jc w:val="center"/>
              <w:rPr>
                <w:rFonts w:ascii="宋体" w:hAnsi="宋体" w:eastAsia="宋体" w:cs="宋体"/>
                <w:b/>
                <w:bCs/>
                <w:color w:val="000000"/>
                <w:sz w:val="21"/>
                <w:szCs w:val="21"/>
                <w:highlight w:val="none"/>
              </w:rPr>
            </w:pPr>
          </w:p>
        </w:tc>
        <w:tc>
          <w:tcPr>
            <w:tcW w:w="1189" w:type="dxa"/>
            <w:vMerge w:val="continue"/>
            <w:tcBorders>
              <w:left w:val="nil"/>
              <w:right w:val="single" w:color="000000" w:sz="4" w:space="0"/>
            </w:tcBorders>
            <w:vAlign w:val="center"/>
          </w:tcPr>
          <w:p w14:paraId="2A3748AE">
            <w:pPr>
              <w:jc w:val="center"/>
              <w:rPr>
                <w:rFonts w:ascii="宋体" w:hAnsi="宋体" w:eastAsia="宋体" w:cs="宋体"/>
                <w:color w:val="000000"/>
                <w:sz w:val="21"/>
                <w:szCs w:val="21"/>
                <w:highlight w:val="none"/>
              </w:rPr>
            </w:pPr>
          </w:p>
        </w:tc>
        <w:tc>
          <w:tcPr>
            <w:tcW w:w="1154" w:type="dxa"/>
            <w:vMerge w:val="continue"/>
            <w:tcBorders>
              <w:top w:val="single" w:color="000000" w:sz="4" w:space="0"/>
              <w:left w:val="single" w:color="000000" w:sz="4" w:space="0"/>
              <w:bottom w:val="single" w:color="000000" w:sz="4" w:space="0"/>
              <w:right w:val="single" w:color="000000" w:sz="4" w:space="0"/>
            </w:tcBorders>
            <w:vAlign w:val="center"/>
          </w:tcPr>
          <w:p w14:paraId="12F6F4A9">
            <w:pPr>
              <w:rPr>
                <w:rFonts w:ascii="宋体" w:hAnsi="宋体" w:eastAsia="宋体" w:cs="宋体"/>
                <w:color w:val="000000"/>
                <w:sz w:val="21"/>
                <w:szCs w:val="21"/>
                <w:highlight w:val="none"/>
              </w:rPr>
            </w:pPr>
          </w:p>
        </w:tc>
        <w:tc>
          <w:tcPr>
            <w:tcW w:w="1223" w:type="dxa"/>
            <w:tcBorders>
              <w:top w:val="single" w:color="000000" w:sz="4" w:space="0"/>
              <w:left w:val="single" w:color="000000" w:sz="4" w:space="0"/>
              <w:bottom w:val="single" w:color="000000" w:sz="4" w:space="0"/>
              <w:right w:val="single" w:color="000000" w:sz="4" w:space="0"/>
            </w:tcBorders>
            <w:vAlign w:val="center"/>
          </w:tcPr>
          <w:p w14:paraId="2822A7AA">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其他癌种患者管理报表</w:t>
            </w:r>
          </w:p>
        </w:tc>
        <w:tc>
          <w:tcPr>
            <w:tcW w:w="5216" w:type="dxa"/>
            <w:tcBorders>
              <w:top w:val="single" w:color="000000" w:sz="4" w:space="0"/>
              <w:left w:val="single" w:color="000000" w:sz="4" w:space="0"/>
              <w:bottom w:val="single" w:color="000000" w:sz="4" w:space="0"/>
              <w:right w:val="single" w:color="000000" w:sz="4" w:space="0"/>
            </w:tcBorders>
            <w:vAlign w:val="center"/>
          </w:tcPr>
          <w:p w14:paraId="27210BA5">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对其他癌种患者的信息进行统计，形成报表。</w:t>
            </w:r>
          </w:p>
        </w:tc>
      </w:tr>
      <w:tr w14:paraId="280AAB7F">
        <w:tblPrEx>
          <w:tblCellMar>
            <w:top w:w="0" w:type="dxa"/>
            <w:left w:w="108" w:type="dxa"/>
            <w:bottom w:w="0" w:type="dxa"/>
            <w:right w:w="108" w:type="dxa"/>
          </w:tblCellMar>
        </w:tblPrEx>
        <w:trPr>
          <w:trHeight w:val="316" w:hRule="atLeast"/>
        </w:trPr>
        <w:tc>
          <w:tcPr>
            <w:tcW w:w="705" w:type="dxa"/>
            <w:vMerge w:val="continue"/>
            <w:tcBorders>
              <w:top w:val="single" w:color="000000" w:sz="4" w:space="0"/>
              <w:left w:val="single" w:color="000000" w:sz="4" w:space="0"/>
              <w:right w:val="single" w:color="000000" w:sz="4" w:space="0"/>
            </w:tcBorders>
            <w:vAlign w:val="center"/>
          </w:tcPr>
          <w:p w14:paraId="4B19A71A">
            <w:pPr>
              <w:jc w:val="center"/>
              <w:rPr>
                <w:rFonts w:ascii="宋体" w:hAnsi="宋体" w:eastAsia="宋体" w:cs="宋体"/>
                <w:b/>
                <w:bCs/>
                <w:color w:val="000000"/>
                <w:sz w:val="21"/>
                <w:szCs w:val="21"/>
                <w:highlight w:val="none"/>
              </w:rPr>
            </w:pPr>
          </w:p>
        </w:tc>
        <w:tc>
          <w:tcPr>
            <w:tcW w:w="1189" w:type="dxa"/>
            <w:vMerge w:val="restart"/>
            <w:tcBorders>
              <w:top w:val="single" w:color="000000" w:sz="4" w:space="0"/>
              <w:left w:val="nil"/>
              <w:right w:val="single" w:color="000000" w:sz="4" w:space="0"/>
            </w:tcBorders>
            <w:vAlign w:val="center"/>
          </w:tcPr>
          <w:p w14:paraId="65CD7ADE">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系统设置</w:t>
            </w:r>
          </w:p>
        </w:tc>
        <w:tc>
          <w:tcPr>
            <w:tcW w:w="1154" w:type="dxa"/>
            <w:tcBorders>
              <w:top w:val="single" w:color="000000" w:sz="4" w:space="0"/>
              <w:left w:val="single" w:color="000000" w:sz="4" w:space="0"/>
              <w:right w:val="single" w:color="000000" w:sz="4" w:space="0"/>
            </w:tcBorders>
            <w:vAlign w:val="center"/>
          </w:tcPr>
          <w:p w14:paraId="751B233E">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健康干预模板</w:t>
            </w:r>
          </w:p>
        </w:tc>
        <w:tc>
          <w:tcPr>
            <w:tcW w:w="1223" w:type="dxa"/>
            <w:tcBorders>
              <w:top w:val="single" w:color="000000" w:sz="4" w:space="0"/>
              <w:left w:val="single" w:color="000000" w:sz="4" w:space="0"/>
              <w:bottom w:val="single" w:color="000000" w:sz="4" w:space="0"/>
              <w:right w:val="single" w:color="000000" w:sz="4" w:space="0"/>
            </w:tcBorders>
            <w:vAlign w:val="center"/>
          </w:tcPr>
          <w:p w14:paraId="3D9887E9">
            <w:pPr>
              <w:jc w:val="left"/>
              <w:rPr>
                <w:rFonts w:ascii="宋体" w:hAnsi="宋体" w:eastAsia="宋体" w:cs="宋体"/>
                <w:color w:val="000000"/>
                <w:sz w:val="21"/>
                <w:szCs w:val="21"/>
                <w:highlight w:val="none"/>
              </w:rPr>
            </w:pPr>
          </w:p>
        </w:tc>
        <w:tc>
          <w:tcPr>
            <w:tcW w:w="5216" w:type="dxa"/>
            <w:tcBorders>
              <w:top w:val="single" w:color="000000" w:sz="4" w:space="0"/>
              <w:left w:val="single" w:color="000000" w:sz="4" w:space="0"/>
              <w:bottom w:val="single" w:color="000000" w:sz="4" w:space="0"/>
              <w:right w:val="single" w:color="000000" w:sz="4" w:space="0"/>
            </w:tcBorders>
            <w:vAlign w:val="center"/>
          </w:tcPr>
          <w:p w14:paraId="4AAA30D0">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对健康干预内容进行模板设置，其中包含健康指导模板、饮食指导模板、运动指导模板和中医指导模板内容，设置时可设置模板的使用范围。支持新增、编辑、启用、停用、删除和查看操作。</w:t>
            </w:r>
          </w:p>
        </w:tc>
      </w:tr>
      <w:tr w14:paraId="3BAB1439">
        <w:tblPrEx>
          <w:tblCellMar>
            <w:top w:w="0" w:type="dxa"/>
            <w:left w:w="108" w:type="dxa"/>
            <w:bottom w:w="0" w:type="dxa"/>
            <w:right w:w="108" w:type="dxa"/>
          </w:tblCellMar>
        </w:tblPrEx>
        <w:trPr>
          <w:trHeight w:val="730" w:hRule="atLeast"/>
        </w:trPr>
        <w:tc>
          <w:tcPr>
            <w:tcW w:w="705" w:type="dxa"/>
            <w:vMerge w:val="continue"/>
            <w:tcBorders>
              <w:left w:val="single" w:color="000000" w:sz="4" w:space="0"/>
              <w:right w:val="single" w:color="000000" w:sz="4" w:space="0"/>
            </w:tcBorders>
            <w:vAlign w:val="center"/>
          </w:tcPr>
          <w:p w14:paraId="20A5B361">
            <w:pPr>
              <w:jc w:val="center"/>
              <w:rPr>
                <w:rFonts w:ascii="宋体" w:hAnsi="宋体" w:eastAsia="宋体" w:cs="宋体"/>
                <w:b/>
                <w:bCs/>
                <w:color w:val="000000"/>
                <w:sz w:val="21"/>
                <w:szCs w:val="21"/>
                <w:highlight w:val="none"/>
              </w:rPr>
            </w:pPr>
          </w:p>
        </w:tc>
        <w:tc>
          <w:tcPr>
            <w:tcW w:w="1189" w:type="dxa"/>
            <w:vMerge w:val="continue"/>
            <w:tcBorders>
              <w:left w:val="nil"/>
              <w:right w:val="single" w:color="000000" w:sz="4" w:space="0"/>
            </w:tcBorders>
            <w:vAlign w:val="center"/>
          </w:tcPr>
          <w:p w14:paraId="28B444EF">
            <w:pPr>
              <w:jc w:val="left"/>
              <w:rPr>
                <w:rFonts w:ascii="宋体" w:hAnsi="宋体" w:eastAsia="宋体" w:cs="宋体"/>
                <w:color w:val="000000"/>
                <w:sz w:val="21"/>
                <w:szCs w:val="21"/>
                <w:highlight w:val="none"/>
              </w:rPr>
            </w:pPr>
          </w:p>
        </w:tc>
        <w:tc>
          <w:tcPr>
            <w:tcW w:w="1154" w:type="dxa"/>
            <w:tcBorders>
              <w:left w:val="single" w:color="000000" w:sz="4" w:space="0"/>
              <w:right w:val="single" w:color="000000" w:sz="4" w:space="0"/>
            </w:tcBorders>
            <w:vAlign w:val="center"/>
          </w:tcPr>
          <w:p w14:paraId="578C7184">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健康指导模板</w:t>
            </w:r>
          </w:p>
        </w:tc>
        <w:tc>
          <w:tcPr>
            <w:tcW w:w="1223" w:type="dxa"/>
            <w:tcBorders>
              <w:top w:val="single" w:color="000000" w:sz="4" w:space="0"/>
              <w:left w:val="single" w:color="000000" w:sz="4" w:space="0"/>
              <w:bottom w:val="single" w:color="000000" w:sz="4" w:space="0"/>
              <w:right w:val="single" w:color="000000" w:sz="4" w:space="0"/>
            </w:tcBorders>
            <w:vAlign w:val="center"/>
          </w:tcPr>
          <w:p w14:paraId="552FC702">
            <w:pPr>
              <w:jc w:val="left"/>
              <w:rPr>
                <w:rFonts w:ascii="宋体" w:hAnsi="宋体" w:eastAsia="宋体" w:cs="宋体"/>
                <w:color w:val="000000"/>
                <w:sz w:val="21"/>
                <w:szCs w:val="21"/>
                <w:highlight w:val="none"/>
              </w:rPr>
            </w:pPr>
          </w:p>
        </w:tc>
        <w:tc>
          <w:tcPr>
            <w:tcW w:w="5216" w:type="dxa"/>
            <w:tcBorders>
              <w:top w:val="single" w:color="000000" w:sz="4" w:space="0"/>
              <w:left w:val="single" w:color="000000" w:sz="4" w:space="0"/>
              <w:bottom w:val="single" w:color="000000" w:sz="4" w:space="0"/>
              <w:right w:val="single" w:color="000000" w:sz="4" w:space="0"/>
            </w:tcBorders>
            <w:vAlign w:val="center"/>
          </w:tcPr>
          <w:p w14:paraId="5D0ECBDE">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对健康指导内容进行模板设置，设置时可设置模板的使用范围。支持新增、编辑、启用、停用、删除和查看操作。</w:t>
            </w:r>
          </w:p>
        </w:tc>
      </w:tr>
      <w:tr w14:paraId="7CC14F79">
        <w:tblPrEx>
          <w:tblCellMar>
            <w:top w:w="0" w:type="dxa"/>
            <w:left w:w="108" w:type="dxa"/>
            <w:bottom w:w="0" w:type="dxa"/>
            <w:right w:w="108" w:type="dxa"/>
          </w:tblCellMar>
        </w:tblPrEx>
        <w:trPr>
          <w:trHeight w:val="378" w:hRule="atLeast"/>
        </w:trPr>
        <w:tc>
          <w:tcPr>
            <w:tcW w:w="705" w:type="dxa"/>
            <w:vMerge w:val="continue"/>
            <w:tcBorders>
              <w:left w:val="single" w:color="000000" w:sz="4" w:space="0"/>
              <w:right w:val="single" w:color="000000" w:sz="4" w:space="0"/>
            </w:tcBorders>
            <w:vAlign w:val="center"/>
          </w:tcPr>
          <w:p w14:paraId="5399AC64">
            <w:pPr>
              <w:jc w:val="center"/>
              <w:rPr>
                <w:rFonts w:ascii="宋体" w:hAnsi="宋体" w:eastAsia="宋体" w:cs="宋体"/>
                <w:b/>
                <w:bCs/>
                <w:color w:val="000000"/>
                <w:sz w:val="21"/>
                <w:szCs w:val="21"/>
                <w:highlight w:val="none"/>
              </w:rPr>
            </w:pPr>
          </w:p>
        </w:tc>
        <w:tc>
          <w:tcPr>
            <w:tcW w:w="1189" w:type="dxa"/>
            <w:vMerge w:val="continue"/>
            <w:tcBorders>
              <w:left w:val="nil"/>
              <w:right w:val="single" w:color="000000" w:sz="4" w:space="0"/>
            </w:tcBorders>
            <w:vAlign w:val="center"/>
          </w:tcPr>
          <w:p w14:paraId="242601AD">
            <w:pPr>
              <w:jc w:val="left"/>
              <w:rPr>
                <w:rFonts w:ascii="宋体" w:hAnsi="宋体" w:eastAsia="宋体" w:cs="宋体"/>
                <w:color w:val="000000"/>
                <w:sz w:val="21"/>
                <w:szCs w:val="21"/>
                <w:highlight w:val="none"/>
              </w:rPr>
            </w:pPr>
          </w:p>
        </w:tc>
        <w:tc>
          <w:tcPr>
            <w:tcW w:w="1154" w:type="dxa"/>
            <w:tcBorders>
              <w:left w:val="single" w:color="000000" w:sz="4" w:space="0"/>
              <w:right w:val="single" w:color="000000" w:sz="4" w:space="0"/>
            </w:tcBorders>
            <w:vAlign w:val="center"/>
          </w:tcPr>
          <w:p w14:paraId="1F3FAAD4">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饮食指导模板</w:t>
            </w:r>
          </w:p>
        </w:tc>
        <w:tc>
          <w:tcPr>
            <w:tcW w:w="1223" w:type="dxa"/>
            <w:tcBorders>
              <w:top w:val="single" w:color="000000" w:sz="4" w:space="0"/>
              <w:left w:val="single" w:color="000000" w:sz="4" w:space="0"/>
              <w:bottom w:val="single" w:color="000000" w:sz="4" w:space="0"/>
              <w:right w:val="single" w:color="000000" w:sz="4" w:space="0"/>
            </w:tcBorders>
            <w:vAlign w:val="center"/>
          </w:tcPr>
          <w:p w14:paraId="61FE68EC">
            <w:pPr>
              <w:jc w:val="left"/>
              <w:rPr>
                <w:rFonts w:ascii="宋体" w:hAnsi="宋体" w:eastAsia="宋体" w:cs="宋体"/>
                <w:color w:val="000000"/>
                <w:sz w:val="21"/>
                <w:szCs w:val="21"/>
                <w:highlight w:val="none"/>
              </w:rPr>
            </w:pPr>
          </w:p>
        </w:tc>
        <w:tc>
          <w:tcPr>
            <w:tcW w:w="5216" w:type="dxa"/>
            <w:tcBorders>
              <w:top w:val="single" w:color="000000" w:sz="4" w:space="0"/>
              <w:left w:val="single" w:color="000000" w:sz="4" w:space="0"/>
              <w:bottom w:val="single" w:color="000000" w:sz="4" w:space="0"/>
              <w:right w:val="single" w:color="000000" w:sz="4" w:space="0"/>
            </w:tcBorders>
            <w:vAlign w:val="center"/>
          </w:tcPr>
          <w:p w14:paraId="2266B433">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对饮食指导内容进行模板设置，设置时可设置模板的使用范围。支持新增、编辑、启用、停用、删除和查看操作。</w:t>
            </w:r>
          </w:p>
        </w:tc>
      </w:tr>
      <w:tr w14:paraId="3B2D3354">
        <w:tblPrEx>
          <w:tblCellMar>
            <w:top w:w="0" w:type="dxa"/>
            <w:left w:w="108" w:type="dxa"/>
            <w:bottom w:w="0" w:type="dxa"/>
            <w:right w:w="108" w:type="dxa"/>
          </w:tblCellMar>
        </w:tblPrEx>
        <w:trPr>
          <w:trHeight w:val="378" w:hRule="atLeast"/>
        </w:trPr>
        <w:tc>
          <w:tcPr>
            <w:tcW w:w="705" w:type="dxa"/>
            <w:vMerge w:val="continue"/>
            <w:tcBorders>
              <w:left w:val="single" w:color="000000" w:sz="4" w:space="0"/>
              <w:right w:val="single" w:color="000000" w:sz="4" w:space="0"/>
            </w:tcBorders>
            <w:vAlign w:val="center"/>
          </w:tcPr>
          <w:p w14:paraId="5C4D9B80">
            <w:pPr>
              <w:jc w:val="center"/>
              <w:rPr>
                <w:rFonts w:ascii="宋体" w:hAnsi="宋体" w:eastAsia="宋体" w:cs="宋体"/>
                <w:b/>
                <w:bCs/>
                <w:color w:val="000000"/>
                <w:sz w:val="21"/>
                <w:szCs w:val="21"/>
                <w:highlight w:val="none"/>
              </w:rPr>
            </w:pPr>
          </w:p>
        </w:tc>
        <w:tc>
          <w:tcPr>
            <w:tcW w:w="1189" w:type="dxa"/>
            <w:vMerge w:val="continue"/>
            <w:tcBorders>
              <w:left w:val="nil"/>
              <w:right w:val="single" w:color="000000" w:sz="4" w:space="0"/>
            </w:tcBorders>
            <w:vAlign w:val="center"/>
          </w:tcPr>
          <w:p w14:paraId="091C838A">
            <w:pPr>
              <w:jc w:val="left"/>
              <w:rPr>
                <w:rFonts w:ascii="宋体" w:hAnsi="宋体" w:eastAsia="宋体" w:cs="宋体"/>
                <w:color w:val="000000"/>
                <w:sz w:val="21"/>
                <w:szCs w:val="21"/>
                <w:highlight w:val="none"/>
              </w:rPr>
            </w:pPr>
          </w:p>
        </w:tc>
        <w:tc>
          <w:tcPr>
            <w:tcW w:w="1154" w:type="dxa"/>
            <w:tcBorders>
              <w:left w:val="single" w:color="000000" w:sz="4" w:space="0"/>
              <w:right w:val="single" w:color="000000" w:sz="4" w:space="0"/>
            </w:tcBorders>
            <w:vAlign w:val="center"/>
          </w:tcPr>
          <w:p w14:paraId="72C57728">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运动指导模板</w:t>
            </w:r>
          </w:p>
        </w:tc>
        <w:tc>
          <w:tcPr>
            <w:tcW w:w="1223" w:type="dxa"/>
            <w:tcBorders>
              <w:top w:val="single" w:color="000000" w:sz="4" w:space="0"/>
              <w:left w:val="single" w:color="000000" w:sz="4" w:space="0"/>
              <w:bottom w:val="single" w:color="000000" w:sz="4" w:space="0"/>
              <w:right w:val="single" w:color="000000" w:sz="4" w:space="0"/>
            </w:tcBorders>
            <w:vAlign w:val="center"/>
          </w:tcPr>
          <w:p w14:paraId="4D462DD1">
            <w:pPr>
              <w:jc w:val="left"/>
              <w:rPr>
                <w:rFonts w:ascii="宋体" w:hAnsi="宋体" w:eastAsia="宋体" w:cs="宋体"/>
                <w:color w:val="000000"/>
                <w:sz w:val="21"/>
                <w:szCs w:val="21"/>
                <w:highlight w:val="none"/>
              </w:rPr>
            </w:pPr>
          </w:p>
        </w:tc>
        <w:tc>
          <w:tcPr>
            <w:tcW w:w="5216" w:type="dxa"/>
            <w:tcBorders>
              <w:top w:val="single" w:color="000000" w:sz="4" w:space="0"/>
              <w:left w:val="single" w:color="000000" w:sz="4" w:space="0"/>
              <w:bottom w:val="single" w:color="000000" w:sz="4" w:space="0"/>
              <w:right w:val="single" w:color="000000" w:sz="4" w:space="0"/>
            </w:tcBorders>
            <w:vAlign w:val="center"/>
          </w:tcPr>
          <w:p w14:paraId="7E56CC67">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对运动指导内容进行模板设置，设置时可设置模板的使用范围。支持新增、编辑、启用、停用、删除和查看操作。</w:t>
            </w:r>
          </w:p>
        </w:tc>
      </w:tr>
      <w:tr w14:paraId="2E7C595A">
        <w:tblPrEx>
          <w:tblCellMar>
            <w:top w:w="0" w:type="dxa"/>
            <w:left w:w="108" w:type="dxa"/>
            <w:bottom w:w="0" w:type="dxa"/>
            <w:right w:w="108" w:type="dxa"/>
          </w:tblCellMar>
        </w:tblPrEx>
        <w:trPr>
          <w:trHeight w:val="316" w:hRule="atLeast"/>
        </w:trPr>
        <w:tc>
          <w:tcPr>
            <w:tcW w:w="705" w:type="dxa"/>
            <w:vMerge w:val="continue"/>
            <w:tcBorders>
              <w:left w:val="single" w:color="000000" w:sz="4" w:space="0"/>
              <w:right w:val="single" w:color="000000" w:sz="4" w:space="0"/>
            </w:tcBorders>
            <w:vAlign w:val="center"/>
          </w:tcPr>
          <w:p w14:paraId="3992D6B4">
            <w:pPr>
              <w:jc w:val="center"/>
              <w:rPr>
                <w:rFonts w:ascii="宋体" w:hAnsi="宋体" w:eastAsia="宋体" w:cs="宋体"/>
                <w:b/>
                <w:bCs/>
                <w:color w:val="000000"/>
                <w:sz w:val="21"/>
                <w:szCs w:val="21"/>
                <w:highlight w:val="none"/>
              </w:rPr>
            </w:pPr>
          </w:p>
        </w:tc>
        <w:tc>
          <w:tcPr>
            <w:tcW w:w="1189" w:type="dxa"/>
            <w:vMerge w:val="continue"/>
            <w:tcBorders>
              <w:top w:val="single" w:color="000000" w:sz="4" w:space="0"/>
              <w:left w:val="nil"/>
              <w:right w:val="single" w:color="000000" w:sz="4" w:space="0"/>
            </w:tcBorders>
            <w:vAlign w:val="center"/>
          </w:tcPr>
          <w:p w14:paraId="5F629337">
            <w:pPr>
              <w:jc w:val="left"/>
              <w:rPr>
                <w:rFonts w:ascii="宋体" w:hAnsi="宋体" w:eastAsia="宋体" w:cs="宋体"/>
                <w:color w:val="000000"/>
                <w:sz w:val="21"/>
                <w:szCs w:val="21"/>
                <w:highlight w:val="none"/>
              </w:rPr>
            </w:pPr>
          </w:p>
        </w:tc>
        <w:tc>
          <w:tcPr>
            <w:tcW w:w="1154" w:type="dxa"/>
            <w:tcBorders>
              <w:top w:val="single" w:color="000000" w:sz="4" w:space="0"/>
              <w:left w:val="single" w:color="000000" w:sz="4" w:space="0"/>
              <w:bottom w:val="single" w:color="000000" w:sz="4" w:space="0"/>
              <w:right w:val="single" w:color="000000" w:sz="4" w:space="0"/>
            </w:tcBorders>
            <w:vAlign w:val="center"/>
          </w:tcPr>
          <w:p w14:paraId="6496270E">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中医指导模板</w:t>
            </w:r>
          </w:p>
        </w:tc>
        <w:tc>
          <w:tcPr>
            <w:tcW w:w="1223" w:type="dxa"/>
            <w:tcBorders>
              <w:top w:val="single" w:color="000000" w:sz="4" w:space="0"/>
              <w:left w:val="single" w:color="000000" w:sz="4" w:space="0"/>
              <w:bottom w:val="single" w:color="000000" w:sz="4" w:space="0"/>
              <w:right w:val="single" w:color="000000" w:sz="4" w:space="0"/>
            </w:tcBorders>
            <w:vAlign w:val="center"/>
          </w:tcPr>
          <w:p w14:paraId="383A608D">
            <w:pPr>
              <w:jc w:val="left"/>
              <w:rPr>
                <w:rFonts w:ascii="宋体" w:hAnsi="宋体" w:eastAsia="宋体" w:cs="宋体"/>
                <w:color w:val="000000"/>
                <w:sz w:val="21"/>
                <w:szCs w:val="21"/>
                <w:highlight w:val="none"/>
              </w:rPr>
            </w:pPr>
          </w:p>
        </w:tc>
        <w:tc>
          <w:tcPr>
            <w:tcW w:w="5216" w:type="dxa"/>
            <w:tcBorders>
              <w:top w:val="single" w:color="000000" w:sz="4" w:space="0"/>
              <w:left w:val="single" w:color="000000" w:sz="4" w:space="0"/>
              <w:bottom w:val="single" w:color="000000" w:sz="4" w:space="0"/>
              <w:right w:val="single" w:color="000000" w:sz="4" w:space="0"/>
            </w:tcBorders>
            <w:vAlign w:val="center"/>
          </w:tcPr>
          <w:p w14:paraId="72DCF2EB">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对中医指导内容进行模板设置，设置时可设置模板的使用范围。支持新增、编辑、启用、停用、删除和查看操作。</w:t>
            </w:r>
          </w:p>
        </w:tc>
      </w:tr>
      <w:tr w14:paraId="29F38526">
        <w:tblPrEx>
          <w:tblCellMar>
            <w:top w:w="0" w:type="dxa"/>
            <w:left w:w="108" w:type="dxa"/>
            <w:bottom w:w="0" w:type="dxa"/>
            <w:right w:w="108" w:type="dxa"/>
          </w:tblCellMar>
        </w:tblPrEx>
        <w:trPr>
          <w:trHeight w:val="316" w:hRule="atLeast"/>
        </w:trPr>
        <w:tc>
          <w:tcPr>
            <w:tcW w:w="705" w:type="dxa"/>
            <w:vMerge w:val="continue"/>
            <w:tcBorders>
              <w:left w:val="single" w:color="000000" w:sz="4" w:space="0"/>
              <w:right w:val="single" w:color="000000" w:sz="4" w:space="0"/>
            </w:tcBorders>
            <w:vAlign w:val="center"/>
          </w:tcPr>
          <w:p w14:paraId="2C780DD8">
            <w:pPr>
              <w:jc w:val="center"/>
              <w:rPr>
                <w:rFonts w:ascii="宋体" w:hAnsi="宋体" w:eastAsia="宋体" w:cs="宋体"/>
                <w:b/>
                <w:bCs/>
                <w:color w:val="000000"/>
                <w:sz w:val="21"/>
                <w:szCs w:val="21"/>
                <w:highlight w:val="none"/>
              </w:rPr>
            </w:pPr>
          </w:p>
        </w:tc>
        <w:tc>
          <w:tcPr>
            <w:tcW w:w="1189" w:type="dxa"/>
            <w:vMerge w:val="continue"/>
            <w:tcBorders>
              <w:left w:val="nil"/>
              <w:right w:val="single" w:color="000000" w:sz="4" w:space="0"/>
            </w:tcBorders>
            <w:vAlign w:val="center"/>
          </w:tcPr>
          <w:p w14:paraId="43CB91F9">
            <w:pPr>
              <w:jc w:val="left"/>
              <w:rPr>
                <w:rFonts w:ascii="宋体" w:hAnsi="宋体" w:eastAsia="宋体" w:cs="宋体"/>
                <w:color w:val="000000"/>
                <w:sz w:val="21"/>
                <w:szCs w:val="21"/>
                <w:highlight w:val="none"/>
              </w:rPr>
            </w:pPr>
          </w:p>
        </w:tc>
        <w:tc>
          <w:tcPr>
            <w:tcW w:w="1154" w:type="dxa"/>
            <w:tcBorders>
              <w:top w:val="single" w:color="000000" w:sz="4" w:space="0"/>
              <w:left w:val="single" w:color="000000" w:sz="4" w:space="0"/>
              <w:bottom w:val="single" w:color="000000" w:sz="4" w:space="0"/>
              <w:right w:val="single" w:color="000000" w:sz="4" w:space="0"/>
            </w:tcBorders>
            <w:vAlign w:val="center"/>
          </w:tcPr>
          <w:p w14:paraId="02771343">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时间段设置</w:t>
            </w:r>
          </w:p>
        </w:tc>
        <w:tc>
          <w:tcPr>
            <w:tcW w:w="1223" w:type="dxa"/>
            <w:tcBorders>
              <w:top w:val="single" w:color="000000" w:sz="4" w:space="0"/>
              <w:left w:val="single" w:color="000000" w:sz="4" w:space="0"/>
              <w:bottom w:val="single" w:color="000000" w:sz="4" w:space="0"/>
              <w:right w:val="single" w:color="000000" w:sz="4" w:space="0"/>
            </w:tcBorders>
            <w:vAlign w:val="center"/>
          </w:tcPr>
          <w:p w14:paraId="3BD9DA8A">
            <w:pPr>
              <w:jc w:val="left"/>
              <w:rPr>
                <w:rFonts w:ascii="宋体" w:hAnsi="宋体" w:eastAsia="宋体" w:cs="宋体"/>
                <w:color w:val="000000"/>
                <w:sz w:val="21"/>
                <w:szCs w:val="21"/>
                <w:highlight w:val="none"/>
              </w:rPr>
            </w:pPr>
          </w:p>
        </w:tc>
        <w:tc>
          <w:tcPr>
            <w:tcW w:w="5216" w:type="dxa"/>
            <w:tcBorders>
              <w:top w:val="single" w:color="000000" w:sz="4" w:space="0"/>
              <w:left w:val="single" w:color="000000" w:sz="4" w:space="0"/>
              <w:bottom w:val="single" w:color="000000" w:sz="4" w:space="0"/>
              <w:right w:val="single" w:color="000000" w:sz="4" w:space="0"/>
            </w:tcBorders>
            <w:vAlign w:val="center"/>
          </w:tcPr>
          <w:p w14:paraId="63ACCC06">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对各模板的时间段的内容进行设置。支持编辑、启用、停用、删除和查看操作。</w:t>
            </w:r>
          </w:p>
        </w:tc>
      </w:tr>
      <w:tr w14:paraId="390996B5">
        <w:tblPrEx>
          <w:tblCellMar>
            <w:top w:w="0" w:type="dxa"/>
            <w:left w:w="108" w:type="dxa"/>
            <w:bottom w:w="0" w:type="dxa"/>
            <w:right w:w="108" w:type="dxa"/>
          </w:tblCellMar>
        </w:tblPrEx>
        <w:trPr>
          <w:trHeight w:val="316" w:hRule="atLeast"/>
        </w:trPr>
        <w:tc>
          <w:tcPr>
            <w:tcW w:w="705" w:type="dxa"/>
            <w:vMerge w:val="continue"/>
            <w:tcBorders>
              <w:left w:val="single" w:color="000000" w:sz="4" w:space="0"/>
              <w:right w:val="single" w:color="000000" w:sz="4" w:space="0"/>
            </w:tcBorders>
            <w:vAlign w:val="center"/>
          </w:tcPr>
          <w:p w14:paraId="3B83C163">
            <w:pPr>
              <w:jc w:val="center"/>
              <w:rPr>
                <w:rFonts w:ascii="宋体" w:hAnsi="宋体" w:eastAsia="宋体" w:cs="宋体"/>
                <w:b/>
                <w:bCs/>
                <w:color w:val="000000"/>
                <w:sz w:val="21"/>
                <w:szCs w:val="21"/>
                <w:highlight w:val="none"/>
              </w:rPr>
            </w:pPr>
          </w:p>
        </w:tc>
        <w:tc>
          <w:tcPr>
            <w:tcW w:w="1189" w:type="dxa"/>
            <w:vMerge w:val="continue"/>
            <w:tcBorders>
              <w:top w:val="single" w:color="000000" w:sz="4" w:space="0"/>
              <w:left w:val="nil"/>
              <w:right w:val="single" w:color="000000" w:sz="4" w:space="0"/>
            </w:tcBorders>
            <w:vAlign w:val="center"/>
          </w:tcPr>
          <w:p w14:paraId="62AE3E59">
            <w:pPr>
              <w:jc w:val="left"/>
              <w:rPr>
                <w:rFonts w:ascii="宋体" w:hAnsi="宋体" w:eastAsia="宋体" w:cs="宋体"/>
                <w:color w:val="000000"/>
                <w:sz w:val="21"/>
                <w:szCs w:val="21"/>
                <w:highlight w:val="none"/>
              </w:rPr>
            </w:pPr>
          </w:p>
        </w:tc>
        <w:tc>
          <w:tcPr>
            <w:tcW w:w="1154" w:type="dxa"/>
            <w:vMerge w:val="restart"/>
            <w:tcBorders>
              <w:top w:val="single" w:color="000000" w:sz="4" w:space="0"/>
              <w:left w:val="single" w:color="000000" w:sz="4" w:space="0"/>
              <w:bottom w:val="single" w:color="000000" w:sz="4" w:space="0"/>
              <w:right w:val="single" w:color="000000" w:sz="4" w:space="0"/>
            </w:tcBorders>
            <w:vAlign w:val="center"/>
          </w:tcPr>
          <w:p w14:paraId="21676225">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疾病诊疗维护</w:t>
            </w:r>
          </w:p>
        </w:tc>
        <w:tc>
          <w:tcPr>
            <w:tcW w:w="1223" w:type="dxa"/>
            <w:tcBorders>
              <w:top w:val="single" w:color="000000" w:sz="4" w:space="0"/>
              <w:left w:val="single" w:color="000000" w:sz="4" w:space="0"/>
              <w:bottom w:val="single" w:color="000000" w:sz="4" w:space="0"/>
              <w:right w:val="single" w:color="000000" w:sz="4" w:space="0"/>
            </w:tcBorders>
            <w:vAlign w:val="center"/>
          </w:tcPr>
          <w:p w14:paraId="591FF6D9">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慢病诊疗</w:t>
            </w:r>
          </w:p>
        </w:tc>
        <w:tc>
          <w:tcPr>
            <w:tcW w:w="5216" w:type="dxa"/>
            <w:tcBorders>
              <w:top w:val="single" w:color="000000" w:sz="4" w:space="0"/>
              <w:left w:val="single" w:color="000000" w:sz="4" w:space="0"/>
              <w:bottom w:val="single" w:color="000000" w:sz="4" w:space="0"/>
              <w:right w:val="single" w:color="000000" w:sz="4" w:space="0"/>
            </w:tcBorders>
            <w:vAlign w:val="center"/>
          </w:tcPr>
          <w:p w14:paraId="29E3FC7E">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可对慢病对应的ICD10诊断信息进行对照设置。</w:t>
            </w:r>
          </w:p>
        </w:tc>
      </w:tr>
      <w:tr w14:paraId="560B2D62">
        <w:tblPrEx>
          <w:tblCellMar>
            <w:top w:w="0" w:type="dxa"/>
            <w:left w:w="108" w:type="dxa"/>
            <w:bottom w:w="0" w:type="dxa"/>
            <w:right w:w="108" w:type="dxa"/>
          </w:tblCellMar>
        </w:tblPrEx>
        <w:trPr>
          <w:trHeight w:val="378" w:hRule="atLeast"/>
        </w:trPr>
        <w:tc>
          <w:tcPr>
            <w:tcW w:w="705" w:type="dxa"/>
            <w:vMerge w:val="continue"/>
            <w:tcBorders>
              <w:left w:val="single" w:color="000000" w:sz="4" w:space="0"/>
              <w:right w:val="single" w:color="000000" w:sz="4" w:space="0"/>
            </w:tcBorders>
            <w:vAlign w:val="center"/>
          </w:tcPr>
          <w:p w14:paraId="62B7A2F4">
            <w:pPr>
              <w:jc w:val="center"/>
              <w:rPr>
                <w:rFonts w:ascii="宋体" w:hAnsi="宋体" w:eastAsia="宋体" w:cs="宋体"/>
                <w:b/>
                <w:bCs/>
                <w:color w:val="000000"/>
                <w:sz w:val="21"/>
                <w:szCs w:val="21"/>
                <w:highlight w:val="none"/>
              </w:rPr>
            </w:pPr>
          </w:p>
        </w:tc>
        <w:tc>
          <w:tcPr>
            <w:tcW w:w="1189" w:type="dxa"/>
            <w:vMerge w:val="continue"/>
            <w:tcBorders>
              <w:left w:val="nil"/>
              <w:right w:val="single" w:color="000000" w:sz="4" w:space="0"/>
            </w:tcBorders>
            <w:vAlign w:val="center"/>
          </w:tcPr>
          <w:p w14:paraId="252FD113">
            <w:pPr>
              <w:jc w:val="left"/>
              <w:rPr>
                <w:rFonts w:ascii="宋体" w:hAnsi="宋体" w:eastAsia="宋体" w:cs="宋体"/>
                <w:color w:val="000000"/>
                <w:sz w:val="21"/>
                <w:szCs w:val="21"/>
                <w:highlight w:val="none"/>
              </w:rPr>
            </w:pPr>
          </w:p>
        </w:tc>
        <w:tc>
          <w:tcPr>
            <w:tcW w:w="1154" w:type="dxa"/>
            <w:vMerge w:val="continue"/>
            <w:tcBorders>
              <w:top w:val="single" w:color="000000" w:sz="4" w:space="0"/>
              <w:left w:val="single" w:color="000000" w:sz="4" w:space="0"/>
              <w:right w:val="single" w:color="000000" w:sz="4" w:space="0"/>
            </w:tcBorders>
            <w:vAlign w:val="center"/>
          </w:tcPr>
          <w:p w14:paraId="438D6EBA">
            <w:pPr>
              <w:jc w:val="left"/>
              <w:rPr>
                <w:rFonts w:ascii="宋体" w:hAnsi="宋体" w:eastAsia="宋体" w:cs="宋体"/>
                <w:color w:val="000000"/>
                <w:sz w:val="21"/>
                <w:szCs w:val="21"/>
                <w:highlight w:val="none"/>
              </w:rPr>
            </w:pPr>
          </w:p>
        </w:tc>
        <w:tc>
          <w:tcPr>
            <w:tcW w:w="1223" w:type="dxa"/>
            <w:tcBorders>
              <w:top w:val="single" w:color="000000" w:sz="4" w:space="0"/>
              <w:left w:val="single" w:color="000000" w:sz="4" w:space="0"/>
              <w:bottom w:val="single" w:color="000000" w:sz="4" w:space="0"/>
              <w:right w:val="single" w:color="000000" w:sz="4" w:space="0"/>
            </w:tcBorders>
            <w:vAlign w:val="center"/>
          </w:tcPr>
          <w:p w14:paraId="689F001B">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肿瘤诊疗</w:t>
            </w:r>
          </w:p>
        </w:tc>
        <w:tc>
          <w:tcPr>
            <w:tcW w:w="5216" w:type="dxa"/>
            <w:tcBorders>
              <w:top w:val="single" w:color="000000" w:sz="4" w:space="0"/>
              <w:left w:val="single" w:color="000000" w:sz="4" w:space="0"/>
              <w:bottom w:val="single" w:color="000000" w:sz="4" w:space="0"/>
              <w:right w:val="single" w:color="000000" w:sz="4" w:space="0"/>
            </w:tcBorders>
            <w:vAlign w:val="center"/>
          </w:tcPr>
          <w:p w14:paraId="1EF63D13">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可对肿瘤对应的ICD10诊断信息进行对照设置。</w:t>
            </w:r>
          </w:p>
        </w:tc>
      </w:tr>
      <w:tr w14:paraId="586790F0">
        <w:tblPrEx>
          <w:tblCellMar>
            <w:top w:w="0" w:type="dxa"/>
            <w:left w:w="108" w:type="dxa"/>
            <w:bottom w:w="0" w:type="dxa"/>
            <w:right w:w="108" w:type="dxa"/>
          </w:tblCellMar>
        </w:tblPrEx>
        <w:trPr>
          <w:trHeight w:val="378" w:hRule="atLeast"/>
        </w:trPr>
        <w:tc>
          <w:tcPr>
            <w:tcW w:w="705" w:type="dxa"/>
            <w:vMerge w:val="continue"/>
            <w:tcBorders>
              <w:left w:val="single" w:color="000000" w:sz="4" w:space="0"/>
              <w:right w:val="single" w:color="000000" w:sz="4" w:space="0"/>
            </w:tcBorders>
            <w:vAlign w:val="center"/>
          </w:tcPr>
          <w:p w14:paraId="30B8B01A">
            <w:pPr>
              <w:jc w:val="center"/>
              <w:rPr>
                <w:rFonts w:ascii="宋体" w:hAnsi="宋体" w:eastAsia="宋体" w:cs="宋体"/>
                <w:b/>
                <w:bCs/>
                <w:color w:val="000000"/>
                <w:sz w:val="21"/>
                <w:szCs w:val="21"/>
                <w:highlight w:val="none"/>
              </w:rPr>
            </w:pPr>
          </w:p>
        </w:tc>
        <w:tc>
          <w:tcPr>
            <w:tcW w:w="1189" w:type="dxa"/>
            <w:vMerge w:val="continue"/>
            <w:tcBorders>
              <w:left w:val="nil"/>
              <w:right w:val="single" w:color="000000" w:sz="4" w:space="0"/>
            </w:tcBorders>
            <w:vAlign w:val="center"/>
          </w:tcPr>
          <w:p w14:paraId="40FC01EF">
            <w:pPr>
              <w:jc w:val="left"/>
              <w:rPr>
                <w:rFonts w:ascii="宋体" w:hAnsi="宋体" w:eastAsia="宋体" w:cs="宋体"/>
                <w:color w:val="000000"/>
                <w:sz w:val="21"/>
                <w:szCs w:val="21"/>
                <w:highlight w:val="none"/>
              </w:rPr>
            </w:pPr>
          </w:p>
        </w:tc>
        <w:tc>
          <w:tcPr>
            <w:tcW w:w="1154" w:type="dxa"/>
            <w:vMerge w:val="restart"/>
            <w:tcBorders>
              <w:left w:val="single" w:color="000000" w:sz="4" w:space="0"/>
              <w:right w:val="single" w:color="000000" w:sz="4" w:space="0"/>
            </w:tcBorders>
            <w:vAlign w:val="center"/>
          </w:tcPr>
          <w:p w14:paraId="5B314F6B">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随访参数维护</w:t>
            </w:r>
          </w:p>
        </w:tc>
        <w:tc>
          <w:tcPr>
            <w:tcW w:w="1223" w:type="dxa"/>
            <w:tcBorders>
              <w:top w:val="single" w:color="000000" w:sz="4" w:space="0"/>
              <w:left w:val="single" w:color="000000" w:sz="4" w:space="0"/>
              <w:bottom w:val="single" w:color="000000" w:sz="4" w:space="0"/>
              <w:right w:val="single" w:color="000000" w:sz="4" w:space="0"/>
            </w:tcBorders>
            <w:vAlign w:val="center"/>
          </w:tcPr>
          <w:p w14:paraId="3810A260">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慢病随访</w:t>
            </w:r>
          </w:p>
        </w:tc>
        <w:tc>
          <w:tcPr>
            <w:tcW w:w="5216" w:type="dxa"/>
            <w:tcBorders>
              <w:top w:val="single" w:color="000000" w:sz="4" w:space="0"/>
              <w:left w:val="single" w:color="000000" w:sz="4" w:space="0"/>
              <w:bottom w:val="single" w:color="000000" w:sz="4" w:space="0"/>
              <w:right w:val="single" w:color="000000" w:sz="4" w:space="0"/>
            </w:tcBorders>
            <w:vAlign w:val="center"/>
          </w:tcPr>
          <w:p w14:paraId="28625234">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可对慢病计划提醒和慢病高危计划提醒进行设置。慢病计划提醒可对慢病的提醒周期、控制满意与控制不满意的计划周期进行维护。</w:t>
            </w:r>
          </w:p>
        </w:tc>
      </w:tr>
      <w:tr w14:paraId="3D35AD25">
        <w:tblPrEx>
          <w:tblCellMar>
            <w:top w:w="0" w:type="dxa"/>
            <w:left w:w="108" w:type="dxa"/>
            <w:bottom w:w="0" w:type="dxa"/>
            <w:right w:w="108" w:type="dxa"/>
          </w:tblCellMar>
        </w:tblPrEx>
        <w:trPr>
          <w:trHeight w:val="378" w:hRule="atLeast"/>
        </w:trPr>
        <w:tc>
          <w:tcPr>
            <w:tcW w:w="705" w:type="dxa"/>
            <w:vMerge w:val="continue"/>
            <w:tcBorders>
              <w:left w:val="single" w:color="000000" w:sz="4" w:space="0"/>
              <w:right w:val="single" w:color="000000" w:sz="4" w:space="0"/>
            </w:tcBorders>
            <w:vAlign w:val="center"/>
          </w:tcPr>
          <w:p w14:paraId="5D907573">
            <w:pPr>
              <w:jc w:val="center"/>
              <w:rPr>
                <w:rFonts w:ascii="宋体" w:hAnsi="宋体" w:eastAsia="宋体" w:cs="宋体"/>
                <w:b/>
                <w:bCs/>
                <w:color w:val="000000"/>
                <w:sz w:val="21"/>
                <w:szCs w:val="21"/>
                <w:highlight w:val="none"/>
              </w:rPr>
            </w:pPr>
          </w:p>
        </w:tc>
        <w:tc>
          <w:tcPr>
            <w:tcW w:w="1189" w:type="dxa"/>
            <w:vMerge w:val="continue"/>
            <w:tcBorders>
              <w:left w:val="nil"/>
              <w:right w:val="single" w:color="000000" w:sz="4" w:space="0"/>
            </w:tcBorders>
            <w:vAlign w:val="center"/>
          </w:tcPr>
          <w:p w14:paraId="3442E811">
            <w:pPr>
              <w:jc w:val="left"/>
              <w:rPr>
                <w:rFonts w:ascii="宋体" w:hAnsi="宋体" w:eastAsia="宋体" w:cs="宋体"/>
                <w:color w:val="000000"/>
                <w:sz w:val="21"/>
                <w:szCs w:val="21"/>
                <w:highlight w:val="none"/>
              </w:rPr>
            </w:pPr>
          </w:p>
        </w:tc>
        <w:tc>
          <w:tcPr>
            <w:tcW w:w="1154" w:type="dxa"/>
            <w:vMerge w:val="continue"/>
            <w:tcBorders>
              <w:left w:val="single" w:color="000000" w:sz="4" w:space="0"/>
              <w:right w:val="single" w:color="000000" w:sz="4" w:space="0"/>
            </w:tcBorders>
            <w:vAlign w:val="center"/>
          </w:tcPr>
          <w:p w14:paraId="11FE8CA1">
            <w:pPr>
              <w:jc w:val="left"/>
              <w:rPr>
                <w:rFonts w:ascii="宋体" w:hAnsi="宋体" w:eastAsia="宋体" w:cs="宋体"/>
                <w:color w:val="000000"/>
                <w:sz w:val="21"/>
                <w:szCs w:val="21"/>
                <w:highlight w:val="none"/>
              </w:rPr>
            </w:pPr>
          </w:p>
        </w:tc>
        <w:tc>
          <w:tcPr>
            <w:tcW w:w="1223" w:type="dxa"/>
            <w:tcBorders>
              <w:top w:val="single" w:color="000000" w:sz="4" w:space="0"/>
              <w:left w:val="single" w:color="000000" w:sz="4" w:space="0"/>
              <w:bottom w:val="single" w:color="000000" w:sz="4" w:space="0"/>
              <w:right w:val="single" w:color="000000" w:sz="4" w:space="0"/>
            </w:tcBorders>
            <w:vAlign w:val="center"/>
          </w:tcPr>
          <w:p w14:paraId="7C202C8A">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肿瘤随访</w:t>
            </w:r>
          </w:p>
        </w:tc>
        <w:tc>
          <w:tcPr>
            <w:tcW w:w="5216" w:type="dxa"/>
            <w:tcBorders>
              <w:top w:val="single" w:color="000000" w:sz="4" w:space="0"/>
              <w:left w:val="single" w:color="000000" w:sz="4" w:space="0"/>
              <w:bottom w:val="single" w:color="000000" w:sz="4" w:space="0"/>
              <w:right w:val="single" w:color="000000" w:sz="4" w:space="0"/>
            </w:tcBorders>
            <w:vAlign w:val="center"/>
          </w:tcPr>
          <w:p w14:paraId="4AC912DA">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可对肿瘤计划提醒和肿瘤高危计划提醒进行设置。慢病计划提醒可对慢病的提醒周期、控制满意与控制不满意的计划周期进行维护。</w:t>
            </w:r>
          </w:p>
        </w:tc>
      </w:tr>
      <w:tr w14:paraId="5B736706">
        <w:tblPrEx>
          <w:tblCellMar>
            <w:top w:w="0" w:type="dxa"/>
            <w:left w:w="108" w:type="dxa"/>
            <w:bottom w:w="0" w:type="dxa"/>
            <w:right w:w="108" w:type="dxa"/>
          </w:tblCellMar>
        </w:tblPrEx>
        <w:trPr>
          <w:trHeight w:val="378" w:hRule="atLeast"/>
        </w:trPr>
        <w:tc>
          <w:tcPr>
            <w:tcW w:w="705" w:type="dxa"/>
            <w:vMerge w:val="continue"/>
            <w:tcBorders>
              <w:left w:val="single" w:color="000000" w:sz="4" w:space="0"/>
              <w:right w:val="single" w:color="000000" w:sz="4" w:space="0"/>
            </w:tcBorders>
            <w:vAlign w:val="center"/>
          </w:tcPr>
          <w:p w14:paraId="039C654A">
            <w:pPr>
              <w:jc w:val="center"/>
              <w:rPr>
                <w:rFonts w:ascii="宋体" w:hAnsi="宋体" w:eastAsia="宋体" w:cs="宋体"/>
                <w:b/>
                <w:bCs/>
                <w:color w:val="000000"/>
                <w:sz w:val="21"/>
                <w:szCs w:val="21"/>
                <w:highlight w:val="none"/>
              </w:rPr>
            </w:pPr>
          </w:p>
        </w:tc>
        <w:tc>
          <w:tcPr>
            <w:tcW w:w="1189" w:type="dxa"/>
            <w:vMerge w:val="continue"/>
            <w:tcBorders>
              <w:left w:val="nil"/>
              <w:right w:val="single" w:color="000000" w:sz="4" w:space="0"/>
            </w:tcBorders>
            <w:vAlign w:val="center"/>
          </w:tcPr>
          <w:p w14:paraId="706E818A">
            <w:pPr>
              <w:jc w:val="left"/>
              <w:rPr>
                <w:rFonts w:ascii="宋体" w:hAnsi="宋体" w:eastAsia="宋体" w:cs="宋体"/>
                <w:color w:val="000000"/>
                <w:sz w:val="21"/>
                <w:szCs w:val="21"/>
                <w:highlight w:val="none"/>
              </w:rPr>
            </w:pPr>
          </w:p>
        </w:tc>
        <w:tc>
          <w:tcPr>
            <w:tcW w:w="1154" w:type="dxa"/>
            <w:tcBorders>
              <w:top w:val="single" w:color="000000" w:sz="4" w:space="0"/>
              <w:left w:val="single" w:color="000000" w:sz="4" w:space="0"/>
              <w:right w:val="single" w:color="000000" w:sz="4" w:space="0"/>
            </w:tcBorders>
            <w:vAlign w:val="center"/>
          </w:tcPr>
          <w:p w14:paraId="7CF2DD65">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诊疗参数维护</w:t>
            </w:r>
          </w:p>
        </w:tc>
        <w:tc>
          <w:tcPr>
            <w:tcW w:w="1223" w:type="dxa"/>
            <w:tcBorders>
              <w:top w:val="single" w:color="000000" w:sz="4" w:space="0"/>
              <w:left w:val="single" w:color="000000" w:sz="4" w:space="0"/>
              <w:bottom w:val="single" w:color="000000" w:sz="4" w:space="0"/>
              <w:right w:val="single" w:color="000000" w:sz="4" w:space="0"/>
            </w:tcBorders>
            <w:vAlign w:val="center"/>
          </w:tcPr>
          <w:p w14:paraId="5E7DCDC5">
            <w:pPr>
              <w:rPr>
                <w:rFonts w:ascii="宋体" w:hAnsi="宋体" w:eastAsia="宋体" w:cs="宋体"/>
                <w:color w:val="000000"/>
                <w:sz w:val="21"/>
                <w:szCs w:val="21"/>
                <w:highlight w:val="none"/>
              </w:rPr>
            </w:pPr>
          </w:p>
        </w:tc>
        <w:tc>
          <w:tcPr>
            <w:tcW w:w="5216" w:type="dxa"/>
            <w:tcBorders>
              <w:top w:val="single" w:color="000000" w:sz="4" w:space="0"/>
              <w:left w:val="single" w:color="000000" w:sz="4" w:space="0"/>
              <w:bottom w:val="single" w:color="000000" w:sz="4" w:space="0"/>
              <w:right w:val="single" w:color="000000" w:sz="4" w:space="0"/>
            </w:tcBorders>
            <w:vAlign w:val="center"/>
          </w:tcPr>
          <w:p w14:paraId="78150A31">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针对只能进行部分诊疗疾病确诊的诊疗机构进行设置，未设置则不对诊疗机构进行疾病确诊限制。</w:t>
            </w:r>
          </w:p>
        </w:tc>
      </w:tr>
      <w:tr w14:paraId="697391A6">
        <w:tblPrEx>
          <w:tblCellMar>
            <w:top w:w="0" w:type="dxa"/>
            <w:left w:w="108" w:type="dxa"/>
            <w:bottom w:w="0" w:type="dxa"/>
            <w:right w:w="108" w:type="dxa"/>
          </w:tblCellMar>
        </w:tblPrEx>
        <w:trPr>
          <w:trHeight w:val="378" w:hRule="atLeast"/>
        </w:trPr>
        <w:tc>
          <w:tcPr>
            <w:tcW w:w="705" w:type="dxa"/>
            <w:vMerge w:val="continue"/>
            <w:tcBorders>
              <w:left w:val="single" w:color="000000" w:sz="4" w:space="0"/>
              <w:right w:val="single" w:color="000000" w:sz="4" w:space="0"/>
            </w:tcBorders>
            <w:vAlign w:val="center"/>
          </w:tcPr>
          <w:p w14:paraId="102BEA04">
            <w:pPr>
              <w:jc w:val="center"/>
              <w:rPr>
                <w:rFonts w:ascii="宋体" w:hAnsi="宋体" w:eastAsia="宋体" w:cs="宋体"/>
                <w:b/>
                <w:bCs/>
                <w:color w:val="000000"/>
                <w:sz w:val="21"/>
                <w:szCs w:val="21"/>
                <w:highlight w:val="none"/>
              </w:rPr>
            </w:pPr>
          </w:p>
        </w:tc>
        <w:tc>
          <w:tcPr>
            <w:tcW w:w="1189" w:type="dxa"/>
            <w:vMerge w:val="continue"/>
            <w:tcBorders>
              <w:left w:val="nil"/>
              <w:right w:val="single" w:color="000000" w:sz="4" w:space="0"/>
            </w:tcBorders>
            <w:vAlign w:val="center"/>
          </w:tcPr>
          <w:p w14:paraId="73E9E380">
            <w:pPr>
              <w:jc w:val="left"/>
              <w:rPr>
                <w:rFonts w:ascii="宋体" w:hAnsi="宋体" w:eastAsia="宋体" w:cs="宋体"/>
                <w:color w:val="000000"/>
                <w:sz w:val="21"/>
                <w:szCs w:val="21"/>
                <w:highlight w:val="none"/>
              </w:rPr>
            </w:pPr>
          </w:p>
        </w:tc>
        <w:tc>
          <w:tcPr>
            <w:tcW w:w="1154" w:type="dxa"/>
            <w:tcBorders>
              <w:left w:val="single" w:color="000000" w:sz="4" w:space="0"/>
              <w:right w:val="single" w:color="000000" w:sz="4" w:space="0"/>
            </w:tcBorders>
            <w:vAlign w:val="center"/>
          </w:tcPr>
          <w:p w14:paraId="11C19437">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体征信息维护</w:t>
            </w:r>
          </w:p>
        </w:tc>
        <w:tc>
          <w:tcPr>
            <w:tcW w:w="1223" w:type="dxa"/>
            <w:tcBorders>
              <w:top w:val="single" w:color="000000" w:sz="4" w:space="0"/>
              <w:left w:val="single" w:color="000000" w:sz="4" w:space="0"/>
              <w:bottom w:val="single" w:color="000000" w:sz="4" w:space="0"/>
              <w:right w:val="single" w:color="000000" w:sz="4" w:space="0"/>
            </w:tcBorders>
            <w:vAlign w:val="center"/>
          </w:tcPr>
          <w:p w14:paraId="7E5AB866">
            <w:pPr>
              <w:rPr>
                <w:rFonts w:ascii="宋体" w:hAnsi="宋体" w:eastAsia="宋体" w:cs="宋体"/>
                <w:color w:val="000000"/>
                <w:sz w:val="21"/>
                <w:szCs w:val="21"/>
                <w:highlight w:val="none"/>
              </w:rPr>
            </w:pPr>
          </w:p>
        </w:tc>
        <w:tc>
          <w:tcPr>
            <w:tcW w:w="5216" w:type="dxa"/>
            <w:tcBorders>
              <w:top w:val="single" w:color="000000" w:sz="4" w:space="0"/>
              <w:left w:val="single" w:color="000000" w:sz="4" w:space="0"/>
              <w:bottom w:val="single" w:color="000000" w:sz="4" w:space="0"/>
              <w:right w:val="single" w:color="000000" w:sz="4" w:space="0"/>
            </w:tcBorders>
            <w:vAlign w:val="center"/>
          </w:tcPr>
          <w:p w14:paraId="40DA31D1">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可自行设置居民体检项目的有效期。</w:t>
            </w:r>
          </w:p>
        </w:tc>
      </w:tr>
      <w:tr w14:paraId="2A398332">
        <w:tblPrEx>
          <w:tblCellMar>
            <w:top w:w="0" w:type="dxa"/>
            <w:left w:w="108" w:type="dxa"/>
            <w:bottom w:w="0" w:type="dxa"/>
            <w:right w:w="108" w:type="dxa"/>
          </w:tblCellMar>
        </w:tblPrEx>
        <w:trPr>
          <w:trHeight w:val="378" w:hRule="atLeast"/>
        </w:trPr>
        <w:tc>
          <w:tcPr>
            <w:tcW w:w="705" w:type="dxa"/>
            <w:vMerge w:val="continue"/>
            <w:tcBorders>
              <w:left w:val="single" w:color="000000" w:sz="4" w:space="0"/>
              <w:right w:val="single" w:color="000000" w:sz="4" w:space="0"/>
            </w:tcBorders>
            <w:vAlign w:val="center"/>
          </w:tcPr>
          <w:p w14:paraId="729C7BAB">
            <w:pPr>
              <w:jc w:val="center"/>
              <w:rPr>
                <w:rFonts w:ascii="宋体" w:hAnsi="宋体" w:eastAsia="宋体" w:cs="宋体"/>
                <w:b/>
                <w:bCs/>
                <w:color w:val="000000"/>
                <w:sz w:val="21"/>
                <w:szCs w:val="21"/>
                <w:highlight w:val="none"/>
              </w:rPr>
            </w:pPr>
          </w:p>
        </w:tc>
        <w:tc>
          <w:tcPr>
            <w:tcW w:w="1189" w:type="dxa"/>
            <w:vMerge w:val="continue"/>
            <w:tcBorders>
              <w:left w:val="nil"/>
              <w:right w:val="single" w:color="000000" w:sz="4" w:space="0"/>
            </w:tcBorders>
            <w:vAlign w:val="center"/>
          </w:tcPr>
          <w:p w14:paraId="0FE9517E">
            <w:pPr>
              <w:jc w:val="left"/>
              <w:rPr>
                <w:rFonts w:ascii="宋体" w:hAnsi="宋体" w:eastAsia="宋体" w:cs="宋体"/>
                <w:color w:val="000000"/>
                <w:sz w:val="21"/>
                <w:szCs w:val="21"/>
                <w:highlight w:val="none"/>
              </w:rPr>
            </w:pPr>
          </w:p>
        </w:tc>
        <w:tc>
          <w:tcPr>
            <w:tcW w:w="1154" w:type="dxa"/>
            <w:tcBorders>
              <w:left w:val="single" w:color="000000" w:sz="4" w:space="0"/>
              <w:right w:val="single" w:color="000000" w:sz="4" w:space="0"/>
            </w:tcBorders>
            <w:vAlign w:val="center"/>
          </w:tcPr>
          <w:p w14:paraId="44CE995A">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机构网格维护</w:t>
            </w:r>
          </w:p>
        </w:tc>
        <w:tc>
          <w:tcPr>
            <w:tcW w:w="1223" w:type="dxa"/>
            <w:tcBorders>
              <w:top w:val="single" w:color="000000" w:sz="4" w:space="0"/>
              <w:left w:val="single" w:color="000000" w:sz="4" w:space="0"/>
              <w:bottom w:val="single" w:color="000000" w:sz="4" w:space="0"/>
              <w:right w:val="single" w:color="000000" w:sz="4" w:space="0"/>
            </w:tcBorders>
            <w:vAlign w:val="center"/>
          </w:tcPr>
          <w:p w14:paraId="3A82E45F">
            <w:pPr>
              <w:rPr>
                <w:rFonts w:ascii="宋体" w:hAnsi="宋体" w:eastAsia="宋体" w:cs="宋体"/>
                <w:color w:val="000000"/>
                <w:sz w:val="21"/>
                <w:szCs w:val="21"/>
                <w:highlight w:val="none"/>
              </w:rPr>
            </w:pPr>
          </w:p>
        </w:tc>
        <w:tc>
          <w:tcPr>
            <w:tcW w:w="5216" w:type="dxa"/>
            <w:tcBorders>
              <w:top w:val="single" w:color="000000" w:sz="4" w:space="0"/>
              <w:left w:val="single" w:color="000000" w:sz="4" w:space="0"/>
              <w:bottom w:val="single" w:color="000000" w:sz="4" w:space="0"/>
              <w:right w:val="single" w:color="000000" w:sz="4" w:space="0"/>
            </w:tcBorders>
            <w:vAlign w:val="center"/>
          </w:tcPr>
          <w:p w14:paraId="22C934C7">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对机构管辖的管理辖区进行设置，可进行下载模板、导入机构、编辑、删除和查看辖区操作。</w:t>
            </w:r>
          </w:p>
        </w:tc>
      </w:tr>
      <w:tr w14:paraId="77F55190">
        <w:tblPrEx>
          <w:tblCellMar>
            <w:top w:w="0" w:type="dxa"/>
            <w:left w:w="108" w:type="dxa"/>
            <w:bottom w:w="0" w:type="dxa"/>
            <w:right w:w="108" w:type="dxa"/>
          </w:tblCellMar>
        </w:tblPrEx>
        <w:trPr>
          <w:trHeight w:val="378" w:hRule="atLeast"/>
        </w:trPr>
        <w:tc>
          <w:tcPr>
            <w:tcW w:w="705" w:type="dxa"/>
            <w:vMerge w:val="continue"/>
            <w:tcBorders>
              <w:left w:val="single" w:color="000000" w:sz="4" w:space="0"/>
              <w:right w:val="single" w:color="000000" w:sz="4" w:space="0"/>
            </w:tcBorders>
            <w:vAlign w:val="center"/>
          </w:tcPr>
          <w:p w14:paraId="645E54E9">
            <w:pPr>
              <w:jc w:val="center"/>
              <w:rPr>
                <w:rFonts w:ascii="宋体" w:hAnsi="宋体" w:eastAsia="宋体" w:cs="宋体"/>
                <w:b/>
                <w:bCs/>
                <w:color w:val="000000"/>
                <w:sz w:val="21"/>
                <w:szCs w:val="21"/>
                <w:highlight w:val="none"/>
              </w:rPr>
            </w:pPr>
          </w:p>
        </w:tc>
        <w:tc>
          <w:tcPr>
            <w:tcW w:w="1189" w:type="dxa"/>
            <w:vMerge w:val="continue"/>
            <w:tcBorders>
              <w:left w:val="nil"/>
              <w:right w:val="single" w:color="000000" w:sz="4" w:space="0"/>
            </w:tcBorders>
            <w:vAlign w:val="center"/>
          </w:tcPr>
          <w:p w14:paraId="5A7A6122">
            <w:pPr>
              <w:jc w:val="left"/>
              <w:rPr>
                <w:rFonts w:ascii="宋体" w:hAnsi="宋体" w:eastAsia="宋体" w:cs="宋体"/>
                <w:color w:val="000000"/>
                <w:sz w:val="21"/>
                <w:szCs w:val="21"/>
                <w:highlight w:val="none"/>
              </w:rPr>
            </w:pPr>
          </w:p>
        </w:tc>
        <w:tc>
          <w:tcPr>
            <w:tcW w:w="1154" w:type="dxa"/>
            <w:tcBorders>
              <w:left w:val="single" w:color="000000" w:sz="4" w:space="0"/>
              <w:right w:val="single" w:color="000000" w:sz="4" w:space="0"/>
            </w:tcBorders>
            <w:vAlign w:val="center"/>
          </w:tcPr>
          <w:p w14:paraId="42176908">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机构业务维护</w:t>
            </w:r>
          </w:p>
        </w:tc>
        <w:tc>
          <w:tcPr>
            <w:tcW w:w="1223" w:type="dxa"/>
            <w:tcBorders>
              <w:top w:val="single" w:color="000000" w:sz="4" w:space="0"/>
              <w:left w:val="single" w:color="000000" w:sz="4" w:space="0"/>
              <w:bottom w:val="single" w:color="000000" w:sz="4" w:space="0"/>
              <w:right w:val="single" w:color="000000" w:sz="4" w:space="0"/>
            </w:tcBorders>
            <w:vAlign w:val="center"/>
          </w:tcPr>
          <w:p w14:paraId="55AAB5F7">
            <w:pPr>
              <w:rPr>
                <w:rFonts w:ascii="宋体" w:hAnsi="宋体" w:eastAsia="宋体" w:cs="宋体"/>
                <w:color w:val="000000"/>
                <w:sz w:val="21"/>
                <w:szCs w:val="21"/>
                <w:highlight w:val="none"/>
              </w:rPr>
            </w:pPr>
          </w:p>
        </w:tc>
        <w:tc>
          <w:tcPr>
            <w:tcW w:w="5216" w:type="dxa"/>
            <w:tcBorders>
              <w:top w:val="single" w:color="000000" w:sz="4" w:space="0"/>
              <w:left w:val="single" w:color="000000" w:sz="4" w:space="0"/>
              <w:bottom w:val="single" w:color="000000" w:sz="4" w:space="0"/>
              <w:right w:val="single" w:color="000000" w:sz="4" w:space="0"/>
            </w:tcBorders>
            <w:vAlign w:val="center"/>
          </w:tcPr>
          <w:p w14:paraId="3B640103">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可辖区机构能管理的慢病或肿瘤业务进行设置。</w:t>
            </w:r>
          </w:p>
        </w:tc>
      </w:tr>
      <w:tr w14:paraId="367DDCB8">
        <w:tblPrEx>
          <w:tblCellMar>
            <w:top w:w="0" w:type="dxa"/>
            <w:left w:w="108" w:type="dxa"/>
            <w:bottom w:w="0" w:type="dxa"/>
            <w:right w:w="108" w:type="dxa"/>
          </w:tblCellMar>
        </w:tblPrEx>
        <w:trPr>
          <w:trHeight w:val="378" w:hRule="atLeast"/>
        </w:trPr>
        <w:tc>
          <w:tcPr>
            <w:tcW w:w="705" w:type="dxa"/>
            <w:vMerge w:val="continue"/>
            <w:tcBorders>
              <w:left w:val="single" w:color="000000" w:sz="4" w:space="0"/>
              <w:right w:val="single" w:color="000000" w:sz="4" w:space="0"/>
            </w:tcBorders>
            <w:vAlign w:val="center"/>
          </w:tcPr>
          <w:p w14:paraId="7CA40389">
            <w:pPr>
              <w:jc w:val="center"/>
              <w:rPr>
                <w:rFonts w:ascii="宋体" w:hAnsi="宋体" w:eastAsia="宋体" w:cs="宋体"/>
                <w:b/>
                <w:bCs/>
                <w:color w:val="000000"/>
                <w:sz w:val="21"/>
                <w:szCs w:val="21"/>
                <w:highlight w:val="none"/>
              </w:rPr>
            </w:pPr>
          </w:p>
        </w:tc>
        <w:tc>
          <w:tcPr>
            <w:tcW w:w="1189" w:type="dxa"/>
            <w:vMerge w:val="continue"/>
            <w:tcBorders>
              <w:left w:val="nil"/>
              <w:right w:val="single" w:color="000000" w:sz="4" w:space="0"/>
            </w:tcBorders>
            <w:vAlign w:val="center"/>
          </w:tcPr>
          <w:p w14:paraId="06715AAF">
            <w:pPr>
              <w:jc w:val="left"/>
              <w:rPr>
                <w:rFonts w:ascii="宋体" w:hAnsi="宋体" w:eastAsia="宋体" w:cs="宋体"/>
                <w:color w:val="000000"/>
                <w:sz w:val="21"/>
                <w:szCs w:val="21"/>
                <w:highlight w:val="none"/>
              </w:rPr>
            </w:pPr>
          </w:p>
        </w:tc>
        <w:tc>
          <w:tcPr>
            <w:tcW w:w="1154" w:type="dxa"/>
            <w:tcBorders>
              <w:left w:val="single" w:color="000000" w:sz="4" w:space="0"/>
              <w:right w:val="single" w:color="000000" w:sz="4" w:space="0"/>
            </w:tcBorders>
            <w:vAlign w:val="center"/>
          </w:tcPr>
          <w:p w14:paraId="3C083807">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数据源维护</w:t>
            </w:r>
          </w:p>
        </w:tc>
        <w:tc>
          <w:tcPr>
            <w:tcW w:w="1223" w:type="dxa"/>
            <w:tcBorders>
              <w:top w:val="single" w:color="000000" w:sz="4" w:space="0"/>
              <w:left w:val="single" w:color="000000" w:sz="4" w:space="0"/>
              <w:bottom w:val="single" w:color="000000" w:sz="4" w:space="0"/>
              <w:right w:val="single" w:color="000000" w:sz="4" w:space="0"/>
            </w:tcBorders>
            <w:vAlign w:val="center"/>
          </w:tcPr>
          <w:p w14:paraId="0C696077">
            <w:pPr>
              <w:rPr>
                <w:rFonts w:ascii="宋体" w:hAnsi="宋体" w:eastAsia="宋体" w:cs="宋体"/>
                <w:color w:val="000000"/>
                <w:sz w:val="21"/>
                <w:szCs w:val="21"/>
                <w:highlight w:val="none"/>
              </w:rPr>
            </w:pPr>
          </w:p>
        </w:tc>
        <w:tc>
          <w:tcPr>
            <w:tcW w:w="5216" w:type="dxa"/>
            <w:tcBorders>
              <w:top w:val="single" w:color="000000" w:sz="4" w:space="0"/>
              <w:left w:val="single" w:color="000000" w:sz="4" w:space="0"/>
              <w:bottom w:val="single" w:color="000000" w:sz="4" w:space="0"/>
              <w:right w:val="single" w:color="000000" w:sz="4" w:space="0"/>
            </w:tcBorders>
            <w:vAlign w:val="center"/>
          </w:tcPr>
          <w:p w14:paraId="306F8C5C">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对外部系统能进入慢病中心的业务进行管理，目前支持的业务有：门诊记录、住院记录、会诊记录、培训记录、居民体检。可支持新增、编辑、删除操作</w:t>
            </w:r>
          </w:p>
        </w:tc>
      </w:tr>
      <w:tr w14:paraId="76A0D0EA">
        <w:tblPrEx>
          <w:tblCellMar>
            <w:top w:w="0" w:type="dxa"/>
            <w:left w:w="108" w:type="dxa"/>
            <w:bottom w:w="0" w:type="dxa"/>
            <w:right w:w="108" w:type="dxa"/>
          </w:tblCellMar>
        </w:tblPrEx>
        <w:trPr>
          <w:trHeight w:val="378" w:hRule="atLeast"/>
        </w:trPr>
        <w:tc>
          <w:tcPr>
            <w:tcW w:w="705" w:type="dxa"/>
            <w:vMerge w:val="continue"/>
            <w:tcBorders>
              <w:left w:val="single" w:color="000000" w:sz="4" w:space="0"/>
              <w:right w:val="single" w:color="000000" w:sz="4" w:space="0"/>
            </w:tcBorders>
            <w:vAlign w:val="center"/>
          </w:tcPr>
          <w:p w14:paraId="0CA47522">
            <w:pPr>
              <w:jc w:val="center"/>
              <w:rPr>
                <w:rFonts w:ascii="宋体" w:hAnsi="宋体" w:eastAsia="宋体" w:cs="宋体"/>
                <w:b/>
                <w:bCs/>
                <w:color w:val="000000"/>
                <w:sz w:val="21"/>
                <w:szCs w:val="21"/>
                <w:highlight w:val="none"/>
              </w:rPr>
            </w:pPr>
          </w:p>
        </w:tc>
        <w:tc>
          <w:tcPr>
            <w:tcW w:w="1189" w:type="dxa"/>
            <w:vMerge w:val="continue"/>
            <w:tcBorders>
              <w:left w:val="nil"/>
              <w:right w:val="single" w:color="000000" w:sz="4" w:space="0"/>
            </w:tcBorders>
            <w:vAlign w:val="center"/>
          </w:tcPr>
          <w:p w14:paraId="04CAEB5E">
            <w:pPr>
              <w:jc w:val="left"/>
              <w:rPr>
                <w:rFonts w:ascii="宋体" w:hAnsi="宋体" w:eastAsia="宋体" w:cs="宋体"/>
                <w:color w:val="000000"/>
                <w:sz w:val="21"/>
                <w:szCs w:val="21"/>
                <w:highlight w:val="none"/>
              </w:rPr>
            </w:pPr>
          </w:p>
        </w:tc>
        <w:tc>
          <w:tcPr>
            <w:tcW w:w="1154" w:type="dxa"/>
            <w:tcBorders>
              <w:left w:val="single" w:color="000000" w:sz="4" w:space="0"/>
              <w:right w:val="single" w:color="000000" w:sz="4" w:space="0"/>
            </w:tcBorders>
            <w:vAlign w:val="center"/>
          </w:tcPr>
          <w:p w14:paraId="3B2AC7C5">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基本参数维护</w:t>
            </w:r>
          </w:p>
        </w:tc>
        <w:tc>
          <w:tcPr>
            <w:tcW w:w="1223" w:type="dxa"/>
            <w:tcBorders>
              <w:top w:val="single" w:color="000000" w:sz="4" w:space="0"/>
              <w:left w:val="single" w:color="000000" w:sz="4" w:space="0"/>
              <w:bottom w:val="single" w:color="000000" w:sz="4" w:space="0"/>
              <w:right w:val="single" w:color="000000" w:sz="4" w:space="0"/>
            </w:tcBorders>
            <w:vAlign w:val="center"/>
          </w:tcPr>
          <w:p w14:paraId="69BC3FD3">
            <w:pPr>
              <w:rPr>
                <w:rFonts w:ascii="宋体" w:hAnsi="宋体" w:eastAsia="宋体" w:cs="宋体"/>
                <w:color w:val="000000"/>
                <w:sz w:val="21"/>
                <w:szCs w:val="21"/>
                <w:highlight w:val="none"/>
              </w:rPr>
            </w:pPr>
          </w:p>
        </w:tc>
        <w:tc>
          <w:tcPr>
            <w:tcW w:w="5216" w:type="dxa"/>
            <w:tcBorders>
              <w:top w:val="single" w:color="000000" w:sz="4" w:space="0"/>
              <w:left w:val="single" w:color="000000" w:sz="4" w:space="0"/>
              <w:bottom w:val="single" w:color="000000" w:sz="4" w:space="0"/>
              <w:right w:val="single" w:color="000000" w:sz="4" w:space="0"/>
            </w:tcBorders>
            <w:vAlign w:val="center"/>
          </w:tcPr>
          <w:p w14:paraId="244A7E35">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可对系统的慢病专案评估维护、肿瘤专案评估维护、业务变申请维护、数据加密维护、慢病对照维护、肿瘤对照维护、家庭医生对接等参数进行维护。</w:t>
            </w:r>
          </w:p>
        </w:tc>
      </w:tr>
      <w:tr w14:paraId="7703A41B">
        <w:tblPrEx>
          <w:tblCellMar>
            <w:top w:w="0" w:type="dxa"/>
            <w:left w:w="108" w:type="dxa"/>
            <w:bottom w:w="0" w:type="dxa"/>
            <w:right w:w="108" w:type="dxa"/>
          </w:tblCellMar>
        </w:tblPrEx>
        <w:trPr>
          <w:trHeight w:val="622" w:hRule="atLeast"/>
        </w:trPr>
        <w:tc>
          <w:tcPr>
            <w:tcW w:w="705" w:type="dxa"/>
            <w:vMerge w:val="continue"/>
            <w:tcBorders>
              <w:left w:val="single" w:color="000000" w:sz="4" w:space="0"/>
              <w:right w:val="single" w:color="000000" w:sz="4" w:space="0"/>
            </w:tcBorders>
            <w:vAlign w:val="center"/>
          </w:tcPr>
          <w:p w14:paraId="44DA23FA">
            <w:pPr>
              <w:jc w:val="center"/>
              <w:rPr>
                <w:rFonts w:ascii="宋体" w:hAnsi="宋体" w:eastAsia="宋体" w:cs="宋体"/>
                <w:b/>
                <w:bCs/>
                <w:color w:val="000000"/>
                <w:sz w:val="21"/>
                <w:szCs w:val="21"/>
                <w:highlight w:val="none"/>
              </w:rPr>
            </w:pPr>
          </w:p>
        </w:tc>
        <w:tc>
          <w:tcPr>
            <w:tcW w:w="1189" w:type="dxa"/>
            <w:vMerge w:val="restart"/>
            <w:tcBorders>
              <w:left w:val="nil"/>
              <w:right w:val="single" w:color="000000" w:sz="4" w:space="0"/>
            </w:tcBorders>
            <w:vAlign w:val="center"/>
          </w:tcPr>
          <w:p w14:paraId="32E75373">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外部接口</w:t>
            </w:r>
          </w:p>
        </w:tc>
        <w:tc>
          <w:tcPr>
            <w:tcW w:w="1154" w:type="dxa"/>
            <w:tcBorders>
              <w:left w:val="single" w:color="000000" w:sz="4" w:space="0"/>
              <w:right w:val="single" w:color="000000" w:sz="4" w:space="0"/>
            </w:tcBorders>
            <w:vAlign w:val="center"/>
          </w:tcPr>
          <w:p w14:paraId="39CF435A">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检查检验记录上传</w:t>
            </w:r>
          </w:p>
        </w:tc>
        <w:tc>
          <w:tcPr>
            <w:tcW w:w="1223" w:type="dxa"/>
            <w:tcBorders>
              <w:top w:val="single" w:color="000000" w:sz="4" w:space="0"/>
              <w:left w:val="single" w:color="000000" w:sz="4" w:space="0"/>
              <w:bottom w:val="single" w:color="000000" w:sz="4" w:space="0"/>
              <w:right w:val="single" w:color="000000" w:sz="4" w:space="0"/>
            </w:tcBorders>
            <w:vAlign w:val="center"/>
          </w:tcPr>
          <w:p w14:paraId="6D418500">
            <w:pPr>
              <w:rPr>
                <w:rFonts w:ascii="宋体" w:hAnsi="宋体" w:eastAsia="宋体" w:cs="宋体"/>
                <w:color w:val="000000"/>
                <w:sz w:val="21"/>
                <w:szCs w:val="21"/>
                <w:highlight w:val="none"/>
              </w:rPr>
            </w:pPr>
          </w:p>
        </w:tc>
        <w:tc>
          <w:tcPr>
            <w:tcW w:w="5216" w:type="dxa"/>
            <w:tcBorders>
              <w:top w:val="single" w:color="000000" w:sz="4" w:space="0"/>
              <w:left w:val="single" w:color="000000" w:sz="4" w:space="0"/>
              <w:bottom w:val="single" w:color="000000" w:sz="4" w:space="0"/>
              <w:right w:val="single" w:color="000000" w:sz="4" w:space="0"/>
            </w:tcBorders>
            <w:vAlign w:val="center"/>
          </w:tcPr>
          <w:p w14:paraId="40CFD691">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三方系统上传门诊/住院的检验记录信息。</w:t>
            </w:r>
          </w:p>
        </w:tc>
      </w:tr>
      <w:tr w14:paraId="6D9D7F3F">
        <w:tblPrEx>
          <w:tblCellMar>
            <w:top w:w="0" w:type="dxa"/>
            <w:left w:w="108" w:type="dxa"/>
            <w:bottom w:w="0" w:type="dxa"/>
            <w:right w:w="108" w:type="dxa"/>
          </w:tblCellMar>
        </w:tblPrEx>
        <w:trPr>
          <w:trHeight w:val="378" w:hRule="atLeast"/>
        </w:trPr>
        <w:tc>
          <w:tcPr>
            <w:tcW w:w="705" w:type="dxa"/>
            <w:vMerge w:val="continue"/>
            <w:tcBorders>
              <w:left w:val="single" w:color="000000" w:sz="4" w:space="0"/>
              <w:right w:val="single" w:color="000000" w:sz="4" w:space="0"/>
            </w:tcBorders>
            <w:vAlign w:val="center"/>
          </w:tcPr>
          <w:p w14:paraId="6C0689B1">
            <w:pPr>
              <w:jc w:val="center"/>
              <w:rPr>
                <w:rFonts w:ascii="宋体" w:hAnsi="宋体" w:eastAsia="宋体" w:cs="宋体"/>
                <w:b/>
                <w:bCs/>
                <w:color w:val="000000"/>
                <w:sz w:val="21"/>
                <w:szCs w:val="21"/>
                <w:highlight w:val="none"/>
              </w:rPr>
            </w:pPr>
          </w:p>
        </w:tc>
        <w:tc>
          <w:tcPr>
            <w:tcW w:w="1189" w:type="dxa"/>
            <w:vMerge w:val="continue"/>
            <w:tcBorders>
              <w:left w:val="nil"/>
              <w:right w:val="single" w:color="000000" w:sz="4" w:space="0"/>
            </w:tcBorders>
            <w:vAlign w:val="center"/>
          </w:tcPr>
          <w:p w14:paraId="2ADC6AEF">
            <w:pPr>
              <w:jc w:val="left"/>
              <w:rPr>
                <w:rFonts w:ascii="宋体" w:hAnsi="宋体" w:eastAsia="宋体" w:cs="宋体"/>
                <w:color w:val="000000"/>
                <w:sz w:val="21"/>
                <w:szCs w:val="21"/>
                <w:highlight w:val="none"/>
              </w:rPr>
            </w:pPr>
          </w:p>
        </w:tc>
        <w:tc>
          <w:tcPr>
            <w:tcW w:w="1154" w:type="dxa"/>
            <w:tcBorders>
              <w:left w:val="single" w:color="000000" w:sz="4" w:space="0"/>
              <w:right w:val="single" w:color="000000" w:sz="4" w:space="0"/>
            </w:tcBorders>
            <w:vAlign w:val="center"/>
          </w:tcPr>
          <w:p w14:paraId="38F80343">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批量体检报告上传</w:t>
            </w:r>
          </w:p>
        </w:tc>
        <w:tc>
          <w:tcPr>
            <w:tcW w:w="1223" w:type="dxa"/>
            <w:tcBorders>
              <w:top w:val="single" w:color="000000" w:sz="4" w:space="0"/>
              <w:left w:val="single" w:color="000000" w:sz="4" w:space="0"/>
              <w:bottom w:val="single" w:color="000000" w:sz="4" w:space="0"/>
              <w:right w:val="single" w:color="000000" w:sz="4" w:space="0"/>
            </w:tcBorders>
            <w:vAlign w:val="center"/>
          </w:tcPr>
          <w:p w14:paraId="10078181">
            <w:pPr>
              <w:rPr>
                <w:rFonts w:ascii="宋体" w:hAnsi="宋体" w:eastAsia="宋体" w:cs="宋体"/>
                <w:color w:val="000000"/>
                <w:sz w:val="21"/>
                <w:szCs w:val="21"/>
                <w:highlight w:val="none"/>
              </w:rPr>
            </w:pPr>
          </w:p>
        </w:tc>
        <w:tc>
          <w:tcPr>
            <w:tcW w:w="5216" w:type="dxa"/>
            <w:tcBorders>
              <w:top w:val="single" w:color="000000" w:sz="4" w:space="0"/>
              <w:left w:val="single" w:color="000000" w:sz="4" w:space="0"/>
              <w:bottom w:val="single" w:color="000000" w:sz="4" w:space="0"/>
              <w:right w:val="single" w:color="000000" w:sz="4" w:space="0"/>
            </w:tcBorders>
            <w:vAlign w:val="center"/>
          </w:tcPr>
          <w:p w14:paraId="2569AA35">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三方系统上传门诊/住院的检查记录信息。</w:t>
            </w:r>
          </w:p>
        </w:tc>
      </w:tr>
      <w:tr w14:paraId="609A9790">
        <w:tblPrEx>
          <w:tblCellMar>
            <w:top w:w="0" w:type="dxa"/>
            <w:left w:w="108" w:type="dxa"/>
            <w:bottom w:w="0" w:type="dxa"/>
            <w:right w:w="108" w:type="dxa"/>
          </w:tblCellMar>
        </w:tblPrEx>
        <w:trPr>
          <w:trHeight w:val="378" w:hRule="atLeast"/>
        </w:trPr>
        <w:tc>
          <w:tcPr>
            <w:tcW w:w="705" w:type="dxa"/>
            <w:vMerge w:val="continue"/>
            <w:tcBorders>
              <w:left w:val="single" w:color="000000" w:sz="4" w:space="0"/>
              <w:right w:val="single" w:color="000000" w:sz="4" w:space="0"/>
            </w:tcBorders>
            <w:vAlign w:val="center"/>
          </w:tcPr>
          <w:p w14:paraId="4171EF8E">
            <w:pPr>
              <w:jc w:val="center"/>
              <w:rPr>
                <w:rFonts w:ascii="宋体" w:hAnsi="宋体" w:eastAsia="宋体" w:cs="宋体"/>
                <w:b/>
                <w:bCs/>
                <w:color w:val="000000"/>
                <w:sz w:val="21"/>
                <w:szCs w:val="21"/>
                <w:highlight w:val="none"/>
              </w:rPr>
            </w:pPr>
          </w:p>
        </w:tc>
        <w:tc>
          <w:tcPr>
            <w:tcW w:w="1189" w:type="dxa"/>
            <w:vMerge w:val="continue"/>
            <w:tcBorders>
              <w:left w:val="nil"/>
              <w:right w:val="single" w:color="000000" w:sz="4" w:space="0"/>
            </w:tcBorders>
            <w:vAlign w:val="center"/>
          </w:tcPr>
          <w:p w14:paraId="13EB018E">
            <w:pPr>
              <w:jc w:val="left"/>
              <w:rPr>
                <w:rFonts w:ascii="宋体" w:hAnsi="宋体" w:eastAsia="宋体" w:cs="宋体"/>
                <w:color w:val="000000"/>
                <w:sz w:val="21"/>
                <w:szCs w:val="21"/>
                <w:highlight w:val="none"/>
              </w:rPr>
            </w:pPr>
          </w:p>
        </w:tc>
        <w:tc>
          <w:tcPr>
            <w:tcW w:w="1154" w:type="dxa"/>
            <w:tcBorders>
              <w:left w:val="single" w:color="000000" w:sz="4" w:space="0"/>
              <w:right w:val="single" w:color="000000" w:sz="4" w:space="0"/>
            </w:tcBorders>
            <w:vAlign w:val="center"/>
          </w:tcPr>
          <w:p w14:paraId="1B0BA35B">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批量住院数据上传</w:t>
            </w:r>
          </w:p>
        </w:tc>
        <w:tc>
          <w:tcPr>
            <w:tcW w:w="1223" w:type="dxa"/>
            <w:tcBorders>
              <w:top w:val="single" w:color="000000" w:sz="4" w:space="0"/>
              <w:left w:val="single" w:color="000000" w:sz="4" w:space="0"/>
              <w:bottom w:val="single" w:color="000000" w:sz="4" w:space="0"/>
              <w:right w:val="single" w:color="000000" w:sz="4" w:space="0"/>
            </w:tcBorders>
            <w:vAlign w:val="center"/>
          </w:tcPr>
          <w:p w14:paraId="7BD58732">
            <w:pPr>
              <w:rPr>
                <w:rFonts w:ascii="宋体" w:hAnsi="宋体" w:eastAsia="宋体" w:cs="宋体"/>
                <w:color w:val="000000"/>
                <w:sz w:val="21"/>
                <w:szCs w:val="21"/>
                <w:highlight w:val="none"/>
              </w:rPr>
            </w:pPr>
          </w:p>
        </w:tc>
        <w:tc>
          <w:tcPr>
            <w:tcW w:w="5216" w:type="dxa"/>
            <w:tcBorders>
              <w:top w:val="single" w:color="000000" w:sz="4" w:space="0"/>
              <w:left w:val="single" w:color="000000" w:sz="4" w:space="0"/>
              <w:bottom w:val="single" w:color="000000" w:sz="4" w:space="0"/>
              <w:right w:val="single" w:color="000000" w:sz="4" w:space="0"/>
            </w:tcBorders>
            <w:vAlign w:val="center"/>
          </w:tcPr>
          <w:p w14:paraId="26A31D4C">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三方系统上传住院记录信息。</w:t>
            </w:r>
          </w:p>
        </w:tc>
      </w:tr>
      <w:tr w14:paraId="4F316F52">
        <w:tblPrEx>
          <w:tblCellMar>
            <w:top w:w="0" w:type="dxa"/>
            <w:left w:w="108" w:type="dxa"/>
            <w:bottom w:w="0" w:type="dxa"/>
            <w:right w:w="108" w:type="dxa"/>
          </w:tblCellMar>
        </w:tblPrEx>
        <w:trPr>
          <w:trHeight w:val="622" w:hRule="atLeast"/>
        </w:trPr>
        <w:tc>
          <w:tcPr>
            <w:tcW w:w="705" w:type="dxa"/>
            <w:vMerge w:val="continue"/>
            <w:tcBorders>
              <w:left w:val="single" w:color="000000" w:sz="4" w:space="0"/>
              <w:right w:val="single" w:color="000000" w:sz="4" w:space="0"/>
            </w:tcBorders>
            <w:vAlign w:val="center"/>
          </w:tcPr>
          <w:p w14:paraId="1F5FB48E">
            <w:pPr>
              <w:jc w:val="center"/>
              <w:rPr>
                <w:rFonts w:ascii="宋体" w:hAnsi="宋体" w:eastAsia="宋体" w:cs="宋体"/>
                <w:b/>
                <w:bCs/>
                <w:color w:val="000000"/>
                <w:sz w:val="21"/>
                <w:szCs w:val="21"/>
                <w:highlight w:val="none"/>
              </w:rPr>
            </w:pPr>
          </w:p>
        </w:tc>
        <w:tc>
          <w:tcPr>
            <w:tcW w:w="1189" w:type="dxa"/>
            <w:vMerge w:val="continue"/>
            <w:tcBorders>
              <w:left w:val="nil"/>
              <w:right w:val="single" w:color="000000" w:sz="4" w:space="0"/>
            </w:tcBorders>
            <w:vAlign w:val="center"/>
          </w:tcPr>
          <w:p w14:paraId="1B66DF6D">
            <w:pPr>
              <w:jc w:val="left"/>
              <w:rPr>
                <w:rFonts w:ascii="宋体" w:hAnsi="宋体" w:eastAsia="宋体" w:cs="宋体"/>
                <w:color w:val="000000"/>
                <w:sz w:val="21"/>
                <w:szCs w:val="21"/>
                <w:highlight w:val="none"/>
              </w:rPr>
            </w:pPr>
          </w:p>
        </w:tc>
        <w:tc>
          <w:tcPr>
            <w:tcW w:w="1154" w:type="dxa"/>
            <w:tcBorders>
              <w:left w:val="single" w:color="000000" w:sz="4" w:space="0"/>
              <w:right w:val="single" w:color="000000" w:sz="4" w:space="0"/>
            </w:tcBorders>
            <w:vAlign w:val="center"/>
          </w:tcPr>
          <w:p w14:paraId="7A8F5439">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批量门诊数据上传</w:t>
            </w:r>
          </w:p>
        </w:tc>
        <w:tc>
          <w:tcPr>
            <w:tcW w:w="1223" w:type="dxa"/>
            <w:tcBorders>
              <w:top w:val="single" w:color="000000" w:sz="4" w:space="0"/>
              <w:left w:val="single" w:color="000000" w:sz="4" w:space="0"/>
              <w:bottom w:val="single" w:color="000000" w:sz="4" w:space="0"/>
              <w:right w:val="single" w:color="000000" w:sz="4" w:space="0"/>
            </w:tcBorders>
            <w:vAlign w:val="center"/>
          </w:tcPr>
          <w:p w14:paraId="0ACF7431">
            <w:pPr>
              <w:rPr>
                <w:rFonts w:ascii="宋体" w:hAnsi="宋体" w:eastAsia="宋体" w:cs="宋体"/>
                <w:color w:val="000000"/>
                <w:sz w:val="21"/>
                <w:szCs w:val="21"/>
                <w:highlight w:val="none"/>
              </w:rPr>
            </w:pPr>
          </w:p>
        </w:tc>
        <w:tc>
          <w:tcPr>
            <w:tcW w:w="5216" w:type="dxa"/>
            <w:tcBorders>
              <w:top w:val="single" w:color="000000" w:sz="4" w:space="0"/>
              <w:left w:val="single" w:color="000000" w:sz="4" w:space="0"/>
              <w:bottom w:val="single" w:color="000000" w:sz="4" w:space="0"/>
              <w:right w:val="single" w:color="000000" w:sz="4" w:space="0"/>
            </w:tcBorders>
            <w:vAlign w:val="center"/>
          </w:tcPr>
          <w:p w14:paraId="0489DCF8">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三方系统上传门诊记录信息。</w:t>
            </w:r>
          </w:p>
        </w:tc>
      </w:tr>
      <w:tr w14:paraId="74D875C9">
        <w:tblPrEx>
          <w:tblCellMar>
            <w:top w:w="0" w:type="dxa"/>
            <w:left w:w="108" w:type="dxa"/>
            <w:bottom w:w="0" w:type="dxa"/>
            <w:right w:w="108" w:type="dxa"/>
          </w:tblCellMar>
        </w:tblPrEx>
        <w:trPr>
          <w:trHeight w:val="378" w:hRule="atLeast"/>
        </w:trPr>
        <w:tc>
          <w:tcPr>
            <w:tcW w:w="705" w:type="dxa"/>
            <w:vMerge w:val="continue"/>
            <w:tcBorders>
              <w:left w:val="single" w:color="000000" w:sz="4" w:space="0"/>
              <w:right w:val="single" w:color="000000" w:sz="4" w:space="0"/>
            </w:tcBorders>
            <w:vAlign w:val="center"/>
          </w:tcPr>
          <w:p w14:paraId="526209A5">
            <w:pPr>
              <w:jc w:val="center"/>
              <w:rPr>
                <w:rFonts w:ascii="宋体" w:hAnsi="宋体" w:eastAsia="宋体" w:cs="宋体"/>
                <w:b/>
                <w:bCs/>
                <w:color w:val="000000"/>
                <w:sz w:val="21"/>
                <w:szCs w:val="21"/>
                <w:highlight w:val="none"/>
              </w:rPr>
            </w:pPr>
          </w:p>
        </w:tc>
        <w:tc>
          <w:tcPr>
            <w:tcW w:w="1189" w:type="dxa"/>
            <w:vMerge w:val="continue"/>
            <w:tcBorders>
              <w:left w:val="nil"/>
              <w:right w:val="single" w:color="000000" w:sz="4" w:space="0"/>
            </w:tcBorders>
            <w:vAlign w:val="center"/>
          </w:tcPr>
          <w:p w14:paraId="62C6153D">
            <w:pPr>
              <w:jc w:val="left"/>
              <w:rPr>
                <w:rFonts w:ascii="宋体" w:hAnsi="宋体" w:eastAsia="宋体" w:cs="宋体"/>
                <w:color w:val="000000"/>
                <w:sz w:val="21"/>
                <w:szCs w:val="21"/>
                <w:highlight w:val="none"/>
              </w:rPr>
            </w:pPr>
          </w:p>
        </w:tc>
        <w:tc>
          <w:tcPr>
            <w:tcW w:w="1154" w:type="dxa"/>
            <w:tcBorders>
              <w:left w:val="single" w:color="000000" w:sz="4" w:space="0"/>
              <w:right w:val="single" w:color="000000" w:sz="4" w:space="0"/>
            </w:tcBorders>
            <w:vAlign w:val="center"/>
          </w:tcPr>
          <w:p w14:paraId="5560EFE7">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批量用药数据上传</w:t>
            </w:r>
          </w:p>
        </w:tc>
        <w:tc>
          <w:tcPr>
            <w:tcW w:w="1223" w:type="dxa"/>
            <w:tcBorders>
              <w:top w:val="single" w:color="000000" w:sz="4" w:space="0"/>
              <w:left w:val="single" w:color="000000" w:sz="4" w:space="0"/>
              <w:bottom w:val="single" w:color="000000" w:sz="4" w:space="0"/>
              <w:right w:val="single" w:color="000000" w:sz="4" w:space="0"/>
            </w:tcBorders>
            <w:vAlign w:val="center"/>
          </w:tcPr>
          <w:p w14:paraId="0A2CF64E">
            <w:pPr>
              <w:rPr>
                <w:rFonts w:ascii="宋体" w:hAnsi="宋体" w:eastAsia="宋体" w:cs="宋体"/>
                <w:color w:val="000000"/>
                <w:sz w:val="21"/>
                <w:szCs w:val="21"/>
                <w:highlight w:val="none"/>
              </w:rPr>
            </w:pPr>
          </w:p>
        </w:tc>
        <w:tc>
          <w:tcPr>
            <w:tcW w:w="5216" w:type="dxa"/>
            <w:tcBorders>
              <w:top w:val="single" w:color="000000" w:sz="4" w:space="0"/>
              <w:left w:val="single" w:color="000000" w:sz="4" w:space="0"/>
              <w:bottom w:val="single" w:color="000000" w:sz="4" w:space="0"/>
              <w:right w:val="single" w:color="000000" w:sz="4" w:space="0"/>
            </w:tcBorders>
            <w:vAlign w:val="center"/>
          </w:tcPr>
          <w:p w14:paraId="17CD5E73">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三方系统上传门诊/住院的用药记录信息。</w:t>
            </w:r>
          </w:p>
        </w:tc>
      </w:tr>
      <w:tr w14:paraId="2799EA82">
        <w:tblPrEx>
          <w:tblCellMar>
            <w:top w:w="0" w:type="dxa"/>
            <w:left w:w="108" w:type="dxa"/>
            <w:bottom w:w="0" w:type="dxa"/>
            <w:right w:w="108" w:type="dxa"/>
          </w:tblCellMar>
        </w:tblPrEx>
        <w:trPr>
          <w:trHeight w:val="378" w:hRule="atLeast"/>
        </w:trPr>
        <w:tc>
          <w:tcPr>
            <w:tcW w:w="705" w:type="dxa"/>
            <w:vMerge w:val="continue"/>
            <w:tcBorders>
              <w:left w:val="single" w:color="000000" w:sz="4" w:space="0"/>
              <w:right w:val="single" w:color="000000" w:sz="4" w:space="0"/>
            </w:tcBorders>
            <w:vAlign w:val="center"/>
          </w:tcPr>
          <w:p w14:paraId="54D58D72">
            <w:pPr>
              <w:jc w:val="center"/>
              <w:rPr>
                <w:rFonts w:ascii="宋体" w:hAnsi="宋体" w:eastAsia="宋体" w:cs="宋体"/>
                <w:b/>
                <w:bCs/>
                <w:color w:val="000000"/>
                <w:sz w:val="21"/>
                <w:szCs w:val="21"/>
                <w:highlight w:val="none"/>
              </w:rPr>
            </w:pPr>
          </w:p>
        </w:tc>
        <w:tc>
          <w:tcPr>
            <w:tcW w:w="1189" w:type="dxa"/>
            <w:vMerge w:val="continue"/>
            <w:tcBorders>
              <w:left w:val="nil"/>
              <w:right w:val="single" w:color="000000" w:sz="4" w:space="0"/>
            </w:tcBorders>
            <w:vAlign w:val="center"/>
          </w:tcPr>
          <w:p w14:paraId="6719B8EC">
            <w:pPr>
              <w:jc w:val="left"/>
              <w:rPr>
                <w:rFonts w:ascii="宋体" w:hAnsi="宋体" w:eastAsia="宋体" w:cs="宋体"/>
                <w:color w:val="000000"/>
                <w:sz w:val="21"/>
                <w:szCs w:val="21"/>
                <w:highlight w:val="none"/>
              </w:rPr>
            </w:pPr>
          </w:p>
        </w:tc>
        <w:tc>
          <w:tcPr>
            <w:tcW w:w="1154" w:type="dxa"/>
            <w:tcBorders>
              <w:left w:val="single" w:color="000000" w:sz="4" w:space="0"/>
              <w:right w:val="single" w:color="000000" w:sz="4" w:space="0"/>
            </w:tcBorders>
            <w:vAlign w:val="center"/>
          </w:tcPr>
          <w:p w14:paraId="2F50ADEF">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患者标识获取</w:t>
            </w:r>
          </w:p>
        </w:tc>
        <w:tc>
          <w:tcPr>
            <w:tcW w:w="1223" w:type="dxa"/>
            <w:tcBorders>
              <w:top w:val="single" w:color="000000" w:sz="4" w:space="0"/>
              <w:left w:val="single" w:color="000000" w:sz="4" w:space="0"/>
              <w:bottom w:val="single" w:color="000000" w:sz="4" w:space="0"/>
              <w:right w:val="single" w:color="000000" w:sz="4" w:space="0"/>
            </w:tcBorders>
            <w:vAlign w:val="center"/>
          </w:tcPr>
          <w:p w14:paraId="71BF5484">
            <w:pPr>
              <w:rPr>
                <w:rFonts w:ascii="宋体" w:hAnsi="宋体" w:eastAsia="宋体" w:cs="宋体"/>
                <w:color w:val="000000"/>
                <w:sz w:val="21"/>
                <w:szCs w:val="21"/>
                <w:highlight w:val="none"/>
              </w:rPr>
            </w:pPr>
          </w:p>
        </w:tc>
        <w:tc>
          <w:tcPr>
            <w:tcW w:w="5216" w:type="dxa"/>
            <w:tcBorders>
              <w:top w:val="single" w:color="000000" w:sz="4" w:space="0"/>
              <w:left w:val="single" w:color="000000" w:sz="4" w:space="0"/>
              <w:bottom w:val="single" w:color="000000" w:sz="4" w:space="0"/>
              <w:right w:val="single" w:color="000000" w:sz="4" w:space="0"/>
            </w:tcBorders>
            <w:vAlign w:val="center"/>
          </w:tcPr>
          <w:p w14:paraId="1C97D6AB">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提供患者的患病标识查询</w:t>
            </w:r>
          </w:p>
        </w:tc>
      </w:tr>
      <w:tr w14:paraId="4E0EBB03">
        <w:tblPrEx>
          <w:tblCellMar>
            <w:top w:w="0" w:type="dxa"/>
            <w:left w:w="108" w:type="dxa"/>
            <w:bottom w:w="0" w:type="dxa"/>
            <w:right w:w="108" w:type="dxa"/>
          </w:tblCellMar>
        </w:tblPrEx>
        <w:trPr>
          <w:trHeight w:val="378" w:hRule="atLeast"/>
        </w:trPr>
        <w:tc>
          <w:tcPr>
            <w:tcW w:w="705" w:type="dxa"/>
            <w:vMerge w:val="continue"/>
            <w:tcBorders>
              <w:left w:val="single" w:color="000000" w:sz="4" w:space="0"/>
              <w:right w:val="single" w:color="000000" w:sz="4" w:space="0"/>
            </w:tcBorders>
            <w:vAlign w:val="center"/>
          </w:tcPr>
          <w:p w14:paraId="0378C31C">
            <w:pPr>
              <w:jc w:val="center"/>
              <w:rPr>
                <w:rFonts w:ascii="宋体" w:hAnsi="宋体" w:eastAsia="宋体" w:cs="宋体"/>
                <w:b/>
                <w:bCs/>
                <w:color w:val="000000"/>
                <w:sz w:val="21"/>
                <w:szCs w:val="21"/>
                <w:highlight w:val="none"/>
              </w:rPr>
            </w:pPr>
          </w:p>
        </w:tc>
        <w:tc>
          <w:tcPr>
            <w:tcW w:w="1189" w:type="dxa"/>
            <w:vMerge w:val="continue"/>
            <w:tcBorders>
              <w:left w:val="nil"/>
              <w:right w:val="single" w:color="000000" w:sz="4" w:space="0"/>
            </w:tcBorders>
            <w:vAlign w:val="center"/>
          </w:tcPr>
          <w:p w14:paraId="1538BECB">
            <w:pPr>
              <w:jc w:val="left"/>
              <w:rPr>
                <w:rFonts w:ascii="宋体" w:hAnsi="宋体" w:eastAsia="宋体" w:cs="宋体"/>
                <w:color w:val="000000"/>
                <w:sz w:val="21"/>
                <w:szCs w:val="21"/>
                <w:highlight w:val="none"/>
              </w:rPr>
            </w:pPr>
          </w:p>
        </w:tc>
        <w:tc>
          <w:tcPr>
            <w:tcW w:w="1154" w:type="dxa"/>
            <w:tcBorders>
              <w:left w:val="single" w:color="000000" w:sz="4" w:space="0"/>
              <w:right w:val="single" w:color="000000" w:sz="4" w:space="0"/>
            </w:tcBorders>
            <w:vAlign w:val="center"/>
          </w:tcPr>
          <w:p w14:paraId="7C61ED3D">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患者界面调阅</w:t>
            </w:r>
          </w:p>
        </w:tc>
        <w:tc>
          <w:tcPr>
            <w:tcW w:w="1223" w:type="dxa"/>
            <w:tcBorders>
              <w:top w:val="single" w:color="000000" w:sz="4" w:space="0"/>
              <w:left w:val="single" w:color="000000" w:sz="4" w:space="0"/>
              <w:bottom w:val="single" w:color="000000" w:sz="4" w:space="0"/>
              <w:right w:val="single" w:color="000000" w:sz="4" w:space="0"/>
            </w:tcBorders>
            <w:vAlign w:val="center"/>
          </w:tcPr>
          <w:p w14:paraId="64EA0CA4">
            <w:pPr>
              <w:rPr>
                <w:rFonts w:ascii="宋体" w:hAnsi="宋体" w:eastAsia="宋体" w:cs="宋体"/>
                <w:color w:val="000000"/>
                <w:sz w:val="21"/>
                <w:szCs w:val="21"/>
                <w:highlight w:val="none"/>
              </w:rPr>
            </w:pPr>
          </w:p>
        </w:tc>
        <w:tc>
          <w:tcPr>
            <w:tcW w:w="5216" w:type="dxa"/>
            <w:tcBorders>
              <w:top w:val="single" w:color="000000" w:sz="4" w:space="0"/>
              <w:left w:val="single" w:color="000000" w:sz="4" w:space="0"/>
              <w:bottom w:val="single" w:color="000000" w:sz="4" w:space="0"/>
              <w:right w:val="single" w:color="000000" w:sz="4" w:space="0"/>
            </w:tcBorders>
            <w:vAlign w:val="center"/>
          </w:tcPr>
          <w:p w14:paraId="7F1E081E">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调阅患者的慢病基本信息，弹出慢病系统中的患者个人总界面</w:t>
            </w:r>
          </w:p>
        </w:tc>
      </w:tr>
      <w:tr w14:paraId="56C11001">
        <w:tblPrEx>
          <w:tblCellMar>
            <w:top w:w="0" w:type="dxa"/>
            <w:left w:w="108" w:type="dxa"/>
            <w:bottom w:w="0" w:type="dxa"/>
            <w:right w:w="108" w:type="dxa"/>
          </w:tblCellMar>
        </w:tblPrEx>
        <w:trPr>
          <w:trHeight w:val="378" w:hRule="atLeast"/>
        </w:trPr>
        <w:tc>
          <w:tcPr>
            <w:tcW w:w="705" w:type="dxa"/>
            <w:vMerge w:val="restart"/>
            <w:tcBorders>
              <w:left w:val="single" w:color="000000" w:sz="4" w:space="0"/>
              <w:right w:val="single" w:color="000000" w:sz="4" w:space="0"/>
            </w:tcBorders>
            <w:vAlign w:val="center"/>
          </w:tcPr>
          <w:p w14:paraId="39574C2B">
            <w:pPr>
              <w:keepNext w:val="0"/>
              <w:keepLines w:val="0"/>
              <w:widowControl/>
              <w:suppressLineNumbers w:val="0"/>
              <w:jc w:val="center"/>
              <w:textAlignment w:val="center"/>
              <w:rPr>
                <w:rFonts w:ascii="宋体" w:hAnsi="宋体" w:eastAsia="宋体" w:cs="宋体"/>
                <w:b/>
                <w:bCs/>
                <w:color w:val="000000"/>
                <w:sz w:val="21"/>
                <w:szCs w:val="21"/>
                <w:highlight w:val="none"/>
              </w:rPr>
            </w:pPr>
            <w:r>
              <w:rPr>
                <w:rFonts w:hint="eastAsia" w:ascii="宋体" w:hAnsi="宋体" w:eastAsia="宋体" w:cs="宋体"/>
                <w:b/>
                <w:bCs/>
                <w:i w:val="0"/>
                <w:iCs w:val="0"/>
                <w:color w:val="000000"/>
                <w:kern w:val="0"/>
                <w:sz w:val="21"/>
                <w:szCs w:val="21"/>
                <w:highlight w:val="none"/>
                <w:u w:val="none"/>
                <w:lang w:val="en-US" w:eastAsia="zh-CN" w:bidi="ar"/>
              </w:rPr>
              <w:t>慢病管理中心居民端</w:t>
            </w:r>
          </w:p>
        </w:tc>
        <w:tc>
          <w:tcPr>
            <w:tcW w:w="1189" w:type="dxa"/>
            <w:vMerge w:val="restart"/>
            <w:tcBorders>
              <w:left w:val="nil"/>
              <w:right w:val="single" w:color="000000" w:sz="4" w:space="0"/>
            </w:tcBorders>
            <w:vAlign w:val="center"/>
          </w:tcPr>
          <w:p w14:paraId="540A4C6F">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首页</w:t>
            </w:r>
          </w:p>
        </w:tc>
        <w:tc>
          <w:tcPr>
            <w:tcW w:w="1154" w:type="dxa"/>
            <w:vMerge w:val="restart"/>
            <w:tcBorders>
              <w:left w:val="single" w:color="000000" w:sz="4" w:space="0"/>
              <w:right w:val="single" w:color="000000" w:sz="4" w:space="0"/>
            </w:tcBorders>
            <w:vAlign w:val="center"/>
          </w:tcPr>
          <w:p w14:paraId="67A8159D">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独立小程序</w:t>
            </w:r>
          </w:p>
        </w:tc>
        <w:tc>
          <w:tcPr>
            <w:tcW w:w="1223" w:type="dxa"/>
            <w:tcBorders>
              <w:top w:val="single" w:color="000000" w:sz="4" w:space="0"/>
              <w:left w:val="single" w:color="000000" w:sz="4" w:space="0"/>
              <w:bottom w:val="single" w:color="000000" w:sz="4" w:space="0"/>
              <w:right w:val="single" w:color="000000" w:sz="4" w:space="0"/>
            </w:tcBorders>
            <w:vAlign w:val="center"/>
          </w:tcPr>
          <w:p w14:paraId="40784047">
            <w:pPr>
              <w:rPr>
                <w:rFonts w:ascii="宋体" w:hAnsi="宋体" w:eastAsia="宋体" w:cs="宋体"/>
                <w:color w:val="000000"/>
                <w:sz w:val="21"/>
                <w:szCs w:val="21"/>
                <w:highlight w:val="none"/>
              </w:rPr>
            </w:pPr>
          </w:p>
        </w:tc>
        <w:tc>
          <w:tcPr>
            <w:tcW w:w="5216" w:type="dxa"/>
            <w:tcBorders>
              <w:top w:val="single" w:color="000000" w:sz="4" w:space="0"/>
              <w:left w:val="single" w:color="000000" w:sz="4" w:space="0"/>
              <w:bottom w:val="single" w:color="000000" w:sz="4" w:space="0"/>
              <w:right w:val="single" w:color="000000" w:sz="4" w:space="0"/>
            </w:tcBorders>
            <w:vAlign w:val="center"/>
          </w:tcPr>
          <w:p w14:paraId="4AF91F4F">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对系统的各个入口进行集中展示，包含当日提醒、健康分析、我的档案三个部分。</w:t>
            </w:r>
          </w:p>
        </w:tc>
      </w:tr>
      <w:tr w14:paraId="42875053">
        <w:tblPrEx>
          <w:tblCellMar>
            <w:top w:w="0" w:type="dxa"/>
            <w:left w:w="108" w:type="dxa"/>
            <w:bottom w:w="0" w:type="dxa"/>
            <w:right w:w="108" w:type="dxa"/>
          </w:tblCellMar>
        </w:tblPrEx>
        <w:trPr>
          <w:trHeight w:val="622" w:hRule="atLeast"/>
        </w:trPr>
        <w:tc>
          <w:tcPr>
            <w:tcW w:w="705" w:type="dxa"/>
            <w:vMerge w:val="continue"/>
            <w:tcBorders>
              <w:left w:val="single" w:color="000000" w:sz="4" w:space="0"/>
              <w:right w:val="single" w:color="000000" w:sz="4" w:space="0"/>
            </w:tcBorders>
            <w:vAlign w:val="center"/>
          </w:tcPr>
          <w:p w14:paraId="412CFC7B">
            <w:pPr>
              <w:jc w:val="center"/>
              <w:rPr>
                <w:rFonts w:ascii="宋体" w:hAnsi="宋体" w:eastAsia="宋体" w:cs="宋体"/>
                <w:b/>
                <w:bCs/>
                <w:color w:val="000000"/>
                <w:sz w:val="21"/>
                <w:szCs w:val="21"/>
                <w:highlight w:val="none"/>
              </w:rPr>
            </w:pPr>
          </w:p>
        </w:tc>
        <w:tc>
          <w:tcPr>
            <w:tcW w:w="1189" w:type="dxa"/>
            <w:vMerge w:val="continue"/>
            <w:tcBorders>
              <w:left w:val="nil"/>
              <w:right w:val="single" w:color="000000" w:sz="4" w:space="0"/>
            </w:tcBorders>
            <w:vAlign w:val="center"/>
          </w:tcPr>
          <w:p w14:paraId="2835363C">
            <w:pPr>
              <w:jc w:val="left"/>
              <w:rPr>
                <w:rFonts w:ascii="宋体" w:hAnsi="宋体" w:eastAsia="宋体" w:cs="宋体"/>
                <w:color w:val="000000"/>
                <w:sz w:val="21"/>
                <w:szCs w:val="21"/>
                <w:highlight w:val="none"/>
              </w:rPr>
            </w:pPr>
          </w:p>
        </w:tc>
        <w:tc>
          <w:tcPr>
            <w:tcW w:w="1154" w:type="dxa"/>
            <w:vMerge w:val="continue"/>
            <w:tcBorders>
              <w:left w:val="single" w:color="000000" w:sz="4" w:space="0"/>
              <w:right w:val="single" w:color="000000" w:sz="4" w:space="0"/>
            </w:tcBorders>
            <w:vAlign w:val="center"/>
          </w:tcPr>
          <w:p w14:paraId="73D4E3BC">
            <w:pPr>
              <w:jc w:val="left"/>
              <w:rPr>
                <w:rFonts w:ascii="宋体" w:hAnsi="宋体" w:eastAsia="宋体" w:cs="宋体"/>
                <w:color w:val="000000"/>
                <w:sz w:val="21"/>
                <w:szCs w:val="21"/>
                <w:highlight w:val="none"/>
              </w:rPr>
            </w:pPr>
          </w:p>
        </w:tc>
        <w:tc>
          <w:tcPr>
            <w:tcW w:w="1223" w:type="dxa"/>
            <w:tcBorders>
              <w:top w:val="single" w:color="000000" w:sz="4" w:space="0"/>
              <w:left w:val="single" w:color="000000" w:sz="4" w:space="0"/>
              <w:bottom w:val="single" w:color="000000" w:sz="4" w:space="0"/>
              <w:right w:val="single" w:color="000000" w:sz="4" w:space="0"/>
            </w:tcBorders>
            <w:vAlign w:val="center"/>
          </w:tcPr>
          <w:p w14:paraId="7D6D6880">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当日提醒</w:t>
            </w:r>
          </w:p>
        </w:tc>
        <w:tc>
          <w:tcPr>
            <w:tcW w:w="5216" w:type="dxa"/>
            <w:tcBorders>
              <w:top w:val="single" w:color="000000" w:sz="4" w:space="0"/>
              <w:left w:val="single" w:color="000000" w:sz="4" w:space="0"/>
              <w:bottom w:val="single" w:color="000000" w:sz="4" w:space="0"/>
              <w:right w:val="single" w:color="000000" w:sz="4" w:space="0"/>
            </w:tcBorders>
            <w:vAlign w:val="center"/>
          </w:tcPr>
          <w:p w14:paraId="0B4AE72E">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▲对展示患者当天的督导提醒，涉及：待随访提醒、饮食提醒、运动提醒、中医提醒和用药提醒，居民可对提醒进行完成的填写说明。</w:t>
            </w:r>
          </w:p>
        </w:tc>
      </w:tr>
      <w:tr w14:paraId="7B495520">
        <w:tblPrEx>
          <w:tblCellMar>
            <w:top w:w="0" w:type="dxa"/>
            <w:left w:w="108" w:type="dxa"/>
            <w:bottom w:w="0" w:type="dxa"/>
            <w:right w:w="108" w:type="dxa"/>
          </w:tblCellMar>
        </w:tblPrEx>
        <w:trPr>
          <w:trHeight w:val="622" w:hRule="atLeast"/>
        </w:trPr>
        <w:tc>
          <w:tcPr>
            <w:tcW w:w="705" w:type="dxa"/>
            <w:vMerge w:val="continue"/>
            <w:tcBorders>
              <w:left w:val="single" w:color="000000" w:sz="4" w:space="0"/>
              <w:right w:val="single" w:color="000000" w:sz="4" w:space="0"/>
            </w:tcBorders>
            <w:vAlign w:val="center"/>
          </w:tcPr>
          <w:p w14:paraId="35B2AD40">
            <w:pPr>
              <w:jc w:val="center"/>
              <w:rPr>
                <w:rFonts w:ascii="宋体" w:hAnsi="宋体" w:eastAsia="宋体" w:cs="宋体"/>
                <w:b/>
                <w:bCs/>
                <w:color w:val="000000"/>
                <w:sz w:val="21"/>
                <w:szCs w:val="21"/>
                <w:highlight w:val="none"/>
              </w:rPr>
            </w:pPr>
          </w:p>
        </w:tc>
        <w:tc>
          <w:tcPr>
            <w:tcW w:w="1189" w:type="dxa"/>
            <w:vMerge w:val="continue"/>
            <w:tcBorders>
              <w:left w:val="nil"/>
              <w:right w:val="single" w:color="000000" w:sz="4" w:space="0"/>
            </w:tcBorders>
            <w:vAlign w:val="center"/>
          </w:tcPr>
          <w:p w14:paraId="534545D6">
            <w:pPr>
              <w:jc w:val="left"/>
              <w:rPr>
                <w:rFonts w:ascii="宋体" w:hAnsi="宋体" w:eastAsia="宋体" w:cs="宋体"/>
                <w:color w:val="000000"/>
                <w:sz w:val="21"/>
                <w:szCs w:val="21"/>
                <w:highlight w:val="none"/>
              </w:rPr>
            </w:pPr>
          </w:p>
        </w:tc>
        <w:tc>
          <w:tcPr>
            <w:tcW w:w="1154" w:type="dxa"/>
            <w:vMerge w:val="continue"/>
            <w:tcBorders>
              <w:left w:val="single" w:color="000000" w:sz="4" w:space="0"/>
              <w:right w:val="single" w:color="000000" w:sz="4" w:space="0"/>
            </w:tcBorders>
            <w:vAlign w:val="center"/>
          </w:tcPr>
          <w:p w14:paraId="35D8EBB7">
            <w:pPr>
              <w:jc w:val="left"/>
              <w:rPr>
                <w:rFonts w:ascii="宋体" w:hAnsi="宋体" w:eastAsia="宋体" w:cs="宋体"/>
                <w:color w:val="000000"/>
                <w:sz w:val="21"/>
                <w:szCs w:val="21"/>
                <w:highlight w:val="none"/>
              </w:rPr>
            </w:pPr>
          </w:p>
        </w:tc>
        <w:tc>
          <w:tcPr>
            <w:tcW w:w="1223" w:type="dxa"/>
            <w:tcBorders>
              <w:top w:val="single" w:color="000000" w:sz="4" w:space="0"/>
              <w:left w:val="single" w:color="000000" w:sz="4" w:space="0"/>
              <w:bottom w:val="single" w:color="000000" w:sz="4" w:space="0"/>
              <w:right w:val="single" w:color="000000" w:sz="4" w:space="0"/>
            </w:tcBorders>
            <w:vAlign w:val="center"/>
          </w:tcPr>
          <w:p w14:paraId="2CE6718A">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健康分析</w:t>
            </w:r>
          </w:p>
        </w:tc>
        <w:tc>
          <w:tcPr>
            <w:tcW w:w="5216" w:type="dxa"/>
            <w:tcBorders>
              <w:top w:val="single" w:color="000000" w:sz="4" w:space="0"/>
              <w:left w:val="single" w:color="000000" w:sz="4" w:space="0"/>
              <w:bottom w:val="single" w:color="000000" w:sz="4" w:space="0"/>
              <w:right w:val="single" w:color="000000" w:sz="4" w:space="0"/>
            </w:tcBorders>
            <w:vAlign w:val="center"/>
          </w:tcPr>
          <w:p w14:paraId="0CD6AFA0">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可对居民的健康情况进行分析展示。</w:t>
            </w:r>
          </w:p>
        </w:tc>
      </w:tr>
      <w:tr w14:paraId="07A494AC">
        <w:tblPrEx>
          <w:tblCellMar>
            <w:top w:w="0" w:type="dxa"/>
            <w:left w:w="108" w:type="dxa"/>
            <w:bottom w:w="0" w:type="dxa"/>
            <w:right w:w="108" w:type="dxa"/>
          </w:tblCellMar>
        </w:tblPrEx>
        <w:trPr>
          <w:trHeight w:val="622" w:hRule="atLeast"/>
        </w:trPr>
        <w:tc>
          <w:tcPr>
            <w:tcW w:w="705" w:type="dxa"/>
            <w:vMerge w:val="continue"/>
            <w:tcBorders>
              <w:left w:val="single" w:color="000000" w:sz="4" w:space="0"/>
              <w:right w:val="single" w:color="000000" w:sz="4" w:space="0"/>
            </w:tcBorders>
            <w:vAlign w:val="center"/>
          </w:tcPr>
          <w:p w14:paraId="24135C6D">
            <w:pPr>
              <w:jc w:val="center"/>
              <w:rPr>
                <w:rFonts w:ascii="宋体" w:hAnsi="宋体" w:eastAsia="宋体" w:cs="宋体"/>
                <w:b/>
                <w:bCs/>
                <w:color w:val="000000"/>
                <w:sz w:val="21"/>
                <w:szCs w:val="21"/>
                <w:highlight w:val="none"/>
              </w:rPr>
            </w:pPr>
          </w:p>
        </w:tc>
        <w:tc>
          <w:tcPr>
            <w:tcW w:w="1189" w:type="dxa"/>
            <w:vMerge w:val="continue"/>
            <w:tcBorders>
              <w:left w:val="nil"/>
              <w:right w:val="single" w:color="000000" w:sz="4" w:space="0"/>
            </w:tcBorders>
            <w:vAlign w:val="center"/>
          </w:tcPr>
          <w:p w14:paraId="0275204C">
            <w:pPr>
              <w:jc w:val="left"/>
              <w:rPr>
                <w:rFonts w:ascii="宋体" w:hAnsi="宋体" w:eastAsia="宋体" w:cs="宋体"/>
                <w:color w:val="000000"/>
                <w:sz w:val="21"/>
                <w:szCs w:val="21"/>
                <w:highlight w:val="none"/>
              </w:rPr>
            </w:pPr>
          </w:p>
        </w:tc>
        <w:tc>
          <w:tcPr>
            <w:tcW w:w="1154" w:type="dxa"/>
            <w:vMerge w:val="continue"/>
            <w:tcBorders>
              <w:left w:val="single" w:color="000000" w:sz="4" w:space="0"/>
              <w:right w:val="single" w:color="000000" w:sz="4" w:space="0"/>
            </w:tcBorders>
            <w:vAlign w:val="center"/>
          </w:tcPr>
          <w:p w14:paraId="33426C26">
            <w:pPr>
              <w:jc w:val="left"/>
              <w:rPr>
                <w:rFonts w:ascii="宋体" w:hAnsi="宋体" w:eastAsia="宋体" w:cs="宋体"/>
                <w:color w:val="000000"/>
                <w:sz w:val="21"/>
                <w:szCs w:val="21"/>
                <w:highlight w:val="none"/>
              </w:rPr>
            </w:pPr>
          </w:p>
        </w:tc>
        <w:tc>
          <w:tcPr>
            <w:tcW w:w="1223" w:type="dxa"/>
            <w:tcBorders>
              <w:top w:val="single" w:color="000000" w:sz="4" w:space="0"/>
              <w:left w:val="single" w:color="000000" w:sz="4" w:space="0"/>
              <w:bottom w:val="single" w:color="000000" w:sz="4" w:space="0"/>
              <w:right w:val="single" w:color="000000" w:sz="4" w:space="0"/>
            </w:tcBorders>
            <w:vAlign w:val="center"/>
          </w:tcPr>
          <w:p w14:paraId="3011DF6C">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我的档案</w:t>
            </w:r>
          </w:p>
        </w:tc>
        <w:tc>
          <w:tcPr>
            <w:tcW w:w="5216" w:type="dxa"/>
            <w:tcBorders>
              <w:top w:val="single" w:color="000000" w:sz="4" w:space="0"/>
              <w:left w:val="single" w:color="000000" w:sz="4" w:space="0"/>
              <w:bottom w:val="single" w:color="000000" w:sz="4" w:space="0"/>
              <w:right w:val="single" w:color="000000" w:sz="4" w:space="0"/>
            </w:tcBorders>
            <w:vAlign w:val="center"/>
          </w:tcPr>
          <w:p w14:paraId="471B70B3">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可对居民的档案信息进行查阅。</w:t>
            </w:r>
          </w:p>
        </w:tc>
      </w:tr>
      <w:tr w14:paraId="7AAC91D4">
        <w:tblPrEx>
          <w:tblCellMar>
            <w:top w:w="0" w:type="dxa"/>
            <w:left w:w="108" w:type="dxa"/>
            <w:bottom w:w="0" w:type="dxa"/>
            <w:right w:w="108" w:type="dxa"/>
          </w:tblCellMar>
        </w:tblPrEx>
        <w:trPr>
          <w:trHeight w:val="622" w:hRule="atLeast"/>
        </w:trPr>
        <w:tc>
          <w:tcPr>
            <w:tcW w:w="705" w:type="dxa"/>
            <w:vMerge w:val="continue"/>
            <w:tcBorders>
              <w:left w:val="single" w:color="000000" w:sz="4" w:space="0"/>
              <w:right w:val="single" w:color="000000" w:sz="4" w:space="0"/>
            </w:tcBorders>
            <w:vAlign w:val="center"/>
          </w:tcPr>
          <w:p w14:paraId="511131DE">
            <w:pPr>
              <w:jc w:val="center"/>
              <w:rPr>
                <w:rFonts w:ascii="宋体" w:hAnsi="宋体" w:eastAsia="宋体" w:cs="宋体"/>
                <w:b/>
                <w:bCs/>
                <w:color w:val="000000"/>
                <w:sz w:val="21"/>
                <w:szCs w:val="21"/>
                <w:highlight w:val="none"/>
              </w:rPr>
            </w:pPr>
          </w:p>
        </w:tc>
        <w:tc>
          <w:tcPr>
            <w:tcW w:w="1189" w:type="dxa"/>
            <w:vMerge w:val="restart"/>
            <w:tcBorders>
              <w:left w:val="nil"/>
              <w:right w:val="single" w:color="000000" w:sz="4" w:space="0"/>
            </w:tcBorders>
            <w:vAlign w:val="center"/>
          </w:tcPr>
          <w:p w14:paraId="4F9A31DE">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健康课堂</w:t>
            </w:r>
          </w:p>
        </w:tc>
        <w:tc>
          <w:tcPr>
            <w:tcW w:w="1154" w:type="dxa"/>
            <w:tcBorders>
              <w:top w:val="single" w:color="000000" w:sz="4" w:space="0"/>
              <w:left w:val="single" w:color="000000" w:sz="4" w:space="0"/>
              <w:right w:val="single" w:color="000000" w:sz="4" w:space="0"/>
            </w:tcBorders>
            <w:vAlign w:val="center"/>
          </w:tcPr>
          <w:p w14:paraId="0ACE4330">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慢病课堂</w:t>
            </w:r>
          </w:p>
        </w:tc>
        <w:tc>
          <w:tcPr>
            <w:tcW w:w="1223" w:type="dxa"/>
            <w:tcBorders>
              <w:top w:val="single" w:color="000000" w:sz="4" w:space="0"/>
              <w:left w:val="single" w:color="000000" w:sz="4" w:space="0"/>
              <w:bottom w:val="single" w:color="000000" w:sz="4" w:space="0"/>
              <w:right w:val="single" w:color="000000" w:sz="4" w:space="0"/>
            </w:tcBorders>
            <w:vAlign w:val="center"/>
          </w:tcPr>
          <w:p w14:paraId="5F371AE1">
            <w:pPr>
              <w:rPr>
                <w:rFonts w:ascii="宋体" w:hAnsi="宋体" w:eastAsia="宋体" w:cs="宋体"/>
                <w:color w:val="000000"/>
                <w:sz w:val="21"/>
                <w:szCs w:val="21"/>
                <w:highlight w:val="none"/>
              </w:rPr>
            </w:pPr>
          </w:p>
        </w:tc>
        <w:tc>
          <w:tcPr>
            <w:tcW w:w="5216" w:type="dxa"/>
            <w:tcBorders>
              <w:top w:val="single" w:color="000000" w:sz="4" w:space="0"/>
              <w:left w:val="single" w:color="000000" w:sz="4" w:space="0"/>
              <w:bottom w:val="single" w:color="000000" w:sz="4" w:space="0"/>
              <w:right w:val="single" w:color="000000" w:sz="4" w:space="0"/>
            </w:tcBorders>
            <w:vAlign w:val="center"/>
          </w:tcPr>
          <w:p w14:paraId="484C918F">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支持查阅慢病管理中心管理端发布的慢病的健康干预指导模板信息</w:t>
            </w:r>
          </w:p>
        </w:tc>
      </w:tr>
      <w:tr w14:paraId="65547112">
        <w:tblPrEx>
          <w:tblCellMar>
            <w:top w:w="0" w:type="dxa"/>
            <w:left w:w="108" w:type="dxa"/>
            <w:bottom w:w="0" w:type="dxa"/>
            <w:right w:w="108" w:type="dxa"/>
          </w:tblCellMar>
        </w:tblPrEx>
        <w:trPr>
          <w:trHeight w:val="622" w:hRule="atLeast"/>
        </w:trPr>
        <w:tc>
          <w:tcPr>
            <w:tcW w:w="705" w:type="dxa"/>
            <w:vMerge w:val="continue"/>
            <w:tcBorders>
              <w:left w:val="single" w:color="000000" w:sz="4" w:space="0"/>
              <w:right w:val="single" w:color="000000" w:sz="4" w:space="0"/>
            </w:tcBorders>
            <w:vAlign w:val="center"/>
          </w:tcPr>
          <w:p w14:paraId="470EB0B2">
            <w:pPr>
              <w:jc w:val="center"/>
              <w:rPr>
                <w:rFonts w:ascii="宋体" w:hAnsi="宋体" w:eastAsia="宋体" w:cs="宋体"/>
                <w:b/>
                <w:bCs/>
                <w:color w:val="000000"/>
                <w:sz w:val="21"/>
                <w:szCs w:val="21"/>
                <w:highlight w:val="none"/>
              </w:rPr>
            </w:pPr>
          </w:p>
        </w:tc>
        <w:tc>
          <w:tcPr>
            <w:tcW w:w="1189" w:type="dxa"/>
            <w:vMerge w:val="continue"/>
            <w:tcBorders>
              <w:left w:val="nil"/>
              <w:right w:val="single" w:color="000000" w:sz="4" w:space="0"/>
            </w:tcBorders>
            <w:vAlign w:val="center"/>
          </w:tcPr>
          <w:p w14:paraId="205DA32E">
            <w:pPr>
              <w:jc w:val="left"/>
              <w:rPr>
                <w:rFonts w:ascii="宋体" w:hAnsi="宋体" w:eastAsia="宋体" w:cs="宋体"/>
                <w:color w:val="000000"/>
                <w:sz w:val="21"/>
                <w:szCs w:val="21"/>
                <w:highlight w:val="none"/>
              </w:rPr>
            </w:pPr>
          </w:p>
        </w:tc>
        <w:tc>
          <w:tcPr>
            <w:tcW w:w="1154" w:type="dxa"/>
            <w:tcBorders>
              <w:left w:val="single" w:color="000000" w:sz="4" w:space="0"/>
              <w:right w:val="single" w:color="000000" w:sz="4" w:space="0"/>
            </w:tcBorders>
            <w:vAlign w:val="center"/>
          </w:tcPr>
          <w:p w14:paraId="07A40ED2">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肿瘤课堂</w:t>
            </w:r>
          </w:p>
        </w:tc>
        <w:tc>
          <w:tcPr>
            <w:tcW w:w="1223" w:type="dxa"/>
            <w:tcBorders>
              <w:top w:val="single" w:color="000000" w:sz="4" w:space="0"/>
              <w:left w:val="single" w:color="000000" w:sz="4" w:space="0"/>
              <w:bottom w:val="single" w:color="000000" w:sz="4" w:space="0"/>
              <w:right w:val="single" w:color="000000" w:sz="4" w:space="0"/>
            </w:tcBorders>
            <w:vAlign w:val="center"/>
          </w:tcPr>
          <w:p w14:paraId="7DA5DCB2">
            <w:pPr>
              <w:rPr>
                <w:rFonts w:ascii="宋体" w:hAnsi="宋体" w:eastAsia="宋体" w:cs="宋体"/>
                <w:color w:val="000000"/>
                <w:sz w:val="21"/>
                <w:szCs w:val="21"/>
                <w:highlight w:val="none"/>
              </w:rPr>
            </w:pPr>
          </w:p>
        </w:tc>
        <w:tc>
          <w:tcPr>
            <w:tcW w:w="5216" w:type="dxa"/>
            <w:tcBorders>
              <w:top w:val="single" w:color="000000" w:sz="4" w:space="0"/>
              <w:left w:val="single" w:color="000000" w:sz="4" w:space="0"/>
              <w:bottom w:val="single" w:color="000000" w:sz="4" w:space="0"/>
              <w:right w:val="single" w:color="000000" w:sz="4" w:space="0"/>
            </w:tcBorders>
            <w:vAlign w:val="center"/>
          </w:tcPr>
          <w:p w14:paraId="313AC89D">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支持查阅慢病管理中心管理端发布的肿瘤的健康干预指导模板信息</w:t>
            </w:r>
          </w:p>
        </w:tc>
      </w:tr>
      <w:tr w14:paraId="03735BF0">
        <w:tblPrEx>
          <w:tblCellMar>
            <w:top w:w="0" w:type="dxa"/>
            <w:left w:w="108" w:type="dxa"/>
            <w:bottom w:w="0" w:type="dxa"/>
            <w:right w:w="108" w:type="dxa"/>
          </w:tblCellMar>
        </w:tblPrEx>
        <w:trPr>
          <w:trHeight w:val="622" w:hRule="atLeast"/>
        </w:trPr>
        <w:tc>
          <w:tcPr>
            <w:tcW w:w="705" w:type="dxa"/>
            <w:vMerge w:val="continue"/>
            <w:tcBorders>
              <w:left w:val="single" w:color="000000" w:sz="4" w:space="0"/>
              <w:right w:val="single" w:color="000000" w:sz="4" w:space="0"/>
            </w:tcBorders>
            <w:vAlign w:val="center"/>
          </w:tcPr>
          <w:p w14:paraId="419FFA7F">
            <w:pPr>
              <w:jc w:val="center"/>
              <w:rPr>
                <w:rFonts w:ascii="宋体" w:hAnsi="宋体" w:eastAsia="宋体" w:cs="宋体"/>
                <w:b/>
                <w:bCs/>
                <w:color w:val="000000"/>
                <w:sz w:val="21"/>
                <w:szCs w:val="21"/>
                <w:highlight w:val="none"/>
              </w:rPr>
            </w:pPr>
          </w:p>
        </w:tc>
        <w:tc>
          <w:tcPr>
            <w:tcW w:w="1189" w:type="dxa"/>
            <w:vMerge w:val="restart"/>
            <w:tcBorders>
              <w:left w:val="nil"/>
              <w:right w:val="single" w:color="000000" w:sz="4" w:space="0"/>
            </w:tcBorders>
            <w:vAlign w:val="center"/>
          </w:tcPr>
          <w:p w14:paraId="37706536">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健康档案</w:t>
            </w:r>
          </w:p>
        </w:tc>
        <w:tc>
          <w:tcPr>
            <w:tcW w:w="1154" w:type="dxa"/>
            <w:tcBorders>
              <w:left w:val="single" w:color="000000" w:sz="4" w:space="0"/>
              <w:right w:val="single" w:color="000000" w:sz="4" w:space="0"/>
            </w:tcBorders>
            <w:vAlign w:val="center"/>
          </w:tcPr>
          <w:p w14:paraId="0A01FFA8">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个人信息</w:t>
            </w:r>
          </w:p>
        </w:tc>
        <w:tc>
          <w:tcPr>
            <w:tcW w:w="1223" w:type="dxa"/>
            <w:tcBorders>
              <w:top w:val="single" w:color="000000" w:sz="4" w:space="0"/>
              <w:left w:val="single" w:color="000000" w:sz="4" w:space="0"/>
              <w:bottom w:val="single" w:color="000000" w:sz="4" w:space="0"/>
              <w:right w:val="single" w:color="000000" w:sz="4" w:space="0"/>
            </w:tcBorders>
            <w:vAlign w:val="center"/>
          </w:tcPr>
          <w:p w14:paraId="792E97E2">
            <w:pPr>
              <w:rPr>
                <w:rFonts w:ascii="宋体" w:hAnsi="宋体" w:eastAsia="宋体" w:cs="宋体"/>
                <w:color w:val="000000"/>
                <w:sz w:val="21"/>
                <w:szCs w:val="21"/>
                <w:highlight w:val="none"/>
              </w:rPr>
            </w:pPr>
          </w:p>
        </w:tc>
        <w:tc>
          <w:tcPr>
            <w:tcW w:w="5216" w:type="dxa"/>
            <w:tcBorders>
              <w:top w:val="single" w:color="000000" w:sz="4" w:space="0"/>
              <w:left w:val="single" w:color="000000" w:sz="4" w:space="0"/>
              <w:bottom w:val="single" w:color="000000" w:sz="4" w:space="0"/>
              <w:right w:val="single" w:color="000000" w:sz="4" w:space="0"/>
            </w:tcBorders>
            <w:vAlign w:val="center"/>
          </w:tcPr>
          <w:p w14:paraId="62836E47">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展示个人基础信息，且可切换家庭成员，该栏目查阅家庭成员的基本信息。</w:t>
            </w:r>
          </w:p>
        </w:tc>
      </w:tr>
      <w:tr w14:paraId="3C401704">
        <w:tblPrEx>
          <w:tblCellMar>
            <w:top w:w="0" w:type="dxa"/>
            <w:left w:w="108" w:type="dxa"/>
            <w:bottom w:w="0" w:type="dxa"/>
            <w:right w:w="108" w:type="dxa"/>
          </w:tblCellMar>
        </w:tblPrEx>
        <w:trPr>
          <w:trHeight w:val="622" w:hRule="atLeast"/>
        </w:trPr>
        <w:tc>
          <w:tcPr>
            <w:tcW w:w="705" w:type="dxa"/>
            <w:vMerge w:val="continue"/>
            <w:tcBorders>
              <w:left w:val="single" w:color="000000" w:sz="4" w:space="0"/>
              <w:right w:val="single" w:color="000000" w:sz="4" w:space="0"/>
            </w:tcBorders>
            <w:vAlign w:val="center"/>
          </w:tcPr>
          <w:p w14:paraId="11B11A62">
            <w:pPr>
              <w:jc w:val="center"/>
              <w:rPr>
                <w:rFonts w:ascii="宋体" w:hAnsi="宋体" w:eastAsia="宋体" w:cs="宋体"/>
                <w:b/>
                <w:bCs/>
                <w:color w:val="000000"/>
                <w:sz w:val="21"/>
                <w:szCs w:val="21"/>
                <w:highlight w:val="none"/>
              </w:rPr>
            </w:pPr>
          </w:p>
        </w:tc>
        <w:tc>
          <w:tcPr>
            <w:tcW w:w="1189" w:type="dxa"/>
            <w:vMerge w:val="continue"/>
            <w:tcBorders>
              <w:left w:val="nil"/>
              <w:right w:val="single" w:color="000000" w:sz="4" w:space="0"/>
            </w:tcBorders>
            <w:vAlign w:val="center"/>
          </w:tcPr>
          <w:p w14:paraId="563AB1EA">
            <w:pPr>
              <w:jc w:val="left"/>
              <w:rPr>
                <w:rFonts w:ascii="宋体" w:hAnsi="宋体" w:eastAsia="宋体" w:cs="宋体"/>
                <w:color w:val="000000"/>
                <w:sz w:val="21"/>
                <w:szCs w:val="21"/>
                <w:highlight w:val="none"/>
              </w:rPr>
            </w:pPr>
          </w:p>
        </w:tc>
        <w:tc>
          <w:tcPr>
            <w:tcW w:w="1154" w:type="dxa"/>
            <w:vMerge w:val="restart"/>
            <w:tcBorders>
              <w:left w:val="single" w:color="000000" w:sz="4" w:space="0"/>
              <w:right w:val="single" w:color="000000" w:sz="4" w:space="0"/>
            </w:tcBorders>
            <w:vAlign w:val="center"/>
          </w:tcPr>
          <w:p w14:paraId="1D9E4159">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诊疗档案</w:t>
            </w:r>
          </w:p>
        </w:tc>
        <w:tc>
          <w:tcPr>
            <w:tcW w:w="1223" w:type="dxa"/>
            <w:tcBorders>
              <w:top w:val="single" w:color="000000" w:sz="4" w:space="0"/>
              <w:left w:val="single" w:color="000000" w:sz="4" w:space="0"/>
              <w:bottom w:val="single" w:color="000000" w:sz="4" w:space="0"/>
              <w:right w:val="single" w:color="000000" w:sz="4" w:space="0"/>
            </w:tcBorders>
            <w:vAlign w:val="center"/>
          </w:tcPr>
          <w:p w14:paraId="799CF1F9">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门诊档案</w:t>
            </w:r>
          </w:p>
        </w:tc>
        <w:tc>
          <w:tcPr>
            <w:tcW w:w="5216" w:type="dxa"/>
            <w:tcBorders>
              <w:top w:val="single" w:color="000000" w:sz="4" w:space="0"/>
              <w:left w:val="single" w:color="000000" w:sz="4" w:space="0"/>
              <w:bottom w:val="single" w:color="000000" w:sz="4" w:space="0"/>
              <w:right w:val="single" w:color="000000" w:sz="4" w:space="0"/>
            </w:tcBorders>
            <w:vAlign w:val="center"/>
          </w:tcPr>
          <w:p w14:paraId="15AA56C4">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可对居民的慢病/肿瘤门诊形成列表信息，可对门诊档案进行查阅。</w:t>
            </w:r>
          </w:p>
        </w:tc>
      </w:tr>
      <w:tr w14:paraId="21595ADF">
        <w:tblPrEx>
          <w:tblCellMar>
            <w:top w:w="0" w:type="dxa"/>
            <w:left w:w="108" w:type="dxa"/>
            <w:bottom w:w="0" w:type="dxa"/>
            <w:right w:w="108" w:type="dxa"/>
          </w:tblCellMar>
        </w:tblPrEx>
        <w:trPr>
          <w:trHeight w:val="730" w:hRule="atLeast"/>
        </w:trPr>
        <w:tc>
          <w:tcPr>
            <w:tcW w:w="705" w:type="dxa"/>
            <w:vMerge w:val="continue"/>
            <w:tcBorders>
              <w:left w:val="single" w:color="000000" w:sz="4" w:space="0"/>
              <w:right w:val="single" w:color="000000" w:sz="4" w:space="0"/>
            </w:tcBorders>
            <w:vAlign w:val="center"/>
          </w:tcPr>
          <w:p w14:paraId="0FA167C8">
            <w:pPr>
              <w:jc w:val="center"/>
              <w:rPr>
                <w:rFonts w:ascii="宋体" w:hAnsi="宋体" w:eastAsia="宋体" w:cs="宋体"/>
                <w:b/>
                <w:bCs/>
                <w:color w:val="000000"/>
                <w:sz w:val="21"/>
                <w:szCs w:val="21"/>
                <w:highlight w:val="none"/>
              </w:rPr>
            </w:pPr>
          </w:p>
        </w:tc>
        <w:tc>
          <w:tcPr>
            <w:tcW w:w="1189" w:type="dxa"/>
            <w:vMerge w:val="continue"/>
            <w:tcBorders>
              <w:left w:val="nil"/>
              <w:right w:val="single" w:color="000000" w:sz="4" w:space="0"/>
            </w:tcBorders>
            <w:vAlign w:val="center"/>
          </w:tcPr>
          <w:p w14:paraId="64246316">
            <w:pPr>
              <w:jc w:val="left"/>
              <w:rPr>
                <w:rFonts w:ascii="宋体" w:hAnsi="宋体" w:eastAsia="宋体" w:cs="宋体"/>
                <w:color w:val="000000"/>
                <w:sz w:val="21"/>
                <w:szCs w:val="21"/>
                <w:highlight w:val="none"/>
              </w:rPr>
            </w:pPr>
          </w:p>
        </w:tc>
        <w:tc>
          <w:tcPr>
            <w:tcW w:w="1154" w:type="dxa"/>
            <w:vMerge w:val="continue"/>
            <w:tcBorders>
              <w:left w:val="single" w:color="000000" w:sz="4" w:space="0"/>
              <w:right w:val="single" w:color="000000" w:sz="4" w:space="0"/>
            </w:tcBorders>
            <w:vAlign w:val="center"/>
          </w:tcPr>
          <w:p w14:paraId="1CB1A962">
            <w:pPr>
              <w:jc w:val="left"/>
              <w:rPr>
                <w:rFonts w:ascii="宋体" w:hAnsi="宋体" w:eastAsia="宋体" w:cs="宋体"/>
                <w:color w:val="000000"/>
                <w:sz w:val="21"/>
                <w:szCs w:val="21"/>
                <w:highlight w:val="none"/>
              </w:rPr>
            </w:pPr>
          </w:p>
        </w:tc>
        <w:tc>
          <w:tcPr>
            <w:tcW w:w="1223" w:type="dxa"/>
            <w:tcBorders>
              <w:top w:val="single" w:color="000000" w:sz="4" w:space="0"/>
              <w:left w:val="single" w:color="000000" w:sz="4" w:space="0"/>
              <w:bottom w:val="single" w:color="000000" w:sz="4" w:space="0"/>
              <w:right w:val="single" w:color="000000" w:sz="4" w:space="0"/>
            </w:tcBorders>
            <w:vAlign w:val="center"/>
          </w:tcPr>
          <w:p w14:paraId="7A452523">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住院档案</w:t>
            </w:r>
          </w:p>
        </w:tc>
        <w:tc>
          <w:tcPr>
            <w:tcW w:w="5216" w:type="dxa"/>
            <w:tcBorders>
              <w:top w:val="single" w:color="000000" w:sz="4" w:space="0"/>
              <w:left w:val="single" w:color="000000" w:sz="4" w:space="0"/>
              <w:bottom w:val="single" w:color="000000" w:sz="4" w:space="0"/>
              <w:right w:val="single" w:color="000000" w:sz="4" w:space="0"/>
            </w:tcBorders>
            <w:vAlign w:val="center"/>
          </w:tcPr>
          <w:p w14:paraId="5FDC2628">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可对居民的慢病/肿瘤住院形成列表信息，可对住院档案进行查阅。</w:t>
            </w:r>
          </w:p>
        </w:tc>
      </w:tr>
      <w:tr w14:paraId="54F1DA40">
        <w:tblPrEx>
          <w:tblCellMar>
            <w:top w:w="0" w:type="dxa"/>
            <w:left w:w="108" w:type="dxa"/>
            <w:bottom w:w="0" w:type="dxa"/>
            <w:right w:w="108" w:type="dxa"/>
          </w:tblCellMar>
        </w:tblPrEx>
        <w:trPr>
          <w:trHeight w:val="622" w:hRule="atLeast"/>
        </w:trPr>
        <w:tc>
          <w:tcPr>
            <w:tcW w:w="705" w:type="dxa"/>
            <w:vMerge w:val="continue"/>
            <w:tcBorders>
              <w:left w:val="single" w:color="000000" w:sz="4" w:space="0"/>
              <w:right w:val="single" w:color="000000" w:sz="4" w:space="0"/>
            </w:tcBorders>
            <w:vAlign w:val="center"/>
          </w:tcPr>
          <w:p w14:paraId="50768FAE">
            <w:pPr>
              <w:jc w:val="center"/>
              <w:rPr>
                <w:rFonts w:ascii="宋体" w:hAnsi="宋体" w:eastAsia="宋体" w:cs="宋体"/>
                <w:b/>
                <w:bCs/>
                <w:color w:val="000000"/>
                <w:sz w:val="21"/>
                <w:szCs w:val="21"/>
                <w:highlight w:val="none"/>
              </w:rPr>
            </w:pPr>
          </w:p>
        </w:tc>
        <w:tc>
          <w:tcPr>
            <w:tcW w:w="1189" w:type="dxa"/>
            <w:vMerge w:val="continue"/>
            <w:tcBorders>
              <w:left w:val="nil"/>
              <w:right w:val="single" w:color="000000" w:sz="4" w:space="0"/>
            </w:tcBorders>
            <w:vAlign w:val="center"/>
          </w:tcPr>
          <w:p w14:paraId="36A18733">
            <w:pPr>
              <w:jc w:val="left"/>
              <w:rPr>
                <w:rFonts w:ascii="宋体" w:hAnsi="宋体" w:eastAsia="宋体" w:cs="宋体"/>
                <w:color w:val="000000"/>
                <w:sz w:val="21"/>
                <w:szCs w:val="21"/>
                <w:highlight w:val="none"/>
              </w:rPr>
            </w:pPr>
          </w:p>
        </w:tc>
        <w:tc>
          <w:tcPr>
            <w:tcW w:w="1154" w:type="dxa"/>
            <w:vMerge w:val="continue"/>
            <w:tcBorders>
              <w:left w:val="single" w:color="000000" w:sz="4" w:space="0"/>
              <w:right w:val="single" w:color="000000" w:sz="4" w:space="0"/>
            </w:tcBorders>
            <w:vAlign w:val="center"/>
          </w:tcPr>
          <w:p w14:paraId="472C504B">
            <w:pPr>
              <w:jc w:val="left"/>
              <w:rPr>
                <w:rFonts w:ascii="宋体" w:hAnsi="宋体" w:eastAsia="宋体" w:cs="宋体"/>
                <w:color w:val="000000"/>
                <w:sz w:val="21"/>
                <w:szCs w:val="21"/>
                <w:highlight w:val="none"/>
              </w:rPr>
            </w:pPr>
          </w:p>
        </w:tc>
        <w:tc>
          <w:tcPr>
            <w:tcW w:w="1223" w:type="dxa"/>
            <w:tcBorders>
              <w:top w:val="single" w:color="000000" w:sz="4" w:space="0"/>
              <w:left w:val="single" w:color="000000" w:sz="4" w:space="0"/>
              <w:bottom w:val="single" w:color="000000" w:sz="4" w:space="0"/>
              <w:right w:val="single" w:color="000000" w:sz="4" w:space="0"/>
            </w:tcBorders>
            <w:vAlign w:val="center"/>
          </w:tcPr>
          <w:p w14:paraId="15A2BE0C">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体检档案</w:t>
            </w:r>
          </w:p>
        </w:tc>
        <w:tc>
          <w:tcPr>
            <w:tcW w:w="5216" w:type="dxa"/>
            <w:tcBorders>
              <w:top w:val="single" w:color="000000" w:sz="4" w:space="0"/>
              <w:left w:val="single" w:color="000000" w:sz="4" w:space="0"/>
              <w:bottom w:val="single" w:color="000000" w:sz="4" w:space="0"/>
              <w:right w:val="single" w:color="000000" w:sz="4" w:space="0"/>
            </w:tcBorders>
            <w:vAlign w:val="center"/>
          </w:tcPr>
          <w:p w14:paraId="7B62FF94">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可对居民的门诊形成列表信息，可对体检档案进行查阅。</w:t>
            </w:r>
          </w:p>
        </w:tc>
      </w:tr>
      <w:tr w14:paraId="1061F457">
        <w:tblPrEx>
          <w:tblCellMar>
            <w:top w:w="0" w:type="dxa"/>
            <w:left w:w="108" w:type="dxa"/>
            <w:bottom w:w="0" w:type="dxa"/>
            <w:right w:w="108" w:type="dxa"/>
          </w:tblCellMar>
        </w:tblPrEx>
        <w:trPr>
          <w:trHeight w:val="622" w:hRule="atLeast"/>
        </w:trPr>
        <w:tc>
          <w:tcPr>
            <w:tcW w:w="705" w:type="dxa"/>
            <w:vMerge w:val="continue"/>
            <w:tcBorders>
              <w:left w:val="single" w:color="000000" w:sz="4" w:space="0"/>
              <w:right w:val="single" w:color="000000" w:sz="4" w:space="0"/>
            </w:tcBorders>
            <w:vAlign w:val="center"/>
          </w:tcPr>
          <w:p w14:paraId="2261C7B4">
            <w:pPr>
              <w:jc w:val="center"/>
              <w:rPr>
                <w:rFonts w:ascii="宋体" w:hAnsi="宋体" w:eastAsia="宋体" w:cs="宋体"/>
                <w:b/>
                <w:bCs/>
                <w:color w:val="000000"/>
                <w:sz w:val="21"/>
                <w:szCs w:val="21"/>
                <w:highlight w:val="none"/>
              </w:rPr>
            </w:pPr>
          </w:p>
        </w:tc>
        <w:tc>
          <w:tcPr>
            <w:tcW w:w="1189" w:type="dxa"/>
            <w:vMerge w:val="continue"/>
            <w:tcBorders>
              <w:left w:val="nil"/>
              <w:right w:val="single" w:color="000000" w:sz="4" w:space="0"/>
            </w:tcBorders>
            <w:vAlign w:val="center"/>
          </w:tcPr>
          <w:p w14:paraId="3C45AC2B">
            <w:pPr>
              <w:jc w:val="left"/>
              <w:rPr>
                <w:rFonts w:ascii="宋体" w:hAnsi="宋体" w:eastAsia="宋体" w:cs="宋体"/>
                <w:color w:val="000000"/>
                <w:sz w:val="21"/>
                <w:szCs w:val="21"/>
                <w:highlight w:val="none"/>
              </w:rPr>
            </w:pPr>
          </w:p>
        </w:tc>
        <w:tc>
          <w:tcPr>
            <w:tcW w:w="1154" w:type="dxa"/>
            <w:vMerge w:val="restart"/>
            <w:tcBorders>
              <w:left w:val="single" w:color="000000" w:sz="4" w:space="0"/>
              <w:right w:val="single" w:color="000000" w:sz="4" w:space="0"/>
            </w:tcBorders>
            <w:vAlign w:val="center"/>
          </w:tcPr>
          <w:p w14:paraId="2A2CC256">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居民档案</w:t>
            </w:r>
          </w:p>
        </w:tc>
        <w:tc>
          <w:tcPr>
            <w:tcW w:w="1223" w:type="dxa"/>
            <w:tcBorders>
              <w:top w:val="single" w:color="000000" w:sz="4" w:space="0"/>
              <w:left w:val="single" w:color="000000" w:sz="4" w:space="0"/>
              <w:bottom w:val="single" w:color="000000" w:sz="4" w:space="0"/>
              <w:right w:val="single" w:color="000000" w:sz="4" w:space="0"/>
            </w:tcBorders>
            <w:vAlign w:val="center"/>
          </w:tcPr>
          <w:p w14:paraId="43FD4323">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个人档案</w:t>
            </w:r>
          </w:p>
        </w:tc>
        <w:tc>
          <w:tcPr>
            <w:tcW w:w="5216" w:type="dxa"/>
            <w:tcBorders>
              <w:top w:val="single" w:color="000000" w:sz="4" w:space="0"/>
              <w:left w:val="single" w:color="000000" w:sz="4" w:space="0"/>
              <w:bottom w:val="single" w:color="000000" w:sz="4" w:space="0"/>
              <w:right w:val="single" w:color="000000" w:sz="4" w:space="0"/>
            </w:tcBorders>
            <w:vAlign w:val="center"/>
          </w:tcPr>
          <w:p w14:paraId="08F598F8">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可对居民的个人档案进行查阅。</w:t>
            </w:r>
          </w:p>
        </w:tc>
      </w:tr>
      <w:tr w14:paraId="57E15E9E">
        <w:tblPrEx>
          <w:tblCellMar>
            <w:top w:w="0" w:type="dxa"/>
            <w:left w:w="108" w:type="dxa"/>
            <w:bottom w:w="0" w:type="dxa"/>
            <w:right w:w="108" w:type="dxa"/>
          </w:tblCellMar>
        </w:tblPrEx>
        <w:trPr>
          <w:trHeight w:val="730" w:hRule="atLeast"/>
        </w:trPr>
        <w:tc>
          <w:tcPr>
            <w:tcW w:w="705" w:type="dxa"/>
            <w:vMerge w:val="continue"/>
            <w:tcBorders>
              <w:left w:val="single" w:color="000000" w:sz="4" w:space="0"/>
              <w:right w:val="single" w:color="000000" w:sz="4" w:space="0"/>
            </w:tcBorders>
            <w:vAlign w:val="center"/>
          </w:tcPr>
          <w:p w14:paraId="3064148B">
            <w:pPr>
              <w:jc w:val="center"/>
              <w:rPr>
                <w:rFonts w:ascii="宋体" w:hAnsi="宋体" w:eastAsia="宋体" w:cs="宋体"/>
                <w:b/>
                <w:bCs/>
                <w:color w:val="000000"/>
                <w:sz w:val="21"/>
                <w:szCs w:val="21"/>
                <w:highlight w:val="none"/>
              </w:rPr>
            </w:pPr>
          </w:p>
        </w:tc>
        <w:tc>
          <w:tcPr>
            <w:tcW w:w="1189" w:type="dxa"/>
            <w:vMerge w:val="continue"/>
            <w:tcBorders>
              <w:left w:val="nil"/>
              <w:right w:val="single" w:color="000000" w:sz="4" w:space="0"/>
            </w:tcBorders>
            <w:vAlign w:val="center"/>
          </w:tcPr>
          <w:p w14:paraId="362B03A6">
            <w:pPr>
              <w:jc w:val="left"/>
              <w:rPr>
                <w:rFonts w:ascii="宋体" w:hAnsi="宋体" w:eastAsia="宋体" w:cs="宋体"/>
                <w:color w:val="000000"/>
                <w:sz w:val="21"/>
                <w:szCs w:val="21"/>
                <w:highlight w:val="none"/>
              </w:rPr>
            </w:pPr>
          </w:p>
        </w:tc>
        <w:tc>
          <w:tcPr>
            <w:tcW w:w="1154" w:type="dxa"/>
            <w:vMerge w:val="continue"/>
            <w:tcBorders>
              <w:left w:val="single" w:color="000000" w:sz="4" w:space="0"/>
              <w:right w:val="single" w:color="000000" w:sz="4" w:space="0"/>
            </w:tcBorders>
            <w:vAlign w:val="center"/>
          </w:tcPr>
          <w:p w14:paraId="39F9368A">
            <w:pPr>
              <w:jc w:val="left"/>
              <w:rPr>
                <w:rFonts w:ascii="宋体" w:hAnsi="宋体" w:eastAsia="宋体" w:cs="宋体"/>
                <w:color w:val="000000"/>
                <w:sz w:val="21"/>
                <w:szCs w:val="21"/>
                <w:highlight w:val="none"/>
              </w:rPr>
            </w:pPr>
          </w:p>
        </w:tc>
        <w:tc>
          <w:tcPr>
            <w:tcW w:w="1223" w:type="dxa"/>
            <w:tcBorders>
              <w:top w:val="single" w:color="000000" w:sz="4" w:space="0"/>
              <w:left w:val="single" w:color="000000" w:sz="4" w:space="0"/>
              <w:bottom w:val="single" w:color="000000" w:sz="4" w:space="0"/>
              <w:right w:val="single" w:color="000000" w:sz="4" w:space="0"/>
            </w:tcBorders>
            <w:vAlign w:val="center"/>
          </w:tcPr>
          <w:p w14:paraId="78FB73CD">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高血压档案</w:t>
            </w:r>
          </w:p>
        </w:tc>
        <w:tc>
          <w:tcPr>
            <w:tcW w:w="5216" w:type="dxa"/>
            <w:tcBorders>
              <w:top w:val="single" w:color="000000" w:sz="4" w:space="0"/>
              <w:left w:val="single" w:color="000000" w:sz="4" w:space="0"/>
              <w:bottom w:val="single" w:color="000000" w:sz="4" w:space="0"/>
              <w:right w:val="single" w:color="000000" w:sz="4" w:space="0"/>
            </w:tcBorders>
            <w:vAlign w:val="center"/>
          </w:tcPr>
          <w:p w14:paraId="3452DE08">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可对居民的高血压形成列表信息，可对高血压专项和高血压随访档案进行查阅。</w:t>
            </w:r>
          </w:p>
        </w:tc>
      </w:tr>
      <w:tr w14:paraId="570F086F">
        <w:tblPrEx>
          <w:tblCellMar>
            <w:top w:w="0" w:type="dxa"/>
            <w:left w:w="108" w:type="dxa"/>
            <w:bottom w:w="0" w:type="dxa"/>
            <w:right w:w="108" w:type="dxa"/>
          </w:tblCellMar>
        </w:tblPrEx>
        <w:trPr>
          <w:trHeight w:val="622" w:hRule="atLeast"/>
        </w:trPr>
        <w:tc>
          <w:tcPr>
            <w:tcW w:w="705" w:type="dxa"/>
            <w:vMerge w:val="continue"/>
            <w:tcBorders>
              <w:left w:val="single" w:color="000000" w:sz="4" w:space="0"/>
              <w:right w:val="single" w:color="000000" w:sz="4" w:space="0"/>
            </w:tcBorders>
            <w:vAlign w:val="center"/>
          </w:tcPr>
          <w:p w14:paraId="2D258073">
            <w:pPr>
              <w:jc w:val="center"/>
              <w:rPr>
                <w:rFonts w:ascii="宋体" w:hAnsi="宋体" w:eastAsia="宋体" w:cs="宋体"/>
                <w:b/>
                <w:bCs/>
                <w:color w:val="000000"/>
                <w:sz w:val="21"/>
                <w:szCs w:val="21"/>
                <w:highlight w:val="none"/>
              </w:rPr>
            </w:pPr>
          </w:p>
        </w:tc>
        <w:tc>
          <w:tcPr>
            <w:tcW w:w="1189" w:type="dxa"/>
            <w:vMerge w:val="continue"/>
            <w:tcBorders>
              <w:left w:val="nil"/>
              <w:right w:val="single" w:color="000000" w:sz="4" w:space="0"/>
            </w:tcBorders>
            <w:vAlign w:val="center"/>
          </w:tcPr>
          <w:p w14:paraId="3244EC92">
            <w:pPr>
              <w:jc w:val="left"/>
              <w:rPr>
                <w:rFonts w:ascii="宋体" w:hAnsi="宋体" w:eastAsia="宋体" w:cs="宋体"/>
                <w:color w:val="000000"/>
                <w:sz w:val="21"/>
                <w:szCs w:val="21"/>
                <w:highlight w:val="none"/>
              </w:rPr>
            </w:pPr>
          </w:p>
        </w:tc>
        <w:tc>
          <w:tcPr>
            <w:tcW w:w="1154" w:type="dxa"/>
            <w:vMerge w:val="continue"/>
            <w:tcBorders>
              <w:left w:val="single" w:color="000000" w:sz="4" w:space="0"/>
              <w:right w:val="single" w:color="000000" w:sz="4" w:space="0"/>
            </w:tcBorders>
            <w:vAlign w:val="center"/>
          </w:tcPr>
          <w:p w14:paraId="5385C344">
            <w:pPr>
              <w:jc w:val="left"/>
              <w:rPr>
                <w:rFonts w:ascii="宋体" w:hAnsi="宋体" w:eastAsia="宋体" w:cs="宋体"/>
                <w:color w:val="000000"/>
                <w:sz w:val="21"/>
                <w:szCs w:val="21"/>
                <w:highlight w:val="none"/>
              </w:rPr>
            </w:pPr>
          </w:p>
        </w:tc>
        <w:tc>
          <w:tcPr>
            <w:tcW w:w="1223" w:type="dxa"/>
            <w:tcBorders>
              <w:top w:val="single" w:color="000000" w:sz="4" w:space="0"/>
              <w:left w:val="single" w:color="000000" w:sz="4" w:space="0"/>
              <w:bottom w:val="single" w:color="000000" w:sz="4" w:space="0"/>
              <w:right w:val="single" w:color="000000" w:sz="4" w:space="0"/>
            </w:tcBorders>
            <w:vAlign w:val="center"/>
          </w:tcPr>
          <w:p w14:paraId="2067D913">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糖尿病档案</w:t>
            </w:r>
          </w:p>
        </w:tc>
        <w:tc>
          <w:tcPr>
            <w:tcW w:w="5216" w:type="dxa"/>
            <w:tcBorders>
              <w:top w:val="single" w:color="000000" w:sz="4" w:space="0"/>
              <w:left w:val="single" w:color="000000" w:sz="4" w:space="0"/>
              <w:bottom w:val="single" w:color="000000" w:sz="4" w:space="0"/>
              <w:right w:val="single" w:color="000000" w:sz="4" w:space="0"/>
            </w:tcBorders>
            <w:vAlign w:val="center"/>
          </w:tcPr>
          <w:p w14:paraId="3D6518C7">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可对居民的糖尿病形成列表信息，可对糖尿病专项和糖尿病随访档案进行查阅。</w:t>
            </w:r>
          </w:p>
        </w:tc>
      </w:tr>
      <w:tr w14:paraId="7BF105D2">
        <w:tblPrEx>
          <w:tblCellMar>
            <w:top w:w="0" w:type="dxa"/>
            <w:left w:w="108" w:type="dxa"/>
            <w:bottom w:w="0" w:type="dxa"/>
            <w:right w:w="108" w:type="dxa"/>
          </w:tblCellMar>
        </w:tblPrEx>
        <w:trPr>
          <w:trHeight w:val="622" w:hRule="atLeast"/>
        </w:trPr>
        <w:tc>
          <w:tcPr>
            <w:tcW w:w="705" w:type="dxa"/>
            <w:vMerge w:val="continue"/>
            <w:tcBorders>
              <w:left w:val="single" w:color="000000" w:sz="4" w:space="0"/>
              <w:right w:val="single" w:color="000000" w:sz="4" w:space="0"/>
            </w:tcBorders>
            <w:vAlign w:val="center"/>
          </w:tcPr>
          <w:p w14:paraId="674AD3C1">
            <w:pPr>
              <w:jc w:val="center"/>
              <w:rPr>
                <w:rFonts w:ascii="宋体" w:hAnsi="宋体" w:eastAsia="宋体" w:cs="宋体"/>
                <w:b/>
                <w:bCs/>
                <w:color w:val="000000"/>
                <w:sz w:val="21"/>
                <w:szCs w:val="21"/>
                <w:highlight w:val="none"/>
              </w:rPr>
            </w:pPr>
          </w:p>
        </w:tc>
        <w:tc>
          <w:tcPr>
            <w:tcW w:w="1189" w:type="dxa"/>
            <w:vMerge w:val="continue"/>
            <w:tcBorders>
              <w:left w:val="nil"/>
              <w:right w:val="single" w:color="000000" w:sz="4" w:space="0"/>
            </w:tcBorders>
            <w:vAlign w:val="center"/>
          </w:tcPr>
          <w:p w14:paraId="76EB1D22">
            <w:pPr>
              <w:jc w:val="left"/>
              <w:rPr>
                <w:rFonts w:ascii="宋体" w:hAnsi="宋体" w:eastAsia="宋体" w:cs="宋体"/>
                <w:color w:val="000000"/>
                <w:sz w:val="21"/>
                <w:szCs w:val="21"/>
                <w:highlight w:val="none"/>
              </w:rPr>
            </w:pPr>
          </w:p>
        </w:tc>
        <w:tc>
          <w:tcPr>
            <w:tcW w:w="1154" w:type="dxa"/>
            <w:vMerge w:val="continue"/>
            <w:tcBorders>
              <w:left w:val="single" w:color="000000" w:sz="4" w:space="0"/>
              <w:right w:val="single" w:color="000000" w:sz="4" w:space="0"/>
            </w:tcBorders>
            <w:vAlign w:val="center"/>
          </w:tcPr>
          <w:p w14:paraId="5A53526E">
            <w:pPr>
              <w:jc w:val="left"/>
              <w:rPr>
                <w:rFonts w:ascii="宋体" w:hAnsi="宋体" w:eastAsia="宋体" w:cs="宋体"/>
                <w:color w:val="000000"/>
                <w:sz w:val="21"/>
                <w:szCs w:val="21"/>
                <w:highlight w:val="none"/>
              </w:rPr>
            </w:pPr>
          </w:p>
        </w:tc>
        <w:tc>
          <w:tcPr>
            <w:tcW w:w="1223" w:type="dxa"/>
            <w:tcBorders>
              <w:top w:val="single" w:color="000000" w:sz="4" w:space="0"/>
              <w:left w:val="single" w:color="000000" w:sz="4" w:space="0"/>
              <w:bottom w:val="single" w:color="000000" w:sz="4" w:space="0"/>
              <w:right w:val="single" w:color="000000" w:sz="4" w:space="0"/>
            </w:tcBorders>
            <w:vAlign w:val="center"/>
          </w:tcPr>
          <w:p w14:paraId="43C1D34C">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高血脂档案</w:t>
            </w:r>
          </w:p>
        </w:tc>
        <w:tc>
          <w:tcPr>
            <w:tcW w:w="5216" w:type="dxa"/>
            <w:tcBorders>
              <w:top w:val="single" w:color="000000" w:sz="4" w:space="0"/>
              <w:left w:val="single" w:color="000000" w:sz="4" w:space="0"/>
              <w:bottom w:val="single" w:color="000000" w:sz="4" w:space="0"/>
              <w:right w:val="single" w:color="000000" w:sz="4" w:space="0"/>
            </w:tcBorders>
            <w:vAlign w:val="center"/>
          </w:tcPr>
          <w:p w14:paraId="4016249D">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可对居民的高血脂形成列表信息，可对高血脂专项和高血脂随访档案进行查阅。</w:t>
            </w:r>
          </w:p>
        </w:tc>
      </w:tr>
      <w:tr w14:paraId="7B1EDD37">
        <w:tblPrEx>
          <w:tblCellMar>
            <w:top w:w="0" w:type="dxa"/>
            <w:left w:w="108" w:type="dxa"/>
            <w:bottom w:w="0" w:type="dxa"/>
            <w:right w:w="108" w:type="dxa"/>
          </w:tblCellMar>
        </w:tblPrEx>
        <w:trPr>
          <w:trHeight w:val="622" w:hRule="atLeast"/>
        </w:trPr>
        <w:tc>
          <w:tcPr>
            <w:tcW w:w="705" w:type="dxa"/>
            <w:vMerge w:val="continue"/>
            <w:tcBorders>
              <w:left w:val="single" w:color="000000" w:sz="4" w:space="0"/>
              <w:right w:val="single" w:color="000000" w:sz="4" w:space="0"/>
            </w:tcBorders>
            <w:vAlign w:val="center"/>
          </w:tcPr>
          <w:p w14:paraId="5DD20E58">
            <w:pPr>
              <w:jc w:val="center"/>
              <w:rPr>
                <w:rFonts w:ascii="宋体" w:hAnsi="宋体" w:eastAsia="宋体" w:cs="宋体"/>
                <w:b/>
                <w:bCs/>
                <w:color w:val="000000"/>
                <w:sz w:val="21"/>
                <w:szCs w:val="21"/>
                <w:highlight w:val="none"/>
              </w:rPr>
            </w:pPr>
          </w:p>
        </w:tc>
        <w:tc>
          <w:tcPr>
            <w:tcW w:w="1189" w:type="dxa"/>
            <w:vMerge w:val="continue"/>
            <w:tcBorders>
              <w:left w:val="nil"/>
              <w:right w:val="single" w:color="000000" w:sz="4" w:space="0"/>
            </w:tcBorders>
            <w:vAlign w:val="center"/>
          </w:tcPr>
          <w:p w14:paraId="4CEE272F">
            <w:pPr>
              <w:jc w:val="left"/>
              <w:rPr>
                <w:rFonts w:ascii="宋体" w:hAnsi="宋体" w:eastAsia="宋体" w:cs="宋体"/>
                <w:color w:val="000000"/>
                <w:sz w:val="21"/>
                <w:szCs w:val="21"/>
                <w:highlight w:val="none"/>
              </w:rPr>
            </w:pPr>
          </w:p>
        </w:tc>
        <w:tc>
          <w:tcPr>
            <w:tcW w:w="1154" w:type="dxa"/>
            <w:vMerge w:val="continue"/>
            <w:tcBorders>
              <w:left w:val="single" w:color="000000" w:sz="4" w:space="0"/>
              <w:right w:val="single" w:color="000000" w:sz="4" w:space="0"/>
            </w:tcBorders>
            <w:vAlign w:val="center"/>
          </w:tcPr>
          <w:p w14:paraId="57F60E21">
            <w:pPr>
              <w:jc w:val="left"/>
              <w:rPr>
                <w:rFonts w:ascii="宋体" w:hAnsi="宋体" w:eastAsia="宋体" w:cs="宋体"/>
                <w:color w:val="000000"/>
                <w:sz w:val="21"/>
                <w:szCs w:val="21"/>
                <w:highlight w:val="none"/>
              </w:rPr>
            </w:pPr>
          </w:p>
        </w:tc>
        <w:tc>
          <w:tcPr>
            <w:tcW w:w="1223" w:type="dxa"/>
            <w:tcBorders>
              <w:top w:val="single" w:color="000000" w:sz="4" w:space="0"/>
              <w:left w:val="single" w:color="000000" w:sz="4" w:space="0"/>
              <w:bottom w:val="single" w:color="000000" w:sz="4" w:space="0"/>
              <w:right w:val="single" w:color="000000" w:sz="4" w:space="0"/>
            </w:tcBorders>
            <w:vAlign w:val="center"/>
          </w:tcPr>
          <w:p w14:paraId="26FA36F9">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慢阻肺档案</w:t>
            </w:r>
          </w:p>
        </w:tc>
        <w:tc>
          <w:tcPr>
            <w:tcW w:w="5216" w:type="dxa"/>
            <w:tcBorders>
              <w:top w:val="single" w:color="000000" w:sz="4" w:space="0"/>
              <w:left w:val="single" w:color="000000" w:sz="4" w:space="0"/>
              <w:bottom w:val="single" w:color="000000" w:sz="4" w:space="0"/>
              <w:right w:val="single" w:color="000000" w:sz="4" w:space="0"/>
            </w:tcBorders>
            <w:vAlign w:val="center"/>
          </w:tcPr>
          <w:p w14:paraId="0C4670B1">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可对居民的慢阻肺形成列表信息，可对慢阻肺专项和慢阻肺随访档案进行查阅。</w:t>
            </w:r>
          </w:p>
        </w:tc>
      </w:tr>
      <w:tr w14:paraId="69BA2947">
        <w:tblPrEx>
          <w:tblCellMar>
            <w:top w:w="0" w:type="dxa"/>
            <w:left w:w="108" w:type="dxa"/>
            <w:bottom w:w="0" w:type="dxa"/>
            <w:right w:w="108" w:type="dxa"/>
          </w:tblCellMar>
        </w:tblPrEx>
        <w:trPr>
          <w:trHeight w:val="622" w:hRule="atLeast"/>
        </w:trPr>
        <w:tc>
          <w:tcPr>
            <w:tcW w:w="705" w:type="dxa"/>
            <w:vMerge w:val="continue"/>
            <w:tcBorders>
              <w:left w:val="single" w:color="000000" w:sz="4" w:space="0"/>
              <w:right w:val="single" w:color="000000" w:sz="4" w:space="0"/>
            </w:tcBorders>
            <w:vAlign w:val="center"/>
          </w:tcPr>
          <w:p w14:paraId="16C8698E">
            <w:pPr>
              <w:jc w:val="center"/>
              <w:rPr>
                <w:rFonts w:ascii="宋体" w:hAnsi="宋体" w:eastAsia="宋体" w:cs="宋体"/>
                <w:b/>
                <w:bCs/>
                <w:color w:val="000000"/>
                <w:sz w:val="21"/>
                <w:szCs w:val="21"/>
                <w:highlight w:val="none"/>
              </w:rPr>
            </w:pPr>
          </w:p>
        </w:tc>
        <w:tc>
          <w:tcPr>
            <w:tcW w:w="1189" w:type="dxa"/>
            <w:vMerge w:val="continue"/>
            <w:tcBorders>
              <w:left w:val="nil"/>
              <w:right w:val="single" w:color="000000" w:sz="4" w:space="0"/>
            </w:tcBorders>
            <w:vAlign w:val="center"/>
          </w:tcPr>
          <w:p w14:paraId="65B764C2">
            <w:pPr>
              <w:jc w:val="left"/>
              <w:rPr>
                <w:rFonts w:ascii="宋体" w:hAnsi="宋体" w:eastAsia="宋体" w:cs="宋体"/>
                <w:color w:val="000000"/>
                <w:sz w:val="21"/>
                <w:szCs w:val="21"/>
                <w:highlight w:val="none"/>
              </w:rPr>
            </w:pPr>
          </w:p>
        </w:tc>
        <w:tc>
          <w:tcPr>
            <w:tcW w:w="1154" w:type="dxa"/>
            <w:vMerge w:val="continue"/>
            <w:tcBorders>
              <w:left w:val="single" w:color="000000" w:sz="4" w:space="0"/>
              <w:right w:val="single" w:color="000000" w:sz="4" w:space="0"/>
            </w:tcBorders>
            <w:vAlign w:val="center"/>
          </w:tcPr>
          <w:p w14:paraId="2B67CFF7">
            <w:pPr>
              <w:jc w:val="left"/>
              <w:rPr>
                <w:rFonts w:ascii="宋体" w:hAnsi="宋体" w:eastAsia="宋体" w:cs="宋体"/>
                <w:color w:val="000000"/>
                <w:sz w:val="21"/>
                <w:szCs w:val="21"/>
                <w:highlight w:val="none"/>
              </w:rPr>
            </w:pPr>
          </w:p>
        </w:tc>
        <w:tc>
          <w:tcPr>
            <w:tcW w:w="1223" w:type="dxa"/>
            <w:tcBorders>
              <w:top w:val="single" w:color="000000" w:sz="4" w:space="0"/>
              <w:left w:val="single" w:color="000000" w:sz="4" w:space="0"/>
              <w:bottom w:val="single" w:color="000000" w:sz="4" w:space="0"/>
              <w:right w:val="single" w:color="000000" w:sz="4" w:space="0"/>
            </w:tcBorders>
            <w:vAlign w:val="center"/>
          </w:tcPr>
          <w:p w14:paraId="0E1293BA">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冠心病档案</w:t>
            </w:r>
          </w:p>
        </w:tc>
        <w:tc>
          <w:tcPr>
            <w:tcW w:w="5216" w:type="dxa"/>
            <w:tcBorders>
              <w:top w:val="single" w:color="000000" w:sz="4" w:space="0"/>
              <w:left w:val="single" w:color="000000" w:sz="4" w:space="0"/>
              <w:bottom w:val="single" w:color="000000" w:sz="4" w:space="0"/>
              <w:right w:val="single" w:color="000000" w:sz="4" w:space="0"/>
            </w:tcBorders>
            <w:vAlign w:val="center"/>
          </w:tcPr>
          <w:p w14:paraId="47B5A66D">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可对居民的冠心病形成列表信息，可对冠心病专项和冠心病随访档案进行查阅。</w:t>
            </w:r>
          </w:p>
        </w:tc>
      </w:tr>
      <w:tr w14:paraId="7A90D8C7">
        <w:tblPrEx>
          <w:tblCellMar>
            <w:top w:w="0" w:type="dxa"/>
            <w:left w:w="108" w:type="dxa"/>
            <w:bottom w:w="0" w:type="dxa"/>
            <w:right w:w="108" w:type="dxa"/>
          </w:tblCellMar>
        </w:tblPrEx>
        <w:trPr>
          <w:trHeight w:val="730" w:hRule="atLeast"/>
        </w:trPr>
        <w:tc>
          <w:tcPr>
            <w:tcW w:w="705" w:type="dxa"/>
            <w:vMerge w:val="continue"/>
            <w:tcBorders>
              <w:left w:val="single" w:color="000000" w:sz="4" w:space="0"/>
              <w:right w:val="single" w:color="000000" w:sz="4" w:space="0"/>
            </w:tcBorders>
            <w:vAlign w:val="center"/>
          </w:tcPr>
          <w:p w14:paraId="5FEB9052">
            <w:pPr>
              <w:jc w:val="center"/>
              <w:rPr>
                <w:rFonts w:ascii="宋体" w:hAnsi="宋体" w:eastAsia="宋体" w:cs="宋体"/>
                <w:b/>
                <w:bCs/>
                <w:color w:val="000000"/>
                <w:sz w:val="21"/>
                <w:szCs w:val="21"/>
                <w:highlight w:val="none"/>
              </w:rPr>
            </w:pPr>
          </w:p>
        </w:tc>
        <w:tc>
          <w:tcPr>
            <w:tcW w:w="1189" w:type="dxa"/>
            <w:vMerge w:val="continue"/>
            <w:tcBorders>
              <w:left w:val="nil"/>
              <w:right w:val="single" w:color="000000" w:sz="4" w:space="0"/>
            </w:tcBorders>
            <w:vAlign w:val="center"/>
          </w:tcPr>
          <w:p w14:paraId="7ACED6DF">
            <w:pPr>
              <w:jc w:val="left"/>
              <w:rPr>
                <w:rFonts w:ascii="宋体" w:hAnsi="宋体" w:eastAsia="宋体" w:cs="宋体"/>
                <w:color w:val="000000"/>
                <w:sz w:val="21"/>
                <w:szCs w:val="21"/>
                <w:highlight w:val="none"/>
              </w:rPr>
            </w:pPr>
          </w:p>
        </w:tc>
        <w:tc>
          <w:tcPr>
            <w:tcW w:w="1154" w:type="dxa"/>
            <w:vMerge w:val="continue"/>
            <w:tcBorders>
              <w:left w:val="single" w:color="000000" w:sz="4" w:space="0"/>
              <w:right w:val="single" w:color="000000" w:sz="4" w:space="0"/>
            </w:tcBorders>
            <w:vAlign w:val="center"/>
          </w:tcPr>
          <w:p w14:paraId="45463F3F">
            <w:pPr>
              <w:jc w:val="left"/>
              <w:rPr>
                <w:rFonts w:ascii="宋体" w:hAnsi="宋体" w:eastAsia="宋体" w:cs="宋体"/>
                <w:color w:val="000000"/>
                <w:sz w:val="21"/>
                <w:szCs w:val="21"/>
                <w:highlight w:val="none"/>
              </w:rPr>
            </w:pPr>
          </w:p>
        </w:tc>
        <w:tc>
          <w:tcPr>
            <w:tcW w:w="1223" w:type="dxa"/>
            <w:tcBorders>
              <w:top w:val="single" w:color="000000" w:sz="4" w:space="0"/>
              <w:left w:val="single" w:color="000000" w:sz="4" w:space="0"/>
              <w:bottom w:val="single" w:color="000000" w:sz="4" w:space="0"/>
              <w:right w:val="single" w:color="000000" w:sz="4" w:space="0"/>
            </w:tcBorders>
            <w:vAlign w:val="center"/>
          </w:tcPr>
          <w:p w14:paraId="2AAD34D9">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慢性肾病档案</w:t>
            </w:r>
          </w:p>
        </w:tc>
        <w:tc>
          <w:tcPr>
            <w:tcW w:w="5216" w:type="dxa"/>
            <w:tcBorders>
              <w:top w:val="single" w:color="000000" w:sz="4" w:space="0"/>
              <w:left w:val="single" w:color="000000" w:sz="4" w:space="0"/>
              <w:bottom w:val="single" w:color="000000" w:sz="4" w:space="0"/>
              <w:right w:val="single" w:color="000000" w:sz="4" w:space="0"/>
            </w:tcBorders>
            <w:vAlign w:val="center"/>
          </w:tcPr>
          <w:p w14:paraId="0778807F">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可对居民的慢性肾病形成列表信息，可对慢性肾病专项和慢性肾病随访档案进行查阅。</w:t>
            </w:r>
          </w:p>
        </w:tc>
      </w:tr>
      <w:tr w14:paraId="72B22792">
        <w:tblPrEx>
          <w:tblCellMar>
            <w:top w:w="0" w:type="dxa"/>
            <w:left w:w="108" w:type="dxa"/>
            <w:bottom w:w="0" w:type="dxa"/>
            <w:right w:w="108" w:type="dxa"/>
          </w:tblCellMar>
        </w:tblPrEx>
        <w:trPr>
          <w:trHeight w:val="730" w:hRule="atLeast"/>
        </w:trPr>
        <w:tc>
          <w:tcPr>
            <w:tcW w:w="705" w:type="dxa"/>
            <w:vMerge w:val="continue"/>
            <w:tcBorders>
              <w:left w:val="single" w:color="000000" w:sz="4" w:space="0"/>
              <w:right w:val="single" w:color="000000" w:sz="4" w:space="0"/>
            </w:tcBorders>
            <w:vAlign w:val="center"/>
          </w:tcPr>
          <w:p w14:paraId="341044B1">
            <w:pPr>
              <w:jc w:val="center"/>
              <w:rPr>
                <w:rFonts w:ascii="宋体" w:hAnsi="宋体" w:eastAsia="宋体" w:cs="宋体"/>
                <w:b/>
                <w:bCs/>
                <w:color w:val="000000"/>
                <w:sz w:val="21"/>
                <w:szCs w:val="21"/>
                <w:highlight w:val="none"/>
              </w:rPr>
            </w:pPr>
          </w:p>
        </w:tc>
        <w:tc>
          <w:tcPr>
            <w:tcW w:w="1189" w:type="dxa"/>
            <w:vMerge w:val="continue"/>
            <w:tcBorders>
              <w:left w:val="nil"/>
              <w:right w:val="single" w:color="000000" w:sz="4" w:space="0"/>
            </w:tcBorders>
            <w:vAlign w:val="center"/>
          </w:tcPr>
          <w:p w14:paraId="28392DD1">
            <w:pPr>
              <w:jc w:val="left"/>
              <w:rPr>
                <w:rFonts w:ascii="宋体" w:hAnsi="宋体" w:eastAsia="宋体" w:cs="宋体"/>
                <w:color w:val="000000"/>
                <w:sz w:val="21"/>
                <w:szCs w:val="21"/>
                <w:highlight w:val="none"/>
              </w:rPr>
            </w:pPr>
          </w:p>
        </w:tc>
        <w:tc>
          <w:tcPr>
            <w:tcW w:w="1154" w:type="dxa"/>
            <w:vMerge w:val="continue"/>
            <w:tcBorders>
              <w:left w:val="single" w:color="000000" w:sz="4" w:space="0"/>
              <w:right w:val="single" w:color="000000" w:sz="4" w:space="0"/>
            </w:tcBorders>
            <w:vAlign w:val="center"/>
          </w:tcPr>
          <w:p w14:paraId="5A983ABE">
            <w:pPr>
              <w:jc w:val="left"/>
              <w:rPr>
                <w:rFonts w:ascii="宋体" w:hAnsi="宋体" w:eastAsia="宋体" w:cs="宋体"/>
                <w:color w:val="000000"/>
                <w:sz w:val="21"/>
                <w:szCs w:val="21"/>
                <w:highlight w:val="none"/>
              </w:rPr>
            </w:pPr>
          </w:p>
        </w:tc>
        <w:tc>
          <w:tcPr>
            <w:tcW w:w="1223" w:type="dxa"/>
            <w:tcBorders>
              <w:top w:val="single" w:color="000000" w:sz="4" w:space="0"/>
              <w:left w:val="single" w:color="000000" w:sz="4" w:space="0"/>
              <w:bottom w:val="single" w:color="000000" w:sz="4" w:space="0"/>
              <w:right w:val="single" w:color="000000" w:sz="4" w:space="0"/>
            </w:tcBorders>
            <w:vAlign w:val="center"/>
          </w:tcPr>
          <w:p w14:paraId="46D6B990">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脑卒中档案</w:t>
            </w:r>
          </w:p>
        </w:tc>
        <w:tc>
          <w:tcPr>
            <w:tcW w:w="5216" w:type="dxa"/>
            <w:tcBorders>
              <w:top w:val="single" w:color="000000" w:sz="4" w:space="0"/>
              <w:left w:val="single" w:color="000000" w:sz="4" w:space="0"/>
              <w:bottom w:val="single" w:color="000000" w:sz="4" w:space="0"/>
              <w:right w:val="single" w:color="000000" w:sz="4" w:space="0"/>
            </w:tcBorders>
            <w:vAlign w:val="center"/>
          </w:tcPr>
          <w:p w14:paraId="313545C5">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可对居民的脑卒中形成列表信息，可对脑卒中专项和脑卒中随访档案进行查阅。</w:t>
            </w:r>
          </w:p>
        </w:tc>
      </w:tr>
      <w:tr w14:paraId="5F66A70B">
        <w:tblPrEx>
          <w:tblCellMar>
            <w:top w:w="0" w:type="dxa"/>
            <w:left w:w="108" w:type="dxa"/>
            <w:bottom w:w="0" w:type="dxa"/>
            <w:right w:w="108" w:type="dxa"/>
          </w:tblCellMar>
        </w:tblPrEx>
        <w:trPr>
          <w:trHeight w:val="730" w:hRule="atLeast"/>
        </w:trPr>
        <w:tc>
          <w:tcPr>
            <w:tcW w:w="705" w:type="dxa"/>
            <w:vMerge w:val="continue"/>
            <w:tcBorders>
              <w:left w:val="single" w:color="000000" w:sz="4" w:space="0"/>
              <w:right w:val="single" w:color="000000" w:sz="4" w:space="0"/>
            </w:tcBorders>
            <w:vAlign w:val="center"/>
          </w:tcPr>
          <w:p w14:paraId="50C34E74">
            <w:pPr>
              <w:jc w:val="center"/>
              <w:rPr>
                <w:rFonts w:ascii="宋体" w:hAnsi="宋体" w:eastAsia="宋体" w:cs="宋体"/>
                <w:b/>
                <w:bCs/>
                <w:color w:val="000000"/>
                <w:sz w:val="21"/>
                <w:szCs w:val="21"/>
                <w:highlight w:val="none"/>
              </w:rPr>
            </w:pPr>
          </w:p>
        </w:tc>
        <w:tc>
          <w:tcPr>
            <w:tcW w:w="1189" w:type="dxa"/>
            <w:vMerge w:val="continue"/>
            <w:tcBorders>
              <w:left w:val="nil"/>
              <w:right w:val="single" w:color="000000" w:sz="4" w:space="0"/>
            </w:tcBorders>
            <w:vAlign w:val="center"/>
          </w:tcPr>
          <w:p w14:paraId="5B7E185B">
            <w:pPr>
              <w:jc w:val="left"/>
              <w:rPr>
                <w:rFonts w:ascii="宋体" w:hAnsi="宋体" w:eastAsia="宋体" w:cs="宋体"/>
                <w:color w:val="000000"/>
                <w:sz w:val="21"/>
                <w:szCs w:val="21"/>
                <w:highlight w:val="none"/>
              </w:rPr>
            </w:pPr>
          </w:p>
        </w:tc>
        <w:tc>
          <w:tcPr>
            <w:tcW w:w="1154" w:type="dxa"/>
            <w:vMerge w:val="continue"/>
            <w:tcBorders>
              <w:left w:val="single" w:color="000000" w:sz="4" w:space="0"/>
              <w:right w:val="single" w:color="000000" w:sz="4" w:space="0"/>
            </w:tcBorders>
            <w:vAlign w:val="center"/>
          </w:tcPr>
          <w:p w14:paraId="610DFD6F">
            <w:pPr>
              <w:jc w:val="left"/>
              <w:rPr>
                <w:rFonts w:ascii="宋体" w:hAnsi="宋体" w:eastAsia="宋体" w:cs="宋体"/>
                <w:color w:val="000000"/>
                <w:sz w:val="21"/>
                <w:szCs w:val="21"/>
                <w:highlight w:val="none"/>
              </w:rPr>
            </w:pPr>
          </w:p>
        </w:tc>
        <w:tc>
          <w:tcPr>
            <w:tcW w:w="1223" w:type="dxa"/>
            <w:tcBorders>
              <w:top w:val="single" w:color="000000" w:sz="4" w:space="0"/>
              <w:left w:val="single" w:color="000000" w:sz="4" w:space="0"/>
              <w:bottom w:val="single" w:color="000000" w:sz="4" w:space="0"/>
              <w:right w:val="single" w:color="000000" w:sz="4" w:space="0"/>
            </w:tcBorders>
            <w:vAlign w:val="center"/>
          </w:tcPr>
          <w:p w14:paraId="48FF5924">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肺癌档案</w:t>
            </w:r>
          </w:p>
        </w:tc>
        <w:tc>
          <w:tcPr>
            <w:tcW w:w="5216" w:type="dxa"/>
            <w:tcBorders>
              <w:top w:val="single" w:color="000000" w:sz="4" w:space="0"/>
              <w:left w:val="single" w:color="000000" w:sz="4" w:space="0"/>
              <w:bottom w:val="single" w:color="000000" w:sz="4" w:space="0"/>
              <w:right w:val="single" w:color="000000" w:sz="4" w:space="0"/>
            </w:tcBorders>
            <w:vAlign w:val="center"/>
          </w:tcPr>
          <w:p w14:paraId="0D52B24A">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可对居民的肺癌形成列表信息，可对肺癌专项和肺癌随访档案进行查阅。</w:t>
            </w:r>
          </w:p>
        </w:tc>
      </w:tr>
      <w:tr w14:paraId="2763C9AF">
        <w:tblPrEx>
          <w:tblCellMar>
            <w:top w:w="0" w:type="dxa"/>
            <w:left w:w="108" w:type="dxa"/>
            <w:bottom w:w="0" w:type="dxa"/>
            <w:right w:w="108" w:type="dxa"/>
          </w:tblCellMar>
        </w:tblPrEx>
        <w:trPr>
          <w:trHeight w:val="316" w:hRule="atLeast"/>
        </w:trPr>
        <w:tc>
          <w:tcPr>
            <w:tcW w:w="705" w:type="dxa"/>
            <w:vMerge w:val="continue"/>
            <w:tcBorders>
              <w:left w:val="single" w:color="000000" w:sz="4" w:space="0"/>
              <w:right w:val="single" w:color="000000" w:sz="4" w:space="0"/>
            </w:tcBorders>
            <w:vAlign w:val="center"/>
          </w:tcPr>
          <w:p w14:paraId="10128EAD">
            <w:pPr>
              <w:jc w:val="center"/>
              <w:rPr>
                <w:rFonts w:ascii="宋体" w:hAnsi="宋体" w:eastAsia="宋体" w:cs="宋体"/>
                <w:b/>
                <w:bCs/>
                <w:color w:val="000000"/>
                <w:sz w:val="21"/>
                <w:szCs w:val="21"/>
                <w:highlight w:val="none"/>
              </w:rPr>
            </w:pPr>
          </w:p>
        </w:tc>
        <w:tc>
          <w:tcPr>
            <w:tcW w:w="1189" w:type="dxa"/>
            <w:vMerge w:val="continue"/>
            <w:tcBorders>
              <w:top w:val="single" w:color="000000" w:sz="4" w:space="0"/>
              <w:left w:val="nil"/>
              <w:bottom w:val="single" w:color="000000" w:sz="4" w:space="0"/>
              <w:right w:val="single" w:color="000000" w:sz="4" w:space="0"/>
            </w:tcBorders>
            <w:vAlign w:val="center"/>
          </w:tcPr>
          <w:p w14:paraId="5D786AFF">
            <w:pPr>
              <w:jc w:val="left"/>
              <w:rPr>
                <w:rFonts w:ascii="宋体" w:hAnsi="宋体" w:eastAsia="宋体" w:cs="宋体"/>
                <w:color w:val="000000"/>
                <w:sz w:val="21"/>
                <w:szCs w:val="21"/>
                <w:highlight w:val="none"/>
              </w:rPr>
            </w:pPr>
          </w:p>
        </w:tc>
        <w:tc>
          <w:tcPr>
            <w:tcW w:w="1154" w:type="dxa"/>
            <w:vMerge w:val="continue"/>
            <w:tcBorders>
              <w:top w:val="single" w:color="000000" w:sz="4" w:space="0"/>
              <w:left w:val="single" w:color="000000" w:sz="4" w:space="0"/>
              <w:bottom w:val="single" w:color="000000" w:sz="4" w:space="0"/>
              <w:right w:val="single" w:color="000000" w:sz="4" w:space="0"/>
            </w:tcBorders>
            <w:vAlign w:val="center"/>
          </w:tcPr>
          <w:p w14:paraId="6AC908E3">
            <w:pPr>
              <w:jc w:val="left"/>
              <w:rPr>
                <w:rFonts w:ascii="宋体" w:hAnsi="宋体" w:eastAsia="宋体" w:cs="宋体"/>
                <w:color w:val="000000"/>
                <w:sz w:val="21"/>
                <w:szCs w:val="21"/>
                <w:highlight w:val="none"/>
              </w:rPr>
            </w:pPr>
          </w:p>
        </w:tc>
        <w:tc>
          <w:tcPr>
            <w:tcW w:w="1223" w:type="dxa"/>
            <w:tcBorders>
              <w:top w:val="single" w:color="000000" w:sz="4" w:space="0"/>
              <w:left w:val="single" w:color="000000" w:sz="4" w:space="0"/>
              <w:bottom w:val="single" w:color="000000" w:sz="4" w:space="0"/>
              <w:right w:val="single" w:color="000000" w:sz="4" w:space="0"/>
            </w:tcBorders>
            <w:vAlign w:val="center"/>
          </w:tcPr>
          <w:p w14:paraId="304207C5">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结直肠癌档案</w:t>
            </w:r>
          </w:p>
        </w:tc>
        <w:tc>
          <w:tcPr>
            <w:tcW w:w="5216" w:type="dxa"/>
            <w:tcBorders>
              <w:top w:val="single" w:color="000000" w:sz="4" w:space="0"/>
              <w:left w:val="single" w:color="000000" w:sz="4" w:space="0"/>
              <w:bottom w:val="single" w:color="000000" w:sz="4" w:space="0"/>
              <w:right w:val="single" w:color="000000" w:sz="4" w:space="0"/>
            </w:tcBorders>
            <w:vAlign w:val="center"/>
          </w:tcPr>
          <w:p w14:paraId="0BE76576">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可对居民的结直肠癌形成列表信息，可对结直肠癌专项和结直肠癌随访档案进行查阅。</w:t>
            </w:r>
          </w:p>
        </w:tc>
      </w:tr>
      <w:tr w14:paraId="0666F8CD">
        <w:tblPrEx>
          <w:tblCellMar>
            <w:top w:w="0" w:type="dxa"/>
            <w:left w:w="108" w:type="dxa"/>
            <w:bottom w:w="0" w:type="dxa"/>
            <w:right w:w="108" w:type="dxa"/>
          </w:tblCellMar>
        </w:tblPrEx>
        <w:trPr>
          <w:trHeight w:val="316" w:hRule="atLeast"/>
        </w:trPr>
        <w:tc>
          <w:tcPr>
            <w:tcW w:w="705" w:type="dxa"/>
            <w:vMerge w:val="continue"/>
            <w:tcBorders>
              <w:left w:val="single" w:color="000000" w:sz="4" w:space="0"/>
              <w:right w:val="single" w:color="000000" w:sz="4" w:space="0"/>
            </w:tcBorders>
            <w:vAlign w:val="center"/>
          </w:tcPr>
          <w:p w14:paraId="1A060248">
            <w:pPr>
              <w:jc w:val="center"/>
              <w:rPr>
                <w:rFonts w:ascii="宋体" w:hAnsi="宋体" w:eastAsia="宋体" w:cs="宋体"/>
                <w:b/>
                <w:bCs/>
                <w:color w:val="000000"/>
                <w:sz w:val="21"/>
                <w:szCs w:val="21"/>
                <w:highlight w:val="none"/>
              </w:rPr>
            </w:pPr>
          </w:p>
        </w:tc>
        <w:tc>
          <w:tcPr>
            <w:tcW w:w="1189" w:type="dxa"/>
            <w:vMerge w:val="continue"/>
            <w:tcBorders>
              <w:top w:val="single" w:color="000000" w:sz="4" w:space="0"/>
              <w:left w:val="nil"/>
              <w:right w:val="single" w:color="000000" w:sz="4" w:space="0"/>
            </w:tcBorders>
            <w:vAlign w:val="center"/>
          </w:tcPr>
          <w:p w14:paraId="4E2C788C">
            <w:pPr>
              <w:jc w:val="left"/>
              <w:rPr>
                <w:rFonts w:ascii="宋体" w:hAnsi="宋体" w:eastAsia="宋体" w:cs="宋体"/>
                <w:color w:val="000000"/>
                <w:sz w:val="21"/>
                <w:szCs w:val="21"/>
                <w:highlight w:val="none"/>
              </w:rPr>
            </w:pPr>
          </w:p>
        </w:tc>
        <w:tc>
          <w:tcPr>
            <w:tcW w:w="1154" w:type="dxa"/>
            <w:vMerge w:val="continue"/>
            <w:tcBorders>
              <w:top w:val="single" w:color="000000" w:sz="4" w:space="0"/>
              <w:left w:val="single" w:color="000000" w:sz="4" w:space="0"/>
              <w:bottom w:val="single" w:color="000000" w:sz="4" w:space="0"/>
              <w:right w:val="single" w:color="000000" w:sz="4" w:space="0"/>
            </w:tcBorders>
            <w:vAlign w:val="center"/>
          </w:tcPr>
          <w:p w14:paraId="53994EC4">
            <w:pPr>
              <w:jc w:val="left"/>
              <w:rPr>
                <w:rFonts w:ascii="宋体" w:hAnsi="宋体" w:eastAsia="宋体" w:cs="宋体"/>
                <w:color w:val="000000"/>
                <w:sz w:val="21"/>
                <w:szCs w:val="21"/>
                <w:highlight w:val="none"/>
              </w:rPr>
            </w:pPr>
          </w:p>
        </w:tc>
        <w:tc>
          <w:tcPr>
            <w:tcW w:w="1223" w:type="dxa"/>
            <w:tcBorders>
              <w:top w:val="single" w:color="000000" w:sz="4" w:space="0"/>
              <w:left w:val="single" w:color="000000" w:sz="4" w:space="0"/>
              <w:bottom w:val="single" w:color="000000" w:sz="4" w:space="0"/>
              <w:right w:val="single" w:color="000000" w:sz="4" w:space="0"/>
            </w:tcBorders>
            <w:vAlign w:val="center"/>
          </w:tcPr>
          <w:p w14:paraId="2211647E">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乳腺癌档案</w:t>
            </w:r>
          </w:p>
        </w:tc>
        <w:tc>
          <w:tcPr>
            <w:tcW w:w="5216" w:type="dxa"/>
            <w:tcBorders>
              <w:top w:val="single" w:color="000000" w:sz="4" w:space="0"/>
              <w:left w:val="single" w:color="000000" w:sz="4" w:space="0"/>
              <w:bottom w:val="single" w:color="000000" w:sz="4" w:space="0"/>
              <w:right w:val="single" w:color="000000" w:sz="4" w:space="0"/>
            </w:tcBorders>
            <w:vAlign w:val="center"/>
          </w:tcPr>
          <w:p w14:paraId="0553BBA1">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可对居民的乳腺癌形成列表信息，可对乳腺癌专项和乳腺癌随访档案进行查阅。</w:t>
            </w:r>
          </w:p>
        </w:tc>
      </w:tr>
      <w:tr w14:paraId="2289B191">
        <w:tblPrEx>
          <w:tblCellMar>
            <w:top w:w="0" w:type="dxa"/>
            <w:left w:w="108" w:type="dxa"/>
            <w:bottom w:w="0" w:type="dxa"/>
            <w:right w:w="108" w:type="dxa"/>
          </w:tblCellMar>
        </w:tblPrEx>
        <w:trPr>
          <w:trHeight w:val="316" w:hRule="atLeast"/>
        </w:trPr>
        <w:tc>
          <w:tcPr>
            <w:tcW w:w="705" w:type="dxa"/>
            <w:vMerge w:val="continue"/>
            <w:tcBorders>
              <w:top w:val="single" w:color="000000" w:sz="4" w:space="0"/>
              <w:left w:val="single" w:color="000000" w:sz="4" w:space="0"/>
              <w:bottom w:val="single" w:color="000000" w:sz="4" w:space="0"/>
              <w:right w:val="single" w:color="000000" w:sz="4" w:space="0"/>
            </w:tcBorders>
            <w:vAlign w:val="center"/>
          </w:tcPr>
          <w:p w14:paraId="111CF874">
            <w:pPr>
              <w:jc w:val="center"/>
              <w:rPr>
                <w:rFonts w:ascii="宋体" w:hAnsi="宋体" w:eastAsia="宋体" w:cs="宋体"/>
                <w:b/>
                <w:bCs/>
                <w:color w:val="000000"/>
                <w:sz w:val="21"/>
                <w:szCs w:val="21"/>
                <w:highlight w:val="none"/>
              </w:rPr>
            </w:pPr>
          </w:p>
        </w:tc>
        <w:tc>
          <w:tcPr>
            <w:tcW w:w="1189" w:type="dxa"/>
            <w:vMerge w:val="continue"/>
            <w:tcBorders>
              <w:top w:val="single" w:color="000000" w:sz="4" w:space="0"/>
              <w:left w:val="nil"/>
              <w:bottom w:val="single" w:color="000000" w:sz="4" w:space="0"/>
              <w:right w:val="single" w:color="000000" w:sz="4" w:space="0"/>
            </w:tcBorders>
            <w:vAlign w:val="center"/>
          </w:tcPr>
          <w:p w14:paraId="10B12A3C">
            <w:pPr>
              <w:jc w:val="left"/>
              <w:rPr>
                <w:rFonts w:ascii="宋体" w:hAnsi="宋体" w:eastAsia="宋体" w:cs="宋体"/>
                <w:color w:val="000000"/>
                <w:sz w:val="21"/>
                <w:szCs w:val="21"/>
                <w:highlight w:val="none"/>
              </w:rPr>
            </w:pPr>
          </w:p>
        </w:tc>
        <w:tc>
          <w:tcPr>
            <w:tcW w:w="1154" w:type="dxa"/>
            <w:vMerge w:val="continue"/>
            <w:tcBorders>
              <w:top w:val="single" w:color="000000" w:sz="4" w:space="0"/>
              <w:left w:val="single" w:color="000000" w:sz="4" w:space="0"/>
              <w:bottom w:val="single" w:color="000000" w:sz="4" w:space="0"/>
              <w:right w:val="single" w:color="000000" w:sz="4" w:space="0"/>
            </w:tcBorders>
            <w:vAlign w:val="center"/>
          </w:tcPr>
          <w:p w14:paraId="5A96D472">
            <w:pPr>
              <w:jc w:val="left"/>
              <w:rPr>
                <w:rFonts w:ascii="宋体" w:hAnsi="宋体" w:eastAsia="宋体" w:cs="宋体"/>
                <w:color w:val="000000"/>
                <w:sz w:val="21"/>
                <w:szCs w:val="21"/>
                <w:highlight w:val="none"/>
              </w:rPr>
            </w:pPr>
          </w:p>
        </w:tc>
        <w:tc>
          <w:tcPr>
            <w:tcW w:w="1223" w:type="dxa"/>
            <w:tcBorders>
              <w:top w:val="single" w:color="000000" w:sz="4" w:space="0"/>
              <w:left w:val="single" w:color="000000" w:sz="4" w:space="0"/>
              <w:bottom w:val="single" w:color="000000" w:sz="4" w:space="0"/>
              <w:right w:val="single" w:color="000000" w:sz="4" w:space="0"/>
            </w:tcBorders>
            <w:vAlign w:val="center"/>
          </w:tcPr>
          <w:p w14:paraId="539D2C15">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宫颈癌档案</w:t>
            </w:r>
          </w:p>
        </w:tc>
        <w:tc>
          <w:tcPr>
            <w:tcW w:w="5216" w:type="dxa"/>
            <w:tcBorders>
              <w:top w:val="single" w:color="000000" w:sz="4" w:space="0"/>
              <w:left w:val="single" w:color="000000" w:sz="4" w:space="0"/>
              <w:bottom w:val="single" w:color="000000" w:sz="4" w:space="0"/>
              <w:right w:val="single" w:color="000000" w:sz="4" w:space="0"/>
            </w:tcBorders>
            <w:vAlign w:val="center"/>
          </w:tcPr>
          <w:p w14:paraId="23B8AD3C">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可对居民的宫颈癌形成列表信息，可对宫颈癌专项和宫颈癌随访档案进行查阅。</w:t>
            </w:r>
          </w:p>
        </w:tc>
      </w:tr>
      <w:tr w14:paraId="096A8617">
        <w:tblPrEx>
          <w:tblCellMar>
            <w:top w:w="0" w:type="dxa"/>
            <w:left w:w="108" w:type="dxa"/>
            <w:bottom w:w="0" w:type="dxa"/>
            <w:right w:w="108" w:type="dxa"/>
          </w:tblCellMar>
        </w:tblPrEx>
        <w:trPr>
          <w:trHeight w:val="326" w:hRule="atLeast"/>
        </w:trPr>
        <w:tc>
          <w:tcPr>
            <w:tcW w:w="705" w:type="dxa"/>
            <w:vMerge w:val="continue"/>
            <w:tcBorders>
              <w:top w:val="single" w:color="000000" w:sz="4" w:space="0"/>
              <w:left w:val="single" w:color="000000" w:sz="4" w:space="0"/>
              <w:bottom w:val="single" w:color="000000" w:sz="4" w:space="0"/>
              <w:right w:val="single" w:color="000000" w:sz="4" w:space="0"/>
            </w:tcBorders>
            <w:vAlign w:val="center"/>
          </w:tcPr>
          <w:p w14:paraId="42B29F38">
            <w:pPr>
              <w:jc w:val="center"/>
              <w:rPr>
                <w:rFonts w:ascii="宋体" w:hAnsi="宋体" w:eastAsia="宋体" w:cs="宋体"/>
                <w:b/>
                <w:bCs/>
                <w:color w:val="000000"/>
                <w:sz w:val="21"/>
                <w:szCs w:val="21"/>
                <w:highlight w:val="none"/>
              </w:rPr>
            </w:pPr>
          </w:p>
        </w:tc>
        <w:tc>
          <w:tcPr>
            <w:tcW w:w="1189" w:type="dxa"/>
            <w:vMerge w:val="continue"/>
            <w:tcBorders>
              <w:top w:val="single" w:color="000000" w:sz="4" w:space="0"/>
              <w:left w:val="nil"/>
              <w:bottom w:val="single" w:color="000000" w:sz="4" w:space="0"/>
              <w:right w:val="single" w:color="000000" w:sz="4" w:space="0"/>
            </w:tcBorders>
            <w:vAlign w:val="center"/>
          </w:tcPr>
          <w:p w14:paraId="22DBFDBA">
            <w:pPr>
              <w:jc w:val="left"/>
              <w:rPr>
                <w:rFonts w:ascii="宋体" w:hAnsi="宋体" w:eastAsia="宋体" w:cs="宋体"/>
                <w:color w:val="000000"/>
                <w:sz w:val="21"/>
                <w:szCs w:val="21"/>
                <w:highlight w:val="none"/>
              </w:rPr>
            </w:pPr>
          </w:p>
        </w:tc>
        <w:tc>
          <w:tcPr>
            <w:tcW w:w="1154" w:type="dxa"/>
            <w:vMerge w:val="continue"/>
            <w:tcBorders>
              <w:top w:val="single" w:color="000000" w:sz="4" w:space="0"/>
              <w:left w:val="single" w:color="000000" w:sz="4" w:space="0"/>
              <w:bottom w:val="single" w:color="000000" w:sz="4" w:space="0"/>
              <w:right w:val="single" w:color="000000" w:sz="4" w:space="0"/>
            </w:tcBorders>
            <w:vAlign w:val="center"/>
          </w:tcPr>
          <w:p w14:paraId="6060E9D8">
            <w:pPr>
              <w:jc w:val="left"/>
              <w:rPr>
                <w:rFonts w:ascii="宋体" w:hAnsi="宋体" w:eastAsia="宋体" w:cs="宋体"/>
                <w:color w:val="000000"/>
                <w:sz w:val="21"/>
                <w:szCs w:val="21"/>
                <w:highlight w:val="none"/>
              </w:rPr>
            </w:pPr>
          </w:p>
        </w:tc>
        <w:tc>
          <w:tcPr>
            <w:tcW w:w="1223" w:type="dxa"/>
            <w:tcBorders>
              <w:top w:val="single" w:color="000000" w:sz="4" w:space="0"/>
              <w:left w:val="single" w:color="000000" w:sz="4" w:space="0"/>
              <w:bottom w:val="single" w:color="000000" w:sz="4" w:space="0"/>
              <w:right w:val="single" w:color="000000" w:sz="4" w:space="0"/>
            </w:tcBorders>
            <w:vAlign w:val="center"/>
          </w:tcPr>
          <w:p w14:paraId="00511462">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肝癌档案</w:t>
            </w:r>
          </w:p>
        </w:tc>
        <w:tc>
          <w:tcPr>
            <w:tcW w:w="5216" w:type="dxa"/>
            <w:tcBorders>
              <w:top w:val="single" w:color="000000" w:sz="4" w:space="0"/>
              <w:left w:val="single" w:color="000000" w:sz="4" w:space="0"/>
              <w:bottom w:val="single" w:color="000000" w:sz="4" w:space="0"/>
              <w:right w:val="single" w:color="000000" w:sz="4" w:space="0"/>
            </w:tcBorders>
            <w:vAlign w:val="center"/>
          </w:tcPr>
          <w:p w14:paraId="42B10CAD">
            <w:pPr>
              <w:keepNext w:val="0"/>
              <w:keepLines w:val="0"/>
              <w:widowControl/>
              <w:suppressLineNumbers w:val="0"/>
              <w:jc w:val="left"/>
              <w:textAlignment w:val="center"/>
              <w:rPr>
                <w:rFonts w:ascii="宋体" w:hAnsi="宋体" w:eastAsia="宋体" w:cs="宋体"/>
                <w:color w:val="000000"/>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可对居民的肝癌形成列表信息，可对肝癌专项和肝癌随访档案进行查阅。</w:t>
            </w:r>
          </w:p>
        </w:tc>
      </w:tr>
    </w:tbl>
    <w:p w14:paraId="2E32A646">
      <w:pPr>
        <w:spacing w:line="460" w:lineRule="exact"/>
        <w:ind w:firstLine="420" w:firstLineChars="200"/>
        <w:outlineLvl w:val="1"/>
        <w:rPr>
          <w:rFonts w:ascii="宋体" w:hAnsi="宋体" w:eastAsia="宋体" w:cs="宋体"/>
          <w:kern w:val="0"/>
          <w:highlight w:val="none"/>
        </w:rPr>
      </w:pPr>
    </w:p>
    <w:p w14:paraId="5E2D2569">
      <w:pPr>
        <w:spacing w:line="460" w:lineRule="exact"/>
        <w:ind w:firstLine="422" w:firstLineChars="200"/>
        <w:outlineLvl w:val="1"/>
        <w:rPr>
          <w:rFonts w:ascii="宋体" w:hAnsi="宋体" w:eastAsia="宋体" w:cs="宋体"/>
          <w:b/>
          <w:bCs/>
          <w:kern w:val="0"/>
          <w:highlight w:val="none"/>
        </w:rPr>
      </w:pPr>
      <w:r>
        <w:rPr>
          <w:rFonts w:hint="eastAsia" w:ascii="宋体" w:hAnsi="宋体" w:eastAsia="宋体" w:cs="宋体"/>
          <w:b/>
          <w:bCs/>
          <w:kern w:val="0"/>
          <w:highlight w:val="none"/>
        </w:rPr>
        <w:t>2.视频演示要求</w:t>
      </w:r>
    </w:p>
    <w:p w14:paraId="6BE08941">
      <w:pPr>
        <w:spacing w:line="460" w:lineRule="exact"/>
        <w:ind w:firstLine="422" w:firstLineChars="200"/>
        <w:outlineLvl w:val="1"/>
        <w:rPr>
          <w:rFonts w:ascii="宋体" w:hAnsi="宋体" w:eastAsia="宋体" w:cs="宋体"/>
          <w:b/>
          <w:bCs/>
          <w:kern w:val="0"/>
          <w:highlight w:val="none"/>
        </w:rPr>
      </w:pPr>
      <w:r>
        <w:rPr>
          <w:rFonts w:hint="eastAsia" w:ascii="宋体" w:hAnsi="宋体" w:eastAsia="宋体" w:cs="宋体"/>
          <w:b/>
          <w:bCs/>
          <w:kern w:val="0"/>
          <w:highlight w:val="none"/>
        </w:rPr>
        <w:t>2.1本项目需要对本次采购的“昌宁县医共体总医院慢病管理信息系统”提供开发设计功能模块（demo）进行视频演示，演示方式采用视频并配音解说进行实现（格式：MP4）。视频演示须图像清晰、演示功能准确，配音解说须与视频显示内容一致。</w:t>
      </w:r>
    </w:p>
    <w:p w14:paraId="3B644C5C">
      <w:pPr>
        <w:spacing w:line="460" w:lineRule="exact"/>
        <w:ind w:firstLine="422" w:firstLineChars="200"/>
        <w:outlineLvl w:val="1"/>
        <w:rPr>
          <w:rFonts w:ascii="宋体" w:hAnsi="宋体" w:eastAsia="宋体" w:cs="宋体"/>
          <w:b/>
          <w:bCs/>
          <w:kern w:val="0"/>
          <w:highlight w:val="none"/>
        </w:rPr>
      </w:pPr>
      <w:r>
        <w:rPr>
          <w:rFonts w:hint="eastAsia" w:ascii="宋体" w:hAnsi="宋体" w:eastAsia="宋体" w:cs="宋体"/>
          <w:b/>
          <w:bCs/>
          <w:kern w:val="0"/>
          <w:highlight w:val="none"/>
        </w:rPr>
        <w:t>2.2演示内容：竞争性磋商文件第五章采购需求中“二、昌宁县医共体总医院慢病管理信息系统功能需求”标注“▲”的为演示内容（共</w:t>
      </w:r>
      <w:r>
        <w:rPr>
          <w:rFonts w:hint="eastAsia" w:ascii="宋体" w:hAnsi="宋体" w:eastAsia="宋体" w:cs="宋体"/>
          <w:b/>
          <w:bCs/>
          <w:kern w:val="0"/>
          <w:highlight w:val="none"/>
          <w:lang w:val="en-US" w:eastAsia="zh-CN"/>
        </w:rPr>
        <w:t>15</w:t>
      </w:r>
      <w:r>
        <w:rPr>
          <w:rFonts w:hint="eastAsia" w:ascii="宋体" w:hAnsi="宋体" w:eastAsia="宋体" w:cs="宋体"/>
          <w:b/>
          <w:bCs/>
          <w:kern w:val="0"/>
          <w:highlight w:val="none"/>
        </w:rPr>
        <w:t>项功能），请根据采购需求制作软件功能模块演示视频（demo）。其中各部分内容演示的功能模块必须演示系统功能的执行方式和相应的业务流程（需要通过数据验证的，磋商申请人可在演示过程中自行模拟相应数据模型）。</w:t>
      </w:r>
    </w:p>
    <w:p w14:paraId="1FB43C2D">
      <w:pPr>
        <w:spacing w:line="460" w:lineRule="exact"/>
        <w:ind w:firstLine="422" w:firstLineChars="200"/>
        <w:outlineLvl w:val="1"/>
        <w:rPr>
          <w:rFonts w:ascii="宋体" w:hAnsi="宋体" w:eastAsia="宋体" w:cs="宋体"/>
          <w:b/>
          <w:bCs/>
          <w:kern w:val="0"/>
          <w:highlight w:val="none"/>
        </w:rPr>
      </w:pPr>
    </w:p>
    <w:p w14:paraId="04E9664E">
      <w:pPr>
        <w:spacing w:line="460" w:lineRule="exact"/>
        <w:ind w:firstLine="422" w:firstLineChars="200"/>
        <w:outlineLvl w:val="1"/>
        <w:rPr>
          <w:rFonts w:ascii="宋体" w:hAnsi="宋体" w:eastAsia="宋体" w:cs="宋体"/>
          <w:kern w:val="0"/>
          <w:highlight w:val="none"/>
        </w:rPr>
      </w:pPr>
      <w:r>
        <w:rPr>
          <w:rFonts w:hint="eastAsia" w:ascii="宋体" w:hAnsi="宋体" w:eastAsia="宋体" w:cs="宋体"/>
          <w:b/>
          <w:bCs/>
          <w:kern w:val="0"/>
          <w:highlight w:val="none"/>
        </w:rPr>
        <w:t>三、系统搭建及部署相关技术要求和说明</w:t>
      </w:r>
    </w:p>
    <w:p w14:paraId="06B748A6">
      <w:pPr>
        <w:spacing w:line="460" w:lineRule="exact"/>
        <w:ind w:firstLine="420" w:firstLineChars="200"/>
        <w:outlineLvl w:val="1"/>
        <w:rPr>
          <w:rFonts w:ascii="宋体" w:hAnsi="宋体" w:eastAsia="宋体" w:cs="宋体"/>
          <w:kern w:val="0"/>
          <w:highlight w:val="none"/>
        </w:rPr>
      </w:pPr>
      <w:r>
        <w:rPr>
          <w:rFonts w:hint="eastAsia" w:ascii="宋体" w:hAnsi="宋体" w:eastAsia="宋体" w:cs="宋体"/>
          <w:kern w:val="0"/>
          <w:highlight w:val="none"/>
        </w:rPr>
        <w:t>（一）系统搭建及部署</w:t>
      </w:r>
    </w:p>
    <w:p w14:paraId="6B06D1F3">
      <w:pPr>
        <w:spacing w:line="460" w:lineRule="exact"/>
        <w:ind w:firstLine="420" w:firstLineChars="200"/>
        <w:outlineLvl w:val="1"/>
        <w:rPr>
          <w:rFonts w:ascii="宋体" w:hAnsi="宋体" w:eastAsia="宋体" w:cs="宋体"/>
          <w:kern w:val="0"/>
          <w:highlight w:val="none"/>
        </w:rPr>
      </w:pPr>
      <w:r>
        <w:rPr>
          <w:rFonts w:hint="eastAsia" w:ascii="宋体" w:hAnsi="宋体" w:eastAsia="宋体" w:cs="宋体"/>
          <w:kern w:val="0"/>
          <w:highlight w:val="none"/>
        </w:rPr>
        <w:t>1.本项目搭建的昌宁县医共体总医院慢病管理信息系统开发完成后须分别部署到各医共体各成员单位（包含昌宁县人民医院、昌宁县中医院、昌宁县妇幼保健计划生育服务中心及12个乡镇卫生院）的机房中。</w:t>
      </w:r>
    </w:p>
    <w:p w14:paraId="50C54D4B">
      <w:pPr>
        <w:spacing w:line="460" w:lineRule="exact"/>
        <w:ind w:firstLine="420" w:firstLineChars="200"/>
        <w:outlineLvl w:val="1"/>
        <w:rPr>
          <w:rFonts w:ascii="宋体" w:hAnsi="宋体" w:eastAsia="宋体" w:cs="宋体"/>
          <w:kern w:val="0"/>
          <w:highlight w:val="none"/>
        </w:rPr>
      </w:pPr>
      <w:r>
        <w:rPr>
          <w:rFonts w:hint="eastAsia" w:ascii="宋体" w:hAnsi="宋体" w:eastAsia="宋体" w:cs="宋体"/>
          <w:kern w:val="0"/>
          <w:highlight w:val="none"/>
        </w:rPr>
        <w:t>2.按照各医共体各成员单位要求分别进行安装调试，并根据各医共体各成员单位要求开展相关信息系统集成和相关数据接口开发服务，开展新建系统与指定相关系统数据对接和系统集成实施、相关信息数据整合等服务工作，从而确保各类数据信息实时同步、格式统一，系统稳定高效运行。数据对接服务要求如下：</w:t>
      </w:r>
      <w:r>
        <w:rPr>
          <w:rFonts w:hint="eastAsia" w:ascii="宋体" w:hAnsi="宋体" w:eastAsia="宋体" w:cs="宋体"/>
          <w:kern w:val="0"/>
          <w:highlight w:val="none"/>
        </w:rPr>
        <w:tab/>
      </w:r>
      <w:r>
        <w:rPr>
          <w:rFonts w:hint="eastAsia" w:ascii="宋体" w:hAnsi="宋体" w:eastAsia="宋体" w:cs="宋体"/>
          <w:kern w:val="0"/>
          <w:highlight w:val="none"/>
        </w:rPr>
        <w:tab/>
      </w:r>
    </w:p>
    <w:p w14:paraId="053A817F">
      <w:pPr>
        <w:spacing w:line="460" w:lineRule="exact"/>
        <w:ind w:firstLine="420" w:firstLineChars="200"/>
        <w:outlineLvl w:val="1"/>
        <w:rPr>
          <w:rFonts w:ascii="宋体" w:hAnsi="宋体" w:eastAsia="宋体" w:cs="宋体"/>
          <w:kern w:val="0"/>
          <w:highlight w:val="none"/>
        </w:rPr>
      </w:pPr>
      <w:r>
        <w:rPr>
          <w:rFonts w:hint="eastAsia" w:ascii="宋体" w:hAnsi="宋体" w:eastAsia="宋体" w:cs="宋体"/>
          <w:kern w:val="0"/>
          <w:highlight w:val="none"/>
        </w:rPr>
        <w:tab/>
      </w:r>
      <w:r>
        <w:rPr>
          <w:rFonts w:hint="eastAsia" w:ascii="宋体" w:hAnsi="宋体" w:eastAsia="宋体" w:cs="宋体"/>
          <w:kern w:val="0"/>
          <w:highlight w:val="none"/>
        </w:rPr>
        <w:t>2.1磋商申请人须负责完成本系统与昌宁县现有各医疗机构的HIS、EMR、公卫系统等所有相关系统的对接工作，确保数据互通共享，采购人不再另行支付对接费用；（磋商申请人自行与系统厂家确认接口费用并提供承诺函）</w:t>
      </w:r>
      <w:r>
        <w:rPr>
          <w:rFonts w:hint="eastAsia" w:ascii="宋体" w:hAnsi="宋体" w:eastAsia="宋体" w:cs="宋体"/>
          <w:kern w:val="0"/>
          <w:highlight w:val="none"/>
        </w:rPr>
        <w:tab/>
      </w:r>
      <w:r>
        <w:rPr>
          <w:rFonts w:hint="eastAsia" w:ascii="宋体" w:hAnsi="宋体" w:eastAsia="宋体" w:cs="宋体"/>
          <w:kern w:val="0"/>
          <w:highlight w:val="none"/>
        </w:rPr>
        <w:tab/>
      </w:r>
    </w:p>
    <w:p w14:paraId="306FE15C">
      <w:pPr>
        <w:spacing w:line="460" w:lineRule="exact"/>
        <w:ind w:firstLine="420" w:firstLineChars="200"/>
        <w:outlineLvl w:val="1"/>
        <w:rPr>
          <w:rFonts w:ascii="宋体" w:hAnsi="宋体" w:eastAsia="宋体" w:cs="宋体"/>
          <w:kern w:val="0"/>
          <w:highlight w:val="none"/>
        </w:rPr>
      </w:pPr>
      <w:r>
        <w:rPr>
          <w:rFonts w:hint="eastAsia" w:ascii="宋体" w:hAnsi="宋体" w:eastAsia="宋体" w:cs="宋体"/>
          <w:kern w:val="0"/>
          <w:highlight w:val="none"/>
        </w:rPr>
        <w:t>2.2对接前，磋商申请人须与各系统厂商进行充分沟通，制定详细的对接方案，明确对接范围、对接内容、接口标准、实施计划、双方职责分工，经采购人确认后实施；</w:t>
      </w:r>
      <w:r>
        <w:rPr>
          <w:rFonts w:hint="eastAsia" w:ascii="宋体" w:hAnsi="宋体" w:eastAsia="宋体" w:cs="宋体"/>
          <w:kern w:val="0"/>
          <w:highlight w:val="none"/>
        </w:rPr>
        <w:tab/>
      </w:r>
      <w:r>
        <w:rPr>
          <w:rFonts w:hint="eastAsia" w:ascii="宋体" w:hAnsi="宋体" w:eastAsia="宋体" w:cs="宋体"/>
          <w:kern w:val="0"/>
          <w:highlight w:val="none"/>
        </w:rPr>
        <w:tab/>
      </w:r>
    </w:p>
    <w:p w14:paraId="5ED2DD46">
      <w:pPr>
        <w:spacing w:line="460" w:lineRule="exact"/>
        <w:ind w:firstLine="420" w:firstLineChars="200"/>
        <w:outlineLvl w:val="1"/>
        <w:rPr>
          <w:rFonts w:ascii="宋体" w:hAnsi="宋体" w:eastAsia="宋体" w:cs="宋体"/>
          <w:kern w:val="0"/>
          <w:highlight w:val="none"/>
        </w:rPr>
      </w:pPr>
      <w:r>
        <w:rPr>
          <w:rFonts w:hint="eastAsia" w:ascii="宋体" w:hAnsi="宋体" w:eastAsia="宋体" w:cs="宋体"/>
          <w:kern w:val="0"/>
          <w:highlight w:val="none"/>
        </w:rPr>
        <w:t>2.3对接过程中，磋商申请人须安排专业的技术团队负责对接开发、调试、测试工作，确保对接过程不影响现有系统的正常运行，不造成数据丢失、泄露等安全问题；</w:t>
      </w:r>
      <w:r>
        <w:rPr>
          <w:rFonts w:hint="eastAsia" w:ascii="宋体" w:hAnsi="宋体" w:eastAsia="宋体" w:cs="宋体"/>
          <w:kern w:val="0"/>
          <w:highlight w:val="none"/>
        </w:rPr>
        <w:tab/>
      </w:r>
      <w:r>
        <w:rPr>
          <w:rFonts w:hint="eastAsia" w:ascii="宋体" w:hAnsi="宋体" w:eastAsia="宋体" w:cs="宋体"/>
          <w:kern w:val="0"/>
          <w:highlight w:val="none"/>
        </w:rPr>
        <w:tab/>
      </w:r>
    </w:p>
    <w:p w14:paraId="23E8D789">
      <w:pPr>
        <w:spacing w:line="460" w:lineRule="exact"/>
        <w:ind w:firstLine="420" w:firstLineChars="200"/>
        <w:outlineLvl w:val="1"/>
        <w:rPr>
          <w:rFonts w:ascii="宋体" w:hAnsi="宋体" w:eastAsia="宋体" w:cs="宋体"/>
          <w:kern w:val="0"/>
          <w:highlight w:val="none"/>
        </w:rPr>
      </w:pPr>
      <w:r>
        <w:rPr>
          <w:rFonts w:hint="eastAsia" w:ascii="宋体" w:hAnsi="宋体" w:eastAsia="宋体" w:cs="宋体"/>
          <w:kern w:val="0"/>
          <w:highlight w:val="none"/>
        </w:rPr>
        <w:t>2.4对接完成后，须进行全面的测试，确保数据的准确性、完整性、一致性，数据传输的实时性、稳定性，形成对接测试报告，经采购人确认后，对接工作方可验收；</w:t>
      </w:r>
      <w:r>
        <w:rPr>
          <w:rFonts w:hint="eastAsia" w:ascii="宋体" w:hAnsi="宋体" w:eastAsia="宋体" w:cs="宋体"/>
          <w:kern w:val="0"/>
          <w:highlight w:val="none"/>
        </w:rPr>
        <w:tab/>
      </w:r>
      <w:r>
        <w:rPr>
          <w:rFonts w:hint="eastAsia" w:ascii="宋体" w:hAnsi="宋体" w:eastAsia="宋体" w:cs="宋体"/>
          <w:kern w:val="0"/>
          <w:highlight w:val="none"/>
        </w:rPr>
        <w:tab/>
      </w:r>
    </w:p>
    <w:p w14:paraId="00DAC958">
      <w:pPr>
        <w:spacing w:line="460" w:lineRule="exact"/>
        <w:ind w:firstLine="420" w:firstLineChars="200"/>
        <w:outlineLvl w:val="1"/>
        <w:rPr>
          <w:rFonts w:ascii="宋体" w:hAnsi="宋体" w:eastAsia="宋体" w:cs="宋体"/>
          <w:szCs w:val="21"/>
          <w:highlight w:val="none"/>
        </w:rPr>
      </w:pPr>
      <w:r>
        <w:rPr>
          <w:rFonts w:hint="eastAsia" w:ascii="宋体" w:hAnsi="宋体" w:eastAsia="宋体" w:cs="宋体"/>
          <w:kern w:val="0"/>
          <w:highlight w:val="none"/>
        </w:rPr>
        <w:t>2.5</w:t>
      </w:r>
      <w:r>
        <w:rPr>
          <w:rFonts w:hint="eastAsia" w:ascii="宋体" w:hAnsi="宋体" w:eastAsia="宋体" w:cs="宋体"/>
          <w:kern w:val="0"/>
          <w:szCs w:val="21"/>
          <w:highlight w:val="none"/>
        </w:rPr>
        <w:t>系统售后运行维护服务</w:t>
      </w:r>
      <w:r>
        <w:rPr>
          <w:rFonts w:hint="eastAsia" w:ascii="宋体" w:hAnsi="宋体" w:eastAsia="宋体" w:cs="宋体"/>
          <w:kern w:val="0"/>
          <w:highlight w:val="none"/>
        </w:rPr>
        <w:t>内，如现有系统进行升级、改造，磋商申请人须免费完成本系统与升级后系统的对接适配工作，确保系统正常对接使用。</w:t>
      </w:r>
    </w:p>
    <w:p w14:paraId="65909269">
      <w:pPr>
        <w:spacing w:line="460" w:lineRule="exact"/>
        <w:ind w:firstLine="420" w:firstLineChars="200"/>
        <w:outlineLvl w:val="1"/>
        <w:rPr>
          <w:rFonts w:ascii="宋体" w:hAnsi="宋体" w:eastAsia="宋体" w:cs="宋体"/>
          <w:szCs w:val="21"/>
          <w:highlight w:val="none"/>
        </w:rPr>
      </w:pPr>
      <w:r>
        <w:rPr>
          <w:rFonts w:hint="eastAsia" w:ascii="宋体" w:hAnsi="宋体" w:eastAsia="宋体" w:cs="宋体"/>
          <w:szCs w:val="21"/>
          <w:highlight w:val="none"/>
        </w:rPr>
        <w:t>3.本项目搭建的系统应遵循《中华人民共和国网络安全法》《中华人民共和国个人信息保护法》等相关法律法规开展建设、部署、验收等工作。</w:t>
      </w:r>
    </w:p>
    <w:p w14:paraId="431C968C">
      <w:pPr>
        <w:spacing w:line="460" w:lineRule="exact"/>
        <w:ind w:firstLine="420" w:firstLineChars="200"/>
        <w:outlineLvl w:val="1"/>
        <w:rPr>
          <w:rFonts w:ascii="宋体" w:hAnsi="宋体" w:eastAsia="宋体" w:cs="宋体"/>
          <w:szCs w:val="21"/>
          <w:highlight w:val="none"/>
        </w:rPr>
      </w:pPr>
      <w:r>
        <w:rPr>
          <w:rFonts w:hint="eastAsia" w:ascii="宋体" w:hAnsi="宋体" w:eastAsia="宋体" w:cs="宋体"/>
          <w:szCs w:val="21"/>
          <w:highlight w:val="none"/>
        </w:rPr>
        <w:t>4.未经采购人明确授权，成交人不得访问、使用、存储或向任何第三方提供采购人及相关关联方的业务数据及个人信息。项目结束后，成交人应无条件并彻底删除其持有的所有采购人及相关关联方数据。</w:t>
      </w:r>
    </w:p>
    <w:p w14:paraId="2914D939">
      <w:pPr>
        <w:spacing w:line="460" w:lineRule="exact"/>
        <w:ind w:firstLine="420" w:firstLineChars="200"/>
        <w:outlineLvl w:val="1"/>
        <w:rPr>
          <w:rFonts w:ascii="宋体" w:hAnsi="宋体" w:eastAsia="宋体" w:cs="宋体"/>
          <w:szCs w:val="21"/>
          <w:highlight w:val="none"/>
        </w:rPr>
      </w:pPr>
      <w:r>
        <w:rPr>
          <w:rFonts w:hint="eastAsia" w:ascii="宋体" w:hAnsi="宋体" w:eastAsia="宋体" w:cs="宋体"/>
          <w:szCs w:val="21"/>
          <w:highlight w:val="none"/>
        </w:rPr>
        <w:t>（二）项目试运行</w:t>
      </w:r>
    </w:p>
    <w:p w14:paraId="5B75A439">
      <w:pPr>
        <w:spacing w:line="460" w:lineRule="exact"/>
        <w:ind w:firstLine="420" w:firstLineChars="200"/>
        <w:outlineLvl w:val="1"/>
        <w:rPr>
          <w:rFonts w:ascii="宋体" w:hAnsi="宋体" w:eastAsia="宋体" w:cs="宋体"/>
          <w:szCs w:val="21"/>
          <w:highlight w:val="none"/>
        </w:rPr>
      </w:pPr>
      <w:r>
        <w:rPr>
          <w:rFonts w:hint="eastAsia" w:ascii="宋体" w:hAnsi="宋体" w:eastAsia="宋体" w:cs="宋体"/>
          <w:szCs w:val="21"/>
          <w:highlight w:val="none"/>
        </w:rPr>
        <w:t>1.系统完成安装部署（系统功能模块和相关技术指标达标），并与相应软硬件和相关系统对接后，将进入为期30日历天的试运行阶段，在试运行阶段将根据软件系统的运行稳定状况、数据错误率、数据丢包率、系统平均响应时间等方面进行校验。</w:t>
      </w:r>
    </w:p>
    <w:p w14:paraId="79823A65">
      <w:pPr>
        <w:spacing w:line="460" w:lineRule="exact"/>
        <w:ind w:firstLine="420" w:firstLineChars="200"/>
        <w:outlineLvl w:val="1"/>
        <w:rPr>
          <w:rFonts w:ascii="宋体" w:hAnsi="宋体" w:eastAsia="宋体" w:cs="宋体"/>
          <w:szCs w:val="21"/>
          <w:highlight w:val="none"/>
        </w:rPr>
      </w:pPr>
      <w:r>
        <w:rPr>
          <w:rFonts w:hint="eastAsia" w:ascii="宋体" w:hAnsi="宋体" w:eastAsia="宋体" w:cs="宋体"/>
          <w:szCs w:val="21"/>
          <w:highlight w:val="none"/>
        </w:rPr>
        <w:t>2.试运行阶段校验通过指标要求：数据错误率≤0.1%（以实际业务数据统计为准），数据丢包率≤0.05%，系统平均响应时间≤2 秒，无重大故障（故障定义：导致系统无法正常运行超过 1 小时的问题）。</w:t>
      </w:r>
    </w:p>
    <w:p w14:paraId="13092A52">
      <w:pPr>
        <w:spacing w:line="460" w:lineRule="exact"/>
        <w:ind w:firstLine="420" w:firstLineChars="200"/>
        <w:outlineLvl w:val="1"/>
        <w:rPr>
          <w:rFonts w:ascii="宋体" w:hAnsi="宋体" w:eastAsia="宋体" w:cs="宋体"/>
          <w:szCs w:val="21"/>
          <w:highlight w:val="none"/>
        </w:rPr>
      </w:pPr>
      <w:r>
        <w:rPr>
          <w:rFonts w:hint="eastAsia" w:ascii="宋体" w:hAnsi="宋体" w:eastAsia="宋体" w:cs="宋体"/>
          <w:szCs w:val="21"/>
          <w:highlight w:val="none"/>
        </w:rPr>
        <w:t>3.若系统在试运行阶段未达到校验指标或出现系统运行不稳定（如：经常出现系统运行逻辑错误、功能运转不正常、数据对接不正常的），成交人应无条件对系统进行免费整改调整和优化，直至达到系统达到试运行校验指标为止。若最终达不到标准，采购人将根据合同要求解除合同并依法对成交人追究其违约责任。</w:t>
      </w:r>
    </w:p>
    <w:p w14:paraId="58A2260A">
      <w:pPr>
        <w:spacing w:line="460" w:lineRule="exact"/>
        <w:ind w:firstLine="420" w:firstLineChars="200"/>
        <w:outlineLvl w:val="1"/>
        <w:rPr>
          <w:rFonts w:ascii="宋体" w:hAnsi="宋体" w:eastAsia="宋体" w:cs="宋体"/>
          <w:szCs w:val="21"/>
          <w:highlight w:val="none"/>
        </w:rPr>
      </w:pPr>
      <w:r>
        <w:rPr>
          <w:rFonts w:hint="eastAsia" w:ascii="宋体" w:hAnsi="宋体" w:eastAsia="宋体" w:cs="宋体"/>
          <w:kern w:val="0"/>
          <w:highlight w:val="none"/>
        </w:rPr>
        <w:t>（三）</w:t>
      </w:r>
      <w:r>
        <w:rPr>
          <w:rFonts w:hint="eastAsia" w:ascii="宋体" w:hAnsi="宋体" w:eastAsia="宋体" w:cs="宋体"/>
          <w:szCs w:val="21"/>
          <w:highlight w:val="none"/>
        </w:rPr>
        <w:t>项目检验验收</w:t>
      </w:r>
    </w:p>
    <w:p w14:paraId="70F1F682">
      <w:pPr>
        <w:spacing w:line="460" w:lineRule="exact"/>
        <w:ind w:firstLine="420" w:firstLineChars="200"/>
        <w:outlineLvl w:val="1"/>
        <w:rPr>
          <w:rFonts w:ascii="宋体" w:hAnsi="宋体" w:eastAsia="宋体" w:cs="宋体"/>
          <w:szCs w:val="21"/>
          <w:highlight w:val="none"/>
        </w:rPr>
      </w:pPr>
      <w:r>
        <w:rPr>
          <w:rFonts w:hint="eastAsia" w:ascii="宋体" w:hAnsi="宋体" w:eastAsia="宋体" w:cs="宋体"/>
          <w:szCs w:val="21"/>
          <w:highlight w:val="none"/>
        </w:rPr>
        <w:t>1.验收标准</w:t>
      </w:r>
    </w:p>
    <w:p w14:paraId="1AFBC2EC">
      <w:pPr>
        <w:spacing w:line="460" w:lineRule="exact"/>
        <w:ind w:firstLine="420" w:firstLineChars="200"/>
        <w:outlineLvl w:val="1"/>
        <w:rPr>
          <w:rFonts w:ascii="宋体" w:hAnsi="宋体" w:eastAsia="宋体" w:cs="宋体"/>
          <w:szCs w:val="21"/>
          <w:highlight w:val="none"/>
        </w:rPr>
      </w:pPr>
      <w:r>
        <w:rPr>
          <w:rFonts w:hint="eastAsia" w:ascii="宋体" w:hAnsi="宋体" w:eastAsia="宋体" w:cs="宋体"/>
          <w:szCs w:val="21"/>
          <w:highlight w:val="none"/>
        </w:rPr>
        <w:t>执行的国家标准、行业标准、地方标准或者其他标准、规范。采购人服务质量要求标准。</w:t>
      </w:r>
    </w:p>
    <w:p w14:paraId="72F1E72E">
      <w:pPr>
        <w:spacing w:line="460" w:lineRule="exact"/>
        <w:ind w:firstLine="420" w:firstLineChars="200"/>
        <w:outlineLvl w:val="1"/>
        <w:rPr>
          <w:rFonts w:ascii="宋体" w:hAnsi="宋体" w:eastAsia="宋体" w:cs="宋体"/>
          <w:szCs w:val="21"/>
          <w:highlight w:val="none"/>
        </w:rPr>
      </w:pPr>
      <w:r>
        <w:rPr>
          <w:rFonts w:hint="eastAsia" w:ascii="宋体" w:hAnsi="宋体" w:eastAsia="宋体" w:cs="宋体"/>
          <w:szCs w:val="21"/>
          <w:highlight w:val="none"/>
        </w:rPr>
        <w:t>2.验收方法</w:t>
      </w:r>
    </w:p>
    <w:p w14:paraId="074F6CC7">
      <w:pPr>
        <w:spacing w:line="460" w:lineRule="exact"/>
        <w:ind w:firstLine="420" w:firstLineChars="200"/>
        <w:outlineLvl w:val="1"/>
        <w:rPr>
          <w:rFonts w:ascii="宋体" w:hAnsi="宋体" w:eastAsia="宋体" w:cs="宋体"/>
          <w:szCs w:val="21"/>
          <w:highlight w:val="none"/>
        </w:rPr>
      </w:pPr>
      <w:r>
        <w:rPr>
          <w:rFonts w:hint="eastAsia" w:ascii="宋体" w:hAnsi="宋体" w:eastAsia="宋体" w:cs="宋体"/>
          <w:szCs w:val="21"/>
          <w:highlight w:val="none"/>
        </w:rPr>
        <w:t>系统在试运行阶段通过全部校验指标且通过测试后，采购人将组织验收小组或委托第三方检测机构开展项目最终验收工作，在系统验收合格后，成交人将签署系统验收报告并提交采购人。</w:t>
      </w:r>
    </w:p>
    <w:p w14:paraId="3BE903B9">
      <w:pPr>
        <w:spacing w:line="460" w:lineRule="exact"/>
        <w:ind w:firstLine="420" w:firstLineChars="200"/>
        <w:outlineLvl w:val="1"/>
        <w:rPr>
          <w:rFonts w:ascii="宋体" w:hAnsi="宋体" w:eastAsia="宋体" w:cs="宋体"/>
          <w:kern w:val="0"/>
          <w:szCs w:val="21"/>
          <w:highlight w:val="none"/>
        </w:rPr>
      </w:pPr>
      <w:r>
        <w:rPr>
          <w:rFonts w:hint="eastAsia" w:ascii="宋体" w:hAnsi="宋体" w:eastAsia="宋体" w:cs="宋体"/>
          <w:kern w:val="0"/>
          <w:szCs w:val="21"/>
          <w:highlight w:val="none"/>
        </w:rPr>
        <w:t>（四）系统使用培训</w:t>
      </w:r>
    </w:p>
    <w:p w14:paraId="13724623">
      <w:pPr>
        <w:spacing w:line="460" w:lineRule="exact"/>
        <w:ind w:firstLine="420" w:firstLineChars="200"/>
        <w:outlineLvl w:val="1"/>
        <w:rPr>
          <w:rFonts w:ascii="宋体" w:hAnsi="宋体" w:eastAsia="宋体" w:cs="宋体"/>
          <w:kern w:val="0"/>
          <w:szCs w:val="21"/>
          <w:highlight w:val="none"/>
        </w:rPr>
      </w:pPr>
      <w:r>
        <w:rPr>
          <w:rFonts w:hint="eastAsia" w:ascii="宋体" w:hAnsi="宋体" w:eastAsia="宋体" w:cs="宋体"/>
          <w:kern w:val="0"/>
          <w:szCs w:val="21"/>
          <w:highlight w:val="none"/>
        </w:rPr>
        <w:t>1.培训总体要求</w:t>
      </w:r>
      <w:r>
        <w:rPr>
          <w:rFonts w:hint="eastAsia" w:ascii="宋体" w:hAnsi="宋体" w:eastAsia="宋体" w:cs="宋体"/>
          <w:kern w:val="0"/>
          <w:szCs w:val="21"/>
          <w:highlight w:val="none"/>
        </w:rPr>
        <w:tab/>
      </w:r>
      <w:r>
        <w:rPr>
          <w:rFonts w:hint="eastAsia" w:ascii="宋体" w:hAnsi="宋体" w:eastAsia="宋体" w:cs="宋体"/>
          <w:kern w:val="0"/>
          <w:szCs w:val="21"/>
          <w:highlight w:val="none"/>
        </w:rPr>
        <w:tab/>
      </w:r>
      <w:r>
        <w:rPr>
          <w:rFonts w:hint="eastAsia" w:ascii="宋体" w:hAnsi="宋体" w:eastAsia="宋体" w:cs="宋体"/>
          <w:kern w:val="0"/>
          <w:szCs w:val="21"/>
          <w:highlight w:val="none"/>
        </w:rPr>
        <w:tab/>
      </w:r>
    </w:p>
    <w:p w14:paraId="5639A6E3">
      <w:pPr>
        <w:spacing w:line="460" w:lineRule="exact"/>
        <w:ind w:firstLine="420" w:firstLineChars="200"/>
        <w:outlineLvl w:val="1"/>
        <w:rPr>
          <w:rFonts w:ascii="宋体" w:hAnsi="宋体" w:eastAsia="宋体" w:cs="宋体"/>
          <w:kern w:val="0"/>
          <w:szCs w:val="21"/>
          <w:highlight w:val="none"/>
        </w:rPr>
      </w:pPr>
      <w:r>
        <w:rPr>
          <w:rFonts w:hint="eastAsia" w:ascii="宋体" w:hAnsi="宋体" w:eastAsia="宋体" w:cs="宋体"/>
          <w:kern w:val="0"/>
          <w:szCs w:val="21"/>
          <w:highlight w:val="none"/>
        </w:rPr>
        <w:tab/>
      </w:r>
      <w:r>
        <w:rPr>
          <w:rFonts w:hint="eastAsia" w:ascii="宋体" w:hAnsi="宋体" w:eastAsia="宋体" w:cs="宋体"/>
          <w:kern w:val="0"/>
          <w:szCs w:val="21"/>
          <w:highlight w:val="none"/>
        </w:rPr>
        <w:t>1.1.磋商申请人须制定详细的培训方案，针对不同用户角色，提供分层分类的培训服务，确保所有用户能够熟练掌握系统的操作和使用；</w:t>
      </w:r>
      <w:r>
        <w:rPr>
          <w:rFonts w:hint="eastAsia" w:ascii="宋体" w:hAnsi="宋体" w:eastAsia="宋体" w:cs="宋体"/>
          <w:kern w:val="0"/>
          <w:szCs w:val="21"/>
          <w:highlight w:val="none"/>
        </w:rPr>
        <w:tab/>
      </w:r>
      <w:r>
        <w:rPr>
          <w:rFonts w:hint="eastAsia" w:ascii="宋体" w:hAnsi="宋体" w:eastAsia="宋体" w:cs="宋体"/>
          <w:kern w:val="0"/>
          <w:szCs w:val="21"/>
          <w:highlight w:val="none"/>
        </w:rPr>
        <w:tab/>
      </w:r>
    </w:p>
    <w:p w14:paraId="256EC452">
      <w:pPr>
        <w:spacing w:line="460" w:lineRule="exact"/>
        <w:ind w:firstLine="420" w:firstLineChars="200"/>
        <w:outlineLvl w:val="1"/>
        <w:rPr>
          <w:rFonts w:ascii="宋体" w:hAnsi="宋体" w:eastAsia="宋体" w:cs="宋体"/>
          <w:kern w:val="0"/>
          <w:szCs w:val="21"/>
          <w:highlight w:val="none"/>
        </w:rPr>
      </w:pPr>
      <w:r>
        <w:rPr>
          <w:rFonts w:hint="eastAsia" w:ascii="宋体" w:hAnsi="宋体" w:eastAsia="宋体" w:cs="宋体"/>
          <w:kern w:val="0"/>
          <w:szCs w:val="21"/>
          <w:highlight w:val="none"/>
        </w:rPr>
        <w:t>1.2.培训须采用理论讲解、实操演示、现场操作、答疑解惑、考核验收相结合的方式，确保培训效果。</w:t>
      </w:r>
    </w:p>
    <w:p w14:paraId="3725F9E0">
      <w:pPr>
        <w:spacing w:line="460" w:lineRule="exact"/>
        <w:ind w:firstLine="420" w:firstLineChars="200"/>
        <w:outlineLvl w:val="1"/>
        <w:rPr>
          <w:rFonts w:ascii="宋体" w:hAnsi="宋体" w:eastAsia="宋体" w:cs="宋体"/>
          <w:kern w:val="0"/>
          <w:szCs w:val="21"/>
          <w:highlight w:val="none"/>
        </w:rPr>
      </w:pPr>
      <w:r>
        <w:rPr>
          <w:rFonts w:hint="eastAsia" w:ascii="宋体" w:hAnsi="宋体" w:eastAsia="宋体" w:cs="宋体"/>
          <w:kern w:val="0"/>
          <w:szCs w:val="21"/>
          <w:highlight w:val="none"/>
        </w:rPr>
        <w:t>1.3.培训须提供完整的培训材料，包括培训课件、操作手册、视频教程、常见问题解答等，方便用户后续学习和查阅。</w:t>
      </w:r>
      <w:r>
        <w:rPr>
          <w:rFonts w:hint="eastAsia" w:ascii="宋体" w:hAnsi="宋体" w:eastAsia="宋体" w:cs="宋体"/>
          <w:kern w:val="0"/>
          <w:szCs w:val="21"/>
          <w:highlight w:val="none"/>
        </w:rPr>
        <w:tab/>
      </w:r>
      <w:r>
        <w:rPr>
          <w:rFonts w:hint="eastAsia" w:ascii="宋体" w:hAnsi="宋体" w:eastAsia="宋体" w:cs="宋体"/>
          <w:kern w:val="0"/>
          <w:szCs w:val="21"/>
          <w:highlight w:val="none"/>
        </w:rPr>
        <w:tab/>
      </w:r>
    </w:p>
    <w:p w14:paraId="53ACD63F">
      <w:pPr>
        <w:spacing w:line="460" w:lineRule="exact"/>
        <w:ind w:firstLine="420" w:firstLineChars="200"/>
        <w:outlineLvl w:val="1"/>
        <w:rPr>
          <w:rFonts w:ascii="宋体" w:hAnsi="宋体" w:eastAsia="宋体" w:cs="宋体"/>
          <w:kern w:val="0"/>
          <w:szCs w:val="21"/>
          <w:highlight w:val="none"/>
        </w:rPr>
      </w:pPr>
      <w:r>
        <w:rPr>
          <w:rFonts w:hint="eastAsia" w:ascii="宋体" w:hAnsi="宋体" w:eastAsia="宋体" w:cs="宋体"/>
          <w:kern w:val="0"/>
          <w:szCs w:val="21"/>
          <w:highlight w:val="none"/>
        </w:rPr>
        <w:t>2.培训对象与内容</w:t>
      </w:r>
      <w:r>
        <w:rPr>
          <w:rFonts w:hint="eastAsia" w:ascii="宋体" w:hAnsi="宋体" w:eastAsia="宋体" w:cs="宋体"/>
          <w:kern w:val="0"/>
          <w:szCs w:val="21"/>
          <w:highlight w:val="none"/>
        </w:rPr>
        <w:tab/>
      </w:r>
      <w:r>
        <w:rPr>
          <w:rFonts w:hint="eastAsia" w:ascii="宋体" w:hAnsi="宋体" w:eastAsia="宋体" w:cs="宋体"/>
          <w:kern w:val="0"/>
          <w:szCs w:val="21"/>
          <w:highlight w:val="none"/>
        </w:rPr>
        <w:tab/>
      </w:r>
      <w:r>
        <w:rPr>
          <w:rFonts w:hint="eastAsia" w:ascii="宋体" w:hAnsi="宋体" w:eastAsia="宋体" w:cs="宋体"/>
          <w:kern w:val="0"/>
          <w:szCs w:val="21"/>
          <w:highlight w:val="none"/>
        </w:rPr>
        <w:tab/>
      </w:r>
    </w:p>
    <w:p w14:paraId="74234F9C">
      <w:pPr>
        <w:spacing w:line="460" w:lineRule="exact"/>
        <w:ind w:firstLine="420" w:firstLineChars="200"/>
        <w:outlineLvl w:val="1"/>
        <w:rPr>
          <w:rFonts w:ascii="宋体" w:hAnsi="宋体" w:eastAsia="宋体" w:cs="宋体"/>
          <w:kern w:val="0"/>
          <w:szCs w:val="21"/>
          <w:highlight w:val="none"/>
        </w:rPr>
      </w:pPr>
      <w:r>
        <w:rPr>
          <w:rFonts w:hint="eastAsia" w:ascii="宋体" w:hAnsi="宋体" w:eastAsia="宋体" w:cs="宋体"/>
          <w:kern w:val="0"/>
          <w:szCs w:val="21"/>
          <w:highlight w:val="none"/>
        </w:rPr>
        <w:t>2.1系统管理员培训：</w:t>
      </w:r>
      <w:r>
        <w:rPr>
          <w:rFonts w:hint="eastAsia" w:ascii="宋体" w:hAnsi="宋体" w:eastAsia="宋体" w:cs="宋体"/>
          <w:kern w:val="0"/>
          <w:szCs w:val="21"/>
          <w:highlight w:val="none"/>
        </w:rPr>
        <w:tab/>
      </w:r>
      <w:r>
        <w:rPr>
          <w:rFonts w:hint="eastAsia" w:ascii="宋体" w:hAnsi="宋体" w:eastAsia="宋体" w:cs="宋体"/>
          <w:kern w:val="0"/>
          <w:szCs w:val="21"/>
          <w:highlight w:val="none"/>
        </w:rPr>
        <w:tab/>
      </w:r>
    </w:p>
    <w:p w14:paraId="0693545E">
      <w:pPr>
        <w:spacing w:line="460" w:lineRule="exact"/>
        <w:ind w:firstLine="420" w:firstLineChars="200"/>
        <w:outlineLvl w:val="1"/>
        <w:rPr>
          <w:rFonts w:ascii="宋体" w:hAnsi="宋体" w:eastAsia="宋体" w:cs="宋体"/>
          <w:kern w:val="0"/>
          <w:szCs w:val="21"/>
          <w:highlight w:val="none"/>
        </w:rPr>
      </w:pPr>
      <w:r>
        <w:rPr>
          <w:rFonts w:hint="eastAsia" w:ascii="宋体" w:hAnsi="宋体" w:eastAsia="宋体" w:cs="宋体"/>
          <w:kern w:val="0"/>
          <w:szCs w:val="21"/>
          <w:highlight w:val="none"/>
        </w:rPr>
        <w:tab/>
      </w:r>
      <w:r>
        <w:rPr>
          <w:rFonts w:hint="eastAsia" w:ascii="宋体" w:hAnsi="宋体" w:eastAsia="宋体" w:cs="宋体"/>
          <w:kern w:val="0"/>
          <w:szCs w:val="21"/>
          <w:highlight w:val="none"/>
        </w:rPr>
        <w:t>培训对象：采购人及各医疗机构的系统管理员；</w:t>
      </w:r>
      <w:r>
        <w:rPr>
          <w:rFonts w:hint="eastAsia" w:ascii="宋体" w:hAnsi="宋体" w:eastAsia="宋体" w:cs="宋体"/>
          <w:kern w:val="0"/>
          <w:szCs w:val="21"/>
          <w:highlight w:val="none"/>
        </w:rPr>
        <w:tab/>
      </w:r>
      <w:r>
        <w:rPr>
          <w:rFonts w:hint="eastAsia" w:ascii="宋体" w:hAnsi="宋体" w:eastAsia="宋体" w:cs="宋体"/>
          <w:kern w:val="0"/>
          <w:szCs w:val="21"/>
          <w:highlight w:val="none"/>
        </w:rPr>
        <w:tab/>
      </w:r>
    </w:p>
    <w:p w14:paraId="3010B651">
      <w:pPr>
        <w:spacing w:line="460" w:lineRule="exact"/>
        <w:ind w:firstLine="420" w:firstLineChars="200"/>
        <w:outlineLvl w:val="1"/>
        <w:rPr>
          <w:rFonts w:ascii="宋体" w:hAnsi="宋体" w:eastAsia="宋体" w:cs="宋体"/>
          <w:kern w:val="0"/>
          <w:szCs w:val="21"/>
          <w:highlight w:val="none"/>
        </w:rPr>
      </w:pPr>
      <w:r>
        <w:rPr>
          <w:rFonts w:hint="eastAsia" w:ascii="宋体" w:hAnsi="宋体" w:eastAsia="宋体" w:cs="宋体"/>
          <w:kern w:val="0"/>
          <w:szCs w:val="21"/>
          <w:highlight w:val="none"/>
        </w:rPr>
        <w:tab/>
      </w:r>
      <w:r>
        <w:rPr>
          <w:rFonts w:hint="eastAsia" w:ascii="宋体" w:hAnsi="宋体" w:eastAsia="宋体" w:cs="宋体"/>
          <w:kern w:val="0"/>
          <w:szCs w:val="21"/>
          <w:highlight w:val="none"/>
        </w:rPr>
        <w:t>培训内容：系统架构、服务器管理、数据库管理、系统配置、用户权限管理、数据备份与恢复、故障排查与处理、系统安全管理等；</w:t>
      </w:r>
      <w:r>
        <w:rPr>
          <w:rFonts w:hint="eastAsia" w:ascii="宋体" w:hAnsi="宋体" w:eastAsia="宋体" w:cs="宋体"/>
          <w:kern w:val="0"/>
          <w:szCs w:val="21"/>
          <w:highlight w:val="none"/>
        </w:rPr>
        <w:tab/>
      </w:r>
      <w:r>
        <w:rPr>
          <w:rFonts w:hint="eastAsia" w:ascii="宋体" w:hAnsi="宋体" w:eastAsia="宋体" w:cs="宋体"/>
          <w:kern w:val="0"/>
          <w:szCs w:val="21"/>
          <w:highlight w:val="none"/>
        </w:rPr>
        <w:tab/>
      </w:r>
    </w:p>
    <w:p w14:paraId="752BC2BF">
      <w:pPr>
        <w:spacing w:line="460" w:lineRule="exact"/>
        <w:ind w:firstLine="420" w:firstLineChars="200"/>
        <w:outlineLvl w:val="1"/>
        <w:rPr>
          <w:rFonts w:ascii="宋体" w:hAnsi="宋体" w:eastAsia="宋体" w:cs="宋体"/>
          <w:kern w:val="0"/>
          <w:szCs w:val="21"/>
          <w:highlight w:val="none"/>
        </w:rPr>
      </w:pPr>
      <w:r>
        <w:rPr>
          <w:rFonts w:hint="eastAsia" w:ascii="宋体" w:hAnsi="宋体" w:eastAsia="宋体" w:cs="宋体"/>
          <w:kern w:val="0"/>
          <w:szCs w:val="21"/>
          <w:highlight w:val="none"/>
        </w:rPr>
        <w:tab/>
      </w:r>
      <w:r>
        <w:rPr>
          <w:rFonts w:hint="eastAsia" w:ascii="宋体" w:hAnsi="宋体" w:eastAsia="宋体" w:cs="宋体"/>
          <w:kern w:val="0"/>
          <w:szCs w:val="21"/>
          <w:highlight w:val="none"/>
        </w:rPr>
        <w:t>培训目标：使系统管理员能够独立完成系统的日常管理、维护、配置、故障排查等工作，保障系统正常运行。</w:t>
      </w:r>
      <w:r>
        <w:rPr>
          <w:rFonts w:hint="eastAsia" w:ascii="宋体" w:hAnsi="宋体" w:eastAsia="宋体" w:cs="宋体"/>
          <w:kern w:val="0"/>
          <w:szCs w:val="21"/>
          <w:highlight w:val="none"/>
        </w:rPr>
        <w:tab/>
      </w:r>
      <w:r>
        <w:rPr>
          <w:rFonts w:hint="eastAsia" w:ascii="宋体" w:hAnsi="宋体" w:eastAsia="宋体" w:cs="宋体"/>
          <w:kern w:val="0"/>
          <w:szCs w:val="21"/>
          <w:highlight w:val="none"/>
        </w:rPr>
        <w:tab/>
      </w:r>
    </w:p>
    <w:p w14:paraId="77DCA221">
      <w:pPr>
        <w:spacing w:line="460" w:lineRule="exact"/>
        <w:ind w:firstLine="420" w:firstLineChars="200"/>
        <w:outlineLvl w:val="1"/>
        <w:rPr>
          <w:rFonts w:ascii="宋体" w:hAnsi="宋体" w:eastAsia="宋体" w:cs="宋体"/>
          <w:kern w:val="0"/>
          <w:szCs w:val="21"/>
          <w:highlight w:val="none"/>
        </w:rPr>
      </w:pPr>
      <w:r>
        <w:rPr>
          <w:rFonts w:hint="eastAsia" w:ascii="宋体" w:hAnsi="宋体" w:eastAsia="宋体" w:cs="宋体"/>
          <w:kern w:val="0"/>
          <w:szCs w:val="21"/>
          <w:highlight w:val="none"/>
        </w:rPr>
        <w:t>2.2医疗业务人员培训：</w:t>
      </w:r>
      <w:r>
        <w:rPr>
          <w:rFonts w:hint="eastAsia" w:ascii="宋体" w:hAnsi="宋体" w:eastAsia="宋体" w:cs="宋体"/>
          <w:kern w:val="0"/>
          <w:szCs w:val="21"/>
          <w:highlight w:val="none"/>
        </w:rPr>
        <w:tab/>
      </w:r>
      <w:r>
        <w:rPr>
          <w:rFonts w:hint="eastAsia" w:ascii="宋体" w:hAnsi="宋体" w:eastAsia="宋体" w:cs="宋体"/>
          <w:kern w:val="0"/>
          <w:szCs w:val="21"/>
          <w:highlight w:val="none"/>
        </w:rPr>
        <w:tab/>
      </w:r>
    </w:p>
    <w:p w14:paraId="3DF6363C">
      <w:pPr>
        <w:spacing w:line="460" w:lineRule="exact"/>
        <w:ind w:firstLine="420" w:firstLineChars="200"/>
        <w:outlineLvl w:val="1"/>
        <w:rPr>
          <w:rFonts w:ascii="宋体" w:hAnsi="宋体" w:eastAsia="宋体" w:cs="宋体"/>
          <w:kern w:val="0"/>
          <w:szCs w:val="21"/>
          <w:highlight w:val="none"/>
        </w:rPr>
      </w:pPr>
      <w:r>
        <w:rPr>
          <w:rFonts w:hint="eastAsia" w:ascii="宋体" w:hAnsi="宋体" w:eastAsia="宋体" w:cs="宋体"/>
          <w:kern w:val="0"/>
          <w:szCs w:val="21"/>
          <w:highlight w:val="none"/>
        </w:rPr>
        <w:tab/>
      </w:r>
      <w:r>
        <w:rPr>
          <w:rFonts w:hint="eastAsia" w:ascii="宋体" w:hAnsi="宋体" w:eastAsia="宋体" w:cs="宋体"/>
          <w:kern w:val="0"/>
          <w:szCs w:val="21"/>
          <w:highlight w:val="none"/>
        </w:rPr>
        <w:t>培训对象：各医疗机构的临床医生、护士、公共卫生人员、慢病管理专员；</w:t>
      </w:r>
      <w:r>
        <w:rPr>
          <w:rFonts w:hint="eastAsia" w:ascii="宋体" w:hAnsi="宋体" w:eastAsia="宋体" w:cs="宋体"/>
          <w:kern w:val="0"/>
          <w:szCs w:val="21"/>
          <w:highlight w:val="none"/>
        </w:rPr>
        <w:tab/>
      </w:r>
      <w:r>
        <w:rPr>
          <w:rFonts w:hint="eastAsia" w:ascii="宋体" w:hAnsi="宋体" w:eastAsia="宋体" w:cs="宋体"/>
          <w:kern w:val="0"/>
          <w:szCs w:val="21"/>
          <w:highlight w:val="none"/>
        </w:rPr>
        <w:tab/>
      </w:r>
    </w:p>
    <w:p w14:paraId="6B24AE82">
      <w:pPr>
        <w:spacing w:line="460" w:lineRule="exact"/>
        <w:ind w:firstLine="420" w:firstLineChars="200"/>
        <w:outlineLvl w:val="1"/>
        <w:rPr>
          <w:rFonts w:ascii="宋体" w:hAnsi="宋体" w:eastAsia="宋体" w:cs="宋体"/>
          <w:kern w:val="0"/>
          <w:szCs w:val="21"/>
          <w:highlight w:val="none"/>
        </w:rPr>
      </w:pPr>
      <w:r>
        <w:rPr>
          <w:rFonts w:hint="eastAsia" w:ascii="宋体" w:hAnsi="宋体" w:eastAsia="宋体" w:cs="宋体"/>
          <w:kern w:val="0"/>
          <w:szCs w:val="21"/>
          <w:highlight w:val="none"/>
        </w:rPr>
        <w:tab/>
      </w:r>
      <w:r>
        <w:rPr>
          <w:rFonts w:hint="eastAsia" w:ascii="宋体" w:hAnsi="宋体" w:eastAsia="宋体" w:cs="宋体"/>
          <w:kern w:val="0"/>
          <w:szCs w:val="21"/>
          <w:highlight w:val="none"/>
        </w:rPr>
        <w:t>培训内容：系统核心功能操作、慢病患者管理、随访管理、数据录入与查询、统计报表生成、双向转诊、会诊管理等业务操作；</w:t>
      </w:r>
      <w:r>
        <w:rPr>
          <w:rFonts w:hint="eastAsia" w:ascii="宋体" w:hAnsi="宋体" w:eastAsia="宋体" w:cs="宋体"/>
          <w:kern w:val="0"/>
          <w:szCs w:val="21"/>
          <w:highlight w:val="none"/>
        </w:rPr>
        <w:tab/>
      </w:r>
      <w:r>
        <w:rPr>
          <w:rFonts w:hint="eastAsia" w:ascii="宋体" w:hAnsi="宋体" w:eastAsia="宋体" w:cs="宋体"/>
          <w:kern w:val="0"/>
          <w:szCs w:val="21"/>
          <w:highlight w:val="none"/>
        </w:rPr>
        <w:tab/>
      </w:r>
    </w:p>
    <w:p w14:paraId="13892CCE">
      <w:pPr>
        <w:spacing w:line="460" w:lineRule="exact"/>
        <w:ind w:firstLine="420" w:firstLineChars="200"/>
        <w:outlineLvl w:val="1"/>
        <w:rPr>
          <w:rFonts w:ascii="宋体" w:hAnsi="宋体" w:eastAsia="宋体" w:cs="宋体"/>
          <w:kern w:val="0"/>
          <w:szCs w:val="21"/>
          <w:highlight w:val="none"/>
        </w:rPr>
      </w:pPr>
      <w:r>
        <w:rPr>
          <w:rFonts w:hint="eastAsia" w:ascii="宋体" w:hAnsi="宋体" w:eastAsia="宋体" w:cs="宋体"/>
          <w:kern w:val="0"/>
          <w:szCs w:val="21"/>
          <w:highlight w:val="none"/>
        </w:rPr>
        <w:tab/>
      </w:r>
      <w:r>
        <w:rPr>
          <w:rFonts w:hint="eastAsia" w:ascii="宋体" w:hAnsi="宋体" w:eastAsia="宋体" w:cs="宋体"/>
          <w:kern w:val="0"/>
          <w:szCs w:val="21"/>
          <w:highlight w:val="none"/>
        </w:rPr>
        <w:t>培训目标：使医疗业务人员能够熟练使用系统完成日常慢病管理业务工作，提高工作效率。</w:t>
      </w:r>
      <w:r>
        <w:rPr>
          <w:rFonts w:hint="eastAsia" w:ascii="宋体" w:hAnsi="宋体" w:eastAsia="宋体" w:cs="宋体"/>
          <w:kern w:val="0"/>
          <w:szCs w:val="21"/>
          <w:highlight w:val="none"/>
        </w:rPr>
        <w:tab/>
      </w:r>
      <w:r>
        <w:rPr>
          <w:rFonts w:hint="eastAsia" w:ascii="宋体" w:hAnsi="宋体" w:eastAsia="宋体" w:cs="宋体"/>
          <w:kern w:val="0"/>
          <w:szCs w:val="21"/>
          <w:highlight w:val="none"/>
        </w:rPr>
        <w:tab/>
      </w:r>
    </w:p>
    <w:p w14:paraId="7127BF20">
      <w:pPr>
        <w:spacing w:line="460" w:lineRule="exact"/>
        <w:ind w:firstLine="420" w:firstLineChars="200"/>
        <w:outlineLvl w:val="1"/>
        <w:rPr>
          <w:rFonts w:ascii="宋体" w:hAnsi="宋体" w:eastAsia="宋体" w:cs="宋体"/>
          <w:kern w:val="0"/>
          <w:szCs w:val="21"/>
          <w:highlight w:val="none"/>
        </w:rPr>
      </w:pPr>
      <w:r>
        <w:rPr>
          <w:rFonts w:hint="eastAsia" w:ascii="宋体" w:hAnsi="宋体" w:eastAsia="宋体" w:cs="宋体"/>
          <w:kern w:val="0"/>
          <w:szCs w:val="21"/>
          <w:highlight w:val="none"/>
        </w:rPr>
        <w:t>2.3居民端使用培训：</w:t>
      </w:r>
      <w:r>
        <w:rPr>
          <w:rFonts w:hint="eastAsia" w:ascii="宋体" w:hAnsi="宋体" w:eastAsia="宋体" w:cs="宋体"/>
          <w:kern w:val="0"/>
          <w:szCs w:val="21"/>
          <w:highlight w:val="none"/>
        </w:rPr>
        <w:tab/>
      </w:r>
      <w:r>
        <w:rPr>
          <w:rFonts w:hint="eastAsia" w:ascii="宋体" w:hAnsi="宋体" w:eastAsia="宋体" w:cs="宋体"/>
          <w:kern w:val="0"/>
          <w:szCs w:val="21"/>
          <w:highlight w:val="none"/>
        </w:rPr>
        <w:tab/>
      </w:r>
    </w:p>
    <w:p w14:paraId="1227ED96">
      <w:pPr>
        <w:spacing w:line="460" w:lineRule="exact"/>
        <w:ind w:firstLine="420" w:firstLineChars="200"/>
        <w:outlineLvl w:val="1"/>
        <w:rPr>
          <w:rFonts w:ascii="宋体" w:hAnsi="宋体" w:eastAsia="宋体" w:cs="宋体"/>
          <w:kern w:val="0"/>
          <w:szCs w:val="21"/>
          <w:highlight w:val="none"/>
        </w:rPr>
      </w:pPr>
      <w:r>
        <w:rPr>
          <w:rFonts w:hint="eastAsia" w:ascii="宋体" w:hAnsi="宋体" w:eastAsia="宋体" w:cs="宋体"/>
          <w:kern w:val="0"/>
          <w:szCs w:val="21"/>
          <w:highlight w:val="none"/>
        </w:rPr>
        <w:tab/>
      </w:r>
      <w:r>
        <w:rPr>
          <w:rFonts w:hint="eastAsia" w:ascii="宋体" w:hAnsi="宋体" w:eastAsia="宋体" w:cs="宋体"/>
          <w:kern w:val="0"/>
          <w:szCs w:val="21"/>
          <w:highlight w:val="none"/>
        </w:rPr>
        <w:t>培训对象：辖区居民；</w:t>
      </w:r>
      <w:r>
        <w:rPr>
          <w:rFonts w:hint="eastAsia" w:ascii="宋体" w:hAnsi="宋体" w:eastAsia="宋体" w:cs="宋体"/>
          <w:kern w:val="0"/>
          <w:szCs w:val="21"/>
          <w:highlight w:val="none"/>
        </w:rPr>
        <w:tab/>
      </w:r>
      <w:r>
        <w:rPr>
          <w:rFonts w:hint="eastAsia" w:ascii="宋体" w:hAnsi="宋体" w:eastAsia="宋体" w:cs="宋体"/>
          <w:kern w:val="0"/>
          <w:szCs w:val="21"/>
          <w:highlight w:val="none"/>
        </w:rPr>
        <w:tab/>
      </w:r>
    </w:p>
    <w:p w14:paraId="491C32E1">
      <w:pPr>
        <w:spacing w:line="460" w:lineRule="exact"/>
        <w:ind w:firstLine="420" w:firstLineChars="200"/>
        <w:outlineLvl w:val="1"/>
        <w:rPr>
          <w:rFonts w:ascii="宋体" w:hAnsi="宋体" w:eastAsia="宋体" w:cs="宋体"/>
          <w:kern w:val="0"/>
          <w:szCs w:val="21"/>
          <w:highlight w:val="none"/>
        </w:rPr>
      </w:pPr>
      <w:r>
        <w:rPr>
          <w:rFonts w:hint="eastAsia" w:ascii="宋体" w:hAnsi="宋体" w:eastAsia="宋体" w:cs="宋体"/>
          <w:kern w:val="0"/>
          <w:szCs w:val="21"/>
          <w:highlight w:val="none"/>
        </w:rPr>
        <w:tab/>
      </w:r>
      <w:r>
        <w:rPr>
          <w:rFonts w:hint="eastAsia" w:ascii="宋体" w:hAnsi="宋体" w:eastAsia="宋体" w:cs="宋体"/>
          <w:kern w:val="0"/>
          <w:szCs w:val="21"/>
          <w:highlight w:val="none"/>
        </w:rPr>
        <w:t>培训内容：居民端注册登录、健康档案查询、慢病自我管理、随访提醒、健康咨询、健康课堂学习等操作；</w:t>
      </w:r>
      <w:r>
        <w:rPr>
          <w:rFonts w:hint="eastAsia" w:ascii="宋体" w:hAnsi="宋体" w:eastAsia="宋体" w:cs="宋体"/>
          <w:kern w:val="0"/>
          <w:szCs w:val="21"/>
          <w:highlight w:val="none"/>
        </w:rPr>
        <w:tab/>
      </w:r>
      <w:r>
        <w:rPr>
          <w:rFonts w:hint="eastAsia" w:ascii="宋体" w:hAnsi="宋体" w:eastAsia="宋体" w:cs="宋体"/>
          <w:kern w:val="0"/>
          <w:szCs w:val="21"/>
          <w:highlight w:val="none"/>
        </w:rPr>
        <w:tab/>
      </w:r>
    </w:p>
    <w:p w14:paraId="2E9A9FF0">
      <w:pPr>
        <w:spacing w:line="460" w:lineRule="exact"/>
        <w:ind w:firstLine="420" w:firstLineChars="200"/>
        <w:outlineLvl w:val="1"/>
        <w:rPr>
          <w:rFonts w:ascii="宋体" w:hAnsi="宋体" w:eastAsia="宋体" w:cs="宋体"/>
          <w:kern w:val="0"/>
          <w:szCs w:val="21"/>
          <w:highlight w:val="none"/>
        </w:rPr>
      </w:pPr>
      <w:r>
        <w:rPr>
          <w:rFonts w:hint="eastAsia" w:ascii="宋体" w:hAnsi="宋体" w:eastAsia="宋体" w:cs="宋体"/>
          <w:kern w:val="0"/>
          <w:szCs w:val="21"/>
          <w:highlight w:val="none"/>
        </w:rPr>
        <w:tab/>
      </w:r>
      <w:r>
        <w:rPr>
          <w:rFonts w:hint="eastAsia" w:ascii="宋体" w:hAnsi="宋体" w:eastAsia="宋体" w:cs="宋体"/>
          <w:kern w:val="0"/>
          <w:szCs w:val="21"/>
          <w:highlight w:val="none"/>
        </w:rPr>
        <w:t>培训方式：采用线上视频教教学、线下社区乡镇医院集中培训等多种方式，确保居民能够掌握居民端的使用方法。</w:t>
      </w:r>
      <w:r>
        <w:rPr>
          <w:rFonts w:hint="eastAsia" w:ascii="宋体" w:hAnsi="宋体" w:eastAsia="宋体" w:cs="宋体"/>
          <w:kern w:val="0"/>
          <w:szCs w:val="21"/>
          <w:highlight w:val="none"/>
        </w:rPr>
        <w:tab/>
      </w:r>
      <w:r>
        <w:rPr>
          <w:rFonts w:hint="eastAsia" w:ascii="宋体" w:hAnsi="宋体" w:eastAsia="宋体" w:cs="宋体"/>
          <w:kern w:val="0"/>
          <w:szCs w:val="21"/>
          <w:highlight w:val="none"/>
        </w:rPr>
        <w:tab/>
      </w:r>
    </w:p>
    <w:p w14:paraId="6D2F178D">
      <w:pPr>
        <w:spacing w:line="460" w:lineRule="exact"/>
        <w:ind w:firstLine="420" w:firstLineChars="200"/>
        <w:outlineLvl w:val="1"/>
        <w:rPr>
          <w:rFonts w:ascii="宋体" w:hAnsi="宋体" w:eastAsia="宋体" w:cs="宋体"/>
          <w:kern w:val="0"/>
          <w:szCs w:val="21"/>
          <w:highlight w:val="none"/>
        </w:rPr>
      </w:pPr>
      <w:r>
        <w:rPr>
          <w:rFonts w:hint="eastAsia" w:ascii="宋体" w:hAnsi="宋体" w:eastAsia="宋体" w:cs="宋体"/>
          <w:kern w:val="0"/>
          <w:szCs w:val="21"/>
          <w:highlight w:val="none"/>
        </w:rPr>
        <w:t>3.培训实施要求</w:t>
      </w:r>
      <w:r>
        <w:rPr>
          <w:rFonts w:hint="eastAsia" w:ascii="宋体" w:hAnsi="宋体" w:eastAsia="宋体" w:cs="宋体"/>
          <w:kern w:val="0"/>
          <w:szCs w:val="21"/>
          <w:highlight w:val="none"/>
        </w:rPr>
        <w:tab/>
      </w:r>
      <w:r>
        <w:rPr>
          <w:rFonts w:hint="eastAsia" w:ascii="宋体" w:hAnsi="宋体" w:eastAsia="宋体" w:cs="宋体"/>
          <w:kern w:val="0"/>
          <w:szCs w:val="21"/>
          <w:highlight w:val="none"/>
        </w:rPr>
        <w:tab/>
      </w:r>
      <w:r>
        <w:rPr>
          <w:rFonts w:hint="eastAsia" w:ascii="宋体" w:hAnsi="宋体" w:eastAsia="宋体" w:cs="宋体"/>
          <w:kern w:val="0"/>
          <w:szCs w:val="21"/>
          <w:highlight w:val="none"/>
        </w:rPr>
        <w:tab/>
      </w:r>
    </w:p>
    <w:p w14:paraId="5685C7B6">
      <w:pPr>
        <w:spacing w:line="460" w:lineRule="exact"/>
        <w:ind w:firstLine="420" w:firstLineChars="200"/>
        <w:outlineLvl w:val="1"/>
        <w:rPr>
          <w:rFonts w:ascii="宋体" w:hAnsi="宋体" w:eastAsia="宋体" w:cs="宋体"/>
          <w:kern w:val="0"/>
          <w:szCs w:val="21"/>
          <w:highlight w:val="none"/>
        </w:rPr>
      </w:pPr>
      <w:r>
        <w:rPr>
          <w:rFonts w:hint="eastAsia" w:ascii="宋体" w:hAnsi="宋体" w:eastAsia="宋体" w:cs="宋体"/>
          <w:kern w:val="0"/>
          <w:szCs w:val="21"/>
          <w:highlight w:val="none"/>
        </w:rPr>
        <w:t>3.1系统上线前，完成对系统管理员、医疗业务人员的集中培训，培训时间不少于3个工作日；</w:t>
      </w:r>
      <w:r>
        <w:rPr>
          <w:rFonts w:hint="eastAsia" w:ascii="宋体" w:hAnsi="宋体" w:eastAsia="宋体" w:cs="宋体"/>
          <w:kern w:val="0"/>
          <w:szCs w:val="21"/>
          <w:highlight w:val="none"/>
        </w:rPr>
        <w:tab/>
      </w:r>
      <w:r>
        <w:rPr>
          <w:rFonts w:hint="eastAsia" w:ascii="宋体" w:hAnsi="宋体" w:eastAsia="宋体" w:cs="宋体"/>
          <w:kern w:val="0"/>
          <w:szCs w:val="21"/>
          <w:highlight w:val="none"/>
        </w:rPr>
        <w:tab/>
      </w:r>
    </w:p>
    <w:p w14:paraId="33445BF2">
      <w:pPr>
        <w:spacing w:line="460" w:lineRule="exact"/>
        <w:ind w:firstLine="420" w:firstLineChars="200"/>
        <w:outlineLvl w:val="1"/>
        <w:rPr>
          <w:rFonts w:ascii="宋体" w:hAnsi="宋体" w:eastAsia="宋体" w:cs="宋体"/>
          <w:kern w:val="0"/>
          <w:szCs w:val="21"/>
          <w:highlight w:val="none"/>
        </w:rPr>
      </w:pPr>
      <w:r>
        <w:rPr>
          <w:rFonts w:hint="eastAsia" w:ascii="宋体" w:hAnsi="宋体" w:eastAsia="宋体" w:cs="宋体"/>
          <w:kern w:val="0"/>
          <w:szCs w:val="21"/>
          <w:highlight w:val="none"/>
        </w:rPr>
        <w:t>3.2系统试运行期间，安排培训师现场驻场，提供一对一的实操指导和答疑服务，及时解决用户在使用过程中遇到的问题；</w:t>
      </w:r>
      <w:r>
        <w:rPr>
          <w:rFonts w:hint="eastAsia" w:ascii="宋体" w:hAnsi="宋体" w:eastAsia="宋体" w:cs="宋体"/>
          <w:kern w:val="0"/>
          <w:szCs w:val="21"/>
          <w:highlight w:val="none"/>
        </w:rPr>
        <w:tab/>
      </w:r>
      <w:r>
        <w:rPr>
          <w:rFonts w:hint="eastAsia" w:ascii="宋体" w:hAnsi="宋体" w:eastAsia="宋体" w:cs="宋体"/>
          <w:kern w:val="0"/>
          <w:szCs w:val="21"/>
          <w:highlight w:val="none"/>
        </w:rPr>
        <w:tab/>
      </w:r>
    </w:p>
    <w:p w14:paraId="7386CB2F">
      <w:pPr>
        <w:spacing w:line="460" w:lineRule="exact"/>
        <w:ind w:firstLine="420" w:firstLineChars="200"/>
        <w:outlineLvl w:val="1"/>
        <w:rPr>
          <w:rFonts w:ascii="宋体" w:hAnsi="宋体" w:eastAsia="宋体" w:cs="宋体"/>
          <w:kern w:val="0"/>
          <w:szCs w:val="21"/>
          <w:highlight w:val="none"/>
        </w:rPr>
      </w:pPr>
      <w:r>
        <w:rPr>
          <w:rFonts w:hint="eastAsia" w:ascii="宋体" w:hAnsi="宋体" w:eastAsia="宋体" w:cs="宋体"/>
          <w:kern w:val="0"/>
          <w:szCs w:val="21"/>
          <w:highlight w:val="none"/>
        </w:rPr>
        <w:t>3.3系统正式上线后，提供定期的复训服务，针对系统升级、新用户入职、用户操作不熟练等情况，及时开展专项培训；</w:t>
      </w:r>
      <w:r>
        <w:rPr>
          <w:rFonts w:hint="eastAsia" w:ascii="宋体" w:hAnsi="宋体" w:eastAsia="宋体" w:cs="宋体"/>
          <w:kern w:val="0"/>
          <w:szCs w:val="21"/>
          <w:highlight w:val="none"/>
        </w:rPr>
        <w:tab/>
      </w:r>
      <w:r>
        <w:rPr>
          <w:rFonts w:hint="eastAsia" w:ascii="宋体" w:hAnsi="宋体" w:eastAsia="宋体" w:cs="宋体"/>
          <w:kern w:val="0"/>
          <w:szCs w:val="21"/>
          <w:highlight w:val="none"/>
        </w:rPr>
        <w:tab/>
      </w:r>
    </w:p>
    <w:p w14:paraId="232E64EF">
      <w:pPr>
        <w:spacing w:line="460" w:lineRule="exact"/>
        <w:ind w:firstLine="420" w:firstLineChars="200"/>
        <w:outlineLvl w:val="1"/>
        <w:rPr>
          <w:rFonts w:ascii="宋体" w:hAnsi="宋体" w:eastAsia="宋体" w:cs="宋体"/>
          <w:kern w:val="0"/>
          <w:szCs w:val="21"/>
          <w:highlight w:val="none"/>
        </w:rPr>
      </w:pPr>
      <w:r>
        <w:rPr>
          <w:rFonts w:hint="eastAsia" w:ascii="宋体" w:hAnsi="宋体" w:eastAsia="宋体" w:cs="宋体"/>
          <w:kern w:val="0"/>
          <w:szCs w:val="21"/>
          <w:highlight w:val="none"/>
        </w:rPr>
        <w:t>3.4培训完成后，组织培训考核，考核分为理论考核和实操考核，考核合格后方可上岗使用系统，考核不合格的，进行二次培训，直至考核合格。</w:t>
      </w:r>
    </w:p>
    <w:p w14:paraId="54B4CA19">
      <w:pPr>
        <w:spacing w:line="460" w:lineRule="exact"/>
        <w:ind w:firstLine="420" w:firstLineChars="200"/>
        <w:outlineLvl w:val="1"/>
        <w:rPr>
          <w:rFonts w:ascii="宋体" w:hAnsi="宋体" w:eastAsia="宋体" w:cs="宋体"/>
          <w:kern w:val="0"/>
          <w:szCs w:val="21"/>
          <w:highlight w:val="none"/>
        </w:rPr>
      </w:pPr>
      <w:r>
        <w:rPr>
          <w:rFonts w:hint="eastAsia" w:ascii="宋体" w:hAnsi="宋体" w:eastAsia="宋体" w:cs="宋体"/>
          <w:kern w:val="0"/>
          <w:szCs w:val="21"/>
          <w:highlight w:val="none"/>
        </w:rPr>
        <w:t>（五）系统售后运行维护服务</w:t>
      </w:r>
    </w:p>
    <w:p w14:paraId="49F0FBD7">
      <w:pPr>
        <w:spacing w:line="460" w:lineRule="exact"/>
        <w:ind w:firstLine="420" w:firstLineChars="200"/>
        <w:outlineLvl w:val="1"/>
        <w:rPr>
          <w:rFonts w:ascii="宋体" w:hAnsi="宋体" w:eastAsia="宋体" w:cs="宋体"/>
          <w:kern w:val="0"/>
          <w:szCs w:val="21"/>
          <w:highlight w:val="none"/>
        </w:rPr>
      </w:pPr>
      <w:r>
        <w:rPr>
          <w:rFonts w:hint="eastAsia" w:ascii="宋体" w:hAnsi="宋体" w:eastAsia="宋体" w:cs="宋体"/>
          <w:kern w:val="0"/>
          <w:szCs w:val="21"/>
          <w:highlight w:val="none"/>
        </w:rPr>
        <w:t>为保障</w:t>
      </w:r>
      <w:r>
        <w:rPr>
          <w:rFonts w:hint="eastAsia" w:ascii="宋体" w:hAnsi="宋体" w:eastAsia="宋体" w:cs="宋体"/>
          <w:szCs w:val="21"/>
          <w:highlight w:val="none"/>
        </w:rPr>
        <w:t>系统</w:t>
      </w:r>
      <w:r>
        <w:rPr>
          <w:rFonts w:hint="eastAsia" w:ascii="宋体" w:hAnsi="宋体" w:eastAsia="宋体" w:cs="宋体"/>
          <w:kern w:val="0"/>
          <w:szCs w:val="21"/>
          <w:highlight w:val="none"/>
        </w:rPr>
        <w:t>正常运行，供应商应配备完善的售后运维团队，并提供优质的售后运维服务，系统运行维护主要包含以下内容：</w:t>
      </w:r>
    </w:p>
    <w:p w14:paraId="67AA9D24">
      <w:pPr>
        <w:spacing w:line="460" w:lineRule="exact"/>
        <w:ind w:firstLine="420" w:firstLineChars="200"/>
        <w:outlineLvl w:val="1"/>
        <w:rPr>
          <w:rFonts w:ascii="宋体" w:hAnsi="宋体" w:eastAsia="宋体" w:cs="宋体"/>
          <w:kern w:val="0"/>
          <w:szCs w:val="21"/>
          <w:highlight w:val="none"/>
        </w:rPr>
      </w:pPr>
      <w:r>
        <w:rPr>
          <w:rFonts w:hint="eastAsia" w:ascii="宋体" w:hAnsi="宋体" w:eastAsia="宋体" w:cs="宋体"/>
          <w:kern w:val="0"/>
          <w:szCs w:val="21"/>
          <w:highlight w:val="none"/>
        </w:rPr>
        <w:t>1.系统运行维护运维服务要求：须提供365天*8小时上门维护服务，365天*24小时全天候上门应急服务，365天*24小时全天候远程和现场技术支持服务。</w:t>
      </w:r>
    </w:p>
    <w:p w14:paraId="1C928783">
      <w:pPr>
        <w:spacing w:line="460" w:lineRule="exact"/>
        <w:ind w:firstLine="420" w:firstLineChars="200"/>
        <w:outlineLvl w:val="1"/>
        <w:rPr>
          <w:rFonts w:ascii="宋体" w:hAnsi="宋体" w:eastAsia="宋体" w:cs="宋体"/>
          <w:kern w:val="0"/>
          <w:szCs w:val="21"/>
          <w:highlight w:val="none"/>
        </w:rPr>
      </w:pPr>
      <w:r>
        <w:rPr>
          <w:rFonts w:hint="eastAsia" w:ascii="宋体" w:hAnsi="宋体" w:eastAsia="宋体" w:cs="宋体"/>
          <w:kern w:val="0"/>
          <w:szCs w:val="21"/>
          <w:highlight w:val="none"/>
        </w:rPr>
        <w:t>2.系统故障响应时间要求</w:t>
      </w:r>
    </w:p>
    <w:p w14:paraId="3046DCBB">
      <w:pPr>
        <w:spacing w:line="460" w:lineRule="exact"/>
        <w:ind w:firstLine="420" w:firstLineChars="200"/>
        <w:outlineLvl w:val="1"/>
        <w:rPr>
          <w:rFonts w:ascii="宋体" w:hAnsi="宋体" w:eastAsia="宋体" w:cs="宋体"/>
          <w:kern w:val="0"/>
          <w:szCs w:val="21"/>
          <w:highlight w:val="none"/>
        </w:rPr>
      </w:pPr>
      <w:r>
        <w:rPr>
          <w:rFonts w:hint="eastAsia" w:ascii="宋体" w:hAnsi="宋体" w:eastAsia="宋体" w:cs="宋体"/>
          <w:kern w:val="0"/>
          <w:szCs w:val="21"/>
          <w:highlight w:val="none"/>
        </w:rPr>
        <w:t>一级故障（系统瘫痪、核心功能无法使用、数据泄露等严重故障）：15分钟内响应，2小时内提出解决方案。</w:t>
      </w:r>
    </w:p>
    <w:p w14:paraId="76D6C0F8">
      <w:pPr>
        <w:spacing w:line="460" w:lineRule="exact"/>
        <w:ind w:firstLine="420" w:firstLineChars="200"/>
        <w:outlineLvl w:val="1"/>
        <w:rPr>
          <w:rFonts w:ascii="宋体" w:hAnsi="宋体" w:eastAsia="宋体" w:cs="宋体"/>
          <w:kern w:val="0"/>
          <w:szCs w:val="21"/>
          <w:highlight w:val="none"/>
        </w:rPr>
      </w:pPr>
      <w:r>
        <w:rPr>
          <w:rFonts w:hint="eastAsia" w:ascii="宋体" w:hAnsi="宋体" w:eastAsia="宋体" w:cs="宋体"/>
          <w:kern w:val="0"/>
          <w:szCs w:val="21"/>
          <w:highlight w:val="none"/>
        </w:rPr>
        <w:t>二级故障（核心功能部分异常、数据处理错误等较严重故障）：30分钟内响应，4小时内提出解决方案。</w:t>
      </w:r>
    </w:p>
    <w:p w14:paraId="1DBE9AD1">
      <w:pPr>
        <w:spacing w:line="460" w:lineRule="exact"/>
        <w:ind w:firstLine="420" w:firstLineChars="200"/>
        <w:outlineLvl w:val="1"/>
        <w:rPr>
          <w:rFonts w:ascii="宋体" w:hAnsi="宋体" w:eastAsia="宋体" w:cs="宋体"/>
          <w:kern w:val="0"/>
          <w:szCs w:val="21"/>
          <w:highlight w:val="none"/>
        </w:rPr>
      </w:pPr>
      <w:r>
        <w:rPr>
          <w:rFonts w:hint="eastAsia" w:ascii="宋体" w:hAnsi="宋体" w:eastAsia="宋体" w:cs="宋体"/>
          <w:kern w:val="0"/>
          <w:szCs w:val="21"/>
          <w:highlight w:val="none"/>
        </w:rPr>
        <w:t>三级故障（非核心功能异常、操作问题等一般故障）：2小时内响应，8小时内提出解决方案。</w:t>
      </w:r>
    </w:p>
    <w:p w14:paraId="64FF6FDC">
      <w:pPr>
        <w:spacing w:line="460" w:lineRule="exact"/>
        <w:ind w:firstLine="420" w:firstLineChars="200"/>
        <w:outlineLvl w:val="1"/>
        <w:rPr>
          <w:rFonts w:ascii="宋体" w:hAnsi="宋体" w:eastAsia="宋体" w:cs="宋体"/>
          <w:kern w:val="0"/>
          <w:szCs w:val="21"/>
          <w:highlight w:val="none"/>
        </w:rPr>
      </w:pPr>
      <w:r>
        <w:rPr>
          <w:rFonts w:hint="eastAsia" w:ascii="宋体" w:hAnsi="宋体" w:eastAsia="宋体" w:cs="宋体"/>
          <w:kern w:val="0"/>
          <w:szCs w:val="21"/>
          <w:highlight w:val="none"/>
        </w:rPr>
        <w:t>3.定期巡检：每季度至少提供一次系统健康检查与巡检服务，并提交巡检报告。发现重大安全隐患和故障的，必须及时报告并进行妥善处理和整改升级，确保采购人充分了解整体系统的运行情况。</w:t>
      </w:r>
    </w:p>
    <w:p w14:paraId="1A53ADF8">
      <w:pPr>
        <w:spacing w:line="460" w:lineRule="exact"/>
        <w:ind w:firstLine="420" w:firstLineChars="200"/>
        <w:outlineLvl w:val="1"/>
        <w:rPr>
          <w:rFonts w:ascii="宋体" w:hAnsi="宋体" w:eastAsia="宋体" w:cs="宋体"/>
          <w:kern w:val="0"/>
          <w:szCs w:val="21"/>
          <w:highlight w:val="none"/>
        </w:rPr>
      </w:pPr>
      <w:r>
        <w:rPr>
          <w:rFonts w:hint="eastAsia" w:ascii="宋体" w:hAnsi="宋体" w:eastAsia="宋体" w:cs="宋体"/>
          <w:kern w:val="0"/>
          <w:szCs w:val="21"/>
          <w:highlight w:val="none"/>
        </w:rPr>
        <w:t>4.系统升级：提供因操作系统、数据库等底层软件升级所必需的兼容性版本更新。在合同履行期限内，“</w:t>
      </w:r>
      <w:r>
        <w:rPr>
          <w:rFonts w:hint="eastAsia" w:ascii="宋体" w:hAnsi="宋体" w:eastAsia="宋体" w:cs="宋体"/>
          <w:kern w:val="0"/>
          <w:highlight w:val="none"/>
        </w:rPr>
        <w:t>昌宁县医共体总医院慢病管理信息系统</w:t>
      </w:r>
      <w:r>
        <w:rPr>
          <w:rFonts w:hint="eastAsia" w:ascii="宋体" w:hAnsi="宋体" w:eastAsia="宋体" w:cs="宋体"/>
          <w:kern w:val="0"/>
          <w:szCs w:val="21"/>
          <w:highlight w:val="none"/>
        </w:rPr>
        <w:t>”出现或因外部原因形成各类漏洞、BUG，必须无条件进行系统修复、整改，确保相关数据真实有效、安全不外泄。</w:t>
      </w:r>
    </w:p>
    <w:p w14:paraId="1C177288">
      <w:pPr>
        <w:spacing w:line="460" w:lineRule="exact"/>
        <w:ind w:firstLine="420" w:firstLineChars="200"/>
        <w:outlineLvl w:val="1"/>
        <w:rPr>
          <w:rFonts w:ascii="宋体" w:hAnsi="宋体" w:eastAsia="宋体" w:cs="宋体"/>
          <w:kern w:val="0"/>
          <w:szCs w:val="21"/>
          <w:highlight w:val="none"/>
        </w:rPr>
      </w:pPr>
      <w:r>
        <w:rPr>
          <w:rFonts w:hint="eastAsia" w:ascii="宋体" w:hAnsi="宋体" w:eastAsia="宋体" w:cs="宋体"/>
          <w:kern w:val="0"/>
          <w:szCs w:val="21"/>
          <w:highlight w:val="none"/>
        </w:rPr>
        <w:t>5.在项目售后运维服务期限内，因政策等原因“</w:t>
      </w:r>
      <w:r>
        <w:rPr>
          <w:rFonts w:hint="eastAsia" w:ascii="宋体" w:hAnsi="宋体" w:eastAsia="宋体" w:cs="宋体"/>
          <w:kern w:val="0"/>
          <w:highlight w:val="none"/>
        </w:rPr>
        <w:t>昌宁县医共体总医院慢病管理信息系统</w:t>
      </w:r>
      <w:r>
        <w:rPr>
          <w:rFonts w:hint="eastAsia" w:ascii="宋体" w:hAnsi="宋体" w:eastAsia="宋体" w:cs="宋体"/>
          <w:kern w:val="0"/>
          <w:szCs w:val="21"/>
          <w:highlight w:val="none"/>
        </w:rPr>
        <w:t>”需要接入本项目在建设阶段未列入其他系统软件或硬件设施的，供应商应无条件按采购人要求开展对接（含软硬件接口开发和对接工作）和集成服务工作，相关费用已包含在项目的本项目磋商报价中。</w:t>
      </w:r>
    </w:p>
    <w:p w14:paraId="53F999BA">
      <w:pPr>
        <w:spacing w:line="460" w:lineRule="exact"/>
        <w:ind w:firstLine="420" w:firstLineChars="200"/>
        <w:outlineLvl w:val="1"/>
        <w:rPr>
          <w:rFonts w:ascii="宋体" w:hAnsi="宋体" w:eastAsia="宋体" w:cs="宋体"/>
          <w:kern w:val="0"/>
          <w:szCs w:val="21"/>
          <w:highlight w:val="none"/>
        </w:rPr>
      </w:pPr>
      <w:r>
        <w:rPr>
          <w:rFonts w:hint="eastAsia" w:ascii="宋体" w:hAnsi="宋体" w:eastAsia="宋体" w:cs="宋体"/>
          <w:kern w:val="0"/>
          <w:szCs w:val="21"/>
          <w:highlight w:val="none"/>
        </w:rPr>
        <w:t>6.</w:t>
      </w:r>
      <w:r>
        <w:rPr>
          <w:rFonts w:hint="eastAsia" w:ascii="宋体" w:hAnsi="宋体" w:eastAsia="宋体" w:cs="宋体"/>
          <w:szCs w:val="21"/>
          <w:highlight w:val="none"/>
        </w:rPr>
        <w:t>本次采购的昌宁县医共体总医院慢病管理信息系统需要长期的运行维护，采购人将考虑本项目的售后运维服务期满后的昌宁县医共体总医院慢病管理信息系统运行维护服务工作的实际需求，后续运维服务内容包含昌宁县医共体总医院慢病管理信息系统在运行中的故障排错、信息数据维护备份及恢复、系统及数据库适配调整、昌宁县医共体总医院慢病管理信息系统定期升级更新等工作。参与本项目的磋商申请人可根据项目实际情况填报后续运行维护服务费，此服务费将纳入合同签署的考虑范畴。磋商申请人针对昌宁县医共体总医院慢病管理信息系统后续运行维护服务填报的后续运行维护服务费基于</w:t>
      </w:r>
      <w:r>
        <w:rPr>
          <w:rFonts w:hint="eastAsia" w:ascii="宋体" w:hAnsi="宋体" w:eastAsia="宋体" w:cs="宋体"/>
          <w:kern w:val="0"/>
          <w:szCs w:val="21"/>
          <w:highlight w:val="none"/>
        </w:rPr>
        <w:t>磋商报价总价</w:t>
      </w:r>
      <w:r>
        <w:rPr>
          <w:rFonts w:hint="eastAsia" w:ascii="宋体" w:hAnsi="宋体" w:eastAsia="宋体" w:cs="宋体"/>
          <w:szCs w:val="21"/>
          <w:highlight w:val="none"/>
        </w:rPr>
        <w:t>比例不能高于</w:t>
      </w:r>
      <w:r>
        <w:rPr>
          <w:rFonts w:hint="eastAsia" w:ascii="宋体" w:hAnsi="宋体" w:eastAsia="宋体" w:cs="宋体"/>
          <w:kern w:val="0"/>
          <w:szCs w:val="21"/>
          <w:highlight w:val="none"/>
        </w:rPr>
        <w:t>磋商报价总价</w:t>
      </w:r>
      <w:r>
        <w:rPr>
          <w:rFonts w:hint="eastAsia" w:ascii="宋体" w:hAnsi="宋体" w:eastAsia="宋体" w:cs="宋体"/>
          <w:szCs w:val="21"/>
          <w:highlight w:val="none"/>
        </w:rPr>
        <w:t>的</w:t>
      </w:r>
      <w:r>
        <w:rPr>
          <w:rFonts w:hint="eastAsia" w:ascii="宋体" w:hAnsi="宋体" w:eastAsia="宋体" w:cs="宋体"/>
          <w:szCs w:val="21"/>
          <w:highlight w:val="none"/>
          <w:lang w:val="en-US" w:eastAsia="zh-CN"/>
        </w:rPr>
        <w:t>8</w:t>
      </w:r>
      <w:r>
        <w:rPr>
          <w:rFonts w:hint="eastAsia" w:ascii="宋体" w:hAnsi="宋体" w:eastAsia="宋体" w:cs="宋体"/>
          <w:szCs w:val="21"/>
          <w:highlight w:val="none"/>
        </w:rPr>
        <w:t>%。</w:t>
      </w:r>
    </w:p>
    <w:p w14:paraId="69924DD6">
      <w:pPr>
        <w:spacing w:line="460" w:lineRule="exact"/>
        <w:ind w:firstLine="420" w:firstLineChars="200"/>
        <w:outlineLvl w:val="1"/>
        <w:rPr>
          <w:rFonts w:ascii="宋体" w:hAnsi="宋体" w:eastAsia="宋体" w:cs="宋体"/>
          <w:kern w:val="0"/>
          <w:szCs w:val="21"/>
          <w:highlight w:val="none"/>
        </w:rPr>
      </w:pPr>
      <w:r>
        <w:rPr>
          <w:rFonts w:hint="eastAsia" w:ascii="宋体" w:hAnsi="宋体" w:eastAsia="宋体" w:cs="宋体"/>
          <w:kern w:val="0"/>
          <w:szCs w:val="21"/>
          <w:highlight w:val="none"/>
        </w:rPr>
        <w:t>（六）知识产权管理及相关要求</w:t>
      </w:r>
    </w:p>
    <w:p w14:paraId="04DCA437">
      <w:pPr>
        <w:spacing w:line="460" w:lineRule="exact"/>
        <w:ind w:firstLine="420" w:firstLineChars="200"/>
        <w:outlineLvl w:val="1"/>
        <w:rPr>
          <w:rFonts w:ascii="宋体" w:hAnsi="宋体" w:eastAsia="宋体" w:cs="宋体"/>
          <w:kern w:val="0"/>
          <w:szCs w:val="21"/>
          <w:highlight w:val="none"/>
        </w:rPr>
      </w:pPr>
      <w:r>
        <w:rPr>
          <w:rFonts w:hint="eastAsia" w:ascii="宋体" w:hAnsi="宋体" w:eastAsia="宋体" w:cs="宋体"/>
          <w:kern w:val="0"/>
          <w:szCs w:val="21"/>
          <w:highlight w:val="none"/>
        </w:rPr>
        <w:t>1.为保障采购人在使用该产品的任何一部分时，免受第三方提出的侵犯其专利权、商标权、著作权或其他知识产权的起诉，磋商申请人须承诺提供的产品正版、合法，保障采购人合法权益，除已有产品知识产权外，与本项目相关的著作权归采购人所有。如因专利权、商标权或其他知识产权而引起的法律和经济纠纷，由供应商承担所有相关责任。</w:t>
      </w:r>
    </w:p>
    <w:p w14:paraId="2AFC26E9">
      <w:pPr>
        <w:spacing w:line="460" w:lineRule="exact"/>
        <w:ind w:firstLine="420" w:firstLineChars="200"/>
        <w:outlineLvl w:val="1"/>
        <w:rPr>
          <w:rFonts w:ascii="宋体" w:hAnsi="宋体" w:eastAsia="宋体" w:cs="宋体"/>
          <w:kern w:val="0"/>
          <w:szCs w:val="21"/>
          <w:highlight w:val="none"/>
        </w:rPr>
      </w:pPr>
      <w:r>
        <w:rPr>
          <w:rFonts w:hint="eastAsia" w:ascii="宋体" w:hAnsi="宋体" w:eastAsia="宋体" w:cs="宋体"/>
          <w:kern w:val="0"/>
          <w:szCs w:val="21"/>
          <w:highlight w:val="none"/>
        </w:rPr>
        <w:t>2.本次采购的系统是结合采购需求进行深度开发设计的软件系统，项目建成后，中标人将对本次采购的系统进行推广或用于其他商业、科研工作，验收通过后一年内必须经采购人同意。</w:t>
      </w:r>
    </w:p>
    <w:p w14:paraId="681AE175">
      <w:pPr>
        <w:spacing w:line="460" w:lineRule="exact"/>
        <w:ind w:firstLine="420" w:firstLineChars="200"/>
        <w:outlineLvl w:val="1"/>
        <w:rPr>
          <w:rFonts w:ascii="宋体" w:hAnsi="宋体" w:eastAsia="宋体" w:cs="宋体"/>
          <w:kern w:val="0"/>
          <w:szCs w:val="21"/>
          <w:highlight w:val="none"/>
        </w:rPr>
      </w:pPr>
      <w:r>
        <w:rPr>
          <w:rFonts w:hint="eastAsia" w:ascii="宋体" w:hAnsi="宋体" w:eastAsia="宋体" w:cs="宋体"/>
          <w:kern w:val="0"/>
          <w:szCs w:val="21"/>
          <w:highlight w:val="none"/>
        </w:rPr>
        <w:t>（七）安全保密要求</w:t>
      </w:r>
    </w:p>
    <w:p w14:paraId="50B7DAB1">
      <w:pPr>
        <w:spacing w:line="460" w:lineRule="exact"/>
        <w:ind w:firstLine="420" w:firstLineChars="200"/>
        <w:outlineLvl w:val="1"/>
        <w:rPr>
          <w:rFonts w:ascii="宋体" w:hAnsi="宋体" w:eastAsia="宋体" w:cs="宋体"/>
          <w:kern w:val="0"/>
          <w:szCs w:val="21"/>
          <w:highlight w:val="none"/>
        </w:rPr>
      </w:pPr>
      <w:r>
        <w:rPr>
          <w:rFonts w:hint="eastAsia" w:ascii="宋体" w:hAnsi="宋体" w:eastAsia="宋体" w:cs="宋体"/>
          <w:kern w:val="0"/>
          <w:szCs w:val="21"/>
          <w:highlight w:val="none"/>
        </w:rPr>
        <w:t>1.对于</w:t>
      </w:r>
      <w:r>
        <w:rPr>
          <w:rFonts w:hint="eastAsia" w:ascii="宋体" w:hAnsi="宋体" w:eastAsia="宋体" w:cs="宋体"/>
          <w:szCs w:val="21"/>
          <w:highlight w:val="none"/>
        </w:rPr>
        <w:t>各医共体各成员单位</w:t>
      </w:r>
      <w:r>
        <w:rPr>
          <w:rFonts w:hint="eastAsia" w:ascii="宋体" w:hAnsi="宋体" w:eastAsia="宋体" w:cs="宋体"/>
          <w:kern w:val="0"/>
          <w:szCs w:val="21"/>
          <w:highlight w:val="none"/>
        </w:rPr>
        <w:t>提供给供应商的采购文件和其他业务需求说明文件，供应商有为</w:t>
      </w:r>
      <w:r>
        <w:rPr>
          <w:rFonts w:hint="eastAsia" w:ascii="宋体" w:hAnsi="宋体" w:eastAsia="宋体" w:cs="宋体"/>
          <w:szCs w:val="21"/>
          <w:highlight w:val="none"/>
        </w:rPr>
        <w:t>各医共体各成员单位</w:t>
      </w:r>
      <w:r>
        <w:rPr>
          <w:rFonts w:hint="eastAsia" w:ascii="宋体" w:hAnsi="宋体" w:eastAsia="宋体" w:cs="宋体"/>
          <w:kern w:val="0"/>
          <w:szCs w:val="21"/>
          <w:highlight w:val="none"/>
        </w:rPr>
        <w:t>保密的义务；</w:t>
      </w:r>
    </w:p>
    <w:p w14:paraId="4EFD6E46">
      <w:pPr>
        <w:spacing w:line="460" w:lineRule="exact"/>
        <w:ind w:firstLine="420" w:firstLineChars="200"/>
        <w:outlineLvl w:val="1"/>
        <w:rPr>
          <w:rFonts w:ascii="宋体" w:hAnsi="宋体" w:eastAsia="宋体" w:cs="宋体"/>
          <w:kern w:val="0"/>
          <w:szCs w:val="21"/>
          <w:highlight w:val="none"/>
        </w:rPr>
      </w:pPr>
      <w:r>
        <w:rPr>
          <w:rFonts w:hint="eastAsia" w:ascii="宋体" w:hAnsi="宋体" w:eastAsia="宋体" w:cs="宋体"/>
          <w:kern w:val="0"/>
          <w:szCs w:val="21"/>
          <w:highlight w:val="none"/>
        </w:rPr>
        <w:t>2.供应商需协助</w:t>
      </w:r>
      <w:r>
        <w:rPr>
          <w:rFonts w:hint="eastAsia" w:ascii="宋体" w:hAnsi="宋体" w:eastAsia="宋体" w:cs="宋体"/>
          <w:szCs w:val="21"/>
          <w:highlight w:val="none"/>
        </w:rPr>
        <w:t>各医共体各成员单位</w:t>
      </w:r>
      <w:r>
        <w:rPr>
          <w:rFonts w:hint="eastAsia" w:ascii="宋体" w:hAnsi="宋体" w:eastAsia="宋体" w:cs="宋体"/>
          <w:kern w:val="0"/>
          <w:szCs w:val="21"/>
          <w:highlight w:val="none"/>
        </w:rPr>
        <w:t>及相关业务关联单位采取各种管理和技术手段，确保相应的数据不外传和泄露；供应商需签署安全保密协议，在项目建设运维过程中接触各项数据要具体指定工程师；</w:t>
      </w:r>
    </w:p>
    <w:p w14:paraId="77C9ECE3">
      <w:pPr>
        <w:spacing w:line="460" w:lineRule="exact"/>
        <w:ind w:firstLine="420" w:firstLineChars="200"/>
        <w:outlineLvl w:val="1"/>
        <w:rPr>
          <w:rFonts w:ascii="宋体" w:hAnsi="宋体" w:eastAsia="宋体" w:cs="宋体"/>
          <w:kern w:val="0"/>
          <w:szCs w:val="21"/>
          <w:highlight w:val="none"/>
        </w:rPr>
      </w:pPr>
      <w:r>
        <w:rPr>
          <w:rFonts w:hint="eastAsia" w:ascii="宋体" w:hAnsi="宋体" w:eastAsia="宋体" w:cs="宋体"/>
          <w:kern w:val="0"/>
          <w:szCs w:val="21"/>
          <w:highlight w:val="none"/>
        </w:rPr>
        <w:t>3.供应商应对</w:t>
      </w:r>
      <w:r>
        <w:rPr>
          <w:rFonts w:hint="eastAsia" w:ascii="宋体" w:hAnsi="宋体" w:eastAsia="宋体" w:cs="宋体"/>
          <w:szCs w:val="21"/>
          <w:highlight w:val="none"/>
        </w:rPr>
        <w:t>各医共体各成员单位</w:t>
      </w:r>
      <w:r>
        <w:rPr>
          <w:rFonts w:hint="eastAsia" w:ascii="宋体" w:hAnsi="宋体" w:eastAsia="宋体" w:cs="宋体"/>
          <w:kern w:val="0"/>
          <w:szCs w:val="21"/>
          <w:highlight w:val="none"/>
        </w:rPr>
        <w:t>及相关业务关联单位的各项数据进行处理，不得对用户的数据进行拷贝、备份，同时不得对外泄露用户数据资料（包括自然人、法人和其他共享数据）的具体内容。否则由此引起的</w:t>
      </w:r>
      <w:r>
        <w:rPr>
          <w:rFonts w:hint="eastAsia" w:ascii="宋体" w:hAnsi="宋体" w:eastAsia="宋体" w:cs="宋体"/>
          <w:szCs w:val="21"/>
          <w:highlight w:val="none"/>
        </w:rPr>
        <w:t>各医共体各成员单位</w:t>
      </w:r>
      <w:r>
        <w:rPr>
          <w:rFonts w:hint="eastAsia" w:ascii="宋体" w:hAnsi="宋体" w:eastAsia="宋体" w:cs="宋体"/>
          <w:kern w:val="0"/>
          <w:szCs w:val="21"/>
          <w:highlight w:val="none"/>
        </w:rPr>
        <w:t>损失、相关社会和法律责任，由供应商负责承担；</w:t>
      </w:r>
    </w:p>
    <w:p w14:paraId="612F7E66">
      <w:pPr>
        <w:spacing w:line="460" w:lineRule="exact"/>
        <w:ind w:firstLine="420" w:firstLineChars="200"/>
        <w:outlineLvl w:val="1"/>
        <w:rPr>
          <w:rFonts w:ascii="宋体" w:hAnsi="宋体" w:eastAsia="宋体" w:cs="宋体"/>
          <w:kern w:val="0"/>
          <w:szCs w:val="21"/>
          <w:highlight w:val="none"/>
        </w:rPr>
      </w:pPr>
      <w:r>
        <w:rPr>
          <w:rFonts w:hint="eastAsia" w:ascii="宋体" w:hAnsi="宋体" w:eastAsia="宋体" w:cs="宋体"/>
          <w:kern w:val="0"/>
          <w:szCs w:val="21"/>
          <w:highlight w:val="none"/>
        </w:rPr>
        <w:t>4.协助</w:t>
      </w:r>
      <w:r>
        <w:rPr>
          <w:rFonts w:hint="eastAsia" w:ascii="宋体" w:hAnsi="宋体" w:eastAsia="宋体" w:cs="宋体"/>
          <w:szCs w:val="21"/>
          <w:highlight w:val="none"/>
        </w:rPr>
        <w:t>各医共体各成员单位</w:t>
      </w:r>
      <w:r>
        <w:rPr>
          <w:rFonts w:hint="eastAsia" w:ascii="宋体" w:hAnsi="宋体" w:eastAsia="宋体" w:cs="宋体"/>
          <w:kern w:val="0"/>
          <w:szCs w:val="21"/>
          <w:highlight w:val="none"/>
        </w:rPr>
        <w:t>及相关业务关联单位进行技术方案审理优化、进度质量控制和验收管理的一方，有为</w:t>
      </w:r>
      <w:r>
        <w:rPr>
          <w:rFonts w:hint="eastAsia" w:ascii="宋体" w:hAnsi="宋体" w:eastAsia="宋体" w:cs="宋体"/>
          <w:szCs w:val="21"/>
          <w:highlight w:val="none"/>
        </w:rPr>
        <w:t>各医共体各成员单位</w:t>
      </w:r>
      <w:r>
        <w:rPr>
          <w:rFonts w:hint="eastAsia" w:ascii="宋体" w:hAnsi="宋体" w:eastAsia="宋体" w:cs="宋体"/>
          <w:kern w:val="0"/>
          <w:szCs w:val="21"/>
          <w:highlight w:val="none"/>
        </w:rPr>
        <w:t>和包括供应商提供的项目有关文件和技术信息保密的义务。</w:t>
      </w:r>
    </w:p>
    <w:p w14:paraId="58F47061">
      <w:pPr>
        <w:spacing w:line="460" w:lineRule="exact"/>
        <w:ind w:firstLine="420" w:firstLineChars="200"/>
        <w:rPr>
          <w:rFonts w:ascii="宋体" w:hAnsi="宋体" w:eastAsia="宋体" w:cs="宋体"/>
          <w:kern w:val="0"/>
          <w:szCs w:val="21"/>
          <w:highlight w:val="none"/>
        </w:rPr>
      </w:pPr>
    </w:p>
    <w:p w14:paraId="2A7961E8">
      <w:pPr>
        <w:pStyle w:val="41"/>
        <w:rPr>
          <w:rFonts w:ascii="宋体" w:hAnsi="宋体" w:cs="宋体"/>
          <w:kern w:val="0"/>
          <w:szCs w:val="21"/>
          <w:highlight w:val="none"/>
        </w:rPr>
        <w:sectPr>
          <w:pgSz w:w="11906" w:h="16838"/>
          <w:pgMar w:top="936" w:right="1134" w:bottom="1089" w:left="1134" w:header="851" w:footer="992" w:gutter="0"/>
          <w:cols w:space="425" w:num="1"/>
          <w:docGrid w:type="lines" w:linePitch="312" w:charSpace="0"/>
        </w:sectPr>
      </w:pPr>
    </w:p>
    <w:p w14:paraId="7F0A151B">
      <w:pPr>
        <w:pStyle w:val="2"/>
        <w:spacing w:line="360" w:lineRule="auto"/>
        <w:jc w:val="center"/>
        <w:rPr>
          <w:rFonts w:ascii="宋体" w:hAnsi="宋体" w:eastAsia="宋体" w:cs="宋体"/>
          <w:color w:val="auto"/>
          <w:sz w:val="32"/>
          <w:szCs w:val="32"/>
          <w:highlight w:val="none"/>
        </w:rPr>
      </w:pPr>
      <w:bookmarkStart w:id="195" w:name="_Toc39092142"/>
      <w:r>
        <w:rPr>
          <w:rFonts w:hint="eastAsia" w:ascii="宋体" w:hAnsi="宋体" w:eastAsia="宋体" w:cs="宋体"/>
          <w:color w:val="auto"/>
          <w:sz w:val="32"/>
          <w:szCs w:val="32"/>
          <w:highlight w:val="none"/>
        </w:rPr>
        <w:t>第六章  磋商程序和方法</w:t>
      </w:r>
      <w:bookmarkEnd w:id="195"/>
    </w:p>
    <w:p w14:paraId="26BC785D">
      <w:pPr>
        <w:pStyle w:val="3"/>
        <w:spacing w:before="0" w:after="0" w:line="360" w:lineRule="auto"/>
        <w:jc w:val="center"/>
        <w:rPr>
          <w:rFonts w:ascii="宋体" w:hAnsi="宋体" w:eastAsia="宋体" w:cs="宋体"/>
          <w:sz w:val="28"/>
          <w:szCs w:val="28"/>
          <w:highlight w:val="none"/>
        </w:rPr>
      </w:pPr>
      <w:bookmarkStart w:id="196" w:name="_Toc191374457"/>
      <w:bookmarkStart w:id="197" w:name="_Toc39092143"/>
      <w:bookmarkStart w:id="198" w:name="_Toc7252791"/>
      <w:bookmarkStart w:id="199" w:name="_Toc86124093"/>
      <w:bookmarkStart w:id="200" w:name="_Toc7284545"/>
      <w:bookmarkStart w:id="201" w:name="_Toc37797043"/>
      <w:r>
        <w:rPr>
          <w:rFonts w:hint="eastAsia" w:ascii="宋体" w:hAnsi="宋体" w:eastAsia="宋体" w:cs="宋体"/>
          <w:sz w:val="28"/>
          <w:szCs w:val="28"/>
          <w:highlight w:val="none"/>
          <w:lang w:val="zh-CN"/>
        </w:rPr>
        <w:t>磋商程序和方法前附表</w:t>
      </w:r>
      <w:bookmarkEnd w:id="196"/>
      <w:bookmarkEnd w:id="197"/>
      <w:bookmarkEnd w:id="198"/>
      <w:bookmarkEnd w:id="199"/>
      <w:bookmarkEnd w:id="200"/>
      <w:bookmarkEnd w:id="201"/>
    </w:p>
    <w:p w14:paraId="0FD122CA">
      <w:pPr>
        <w:rPr>
          <w:rFonts w:ascii="宋体" w:hAnsi="宋体" w:eastAsia="宋体" w:cs="宋体"/>
          <w:b/>
          <w:bCs/>
          <w:sz w:val="24"/>
          <w:szCs w:val="24"/>
          <w:highlight w:val="none"/>
        </w:rPr>
      </w:pPr>
      <w:r>
        <w:rPr>
          <w:rFonts w:hint="eastAsia" w:ascii="宋体" w:hAnsi="宋体" w:eastAsia="宋体" w:cs="宋体"/>
          <w:b/>
          <w:bCs/>
          <w:sz w:val="24"/>
          <w:szCs w:val="24"/>
          <w:highlight w:val="none"/>
        </w:rPr>
        <w:t>一、资格审查表</w:t>
      </w:r>
    </w:p>
    <w:tbl>
      <w:tblPr>
        <w:tblStyle w:val="27"/>
        <w:tblW w:w="103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5"/>
        <w:gridCol w:w="6423"/>
        <w:gridCol w:w="2437"/>
      </w:tblGrid>
      <w:tr w14:paraId="045EC0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exact"/>
          <w:tblHeader/>
          <w:jc w:val="center"/>
        </w:trPr>
        <w:tc>
          <w:tcPr>
            <w:tcW w:w="10385" w:type="dxa"/>
            <w:gridSpan w:val="3"/>
            <w:noWrap/>
            <w:vAlign w:val="center"/>
          </w:tcPr>
          <w:p w14:paraId="70F91AD2">
            <w:pPr>
              <w:spacing w:line="380" w:lineRule="exact"/>
              <w:jc w:val="center"/>
              <w:rPr>
                <w:rFonts w:ascii="宋体" w:hAnsi="宋体" w:eastAsia="宋体" w:cs="宋体"/>
                <w:b/>
                <w:szCs w:val="21"/>
                <w:highlight w:val="none"/>
              </w:rPr>
            </w:pPr>
            <w:r>
              <w:rPr>
                <w:rFonts w:hint="eastAsia" w:ascii="宋体" w:hAnsi="宋体" w:eastAsia="宋体" w:cs="宋体"/>
                <w:b/>
                <w:szCs w:val="21"/>
                <w:highlight w:val="none"/>
              </w:rPr>
              <w:t>磋商申请人资格审查内容及相关因素</w:t>
            </w:r>
          </w:p>
        </w:tc>
      </w:tr>
      <w:tr w14:paraId="167308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exact"/>
          <w:tblHeader/>
          <w:jc w:val="center"/>
        </w:trPr>
        <w:tc>
          <w:tcPr>
            <w:tcW w:w="1525" w:type="dxa"/>
            <w:noWrap/>
            <w:vAlign w:val="center"/>
          </w:tcPr>
          <w:p w14:paraId="4E020347">
            <w:pPr>
              <w:spacing w:line="380" w:lineRule="exact"/>
              <w:jc w:val="center"/>
              <w:rPr>
                <w:rFonts w:ascii="宋体" w:hAnsi="宋体" w:eastAsia="宋体" w:cs="宋体"/>
                <w:b/>
                <w:szCs w:val="21"/>
                <w:highlight w:val="none"/>
              </w:rPr>
            </w:pPr>
            <w:r>
              <w:rPr>
                <w:rFonts w:hint="eastAsia" w:ascii="宋体" w:hAnsi="宋体" w:eastAsia="宋体" w:cs="宋体"/>
                <w:b/>
                <w:szCs w:val="21"/>
                <w:highlight w:val="none"/>
              </w:rPr>
              <w:t>评审条款</w:t>
            </w:r>
          </w:p>
        </w:tc>
        <w:tc>
          <w:tcPr>
            <w:tcW w:w="6423" w:type="dxa"/>
            <w:noWrap/>
            <w:vAlign w:val="center"/>
          </w:tcPr>
          <w:p w14:paraId="02183493">
            <w:pPr>
              <w:spacing w:line="380" w:lineRule="exact"/>
              <w:jc w:val="center"/>
              <w:rPr>
                <w:rFonts w:ascii="宋体" w:hAnsi="宋体" w:eastAsia="宋体" w:cs="宋体"/>
                <w:b/>
                <w:szCs w:val="21"/>
                <w:highlight w:val="none"/>
              </w:rPr>
            </w:pPr>
            <w:r>
              <w:rPr>
                <w:rFonts w:hint="eastAsia" w:ascii="宋体" w:hAnsi="宋体" w:eastAsia="宋体" w:cs="宋体"/>
                <w:b/>
                <w:szCs w:val="21"/>
                <w:highlight w:val="none"/>
              </w:rPr>
              <w:t>评审内容</w:t>
            </w:r>
          </w:p>
        </w:tc>
        <w:tc>
          <w:tcPr>
            <w:tcW w:w="2437" w:type="dxa"/>
            <w:noWrap/>
            <w:vAlign w:val="center"/>
          </w:tcPr>
          <w:p w14:paraId="224D9282">
            <w:pPr>
              <w:spacing w:line="380" w:lineRule="exact"/>
              <w:jc w:val="center"/>
              <w:rPr>
                <w:rFonts w:ascii="宋体" w:hAnsi="宋体" w:eastAsia="宋体" w:cs="宋体"/>
                <w:b/>
                <w:szCs w:val="21"/>
                <w:highlight w:val="none"/>
              </w:rPr>
            </w:pPr>
            <w:r>
              <w:rPr>
                <w:rFonts w:hint="eastAsia" w:ascii="宋体" w:hAnsi="宋体" w:eastAsia="宋体" w:cs="宋体"/>
                <w:b/>
                <w:szCs w:val="21"/>
                <w:highlight w:val="none"/>
              </w:rPr>
              <w:t>评审标准</w:t>
            </w:r>
          </w:p>
        </w:tc>
      </w:tr>
      <w:tr w14:paraId="09EDED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9" w:hRule="atLeast"/>
          <w:jc w:val="center"/>
        </w:trPr>
        <w:tc>
          <w:tcPr>
            <w:tcW w:w="1525" w:type="dxa"/>
            <w:vMerge w:val="restart"/>
            <w:noWrap/>
            <w:vAlign w:val="center"/>
          </w:tcPr>
          <w:p w14:paraId="792D23C7">
            <w:pPr>
              <w:widowControl/>
              <w:spacing w:line="400" w:lineRule="exact"/>
              <w:jc w:val="left"/>
              <w:rPr>
                <w:rFonts w:ascii="宋体" w:hAnsi="宋体" w:eastAsia="宋体" w:cs="宋体"/>
                <w:szCs w:val="21"/>
                <w:highlight w:val="none"/>
              </w:rPr>
            </w:pPr>
            <w:r>
              <w:rPr>
                <w:rFonts w:hint="eastAsia" w:ascii="宋体" w:hAnsi="宋体" w:eastAsia="宋体" w:cs="宋体"/>
                <w:szCs w:val="21"/>
                <w:highlight w:val="none"/>
                <w:shd w:val="clear" w:color="auto" w:fill="FFFFFF"/>
              </w:rPr>
              <w:t>磋商申请人应具有独立承担民事责任的能力</w:t>
            </w:r>
          </w:p>
        </w:tc>
        <w:tc>
          <w:tcPr>
            <w:tcW w:w="6423" w:type="dxa"/>
            <w:noWrap/>
            <w:vAlign w:val="center"/>
          </w:tcPr>
          <w:p w14:paraId="6262C429">
            <w:pPr>
              <w:spacing w:line="400" w:lineRule="exact"/>
              <w:rPr>
                <w:rFonts w:ascii="宋体" w:hAnsi="宋体" w:eastAsia="宋体" w:cs="宋体"/>
                <w:szCs w:val="21"/>
                <w:highlight w:val="none"/>
              </w:rPr>
            </w:pPr>
            <w:r>
              <w:rPr>
                <w:rFonts w:hint="eastAsia" w:ascii="宋体" w:hAnsi="宋体" w:eastAsia="宋体" w:cs="宋体"/>
                <w:b/>
                <w:szCs w:val="21"/>
                <w:highlight w:val="none"/>
              </w:rPr>
              <w:t>有效营业执照：</w:t>
            </w:r>
            <w:r>
              <w:rPr>
                <w:rFonts w:hint="eastAsia" w:ascii="宋体" w:hAnsi="宋体" w:eastAsia="宋体" w:cs="宋体"/>
                <w:szCs w:val="21"/>
                <w:highlight w:val="none"/>
              </w:rPr>
              <w:t>磋商申请人有效的《营业执照》或《统一社会信用代码证》或其他法人机构证书或其他组织证件或自然人身份证明等能证明具有独立承担民事责任能力的证明材料。</w:t>
            </w:r>
          </w:p>
        </w:tc>
        <w:tc>
          <w:tcPr>
            <w:tcW w:w="2437" w:type="dxa"/>
            <w:noWrap/>
            <w:vAlign w:val="center"/>
          </w:tcPr>
          <w:p w14:paraId="37AC41B8">
            <w:pPr>
              <w:spacing w:line="400" w:lineRule="exact"/>
              <w:rPr>
                <w:rFonts w:ascii="宋体" w:hAnsi="宋体" w:eastAsia="宋体" w:cs="宋体"/>
                <w:szCs w:val="21"/>
                <w:highlight w:val="none"/>
              </w:rPr>
            </w:pPr>
            <w:r>
              <w:rPr>
                <w:rFonts w:hint="eastAsia" w:ascii="宋体" w:hAnsi="宋体" w:eastAsia="宋体" w:cs="宋体"/>
                <w:szCs w:val="21"/>
                <w:highlight w:val="none"/>
              </w:rPr>
              <w:t>审查其提供材料的完整性及有效性</w:t>
            </w:r>
          </w:p>
        </w:tc>
      </w:tr>
      <w:tr w14:paraId="73C3EC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2" w:hRule="atLeast"/>
          <w:jc w:val="center"/>
        </w:trPr>
        <w:tc>
          <w:tcPr>
            <w:tcW w:w="1525" w:type="dxa"/>
            <w:vMerge w:val="continue"/>
            <w:noWrap/>
            <w:vAlign w:val="center"/>
          </w:tcPr>
          <w:p w14:paraId="3D1F7B86">
            <w:pPr>
              <w:spacing w:line="400" w:lineRule="exact"/>
              <w:rPr>
                <w:rFonts w:ascii="宋体" w:hAnsi="宋体" w:eastAsia="宋体" w:cs="宋体"/>
                <w:highlight w:val="none"/>
              </w:rPr>
            </w:pPr>
          </w:p>
        </w:tc>
        <w:tc>
          <w:tcPr>
            <w:tcW w:w="6423" w:type="dxa"/>
            <w:noWrap/>
            <w:vAlign w:val="center"/>
          </w:tcPr>
          <w:p w14:paraId="45E258E6">
            <w:pPr>
              <w:spacing w:line="400" w:lineRule="exact"/>
              <w:rPr>
                <w:rFonts w:ascii="宋体" w:hAnsi="宋体" w:eastAsia="宋体" w:cs="宋体"/>
                <w:szCs w:val="21"/>
                <w:highlight w:val="none"/>
              </w:rPr>
            </w:pPr>
            <w:r>
              <w:rPr>
                <w:rFonts w:hint="eastAsia" w:ascii="宋体" w:hAnsi="宋体" w:eastAsia="宋体" w:cs="宋体"/>
                <w:szCs w:val="21"/>
                <w:highlight w:val="none"/>
              </w:rPr>
              <w:t>法定代表人（负责人）的身份证明。</w:t>
            </w:r>
          </w:p>
        </w:tc>
        <w:tc>
          <w:tcPr>
            <w:tcW w:w="2437" w:type="dxa"/>
            <w:noWrap/>
            <w:vAlign w:val="center"/>
          </w:tcPr>
          <w:p w14:paraId="53978968">
            <w:pPr>
              <w:spacing w:line="400" w:lineRule="exact"/>
              <w:rPr>
                <w:rFonts w:ascii="宋体" w:hAnsi="宋体" w:eastAsia="宋体" w:cs="宋体"/>
                <w:bCs/>
                <w:szCs w:val="21"/>
                <w:highlight w:val="none"/>
              </w:rPr>
            </w:pPr>
            <w:r>
              <w:rPr>
                <w:rFonts w:hint="eastAsia" w:ascii="宋体" w:hAnsi="宋体" w:eastAsia="宋体" w:cs="宋体"/>
                <w:bCs/>
                <w:szCs w:val="21"/>
                <w:highlight w:val="none"/>
              </w:rPr>
              <w:t>审查法定代表人（负责人）是否与提供的营业执照载明事项保持一致及身份证有效期限</w:t>
            </w:r>
          </w:p>
        </w:tc>
      </w:tr>
      <w:tr w14:paraId="4132CB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1" w:hRule="atLeast"/>
          <w:jc w:val="center"/>
        </w:trPr>
        <w:tc>
          <w:tcPr>
            <w:tcW w:w="1525" w:type="dxa"/>
            <w:vMerge w:val="continue"/>
            <w:noWrap/>
            <w:vAlign w:val="center"/>
          </w:tcPr>
          <w:p w14:paraId="58E3FF94">
            <w:pPr>
              <w:spacing w:line="400" w:lineRule="exact"/>
              <w:rPr>
                <w:rFonts w:ascii="宋体" w:hAnsi="宋体" w:eastAsia="宋体" w:cs="宋体"/>
                <w:highlight w:val="none"/>
              </w:rPr>
            </w:pPr>
          </w:p>
        </w:tc>
        <w:tc>
          <w:tcPr>
            <w:tcW w:w="6423" w:type="dxa"/>
            <w:noWrap/>
            <w:vAlign w:val="center"/>
          </w:tcPr>
          <w:p w14:paraId="5C07C13F">
            <w:pPr>
              <w:spacing w:line="400" w:lineRule="exact"/>
              <w:rPr>
                <w:rFonts w:ascii="宋体" w:hAnsi="宋体" w:eastAsia="宋体" w:cs="宋体"/>
                <w:b/>
                <w:sz w:val="24"/>
                <w:highlight w:val="none"/>
              </w:rPr>
            </w:pPr>
            <w:r>
              <w:rPr>
                <w:rFonts w:hint="eastAsia" w:ascii="宋体" w:hAnsi="宋体" w:eastAsia="宋体" w:cs="宋体"/>
                <w:szCs w:val="21"/>
                <w:highlight w:val="none"/>
              </w:rPr>
              <w:t>联合体：本项目不接受，磋商邀请单位须提供申明文件。</w:t>
            </w:r>
          </w:p>
        </w:tc>
        <w:tc>
          <w:tcPr>
            <w:tcW w:w="2437" w:type="dxa"/>
            <w:noWrap/>
            <w:vAlign w:val="center"/>
          </w:tcPr>
          <w:p w14:paraId="0949379C">
            <w:pPr>
              <w:spacing w:line="400" w:lineRule="exact"/>
              <w:rPr>
                <w:rFonts w:ascii="宋体" w:hAnsi="宋体" w:eastAsia="宋体" w:cs="宋体"/>
                <w:bCs/>
                <w:szCs w:val="21"/>
                <w:highlight w:val="none"/>
              </w:rPr>
            </w:pPr>
            <w:r>
              <w:rPr>
                <w:rFonts w:hint="eastAsia" w:ascii="宋体" w:hAnsi="宋体" w:eastAsia="宋体" w:cs="宋体"/>
                <w:bCs/>
                <w:szCs w:val="21"/>
                <w:highlight w:val="none"/>
              </w:rPr>
              <w:t>审查其是否按竞争性磋商文件提供材料。</w:t>
            </w:r>
          </w:p>
        </w:tc>
      </w:tr>
      <w:tr w14:paraId="0DA1A2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6" w:hRule="atLeast"/>
          <w:jc w:val="center"/>
        </w:trPr>
        <w:tc>
          <w:tcPr>
            <w:tcW w:w="1525" w:type="dxa"/>
            <w:vMerge w:val="restart"/>
            <w:noWrap/>
            <w:vAlign w:val="center"/>
          </w:tcPr>
          <w:p w14:paraId="52AE78A9">
            <w:pPr>
              <w:spacing w:line="400" w:lineRule="exact"/>
              <w:rPr>
                <w:rFonts w:ascii="宋体" w:hAnsi="宋体" w:eastAsia="宋体" w:cs="宋体"/>
                <w:szCs w:val="21"/>
                <w:highlight w:val="none"/>
                <w:shd w:val="clear" w:color="auto" w:fill="FFFFFF"/>
              </w:rPr>
            </w:pPr>
            <w:r>
              <w:rPr>
                <w:rFonts w:hint="eastAsia" w:ascii="宋体" w:hAnsi="宋体" w:eastAsia="宋体" w:cs="宋体"/>
                <w:szCs w:val="21"/>
                <w:highlight w:val="none"/>
              </w:rPr>
              <w:t>具有良好的商业信誉和健全的财务会计制度</w:t>
            </w:r>
          </w:p>
        </w:tc>
        <w:tc>
          <w:tcPr>
            <w:tcW w:w="6423" w:type="dxa"/>
            <w:noWrap/>
            <w:vAlign w:val="center"/>
          </w:tcPr>
          <w:p w14:paraId="4BCAA98C">
            <w:pPr>
              <w:spacing w:line="400" w:lineRule="exact"/>
              <w:rPr>
                <w:rFonts w:ascii="宋体" w:hAnsi="宋体" w:eastAsia="宋体" w:cs="宋体"/>
                <w:szCs w:val="21"/>
                <w:highlight w:val="none"/>
              </w:rPr>
            </w:pPr>
            <w:r>
              <w:rPr>
                <w:rFonts w:hint="eastAsia" w:ascii="宋体" w:hAnsi="宋体" w:eastAsia="宋体" w:cs="宋体"/>
                <w:szCs w:val="21"/>
                <w:highlight w:val="none"/>
              </w:rPr>
              <w:t>提供具有良好的商业信誉的声明函；</w:t>
            </w:r>
          </w:p>
        </w:tc>
        <w:tc>
          <w:tcPr>
            <w:tcW w:w="2437" w:type="dxa"/>
            <w:noWrap/>
            <w:vAlign w:val="center"/>
          </w:tcPr>
          <w:p w14:paraId="64E7A59F">
            <w:pPr>
              <w:spacing w:line="400" w:lineRule="exact"/>
              <w:rPr>
                <w:rFonts w:ascii="宋体" w:hAnsi="宋体" w:eastAsia="宋体" w:cs="宋体"/>
                <w:b/>
                <w:bCs/>
                <w:szCs w:val="21"/>
                <w:highlight w:val="none"/>
              </w:rPr>
            </w:pPr>
            <w:r>
              <w:rPr>
                <w:rFonts w:hint="eastAsia" w:ascii="宋体" w:hAnsi="宋体" w:eastAsia="宋体" w:cs="宋体"/>
                <w:szCs w:val="21"/>
                <w:highlight w:val="none"/>
              </w:rPr>
              <w:t>审查其是否提供，若存在不良记录的视为不合格。</w:t>
            </w:r>
          </w:p>
        </w:tc>
      </w:tr>
      <w:tr w14:paraId="7CAB0B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2" w:hRule="atLeast"/>
          <w:jc w:val="center"/>
        </w:trPr>
        <w:tc>
          <w:tcPr>
            <w:tcW w:w="1525" w:type="dxa"/>
            <w:vMerge w:val="continue"/>
            <w:noWrap/>
            <w:vAlign w:val="center"/>
          </w:tcPr>
          <w:p w14:paraId="7641D490">
            <w:pPr>
              <w:spacing w:line="400" w:lineRule="exact"/>
              <w:rPr>
                <w:rFonts w:ascii="宋体" w:hAnsi="宋体" w:eastAsia="宋体" w:cs="宋体"/>
                <w:highlight w:val="none"/>
              </w:rPr>
            </w:pPr>
          </w:p>
        </w:tc>
        <w:tc>
          <w:tcPr>
            <w:tcW w:w="6423" w:type="dxa"/>
            <w:noWrap/>
            <w:vAlign w:val="center"/>
          </w:tcPr>
          <w:p w14:paraId="74EB1483">
            <w:pPr>
              <w:spacing w:line="400" w:lineRule="exact"/>
              <w:rPr>
                <w:rFonts w:ascii="宋体" w:hAnsi="宋体" w:eastAsia="宋体" w:cs="宋体"/>
                <w:szCs w:val="21"/>
                <w:highlight w:val="none"/>
              </w:rPr>
            </w:pPr>
            <w:r>
              <w:rPr>
                <w:rFonts w:hint="eastAsia" w:ascii="宋体" w:hAnsi="宋体" w:eastAsia="宋体" w:cs="宋体"/>
                <w:szCs w:val="21"/>
                <w:highlight w:val="none"/>
              </w:rPr>
              <w:t>提供磋商申请人2024年度至今任一年度经审计的财务报告；磋商申请人（含成立未满3个月的单位）不能提供2024年度至今任一年度经审计的财务报告的，也可以提供自磋商响应文件提交截止时间前三个月内银行出具的资信证明或担保机构出具的投标担保函等能证明具有健全的财务会计制度的证明材料。</w:t>
            </w:r>
          </w:p>
        </w:tc>
        <w:tc>
          <w:tcPr>
            <w:tcW w:w="2437" w:type="dxa"/>
            <w:noWrap/>
            <w:vAlign w:val="center"/>
          </w:tcPr>
          <w:p w14:paraId="1065DB2F">
            <w:pPr>
              <w:spacing w:line="400" w:lineRule="exact"/>
              <w:rPr>
                <w:rFonts w:ascii="宋体" w:hAnsi="宋体" w:eastAsia="宋体" w:cs="宋体"/>
                <w:szCs w:val="21"/>
                <w:highlight w:val="none"/>
              </w:rPr>
            </w:pPr>
            <w:r>
              <w:rPr>
                <w:rFonts w:hint="eastAsia" w:ascii="宋体" w:hAnsi="宋体" w:eastAsia="宋体" w:cs="宋体"/>
                <w:szCs w:val="21"/>
                <w:highlight w:val="none"/>
              </w:rPr>
              <w:t>审查其提供材料的完整性及有效性</w:t>
            </w:r>
          </w:p>
        </w:tc>
      </w:tr>
      <w:tr w14:paraId="5D82AD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6" w:hRule="atLeast"/>
          <w:jc w:val="center"/>
        </w:trPr>
        <w:tc>
          <w:tcPr>
            <w:tcW w:w="1525" w:type="dxa"/>
            <w:noWrap/>
            <w:vAlign w:val="center"/>
          </w:tcPr>
          <w:p w14:paraId="7BC7063A">
            <w:pPr>
              <w:spacing w:line="400" w:lineRule="exact"/>
              <w:rPr>
                <w:rFonts w:ascii="宋体" w:hAnsi="宋体" w:eastAsia="宋体" w:cs="宋体"/>
                <w:szCs w:val="21"/>
                <w:highlight w:val="none"/>
              </w:rPr>
            </w:pPr>
            <w:r>
              <w:rPr>
                <w:rFonts w:hint="eastAsia" w:ascii="宋体" w:hAnsi="宋体" w:eastAsia="宋体" w:cs="宋体"/>
                <w:szCs w:val="21"/>
                <w:highlight w:val="none"/>
              </w:rPr>
              <w:t>具备履行合同所必需的设备和专业技术能力</w:t>
            </w:r>
          </w:p>
        </w:tc>
        <w:tc>
          <w:tcPr>
            <w:tcW w:w="6423" w:type="dxa"/>
            <w:noWrap/>
            <w:vAlign w:val="center"/>
          </w:tcPr>
          <w:p w14:paraId="07926C30">
            <w:pPr>
              <w:spacing w:line="400" w:lineRule="exact"/>
              <w:rPr>
                <w:rFonts w:ascii="宋体" w:hAnsi="宋体" w:eastAsia="宋体" w:cs="宋体"/>
                <w:szCs w:val="21"/>
                <w:highlight w:val="none"/>
              </w:rPr>
            </w:pPr>
            <w:r>
              <w:rPr>
                <w:rFonts w:hint="eastAsia" w:ascii="宋体" w:hAnsi="宋体" w:eastAsia="宋体" w:cs="宋体"/>
                <w:szCs w:val="21"/>
                <w:highlight w:val="none"/>
              </w:rPr>
              <w:t>提供磋商申请人能证明其具备履行合同所必需的设备和专业技术能力的书面声明函或证明材料。</w:t>
            </w:r>
          </w:p>
        </w:tc>
        <w:tc>
          <w:tcPr>
            <w:tcW w:w="2437" w:type="dxa"/>
            <w:noWrap/>
            <w:vAlign w:val="center"/>
          </w:tcPr>
          <w:p w14:paraId="249D6ED9">
            <w:pPr>
              <w:spacing w:line="400" w:lineRule="exact"/>
              <w:rPr>
                <w:rFonts w:ascii="宋体" w:hAnsi="宋体" w:eastAsia="宋体" w:cs="宋体"/>
                <w:szCs w:val="21"/>
                <w:highlight w:val="none"/>
              </w:rPr>
            </w:pPr>
            <w:r>
              <w:rPr>
                <w:rFonts w:hint="eastAsia" w:ascii="宋体" w:hAnsi="宋体" w:eastAsia="宋体" w:cs="宋体"/>
                <w:szCs w:val="21"/>
                <w:highlight w:val="none"/>
              </w:rPr>
              <w:t>审查其是否提供</w:t>
            </w:r>
          </w:p>
        </w:tc>
      </w:tr>
      <w:tr w14:paraId="5CACB3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6" w:hRule="atLeast"/>
          <w:jc w:val="center"/>
        </w:trPr>
        <w:tc>
          <w:tcPr>
            <w:tcW w:w="1525" w:type="dxa"/>
            <w:noWrap/>
            <w:vAlign w:val="center"/>
          </w:tcPr>
          <w:p w14:paraId="4B90B965">
            <w:pPr>
              <w:spacing w:line="400" w:lineRule="exact"/>
              <w:rPr>
                <w:rFonts w:ascii="宋体" w:hAnsi="宋体" w:eastAsia="宋体" w:cs="宋体"/>
                <w:szCs w:val="21"/>
                <w:highlight w:val="none"/>
              </w:rPr>
            </w:pPr>
            <w:r>
              <w:rPr>
                <w:rFonts w:hint="eastAsia" w:ascii="宋体" w:hAnsi="宋体" w:eastAsia="宋体" w:cs="宋体"/>
                <w:szCs w:val="21"/>
                <w:highlight w:val="none"/>
              </w:rPr>
              <w:t>有依法缴纳税收和社会保障资金的良好记录</w:t>
            </w:r>
          </w:p>
        </w:tc>
        <w:tc>
          <w:tcPr>
            <w:tcW w:w="6423" w:type="dxa"/>
            <w:noWrap/>
            <w:vAlign w:val="center"/>
          </w:tcPr>
          <w:p w14:paraId="61434BFA">
            <w:pPr>
              <w:spacing w:line="400" w:lineRule="exact"/>
              <w:rPr>
                <w:rFonts w:ascii="宋体" w:hAnsi="宋体" w:eastAsia="宋体" w:cs="宋体"/>
                <w:szCs w:val="21"/>
                <w:highlight w:val="none"/>
              </w:rPr>
            </w:pPr>
            <w:r>
              <w:rPr>
                <w:rFonts w:hint="eastAsia" w:ascii="宋体" w:hAnsi="宋体" w:eastAsia="宋体" w:cs="宋体"/>
                <w:szCs w:val="21"/>
                <w:highlight w:val="none"/>
              </w:rPr>
              <w:t>提供磋商申请人近一年（2025年05月至今，税款所属期间）任意一个月份的依法缴纳税收凭证及社会保险的证明材料。请按采购文件的要求提供证明材料。</w:t>
            </w:r>
          </w:p>
        </w:tc>
        <w:tc>
          <w:tcPr>
            <w:tcW w:w="2437" w:type="dxa"/>
            <w:noWrap/>
            <w:vAlign w:val="center"/>
          </w:tcPr>
          <w:p w14:paraId="0F36F2C3">
            <w:pPr>
              <w:spacing w:line="400" w:lineRule="exact"/>
              <w:rPr>
                <w:rFonts w:ascii="宋体" w:hAnsi="宋体" w:eastAsia="宋体" w:cs="宋体"/>
                <w:szCs w:val="21"/>
                <w:highlight w:val="none"/>
              </w:rPr>
            </w:pPr>
            <w:r>
              <w:rPr>
                <w:rFonts w:hint="eastAsia" w:ascii="宋体" w:hAnsi="宋体" w:eastAsia="宋体" w:cs="宋体"/>
                <w:szCs w:val="21"/>
                <w:highlight w:val="none"/>
              </w:rPr>
              <w:t>审查其提供材料的完整性及有效性</w:t>
            </w:r>
          </w:p>
        </w:tc>
      </w:tr>
      <w:tr w14:paraId="4A6070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1525" w:type="dxa"/>
            <w:noWrap/>
            <w:vAlign w:val="center"/>
          </w:tcPr>
          <w:p w14:paraId="7A6B5160">
            <w:pPr>
              <w:spacing w:line="400" w:lineRule="exact"/>
              <w:rPr>
                <w:rFonts w:ascii="宋体" w:hAnsi="宋体" w:eastAsia="宋体" w:cs="宋体"/>
                <w:szCs w:val="21"/>
                <w:highlight w:val="none"/>
              </w:rPr>
            </w:pPr>
            <w:r>
              <w:rPr>
                <w:rFonts w:hint="eastAsia" w:ascii="宋体" w:hAnsi="宋体" w:eastAsia="宋体" w:cs="宋体"/>
                <w:szCs w:val="21"/>
                <w:highlight w:val="none"/>
              </w:rPr>
              <w:t>无重大违法记录声明</w:t>
            </w:r>
          </w:p>
        </w:tc>
        <w:tc>
          <w:tcPr>
            <w:tcW w:w="6423" w:type="dxa"/>
            <w:noWrap/>
            <w:vAlign w:val="center"/>
          </w:tcPr>
          <w:p w14:paraId="52FF659B">
            <w:pPr>
              <w:spacing w:line="400" w:lineRule="exact"/>
              <w:rPr>
                <w:rFonts w:ascii="宋体" w:hAnsi="宋体" w:eastAsia="宋体" w:cs="宋体"/>
                <w:szCs w:val="21"/>
                <w:highlight w:val="none"/>
              </w:rPr>
            </w:pPr>
            <w:r>
              <w:rPr>
                <w:rFonts w:hint="eastAsia" w:ascii="宋体" w:hAnsi="宋体" w:eastAsia="宋体" w:cs="宋体"/>
                <w:szCs w:val="21"/>
                <w:highlight w:val="none"/>
              </w:rPr>
              <w:t>磋商申请人必须提供“参加采购活动近3年内在经营活动中没有重大违法记录的书面声明”（重大违法记录是指：因违法经营受到刑事处罚或者责令停产停业、吊销许可证或者执照、较大数额罚款等行政处罚）。</w:t>
            </w:r>
          </w:p>
        </w:tc>
        <w:tc>
          <w:tcPr>
            <w:tcW w:w="2437" w:type="dxa"/>
            <w:noWrap/>
            <w:vAlign w:val="center"/>
          </w:tcPr>
          <w:p w14:paraId="52EC0D43">
            <w:pPr>
              <w:spacing w:line="400" w:lineRule="exact"/>
              <w:rPr>
                <w:rFonts w:ascii="宋体" w:hAnsi="宋体" w:eastAsia="宋体" w:cs="宋体"/>
                <w:szCs w:val="21"/>
                <w:highlight w:val="none"/>
              </w:rPr>
            </w:pPr>
            <w:r>
              <w:rPr>
                <w:rFonts w:hint="eastAsia" w:ascii="宋体" w:hAnsi="宋体" w:eastAsia="宋体" w:cs="宋体"/>
                <w:szCs w:val="21"/>
                <w:highlight w:val="none"/>
              </w:rPr>
              <w:t>审查其是否提供</w:t>
            </w:r>
          </w:p>
        </w:tc>
      </w:tr>
      <w:tr w14:paraId="217012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atLeast"/>
          <w:jc w:val="center"/>
        </w:trPr>
        <w:tc>
          <w:tcPr>
            <w:tcW w:w="1525" w:type="dxa"/>
            <w:noWrap/>
            <w:vAlign w:val="center"/>
          </w:tcPr>
          <w:p w14:paraId="6D758599">
            <w:pPr>
              <w:spacing w:line="400" w:lineRule="exact"/>
              <w:rPr>
                <w:rFonts w:ascii="宋体" w:hAnsi="宋体" w:eastAsia="宋体" w:cs="宋体"/>
                <w:szCs w:val="21"/>
                <w:highlight w:val="none"/>
              </w:rPr>
            </w:pPr>
            <w:r>
              <w:rPr>
                <w:rFonts w:hint="eastAsia" w:ascii="宋体" w:hAnsi="宋体" w:eastAsia="宋体" w:cs="宋体"/>
                <w:szCs w:val="21"/>
                <w:highlight w:val="none"/>
              </w:rPr>
              <w:t>磋商申请人资格要求</w:t>
            </w:r>
          </w:p>
        </w:tc>
        <w:tc>
          <w:tcPr>
            <w:tcW w:w="6423" w:type="dxa"/>
            <w:noWrap/>
            <w:vAlign w:val="center"/>
          </w:tcPr>
          <w:p w14:paraId="0149C6AA">
            <w:pPr>
              <w:spacing w:line="400" w:lineRule="exact"/>
              <w:rPr>
                <w:rFonts w:ascii="宋体" w:hAnsi="宋体" w:eastAsia="宋体" w:cs="宋体"/>
                <w:szCs w:val="21"/>
                <w:highlight w:val="none"/>
              </w:rPr>
            </w:pPr>
            <w:r>
              <w:rPr>
                <w:rFonts w:hint="eastAsia" w:ascii="宋体" w:hAnsi="宋体" w:eastAsia="宋体" w:cs="宋体"/>
                <w:szCs w:val="21"/>
                <w:highlight w:val="none"/>
              </w:rPr>
              <w:t>1.本项目不接受成交后再次转包、分包开展相应服务工作，磋商申请人须提供针对本项目不转包、分包的书面承诺并加盖单位公章确认。</w:t>
            </w:r>
          </w:p>
          <w:p w14:paraId="1853F27F">
            <w:pPr>
              <w:spacing w:line="400" w:lineRule="exact"/>
              <w:rPr>
                <w:rFonts w:ascii="宋体" w:hAnsi="宋体" w:eastAsia="宋体" w:cs="宋体"/>
                <w:szCs w:val="21"/>
                <w:highlight w:val="none"/>
              </w:rPr>
            </w:pPr>
            <w:r>
              <w:rPr>
                <w:rFonts w:hint="eastAsia" w:ascii="宋体" w:hAnsi="宋体" w:eastAsia="宋体" w:cs="宋体"/>
                <w:szCs w:val="21"/>
                <w:highlight w:val="none"/>
              </w:rPr>
              <w:t>2.磋商申请人不存在拒绝参加本次采购活动的情形，磋商申请人须提供书面承诺并加盖单位公章确认。</w:t>
            </w:r>
          </w:p>
        </w:tc>
        <w:tc>
          <w:tcPr>
            <w:tcW w:w="2437" w:type="dxa"/>
            <w:noWrap/>
            <w:vAlign w:val="center"/>
          </w:tcPr>
          <w:p w14:paraId="72DA85F7">
            <w:pPr>
              <w:spacing w:line="400" w:lineRule="exact"/>
              <w:rPr>
                <w:rFonts w:ascii="宋体" w:hAnsi="宋体" w:eastAsia="宋体" w:cs="宋体"/>
                <w:szCs w:val="21"/>
                <w:highlight w:val="none"/>
              </w:rPr>
            </w:pPr>
            <w:r>
              <w:rPr>
                <w:rFonts w:hint="eastAsia" w:ascii="宋体" w:hAnsi="宋体" w:eastAsia="宋体" w:cs="宋体"/>
                <w:szCs w:val="21"/>
                <w:highlight w:val="none"/>
              </w:rPr>
              <w:t>审查其是否提供</w:t>
            </w:r>
          </w:p>
        </w:tc>
      </w:tr>
      <w:tr w14:paraId="28204F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16" w:hRule="atLeast"/>
          <w:jc w:val="center"/>
        </w:trPr>
        <w:tc>
          <w:tcPr>
            <w:tcW w:w="10385" w:type="dxa"/>
            <w:gridSpan w:val="3"/>
            <w:noWrap/>
            <w:vAlign w:val="center"/>
          </w:tcPr>
          <w:p w14:paraId="1A0CBF0D">
            <w:pPr>
              <w:spacing w:line="380" w:lineRule="exact"/>
              <w:rPr>
                <w:rFonts w:ascii="宋体" w:hAnsi="宋体" w:eastAsia="宋体" w:cs="宋体"/>
                <w:szCs w:val="21"/>
                <w:highlight w:val="none"/>
              </w:rPr>
            </w:pPr>
            <w:r>
              <w:rPr>
                <w:rFonts w:hint="eastAsia" w:ascii="宋体" w:hAnsi="宋体" w:eastAsia="宋体" w:cs="宋体"/>
                <w:szCs w:val="21"/>
                <w:highlight w:val="none"/>
              </w:rPr>
              <w:t>特别提示：1.本表中所列内容均提供彩色扫描件或加盖磋商申请人行政章的复印件；</w:t>
            </w:r>
          </w:p>
          <w:p w14:paraId="30FB7534">
            <w:pPr>
              <w:spacing w:line="380" w:lineRule="exact"/>
              <w:ind w:firstLine="1050" w:firstLineChars="500"/>
              <w:rPr>
                <w:rFonts w:ascii="宋体" w:hAnsi="宋体" w:eastAsia="宋体" w:cs="宋体"/>
                <w:szCs w:val="21"/>
                <w:highlight w:val="none"/>
              </w:rPr>
            </w:pPr>
            <w:r>
              <w:rPr>
                <w:rFonts w:hint="eastAsia" w:ascii="宋体" w:hAnsi="宋体" w:eastAsia="宋体" w:cs="宋体"/>
                <w:szCs w:val="21"/>
                <w:highlight w:val="none"/>
              </w:rPr>
              <w:t>2.磋商申请须按本表要求提供能充分证明其有资格投标的证明材料；</w:t>
            </w:r>
          </w:p>
          <w:p w14:paraId="42E9AF55">
            <w:pPr>
              <w:spacing w:line="380" w:lineRule="exact"/>
              <w:ind w:firstLine="1050" w:firstLineChars="500"/>
              <w:rPr>
                <w:rFonts w:ascii="宋体" w:hAnsi="宋体" w:eastAsia="宋体" w:cs="宋体"/>
                <w:szCs w:val="21"/>
                <w:highlight w:val="none"/>
              </w:rPr>
            </w:pPr>
            <w:r>
              <w:rPr>
                <w:rFonts w:hint="eastAsia" w:ascii="宋体" w:hAnsi="宋体" w:eastAsia="宋体" w:cs="宋体"/>
                <w:szCs w:val="21"/>
                <w:highlight w:val="none"/>
              </w:rPr>
              <w:t>3.磋商申请人须对所提供的全部证明材料的真实性及合法性负全部责任；</w:t>
            </w:r>
          </w:p>
          <w:p w14:paraId="2C428084">
            <w:pPr>
              <w:spacing w:line="380" w:lineRule="exact"/>
              <w:ind w:firstLine="1050" w:firstLineChars="500"/>
              <w:rPr>
                <w:rFonts w:ascii="宋体" w:hAnsi="宋体" w:eastAsia="宋体" w:cs="宋体"/>
                <w:szCs w:val="21"/>
                <w:highlight w:val="none"/>
              </w:rPr>
            </w:pPr>
            <w:r>
              <w:rPr>
                <w:rFonts w:hint="eastAsia" w:ascii="宋体" w:hAnsi="宋体" w:eastAsia="宋体" w:cs="宋体"/>
                <w:szCs w:val="21"/>
                <w:highlight w:val="none"/>
              </w:rPr>
              <w:t>4.本表所列内容任何一项缺失或不通过，其参与磋商资格将被取消，只有通过资格审查的磋商申请人提交的磋商响应文件才能进入下一阶段的评审。</w:t>
            </w:r>
          </w:p>
        </w:tc>
      </w:tr>
    </w:tbl>
    <w:p w14:paraId="0D044BE9">
      <w:pPr>
        <w:pStyle w:val="7"/>
        <w:ind w:left="0" w:leftChars="0"/>
        <w:rPr>
          <w:rFonts w:ascii="宋体" w:hAnsi="宋体" w:eastAsia="宋体" w:cs="宋体"/>
          <w:highlight w:val="none"/>
        </w:rPr>
      </w:pPr>
    </w:p>
    <w:p w14:paraId="0B301C30">
      <w:pPr>
        <w:rPr>
          <w:rFonts w:ascii="宋体" w:hAnsi="宋体" w:eastAsia="宋体" w:cs="宋体"/>
          <w:b/>
          <w:bCs/>
          <w:sz w:val="24"/>
          <w:szCs w:val="24"/>
          <w:highlight w:val="none"/>
        </w:rPr>
      </w:pPr>
      <w:r>
        <w:rPr>
          <w:rFonts w:hint="eastAsia" w:ascii="宋体" w:hAnsi="宋体" w:eastAsia="宋体" w:cs="宋体"/>
          <w:b/>
          <w:bCs/>
          <w:sz w:val="24"/>
          <w:szCs w:val="24"/>
          <w:highlight w:val="none"/>
        </w:rPr>
        <w:t>二、响应性审查表</w:t>
      </w:r>
    </w:p>
    <w:tbl>
      <w:tblPr>
        <w:tblStyle w:val="27"/>
        <w:tblW w:w="104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4"/>
        <w:gridCol w:w="1084"/>
        <w:gridCol w:w="1823"/>
        <w:gridCol w:w="6618"/>
      </w:tblGrid>
      <w:tr w14:paraId="220E3B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2038" w:type="dxa"/>
            <w:gridSpan w:val="2"/>
            <w:noWrap/>
            <w:vAlign w:val="center"/>
          </w:tcPr>
          <w:p w14:paraId="2043556A">
            <w:pPr>
              <w:spacing w:before="100" w:beforeAutospacing="1" w:after="100" w:afterAutospacing="1" w:line="440" w:lineRule="exact"/>
              <w:jc w:val="center"/>
              <w:rPr>
                <w:rFonts w:ascii="宋体" w:hAnsi="宋体" w:eastAsia="宋体" w:cs="宋体"/>
                <w:b/>
                <w:bCs/>
                <w:highlight w:val="none"/>
              </w:rPr>
            </w:pPr>
            <w:r>
              <w:rPr>
                <w:rFonts w:hint="eastAsia" w:ascii="宋体" w:hAnsi="宋体" w:eastAsia="宋体" w:cs="宋体"/>
                <w:b/>
                <w:bCs/>
                <w:highlight w:val="none"/>
              </w:rPr>
              <w:t>条款号</w:t>
            </w:r>
          </w:p>
        </w:tc>
        <w:tc>
          <w:tcPr>
            <w:tcW w:w="1823" w:type="dxa"/>
            <w:noWrap/>
            <w:vAlign w:val="center"/>
          </w:tcPr>
          <w:p w14:paraId="6EDE65F9">
            <w:pPr>
              <w:spacing w:before="100" w:beforeAutospacing="1" w:after="100" w:afterAutospacing="1" w:line="440" w:lineRule="exact"/>
              <w:jc w:val="center"/>
              <w:rPr>
                <w:rFonts w:ascii="宋体" w:hAnsi="宋体" w:eastAsia="宋体" w:cs="宋体"/>
                <w:b/>
                <w:bCs/>
                <w:highlight w:val="none"/>
              </w:rPr>
            </w:pPr>
            <w:r>
              <w:rPr>
                <w:rFonts w:hint="eastAsia" w:ascii="宋体" w:hAnsi="宋体" w:eastAsia="宋体" w:cs="宋体"/>
                <w:b/>
                <w:bCs/>
                <w:highlight w:val="none"/>
              </w:rPr>
              <w:t>审查内容</w:t>
            </w:r>
          </w:p>
        </w:tc>
        <w:tc>
          <w:tcPr>
            <w:tcW w:w="6618" w:type="dxa"/>
            <w:noWrap/>
            <w:vAlign w:val="center"/>
          </w:tcPr>
          <w:p w14:paraId="19A52A59">
            <w:pPr>
              <w:spacing w:before="100" w:beforeAutospacing="1" w:after="100" w:afterAutospacing="1" w:line="440" w:lineRule="exact"/>
              <w:jc w:val="center"/>
              <w:rPr>
                <w:rFonts w:ascii="宋体" w:hAnsi="宋体" w:eastAsia="宋体" w:cs="宋体"/>
                <w:b/>
                <w:bCs/>
                <w:highlight w:val="none"/>
              </w:rPr>
            </w:pPr>
            <w:r>
              <w:rPr>
                <w:rFonts w:hint="eastAsia" w:ascii="宋体" w:hAnsi="宋体" w:eastAsia="宋体" w:cs="宋体"/>
                <w:b/>
                <w:bCs/>
                <w:highlight w:val="none"/>
              </w:rPr>
              <w:t>审查标准</w:t>
            </w:r>
          </w:p>
        </w:tc>
      </w:tr>
      <w:tr w14:paraId="36EF55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7" w:hRule="atLeast"/>
          <w:jc w:val="center"/>
        </w:trPr>
        <w:tc>
          <w:tcPr>
            <w:tcW w:w="954" w:type="dxa"/>
            <w:vMerge w:val="restart"/>
            <w:noWrap/>
            <w:vAlign w:val="center"/>
          </w:tcPr>
          <w:p w14:paraId="6A04389E">
            <w:pPr>
              <w:spacing w:before="100" w:beforeAutospacing="1" w:after="100" w:afterAutospacing="1" w:line="440" w:lineRule="exact"/>
              <w:jc w:val="center"/>
              <w:rPr>
                <w:rFonts w:ascii="宋体" w:hAnsi="宋体" w:eastAsia="宋体" w:cs="宋体"/>
                <w:highlight w:val="none"/>
              </w:rPr>
            </w:pPr>
            <w:r>
              <w:rPr>
                <w:rFonts w:hint="eastAsia" w:ascii="宋体" w:hAnsi="宋体" w:eastAsia="宋体" w:cs="宋体"/>
                <w:highlight w:val="none"/>
              </w:rPr>
              <w:t>2</w:t>
            </w:r>
          </w:p>
        </w:tc>
        <w:tc>
          <w:tcPr>
            <w:tcW w:w="1084" w:type="dxa"/>
            <w:vMerge w:val="restart"/>
            <w:noWrap/>
            <w:vAlign w:val="center"/>
          </w:tcPr>
          <w:p w14:paraId="544B68EE">
            <w:pPr>
              <w:spacing w:line="440" w:lineRule="exact"/>
              <w:jc w:val="center"/>
              <w:rPr>
                <w:rFonts w:ascii="宋体" w:hAnsi="宋体" w:eastAsia="宋体" w:cs="宋体"/>
                <w:highlight w:val="none"/>
              </w:rPr>
            </w:pPr>
            <w:r>
              <w:rPr>
                <w:rFonts w:hint="eastAsia" w:ascii="宋体" w:hAnsi="宋体" w:eastAsia="宋体" w:cs="宋体"/>
                <w:highlight w:val="none"/>
              </w:rPr>
              <w:t>响应文件的响应性评审</w:t>
            </w:r>
          </w:p>
        </w:tc>
        <w:tc>
          <w:tcPr>
            <w:tcW w:w="1823" w:type="dxa"/>
            <w:noWrap/>
            <w:vAlign w:val="center"/>
          </w:tcPr>
          <w:p w14:paraId="3CB48251">
            <w:pPr>
              <w:spacing w:line="420" w:lineRule="exact"/>
              <w:jc w:val="center"/>
              <w:rPr>
                <w:rFonts w:ascii="宋体" w:hAnsi="宋体" w:eastAsia="宋体" w:cs="宋体"/>
                <w:szCs w:val="21"/>
                <w:highlight w:val="none"/>
              </w:rPr>
            </w:pPr>
            <w:r>
              <w:rPr>
                <w:rFonts w:hint="eastAsia" w:ascii="宋体" w:hAnsi="宋体" w:eastAsia="宋体" w:cs="宋体"/>
                <w:bCs/>
                <w:kern w:val="0"/>
                <w:szCs w:val="21"/>
                <w:highlight w:val="none"/>
              </w:rPr>
              <w:t>签字盖章</w:t>
            </w:r>
          </w:p>
        </w:tc>
        <w:tc>
          <w:tcPr>
            <w:tcW w:w="6618" w:type="dxa"/>
            <w:noWrap/>
            <w:vAlign w:val="center"/>
          </w:tcPr>
          <w:p w14:paraId="7A658E92">
            <w:pPr>
              <w:spacing w:line="440" w:lineRule="exact"/>
              <w:rPr>
                <w:rFonts w:ascii="宋体" w:hAnsi="宋体" w:eastAsia="宋体" w:cs="宋体"/>
                <w:szCs w:val="21"/>
                <w:highlight w:val="none"/>
              </w:rPr>
            </w:pPr>
            <w:r>
              <w:rPr>
                <w:rFonts w:hint="eastAsia" w:ascii="宋体" w:hAnsi="宋体" w:eastAsia="宋体" w:cs="宋体"/>
                <w:szCs w:val="21"/>
                <w:highlight w:val="none"/>
              </w:rPr>
              <w:t>是否按照竞争性磋商文件要求进行单位盖章、法定代表人（负责人）或法定代表人（负责人）授权的代理人签字或加盖个人印章。</w:t>
            </w:r>
          </w:p>
          <w:p w14:paraId="7DE3AF58">
            <w:pPr>
              <w:spacing w:line="440" w:lineRule="exact"/>
              <w:rPr>
                <w:rFonts w:ascii="宋体" w:hAnsi="宋体" w:eastAsia="宋体" w:cs="宋体"/>
                <w:szCs w:val="21"/>
                <w:highlight w:val="none"/>
              </w:rPr>
            </w:pPr>
            <w:r>
              <w:rPr>
                <w:rFonts w:hint="eastAsia" w:ascii="宋体" w:hAnsi="宋体" w:eastAsia="宋体" w:cs="宋体"/>
                <w:szCs w:val="21"/>
                <w:highlight w:val="none"/>
              </w:rPr>
              <w:t>特别说明：竞争性磋商文件未作要求的</w:t>
            </w:r>
            <w:r>
              <w:rPr>
                <w:rFonts w:hint="eastAsia" w:ascii="宋体" w:hAnsi="宋体" w:eastAsia="宋体" w:cs="宋体"/>
                <w:bCs/>
                <w:kern w:val="0"/>
                <w:szCs w:val="21"/>
                <w:highlight w:val="none"/>
              </w:rPr>
              <w:t>（如格式自拟或自行设计的内容）</w:t>
            </w:r>
            <w:r>
              <w:rPr>
                <w:rFonts w:hint="eastAsia" w:ascii="宋体" w:hAnsi="宋体" w:eastAsia="宋体" w:cs="宋体"/>
                <w:szCs w:val="21"/>
                <w:highlight w:val="none"/>
              </w:rPr>
              <w:t>，不作为评审内容。</w:t>
            </w:r>
          </w:p>
        </w:tc>
      </w:tr>
      <w:tr w14:paraId="06D293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54" w:type="dxa"/>
            <w:vMerge w:val="continue"/>
            <w:noWrap/>
            <w:vAlign w:val="center"/>
          </w:tcPr>
          <w:p w14:paraId="0C02EF58">
            <w:pPr>
              <w:spacing w:before="100" w:beforeAutospacing="1" w:after="100" w:afterAutospacing="1" w:line="440" w:lineRule="exact"/>
              <w:jc w:val="center"/>
              <w:rPr>
                <w:rFonts w:ascii="宋体" w:hAnsi="宋体" w:eastAsia="宋体" w:cs="宋体"/>
                <w:highlight w:val="none"/>
              </w:rPr>
            </w:pPr>
          </w:p>
        </w:tc>
        <w:tc>
          <w:tcPr>
            <w:tcW w:w="1084" w:type="dxa"/>
            <w:vMerge w:val="continue"/>
            <w:noWrap/>
            <w:vAlign w:val="center"/>
          </w:tcPr>
          <w:p w14:paraId="56913E68">
            <w:pPr>
              <w:spacing w:line="440" w:lineRule="exact"/>
              <w:jc w:val="center"/>
              <w:rPr>
                <w:rFonts w:ascii="宋体" w:hAnsi="宋体" w:eastAsia="宋体" w:cs="宋体"/>
                <w:highlight w:val="none"/>
              </w:rPr>
            </w:pPr>
          </w:p>
        </w:tc>
        <w:tc>
          <w:tcPr>
            <w:tcW w:w="1823" w:type="dxa"/>
            <w:noWrap/>
            <w:vAlign w:val="center"/>
          </w:tcPr>
          <w:p w14:paraId="5BE39661">
            <w:pPr>
              <w:spacing w:line="440" w:lineRule="exact"/>
              <w:jc w:val="center"/>
              <w:rPr>
                <w:rFonts w:ascii="宋体" w:hAnsi="宋体" w:eastAsia="宋体" w:cs="宋体"/>
                <w:szCs w:val="21"/>
                <w:highlight w:val="none"/>
              </w:rPr>
            </w:pPr>
            <w:r>
              <w:rPr>
                <w:rFonts w:hint="eastAsia" w:ascii="宋体" w:hAnsi="宋体" w:eastAsia="宋体" w:cs="宋体"/>
                <w:szCs w:val="21"/>
                <w:highlight w:val="none"/>
              </w:rPr>
              <w:t>响应文件编制</w:t>
            </w:r>
          </w:p>
        </w:tc>
        <w:tc>
          <w:tcPr>
            <w:tcW w:w="6618" w:type="dxa"/>
            <w:noWrap/>
            <w:vAlign w:val="center"/>
          </w:tcPr>
          <w:p w14:paraId="50610B65">
            <w:pPr>
              <w:spacing w:line="440" w:lineRule="exact"/>
              <w:rPr>
                <w:rFonts w:ascii="宋体" w:hAnsi="宋体" w:eastAsia="宋体" w:cs="宋体"/>
                <w:szCs w:val="21"/>
                <w:highlight w:val="none"/>
              </w:rPr>
            </w:pPr>
            <w:r>
              <w:rPr>
                <w:rFonts w:hint="eastAsia" w:ascii="宋体" w:hAnsi="宋体" w:eastAsia="宋体" w:cs="宋体"/>
                <w:szCs w:val="21"/>
                <w:highlight w:val="none"/>
              </w:rPr>
              <w:t>符合磋商文件格式及资料提供的要求。</w:t>
            </w:r>
          </w:p>
        </w:tc>
      </w:tr>
      <w:tr w14:paraId="42486C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54" w:type="dxa"/>
            <w:vMerge w:val="continue"/>
            <w:noWrap/>
            <w:vAlign w:val="center"/>
          </w:tcPr>
          <w:p w14:paraId="1C3BAE1F">
            <w:pPr>
              <w:spacing w:before="100" w:beforeAutospacing="1" w:after="100" w:afterAutospacing="1" w:line="440" w:lineRule="exact"/>
              <w:jc w:val="center"/>
              <w:rPr>
                <w:rFonts w:ascii="宋体" w:hAnsi="宋体" w:eastAsia="宋体" w:cs="宋体"/>
                <w:highlight w:val="none"/>
              </w:rPr>
            </w:pPr>
          </w:p>
        </w:tc>
        <w:tc>
          <w:tcPr>
            <w:tcW w:w="1084" w:type="dxa"/>
            <w:vMerge w:val="continue"/>
            <w:noWrap/>
            <w:vAlign w:val="center"/>
          </w:tcPr>
          <w:p w14:paraId="1F59F81C">
            <w:pPr>
              <w:spacing w:line="440" w:lineRule="exact"/>
              <w:jc w:val="center"/>
              <w:rPr>
                <w:rFonts w:ascii="宋体" w:hAnsi="宋体" w:eastAsia="宋体" w:cs="宋体"/>
                <w:highlight w:val="none"/>
              </w:rPr>
            </w:pPr>
          </w:p>
        </w:tc>
        <w:tc>
          <w:tcPr>
            <w:tcW w:w="1823" w:type="dxa"/>
            <w:noWrap/>
            <w:vAlign w:val="center"/>
          </w:tcPr>
          <w:p w14:paraId="5310798F">
            <w:pPr>
              <w:spacing w:line="440" w:lineRule="exact"/>
              <w:jc w:val="center"/>
              <w:rPr>
                <w:rFonts w:ascii="宋体" w:hAnsi="宋体" w:eastAsia="宋体" w:cs="宋体"/>
                <w:highlight w:val="none"/>
              </w:rPr>
            </w:pPr>
            <w:r>
              <w:rPr>
                <w:rFonts w:hint="eastAsia" w:ascii="宋体" w:hAnsi="宋体" w:eastAsia="宋体" w:cs="宋体"/>
                <w:highlight w:val="none"/>
              </w:rPr>
              <w:t>磋商报价</w:t>
            </w:r>
          </w:p>
        </w:tc>
        <w:tc>
          <w:tcPr>
            <w:tcW w:w="6618" w:type="dxa"/>
            <w:noWrap/>
            <w:vAlign w:val="center"/>
          </w:tcPr>
          <w:p w14:paraId="7E6FAAAD">
            <w:pPr>
              <w:spacing w:line="440" w:lineRule="exact"/>
              <w:rPr>
                <w:rFonts w:ascii="宋体" w:hAnsi="宋体" w:eastAsia="宋体" w:cs="宋体"/>
                <w:szCs w:val="21"/>
                <w:highlight w:val="none"/>
              </w:rPr>
            </w:pPr>
            <w:r>
              <w:rPr>
                <w:rFonts w:hint="eastAsia" w:ascii="宋体" w:hAnsi="宋体" w:eastAsia="宋体" w:cs="宋体"/>
                <w:szCs w:val="21"/>
                <w:highlight w:val="none"/>
              </w:rPr>
              <w:t>磋商报价认定为超过</w:t>
            </w:r>
            <w:r>
              <w:rPr>
                <w:rFonts w:hint="eastAsia" w:ascii="宋体" w:hAnsi="宋体" w:eastAsia="宋体" w:cs="宋体"/>
                <w:kern w:val="0"/>
                <w:highlight w:val="none"/>
              </w:rPr>
              <w:t>磋商采购文件最高限价</w:t>
            </w:r>
            <w:r>
              <w:rPr>
                <w:rFonts w:hint="eastAsia" w:ascii="宋体" w:hAnsi="宋体" w:eastAsia="宋体" w:cs="宋体"/>
                <w:szCs w:val="21"/>
                <w:highlight w:val="none"/>
              </w:rPr>
              <w:t>或认定不合理价格的情况，其磋商响应文件将被否决，相关要求如下：</w:t>
            </w:r>
          </w:p>
          <w:p w14:paraId="29AD155F">
            <w:pPr>
              <w:spacing w:line="440" w:lineRule="exact"/>
              <w:rPr>
                <w:rFonts w:ascii="宋体" w:hAnsi="宋体" w:eastAsia="宋体" w:cs="宋体"/>
                <w:szCs w:val="21"/>
                <w:highlight w:val="none"/>
              </w:rPr>
            </w:pPr>
            <w:r>
              <w:rPr>
                <w:rFonts w:hint="eastAsia" w:ascii="宋体" w:hAnsi="宋体" w:eastAsia="宋体" w:cs="宋体"/>
                <w:szCs w:val="21"/>
                <w:highlight w:val="none"/>
              </w:rPr>
              <w:t>1.磋商申请人出现不按采购文件要求分别填报磋商报价的，其磋商响应文件将被否决。</w:t>
            </w:r>
          </w:p>
          <w:p w14:paraId="2E971AFF">
            <w:pPr>
              <w:spacing w:line="440" w:lineRule="exact"/>
              <w:rPr>
                <w:rFonts w:ascii="宋体" w:hAnsi="宋体" w:eastAsia="宋体" w:cs="宋体"/>
                <w:szCs w:val="21"/>
                <w:highlight w:val="none"/>
              </w:rPr>
            </w:pPr>
            <w:r>
              <w:rPr>
                <w:rFonts w:hint="eastAsia" w:ascii="宋体" w:hAnsi="宋体" w:eastAsia="宋体" w:cs="宋体"/>
                <w:szCs w:val="21"/>
                <w:highlight w:val="none"/>
              </w:rPr>
              <w:t>2.磋商申请人填报的最终报价超过最高限价的，其磋商响应文件将被否决。</w:t>
            </w:r>
          </w:p>
          <w:p w14:paraId="1F4AA1E7">
            <w:pPr>
              <w:spacing w:line="420" w:lineRule="exact"/>
              <w:rPr>
                <w:rFonts w:ascii="宋体" w:hAnsi="宋体" w:eastAsia="宋体" w:cs="宋体"/>
                <w:bCs/>
                <w:kern w:val="0"/>
                <w:szCs w:val="21"/>
                <w:highlight w:val="none"/>
              </w:rPr>
            </w:pPr>
            <w:r>
              <w:rPr>
                <w:rFonts w:hint="eastAsia" w:ascii="宋体" w:hAnsi="宋体" w:eastAsia="宋体" w:cs="宋体"/>
                <w:bCs/>
                <w:kern w:val="0"/>
                <w:szCs w:val="21"/>
                <w:highlight w:val="none"/>
              </w:rPr>
              <w:t>3.经审查认定磋商申请人填报的投标报价为异常低价的，磋商小组应当将其作为无效响应文件处理。</w:t>
            </w:r>
          </w:p>
          <w:p w14:paraId="6043D28E">
            <w:pPr>
              <w:spacing w:line="420" w:lineRule="exact"/>
              <w:rPr>
                <w:rFonts w:ascii="宋体" w:hAnsi="宋体" w:eastAsia="宋体" w:cs="宋体"/>
                <w:bCs/>
                <w:kern w:val="0"/>
                <w:szCs w:val="21"/>
                <w:highlight w:val="none"/>
              </w:rPr>
            </w:pPr>
            <w:r>
              <w:rPr>
                <w:rFonts w:hint="eastAsia" w:ascii="宋体" w:hAnsi="宋体" w:eastAsia="宋体" w:cs="宋体"/>
                <w:bCs/>
                <w:kern w:val="0"/>
                <w:szCs w:val="21"/>
                <w:highlight w:val="none"/>
              </w:rPr>
              <w:t>（1）政府采购异常低价审查执行标准：</w:t>
            </w:r>
          </w:p>
          <w:p w14:paraId="012B4159">
            <w:pPr>
              <w:spacing w:line="420" w:lineRule="exact"/>
              <w:rPr>
                <w:rFonts w:ascii="宋体" w:hAnsi="宋体" w:eastAsia="宋体" w:cs="宋体"/>
                <w:bCs/>
                <w:kern w:val="0"/>
                <w:szCs w:val="21"/>
                <w:highlight w:val="none"/>
              </w:rPr>
            </w:pPr>
            <w:r>
              <w:rPr>
                <w:rFonts w:hint="eastAsia" w:ascii="宋体" w:hAnsi="宋体" w:eastAsia="宋体" w:cs="宋体"/>
                <w:bCs/>
                <w:kern w:val="0"/>
                <w:szCs w:val="21"/>
                <w:highlight w:val="none"/>
              </w:rPr>
              <w:t>①投标（响应）报价低于全部通过符合性审查供应商投标（响应）报价平均值60%的，即投标（响应）报价＜全部通过符合性审查供应商投标（响应）报价平均值×60%；</w:t>
            </w:r>
          </w:p>
          <w:p w14:paraId="24CE0B0B">
            <w:pPr>
              <w:spacing w:line="420" w:lineRule="exact"/>
              <w:rPr>
                <w:rFonts w:ascii="宋体" w:hAnsi="宋体" w:eastAsia="宋体" w:cs="宋体"/>
                <w:bCs/>
                <w:kern w:val="0"/>
                <w:szCs w:val="21"/>
                <w:highlight w:val="none"/>
              </w:rPr>
            </w:pPr>
            <w:r>
              <w:rPr>
                <w:rFonts w:hint="eastAsia" w:ascii="宋体" w:hAnsi="宋体" w:eastAsia="宋体" w:cs="宋体"/>
                <w:bCs/>
                <w:kern w:val="0"/>
                <w:szCs w:val="21"/>
                <w:highlight w:val="none"/>
              </w:rPr>
              <w:t>②投标（响应）报价低于通过符合性审查的次低报价供应商投标（响应）报价60%的，即投标（响应）报价＜通过符合性审查的次低报价供应商投标（响应）报价×60%；</w:t>
            </w:r>
          </w:p>
          <w:p w14:paraId="4D4EE204">
            <w:pPr>
              <w:spacing w:line="420" w:lineRule="exact"/>
              <w:rPr>
                <w:rFonts w:ascii="宋体" w:hAnsi="宋体" w:eastAsia="宋体" w:cs="宋体"/>
                <w:bCs/>
                <w:kern w:val="0"/>
                <w:szCs w:val="21"/>
                <w:highlight w:val="none"/>
              </w:rPr>
            </w:pPr>
            <w:r>
              <w:rPr>
                <w:rFonts w:hint="eastAsia" w:ascii="宋体" w:hAnsi="宋体" w:eastAsia="宋体" w:cs="宋体"/>
                <w:bCs/>
                <w:kern w:val="0"/>
                <w:szCs w:val="21"/>
                <w:highlight w:val="none"/>
              </w:rPr>
              <w:t>③投标（响应）报价低于采购项目最高限价60%的，即投标（响应）报价＜采购项目最高限价×60%；</w:t>
            </w:r>
          </w:p>
          <w:p w14:paraId="18AC5BF6">
            <w:pPr>
              <w:spacing w:line="420" w:lineRule="exact"/>
              <w:rPr>
                <w:rFonts w:ascii="宋体" w:hAnsi="宋体" w:eastAsia="宋体" w:cs="宋体"/>
                <w:bCs/>
                <w:kern w:val="0"/>
                <w:szCs w:val="21"/>
                <w:highlight w:val="none"/>
              </w:rPr>
            </w:pPr>
            <w:r>
              <w:rPr>
                <w:rFonts w:hint="eastAsia" w:ascii="宋体" w:hAnsi="宋体" w:eastAsia="宋体" w:cs="宋体"/>
                <w:bCs/>
                <w:kern w:val="0"/>
                <w:szCs w:val="21"/>
                <w:highlight w:val="none"/>
              </w:rPr>
              <w:t>④磋商小组基于专业判断，认为供应商报价过低，有可能影响产品质量或者不能诚信履约的其他情形。</w:t>
            </w:r>
          </w:p>
          <w:p w14:paraId="1AEA9A8B">
            <w:pPr>
              <w:spacing w:line="420" w:lineRule="exact"/>
              <w:rPr>
                <w:rFonts w:ascii="宋体" w:hAnsi="宋体" w:eastAsia="宋体" w:cs="宋体"/>
                <w:bCs/>
                <w:kern w:val="0"/>
                <w:szCs w:val="21"/>
                <w:highlight w:val="none"/>
              </w:rPr>
            </w:pPr>
            <w:r>
              <w:rPr>
                <w:rFonts w:hint="eastAsia" w:ascii="宋体" w:hAnsi="宋体" w:eastAsia="宋体" w:cs="宋体"/>
                <w:bCs/>
                <w:kern w:val="0"/>
                <w:szCs w:val="21"/>
                <w:highlight w:val="none"/>
              </w:rPr>
              <w:t>（2）政府采购异常低价审查程序</w:t>
            </w:r>
          </w:p>
          <w:p w14:paraId="5CBC78DD">
            <w:pPr>
              <w:spacing w:line="420" w:lineRule="exact"/>
              <w:rPr>
                <w:rFonts w:ascii="宋体" w:hAnsi="宋体" w:eastAsia="宋体" w:cs="宋体"/>
                <w:bCs/>
                <w:kern w:val="0"/>
                <w:szCs w:val="21"/>
                <w:highlight w:val="none"/>
              </w:rPr>
            </w:pPr>
            <w:r>
              <w:rPr>
                <w:rFonts w:hint="eastAsia" w:ascii="宋体" w:hAnsi="宋体" w:eastAsia="宋体" w:cs="宋体"/>
                <w:bCs/>
                <w:kern w:val="0"/>
                <w:szCs w:val="21"/>
                <w:highlight w:val="none"/>
              </w:rPr>
              <w:t>①磋商小组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30分钟）。其中，属于第3项情形，供应商已随投标（响应）文件一并提交相关书面说明及必要的证明材料的，在评审现场可不再重复提交。</w:t>
            </w:r>
          </w:p>
          <w:p w14:paraId="54F4682F">
            <w:pPr>
              <w:spacing w:line="440" w:lineRule="exact"/>
              <w:rPr>
                <w:rFonts w:ascii="宋体" w:hAnsi="宋体" w:eastAsia="宋体" w:cs="宋体"/>
                <w:highlight w:val="none"/>
              </w:rPr>
            </w:pPr>
            <w:r>
              <w:rPr>
                <w:rFonts w:hint="eastAsia" w:ascii="宋体" w:hAnsi="宋体" w:eastAsia="宋体" w:cs="宋体"/>
                <w:bCs/>
                <w:kern w:val="0"/>
                <w:szCs w:val="21"/>
                <w:highlight w:val="none"/>
              </w:rPr>
              <w:t>②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p>
        </w:tc>
      </w:tr>
      <w:tr w14:paraId="519F10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54" w:type="dxa"/>
            <w:vMerge w:val="continue"/>
            <w:noWrap/>
            <w:vAlign w:val="center"/>
          </w:tcPr>
          <w:p w14:paraId="7627B570">
            <w:pPr>
              <w:spacing w:before="100" w:beforeAutospacing="1" w:after="100" w:afterAutospacing="1" w:line="440" w:lineRule="exact"/>
              <w:jc w:val="center"/>
              <w:rPr>
                <w:rFonts w:ascii="宋体" w:hAnsi="宋体" w:eastAsia="宋体" w:cs="宋体"/>
                <w:highlight w:val="none"/>
              </w:rPr>
            </w:pPr>
          </w:p>
        </w:tc>
        <w:tc>
          <w:tcPr>
            <w:tcW w:w="1084" w:type="dxa"/>
            <w:vMerge w:val="continue"/>
            <w:noWrap/>
            <w:vAlign w:val="center"/>
          </w:tcPr>
          <w:p w14:paraId="58AFC67B">
            <w:pPr>
              <w:spacing w:line="440" w:lineRule="exact"/>
              <w:jc w:val="center"/>
              <w:rPr>
                <w:rFonts w:ascii="宋体" w:hAnsi="宋体" w:eastAsia="宋体" w:cs="宋体"/>
                <w:highlight w:val="none"/>
              </w:rPr>
            </w:pPr>
          </w:p>
        </w:tc>
        <w:tc>
          <w:tcPr>
            <w:tcW w:w="1823" w:type="dxa"/>
            <w:noWrap/>
            <w:vAlign w:val="center"/>
          </w:tcPr>
          <w:p w14:paraId="2F0329B7">
            <w:pPr>
              <w:spacing w:line="440" w:lineRule="exact"/>
              <w:jc w:val="center"/>
              <w:rPr>
                <w:rFonts w:ascii="宋体" w:hAnsi="宋体" w:eastAsia="宋体" w:cs="宋体"/>
                <w:highlight w:val="none"/>
              </w:rPr>
            </w:pPr>
            <w:r>
              <w:rPr>
                <w:rFonts w:hint="eastAsia" w:ascii="宋体" w:hAnsi="宋体" w:eastAsia="宋体" w:cs="宋体"/>
                <w:highlight w:val="none"/>
              </w:rPr>
              <w:t>磋商保证金</w:t>
            </w:r>
          </w:p>
        </w:tc>
        <w:tc>
          <w:tcPr>
            <w:tcW w:w="6618" w:type="dxa"/>
            <w:noWrap/>
            <w:vAlign w:val="center"/>
          </w:tcPr>
          <w:p w14:paraId="324038CD">
            <w:pPr>
              <w:spacing w:line="440" w:lineRule="exact"/>
              <w:rPr>
                <w:rFonts w:ascii="宋体" w:hAnsi="宋体" w:eastAsia="宋体" w:cs="宋体"/>
                <w:bCs/>
                <w:kern w:val="0"/>
                <w:szCs w:val="21"/>
                <w:highlight w:val="none"/>
              </w:rPr>
            </w:pPr>
            <w:r>
              <w:rPr>
                <w:rFonts w:hint="eastAsia" w:ascii="宋体" w:hAnsi="宋体" w:eastAsia="宋体" w:cs="宋体"/>
                <w:szCs w:val="21"/>
                <w:highlight w:val="none"/>
              </w:rPr>
              <w:t>必须按照竞争性磋商文件第二章“磋商申请人须知”规定提交磋商保证金；保证金有效期与竞争性磋商文件有效期保持一致。</w:t>
            </w:r>
          </w:p>
        </w:tc>
      </w:tr>
      <w:tr w14:paraId="79876B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54" w:type="dxa"/>
            <w:vMerge w:val="continue"/>
            <w:noWrap/>
            <w:vAlign w:val="center"/>
          </w:tcPr>
          <w:p w14:paraId="129ED34A">
            <w:pPr>
              <w:spacing w:before="100" w:beforeAutospacing="1" w:after="100" w:afterAutospacing="1" w:line="440" w:lineRule="exact"/>
              <w:jc w:val="center"/>
              <w:rPr>
                <w:rFonts w:ascii="宋体" w:hAnsi="宋体" w:eastAsia="宋体" w:cs="宋体"/>
                <w:highlight w:val="none"/>
              </w:rPr>
            </w:pPr>
          </w:p>
        </w:tc>
        <w:tc>
          <w:tcPr>
            <w:tcW w:w="1084" w:type="dxa"/>
            <w:vMerge w:val="continue"/>
            <w:noWrap/>
            <w:vAlign w:val="center"/>
          </w:tcPr>
          <w:p w14:paraId="6F573BAD">
            <w:pPr>
              <w:spacing w:line="440" w:lineRule="exact"/>
              <w:jc w:val="center"/>
              <w:rPr>
                <w:rFonts w:ascii="宋体" w:hAnsi="宋体" w:eastAsia="宋体" w:cs="宋体"/>
                <w:highlight w:val="none"/>
              </w:rPr>
            </w:pPr>
          </w:p>
        </w:tc>
        <w:tc>
          <w:tcPr>
            <w:tcW w:w="1823" w:type="dxa"/>
            <w:noWrap/>
            <w:vAlign w:val="center"/>
          </w:tcPr>
          <w:p w14:paraId="29277561">
            <w:pPr>
              <w:spacing w:line="440" w:lineRule="exact"/>
              <w:jc w:val="center"/>
              <w:rPr>
                <w:rFonts w:ascii="宋体" w:hAnsi="宋体" w:eastAsia="宋体" w:cs="宋体"/>
                <w:highlight w:val="none"/>
              </w:rPr>
            </w:pPr>
            <w:r>
              <w:rPr>
                <w:rFonts w:hint="eastAsia" w:ascii="宋体" w:hAnsi="宋体" w:eastAsia="宋体" w:cs="宋体"/>
                <w:highlight w:val="none"/>
              </w:rPr>
              <w:t>实质性响应</w:t>
            </w:r>
          </w:p>
        </w:tc>
        <w:tc>
          <w:tcPr>
            <w:tcW w:w="6618" w:type="dxa"/>
            <w:noWrap/>
            <w:vAlign w:val="center"/>
          </w:tcPr>
          <w:p w14:paraId="7A7653BF">
            <w:pPr>
              <w:spacing w:line="440" w:lineRule="exact"/>
              <w:rPr>
                <w:rFonts w:ascii="宋体" w:hAnsi="宋体" w:eastAsia="宋体" w:cs="宋体"/>
                <w:highlight w:val="none"/>
              </w:rPr>
            </w:pPr>
            <w:r>
              <w:rPr>
                <w:rFonts w:hint="eastAsia" w:ascii="宋体" w:hAnsi="宋体" w:eastAsia="宋体" w:cs="宋体"/>
                <w:highlight w:val="none"/>
              </w:rPr>
              <w:t>磋商响应文件必须满足本项目实质性要求，实质性要求详见竞争性磋商文件“磋商申请人须知前附表：</w:t>
            </w:r>
            <w:r>
              <w:rPr>
                <w:rFonts w:hint="eastAsia" w:ascii="宋体" w:hAnsi="宋体" w:eastAsia="宋体" w:cs="宋体"/>
                <w:kern w:val="0"/>
                <w:highlight w:val="none"/>
              </w:rPr>
              <w:t>25.1.5</w:t>
            </w:r>
            <w:r>
              <w:rPr>
                <w:rFonts w:hint="eastAsia" w:ascii="宋体" w:hAnsi="宋体" w:eastAsia="宋体" w:cs="宋体"/>
                <w:highlight w:val="none"/>
              </w:rPr>
              <w:t>条”。</w:t>
            </w:r>
          </w:p>
          <w:p w14:paraId="5E98B716">
            <w:pPr>
              <w:spacing w:line="440" w:lineRule="exact"/>
              <w:rPr>
                <w:rFonts w:ascii="宋体" w:hAnsi="宋体" w:eastAsia="宋体" w:cs="宋体"/>
                <w:highlight w:val="none"/>
              </w:rPr>
            </w:pPr>
            <w:r>
              <w:rPr>
                <w:rFonts w:hint="eastAsia" w:ascii="宋体" w:hAnsi="宋体" w:eastAsia="宋体" w:cs="宋体"/>
                <w:highlight w:val="none"/>
              </w:rPr>
              <w:t>特别说明：采购文件没有标注为实质性条款的，不作为实质性要求的评审范围。</w:t>
            </w:r>
          </w:p>
        </w:tc>
      </w:tr>
      <w:tr w14:paraId="1F5D94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54" w:type="dxa"/>
            <w:vMerge w:val="continue"/>
            <w:noWrap/>
            <w:vAlign w:val="center"/>
          </w:tcPr>
          <w:p w14:paraId="2EA8A133">
            <w:pPr>
              <w:widowControl/>
              <w:spacing w:line="440" w:lineRule="exact"/>
              <w:jc w:val="left"/>
              <w:rPr>
                <w:rFonts w:ascii="宋体" w:hAnsi="宋体" w:eastAsia="宋体" w:cs="宋体"/>
                <w:highlight w:val="none"/>
              </w:rPr>
            </w:pPr>
          </w:p>
        </w:tc>
        <w:tc>
          <w:tcPr>
            <w:tcW w:w="1084" w:type="dxa"/>
            <w:vMerge w:val="continue"/>
            <w:noWrap/>
            <w:vAlign w:val="center"/>
          </w:tcPr>
          <w:p w14:paraId="10C3B143">
            <w:pPr>
              <w:widowControl/>
              <w:spacing w:line="440" w:lineRule="exact"/>
              <w:jc w:val="left"/>
              <w:rPr>
                <w:rFonts w:ascii="宋体" w:hAnsi="宋体" w:eastAsia="宋体" w:cs="宋体"/>
                <w:highlight w:val="none"/>
              </w:rPr>
            </w:pPr>
          </w:p>
        </w:tc>
        <w:tc>
          <w:tcPr>
            <w:tcW w:w="1823" w:type="dxa"/>
            <w:noWrap/>
            <w:vAlign w:val="center"/>
          </w:tcPr>
          <w:p w14:paraId="2E1BF320">
            <w:pPr>
              <w:spacing w:line="440" w:lineRule="exact"/>
              <w:jc w:val="center"/>
              <w:rPr>
                <w:rFonts w:ascii="宋体" w:hAnsi="宋体" w:eastAsia="宋体" w:cs="宋体"/>
                <w:highlight w:val="none"/>
              </w:rPr>
            </w:pPr>
            <w:r>
              <w:rPr>
                <w:rFonts w:hint="eastAsia" w:ascii="宋体" w:hAnsi="宋体" w:eastAsia="宋体" w:cs="宋体"/>
                <w:highlight w:val="none"/>
              </w:rPr>
              <w:t>其他要求</w:t>
            </w:r>
          </w:p>
        </w:tc>
        <w:tc>
          <w:tcPr>
            <w:tcW w:w="6618" w:type="dxa"/>
            <w:noWrap/>
            <w:vAlign w:val="center"/>
          </w:tcPr>
          <w:p w14:paraId="3E74B2E6">
            <w:pPr>
              <w:spacing w:line="440" w:lineRule="exact"/>
              <w:rPr>
                <w:rFonts w:ascii="宋体" w:hAnsi="宋体" w:eastAsia="宋体" w:cs="宋体"/>
                <w:highlight w:val="none"/>
              </w:rPr>
            </w:pPr>
            <w:r>
              <w:rPr>
                <w:rFonts w:hint="eastAsia" w:ascii="宋体" w:hAnsi="宋体" w:eastAsia="宋体" w:cs="宋体"/>
                <w:kern w:val="0"/>
                <w:highlight w:val="none"/>
              </w:rPr>
              <w:t>磋商响应文件没有不符合法律法规的情况。</w:t>
            </w:r>
          </w:p>
        </w:tc>
      </w:tr>
    </w:tbl>
    <w:p w14:paraId="0C943C3D">
      <w:pPr>
        <w:pStyle w:val="7"/>
        <w:ind w:left="2940"/>
        <w:rPr>
          <w:rFonts w:ascii="宋体" w:hAnsi="宋体" w:eastAsia="宋体" w:cs="宋体"/>
          <w:highlight w:val="none"/>
        </w:rPr>
      </w:pPr>
    </w:p>
    <w:p w14:paraId="09E902BC">
      <w:pPr>
        <w:rPr>
          <w:rFonts w:ascii="宋体" w:hAnsi="宋体" w:eastAsia="宋体" w:cs="宋体"/>
          <w:sz w:val="28"/>
          <w:szCs w:val="28"/>
          <w:highlight w:val="none"/>
          <w:lang w:val="zh-CN"/>
        </w:rPr>
      </w:pPr>
      <w:r>
        <w:rPr>
          <w:rFonts w:hint="eastAsia" w:ascii="宋体" w:hAnsi="宋体" w:eastAsia="宋体" w:cs="宋体"/>
          <w:b/>
          <w:bCs/>
          <w:sz w:val="24"/>
          <w:szCs w:val="24"/>
          <w:highlight w:val="none"/>
        </w:rPr>
        <w:t>三、详细评审表</w:t>
      </w:r>
    </w:p>
    <w:tbl>
      <w:tblPr>
        <w:tblStyle w:val="27"/>
        <w:tblpPr w:leftFromText="180" w:rightFromText="180" w:vertAnchor="text" w:horzAnchor="page" w:tblpX="1000" w:tblpY="321"/>
        <w:tblOverlap w:val="never"/>
        <w:tblW w:w="1022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812"/>
        <w:gridCol w:w="1075"/>
        <w:gridCol w:w="7775"/>
      </w:tblGrid>
      <w:tr w14:paraId="36B33F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blHeader/>
        </w:trPr>
        <w:tc>
          <w:tcPr>
            <w:tcW w:w="1374" w:type="dxa"/>
            <w:gridSpan w:val="2"/>
            <w:noWrap/>
            <w:vAlign w:val="center"/>
          </w:tcPr>
          <w:p w14:paraId="2FA8F546">
            <w:pPr>
              <w:spacing w:line="420" w:lineRule="exact"/>
              <w:jc w:val="center"/>
              <w:rPr>
                <w:rFonts w:ascii="宋体" w:hAnsi="宋体" w:eastAsia="宋体" w:cs="宋体"/>
                <w:b/>
                <w:bCs/>
                <w:szCs w:val="21"/>
                <w:highlight w:val="none"/>
              </w:rPr>
            </w:pPr>
            <w:r>
              <w:rPr>
                <w:rFonts w:hint="eastAsia" w:ascii="宋体" w:hAnsi="宋体" w:eastAsia="宋体" w:cs="宋体"/>
                <w:b/>
                <w:bCs/>
                <w:szCs w:val="21"/>
                <w:highlight w:val="none"/>
              </w:rPr>
              <w:t>条款号</w:t>
            </w:r>
          </w:p>
        </w:tc>
        <w:tc>
          <w:tcPr>
            <w:tcW w:w="8850" w:type="dxa"/>
            <w:gridSpan w:val="2"/>
            <w:noWrap/>
            <w:vAlign w:val="center"/>
          </w:tcPr>
          <w:p w14:paraId="2546EFA2">
            <w:pPr>
              <w:spacing w:line="420" w:lineRule="exact"/>
              <w:jc w:val="center"/>
              <w:rPr>
                <w:rFonts w:ascii="宋体" w:hAnsi="宋体" w:eastAsia="宋体" w:cs="宋体"/>
                <w:b/>
                <w:bCs/>
                <w:szCs w:val="21"/>
                <w:highlight w:val="none"/>
              </w:rPr>
            </w:pPr>
            <w:r>
              <w:rPr>
                <w:rFonts w:hint="eastAsia" w:ascii="宋体" w:hAnsi="宋体" w:eastAsia="宋体" w:cs="宋体"/>
                <w:b/>
                <w:bCs/>
                <w:szCs w:val="21"/>
                <w:highlight w:val="none"/>
              </w:rPr>
              <w:t>评审细则</w:t>
            </w:r>
          </w:p>
        </w:tc>
      </w:tr>
      <w:tr w14:paraId="07E0A3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374" w:type="dxa"/>
            <w:gridSpan w:val="2"/>
            <w:noWrap/>
            <w:vAlign w:val="center"/>
          </w:tcPr>
          <w:p w14:paraId="7B3770DD">
            <w:pPr>
              <w:spacing w:line="420" w:lineRule="exact"/>
              <w:rPr>
                <w:rFonts w:ascii="宋体" w:hAnsi="宋体" w:eastAsia="宋体" w:cs="宋体"/>
                <w:szCs w:val="21"/>
                <w:highlight w:val="none"/>
              </w:rPr>
            </w:pPr>
            <w:r>
              <w:rPr>
                <w:rFonts w:hint="eastAsia" w:ascii="宋体" w:hAnsi="宋体" w:eastAsia="宋体" w:cs="宋体"/>
                <w:szCs w:val="21"/>
                <w:highlight w:val="none"/>
              </w:rPr>
              <w:t>3</w:t>
            </w:r>
          </w:p>
        </w:tc>
        <w:tc>
          <w:tcPr>
            <w:tcW w:w="8850" w:type="dxa"/>
            <w:gridSpan w:val="2"/>
            <w:noWrap/>
            <w:vAlign w:val="center"/>
          </w:tcPr>
          <w:p w14:paraId="07583182">
            <w:pPr>
              <w:spacing w:line="420" w:lineRule="exact"/>
              <w:rPr>
                <w:rFonts w:ascii="宋体" w:hAnsi="宋体" w:eastAsia="宋体" w:cs="宋体"/>
                <w:szCs w:val="21"/>
                <w:highlight w:val="none"/>
              </w:rPr>
            </w:pPr>
            <w:r>
              <w:rPr>
                <w:rFonts w:hint="eastAsia" w:ascii="宋体" w:hAnsi="宋体" w:eastAsia="宋体" w:cs="宋体"/>
                <w:szCs w:val="21"/>
                <w:highlight w:val="none"/>
              </w:rPr>
              <w:t>综合评估评分法：是指响应文件满足磋商文件全部实质性要求且按评审因素的量化指标评审得分最高的磋商申请人为成交候选磋商申请人的评审方法。</w:t>
            </w:r>
          </w:p>
          <w:p w14:paraId="6D7C5F31">
            <w:pPr>
              <w:spacing w:line="420" w:lineRule="exact"/>
              <w:rPr>
                <w:rFonts w:ascii="宋体" w:hAnsi="宋体" w:eastAsia="宋体" w:cs="宋体"/>
                <w:szCs w:val="21"/>
                <w:highlight w:val="none"/>
              </w:rPr>
            </w:pPr>
            <w:r>
              <w:rPr>
                <w:rFonts w:hint="eastAsia" w:ascii="宋体" w:hAnsi="宋体" w:eastAsia="宋体" w:cs="宋体"/>
                <w:szCs w:val="21"/>
                <w:highlight w:val="none"/>
              </w:rPr>
              <w:t>本项目评审细则详见下表：</w:t>
            </w:r>
          </w:p>
          <w:p w14:paraId="02FCC62C">
            <w:pPr>
              <w:spacing w:line="420" w:lineRule="exact"/>
              <w:rPr>
                <w:rFonts w:ascii="宋体" w:hAnsi="宋体" w:eastAsia="宋体" w:cs="宋体"/>
                <w:szCs w:val="21"/>
                <w:highlight w:val="none"/>
              </w:rPr>
            </w:pPr>
            <w:r>
              <w:rPr>
                <w:rFonts w:hint="eastAsia" w:ascii="宋体" w:hAnsi="宋体" w:eastAsia="宋体" w:cs="宋体"/>
                <w:szCs w:val="21"/>
                <w:highlight w:val="none"/>
              </w:rPr>
              <w:t>评分因素权重： 综合技术实力部分F1:90分；</w:t>
            </w:r>
          </w:p>
          <w:p w14:paraId="614082BD">
            <w:pPr>
              <w:spacing w:line="420" w:lineRule="exact"/>
              <w:rPr>
                <w:rFonts w:ascii="宋体" w:hAnsi="宋体" w:eastAsia="宋体" w:cs="宋体"/>
                <w:szCs w:val="21"/>
                <w:highlight w:val="none"/>
              </w:rPr>
            </w:pPr>
            <w:r>
              <w:rPr>
                <w:rFonts w:hint="eastAsia" w:ascii="宋体" w:hAnsi="宋体" w:eastAsia="宋体" w:cs="宋体"/>
                <w:szCs w:val="21"/>
                <w:highlight w:val="none"/>
              </w:rPr>
              <w:t>磋商报价F2:10分；</w:t>
            </w:r>
          </w:p>
          <w:p w14:paraId="715DB236">
            <w:pPr>
              <w:spacing w:line="420" w:lineRule="exact"/>
              <w:rPr>
                <w:rFonts w:ascii="宋体" w:hAnsi="宋体" w:eastAsia="宋体" w:cs="宋体"/>
                <w:szCs w:val="21"/>
                <w:highlight w:val="none"/>
              </w:rPr>
            </w:pPr>
            <w:r>
              <w:rPr>
                <w:rFonts w:hint="eastAsia" w:ascii="宋体" w:hAnsi="宋体" w:eastAsia="宋体" w:cs="宋体"/>
                <w:szCs w:val="21"/>
                <w:highlight w:val="none"/>
              </w:rPr>
              <w:t>磋商申请人的评标总得分＝F1＋F2</w:t>
            </w:r>
          </w:p>
        </w:tc>
      </w:tr>
      <w:tr w14:paraId="4CBFB9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62" w:type="dxa"/>
            <w:vMerge w:val="restart"/>
            <w:noWrap/>
            <w:vAlign w:val="center"/>
          </w:tcPr>
          <w:p w14:paraId="6B8FA7D8">
            <w:pPr>
              <w:spacing w:line="420" w:lineRule="exact"/>
              <w:jc w:val="center"/>
              <w:rPr>
                <w:rFonts w:ascii="宋体" w:hAnsi="宋体" w:eastAsia="宋体" w:cs="宋体"/>
                <w:szCs w:val="21"/>
                <w:highlight w:val="none"/>
              </w:rPr>
            </w:pPr>
            <w:r>
              <w:rPr>
                <w:rFonts w:hint="eastAsia" w:ascii="宋体" w:hAnsi="宋体" w:eastAsia="宋体" w:cs="宋体"/>
                <w:szCs w:val="21"/>
                <w:highlight w:val="none"/>
              </w:rPr>
              <w:t>3.1</w:t>
            </w:r>
          </w:p>
          <w:p w14:paraId="3F8674DA">
            <w:pPr>
              <w:spacing w:line="420" w:lineRule="exact"/>
              <w:jc w:val="center"/>
              <w:rPr>
                <w:rFonts w:ascii="宋体" w:hAnsi="宋体" w:eastAsia="宋体" w:cs="宋体"/>
                <w:szCs w:val="21"/>
                <w:highlight w:val="none"/>
              </w:rPr>
            </w:pPr>
          </w:p>
        </w:tc>
        <w:tc>
          <w:tcPr>
            <w:tcW w:w="812" w:type="dxa"/>
            <w:vMerge w:val="restart"/>
            <w:noWrap/>
            <w:vAlign w:val="center"/>
          </w:tcPr>
          <w:p w14:paraId="1EDBA787">
            <w:pPr>
              <w:spacing w:line="420" w:lineRule="exact"/>
              <w:jc w:val="center"/>
              <w:rPr>
                <w:rFonts w:ascii="宋体" w:hAnsi="宋体" w:eastAsia="宋体" w:cs="宋体"/>
                <w:szCs w:val="21"/>
                <w:highlight w:val="none"/>
              </w:rPr>
            </w:pPr>
            <w:r>
              <w:rPr>
                <w:rFonts w:hint="eastAsia" w:ascii="宋体" w:hAnsi="宋体" w:eastAsia="宋体" w:cs="宋体"/>
                <w:szCs w:val="21"/>
                <w:highlight w:val="none"/>
              </w:rPr>
              <w:t>综合技术实力部分F1</w:t>
            </w:r>
          </w:p>
          <w:p w14:paraId="51977EF1">
            <w:pPr>
              <w:spacing w:line="420" w:lineRule="exact"/>
              <w:jc w:val="center"/>
              <w:rPr>
                <w:rFonts w:ascii="宋体" w:hAnsi="宋体" w:eastAsia="宋体" w:cs="宋体"/>
                <w:szCs w:val="21"/>
                <w:highlight w:val="none"/>
              </w:rPr>
            </w:pPr>
            <w:r>
              <w:rPr>
                <w:rFonts w:hint="eastAsia" w:ascii="宋体" w:hAnsi="宋体" w:eastAsia="宋体" w:cs="宋体"/>
                <w:szCs w:val="21"/>
                <w:highlight w:val="none"/>
              </w:rPr>
              <w:t>评分标准</w:t>
            </w:r>
          </w:p>
        </w:tc>
        <w:tc>
          <w:tcPr>
            <w:tcW w:w="1075" w:type="dxa"/>
            <w:noWrap/>
            <w:vAlign w:val="center"/>
          </w:tcPr>
          <w:p w14:paraId="7C34281C">
            <w:pPr>
              <w:spacing w:line="420" w:lineRule="exact"/>
              <w:jc w:val="center"/>
              <w:rPr>
                <w:rFonts w:ascii="宋体" w:hAnsi="宋体" w:eastAsia="宋体" w:cs="宋体"/>
                <w:szCs w:val="21"/>
                <w:highlight w:val="none"/>
              </w:rPr>
            </w:pPr>
            <w:r>
              <w:rPr>
                <w:rFonts w:hint="eastAsia" w:ascii="宋体" w:hAnsi="宋体" w:eastAsia="宋体" w:cs="宋体"/>
                <w:szCs w:val="21"/>
                <w:highlight w:val="none"/>
              </w:rPr>
              <w:t>开展本项目建设服务工作的理解和分析（满分6分）</w:t>
            </w:r>
          </w:p>
        </w:tc>
        <w:tc>
          <w:tcPr>
            <w:tcW w:w="7775" w:type="dxa"/>
            <w:noWrap/>
            <w:vAlign w:val="center"/>
          </w:tcPr>
          <w:p w14:paraId="617E07A3">
            <w:pPr>
              <w:spacing w:line="420" w:lineRule="exact"/>
              <w:rPr>
                <w:rFonts w:ascii="宋体" w:hAnsi="宋体" w:eastAsia="宋体" w:cs="宋体"/>
                <w:szCs w:val="21"/>
                <w:highlight w:val="none"/>
              </w:rPr>
            </w:pPr>
            <w:r>
              <w:rPr>
                <w:rFonts w:hint="eastAsia" w:ascii="宋体" w:hAnsi="宋体" w:eastAsia="宋体" w:cs="宋体"/>
                <w:szCs w:val="21"/>
                <w:highlight w:val="none"/>
              </w:rPr>
              <w:t>此部分内容应充分结合本项目采购需求的全部内容以及磋商程序和方法的评审要求进行综合分析后进行编制，此部分包含但不限于：</w:t>
            </w:r>
          </w:p>
          <w:p w14:paraId="796BB37A">
            <w:pPr>
              <w:spacing w:line="420" w:lineRule="exact"/>
              <w:rPr>
                <w:rFonts w:ascii="宋体" w:hAnsi="宋体" w:eastAsia="宋体" w:cs="宋体"/>
                <w:szCs w:val="21"/>
                <w:highlight w:val="none"/>
              </w:rPr>
            </w:pPr>
            <w:r>
              <w:rPr>
                <w:rFonts w:hint="eastAsia" w:ascii="宋体" w:hAnsi="宋体" w:eastAsia="宋体" w:cs="宋体"/>
                <w:szCs w:val="21"/>
                <w:highlight w:val="none"/>
              </w:rPr>
              <w:t>①对医共体慢病管理信息系统系统业务需求理解和分析；</w:t>
            </w:r>
          </w:p>
          <w:p w14:paraId="13D2A7E7">
            <w:pPr>
              <w:spacing w:line="420" w:lineRule="exact"/>
              <w:rPr>
                <w:rFonts w:ascii="宋体" w:hAnsi="宋体" w:eastAsia="宋体" w:cs="宋体"/>
                <w:szCs w:val="21"/>
                <w:highlight w:val="none"/>
              </w:rPr>
            </w:pPr>
            <w:r>
              <w:rPr>
                <w:rFonts w:hint="eastAsia" w:ascii="宋体" w:hAnsi="宋体" w:eastAsia="宋体" w:cs="宋体"/>
                <w:szCs w:val="21"/>
                <w:highlight w:val="none"/>
              </w:rPr>
              <w:t>②开展本项目系统建设和相关服务总体思路和工作目标方针；</w:t>
            </w:r>
          </w:p>
          <w:p w14:paraId="3C158EFF">
            <w:pPr>
              <w:spacing w:line="420" w:lineRule="exact"/>
              <w:rPr>
                <w:rFonts w:ascii="宋体" w:hAnsi="宋体" w:eastAsia="宋体" w:cs="宋体"/>
                <w:szCs w:val="21"/>
                <w:highlight w:val="none"/>
              </w:rPr>
            </w:pPr>
            <w:r>
              <w:rPr>
                <w:rFonts w:hint="eastAsia" w:ascii="宋体" w:hAnsi="宋体" w:eastAsia="宋体" w:cs="宋体"/>
                <w:szCs w:val="21"/>
                <w:highlight w:val="none"/>
              </w:rPr>
              <w:t>③开展本项目系统建设和相关服务工作重难点分析及合理化建议。</w:t>
            </w:r>
          </w:p>
          <w:p w14:paraId="2F3D7D5F">
            <w:pPr>
              <w:spacing w:line="420" w:lineRule="exact"/>
              <w:rPr>
                <w:rFonts w:ascii="宋体" w:hAnsi="宋体" w:eastAsia="宋体" w:cs="宋体"/>
                <w:szCs w:val="21"/>
                <w:highlight w:val="none"/>
              </w:rPr>
            </w:pPr>
            <w:r>
              <w:rPr>
                <w:rFonts w:hint="eastAsia" w:ascii="宋体" w:hAnsi="宋体" w:eastAsia="宋体" w:cs="宋体"/>
                <w:szCs w:val="21"/>
                <w:highlight w:val="none"/>
              </w:rPr>
              <w:t>磋商小组对所有磋商响应文件的“开展本项目建设服务工作的理解和分析”中3类单项内容进行详细的审查评价评分，本项总分为6分（每类单项内容最高2分），具体评审细则如下：</w:t>
            </w:r>
          </w:p>
          <w:p w14:paraId="2DCAD194">
            <w:pPr>
              <w:spacing w:line="420" w:lineRule="exact"/>
              <w:rPr>
                <w:rFonts w:ascii="宋体" w:hAnsi="宋体" w:eastAsia="宋体" w:cs="宋体"/>
                <w:szCs w:val="21"/>
                <w:highlight w:val="none"/>
              </w:rPr>
            </w:pPr>
            <w:r>
              <w:rPr>
                <w:rFonts w:hint="eastAsia" w:ascii="宋体" w:hAnsi="宋体" w:eastAsia="宋体" w:cs="宋体"/>
                <w:szCs w:val="21"/>
                <w:highlight w:val="none"/>
              </w:rPr>
              <w:t>（1）每一单项内容是基于项目采购需求以及开展慢病管理信息系统建设服务工作所涉及的业务需求、技术标准、政策规范、项目建设服务内容重难点等情况进行编制，相应内容描述详细、完整、深刻，理解分析到位、准确的得2分/项；</w:t>
            </w:r>
          </w:p>
          <w:p w14:paraId="564ECFB1">
            <w:pPr>
              <w:spacing w:line="420" w:lineRule="exact"/>
              <w:rPr>
                <w:rFonts w:ascii="宋体" w:hAnsi="宋体" w:eastAsia="宋体" w:cs="宋体"/>
                <w:szCs w:val="21"/>
                <w:highlight w:val="none"/>
              </w:rPr>
            </w:pPr>
            <w:r>
              <w:rPr>
                <w:rFonts w:hint="eastAsia" w:ascii="宋体" w:hAnsi="宋体" w:eastAsia="宋体" w:cs="宋体"/>
                <w:szCs w:val="21"/>
                <w:highlight w:val="none"/>
              </w:rPr>
              <w:t>（2）每一单项内容是项目采购需求以及开展慢病管理信息系统建设服务工作所涉及的业务需求、技术标准、政策规范、项目建设服务内容重难点等情况进行编制，相应内容描述较为详细、基本切合采购需求特点，理解分析基本到位、准确性一般的得1分/项。</w:t>
            </w:r>
          </w:p>
          <w:p w14:paraId="11AC2797">
            <w:pPr>
              <w:spacing w:line="420" w:lineRule="exact"/>
              <w:rPr>
                <w:rFonts w:ascii="宋体" w:hAnsi="宋体" w:eastAsia="宋体" w:cs="宋体"/>
                <w:szCs w:val="21"/>
                <w:highlight w:val="none"/>
              </w:rPr>
            </w:pPr>
            <w:r>
              <w:rPr>
                <w:rFonts w:hint="eastAsia" w:ascii="宋体" w:hAnsi="宋体" w:eastAsia="宋体" w:cs="宋体"/>
                <w:szCs w:val="21"/>
                <w:highlight w:val="none"/>
              </w:rPr>
              <w:t>（3）每一单项内容是基本依据项目采购需求以及开展慢病管理信息系统建设服务工作所涉及的业务需求、技术标准、政策规范、项目建设服务内容重难点等情况进行编制，但相应内容描述较为简单，内容描述存在瑕疵，理解分析存在一定偏差、准确性较差的得0.5分/项。</w:t>
            </w:r>
          </w:p>
          <w:p w14:paraId="5E20A1E5">
            <w:pPr>
              <w:spacing w:line="420" w:lineRule="exact"/>
              <w:rPr>
                <w:rFonts w:ascii="宋体" w:hAnsi="宋体" w:eastAsia="宋体" w:cs="宋体"/>
                <w:szCs w:val="21"/>
                <w:highlight w:val="none"/>
              </w:rPr>
            </w:pPr>
            <w:r>
              <w:rPr>
                <w:rFonts w:hint="eastAsia" w:ascii="宋体" w:hAnsi="宋体" w:eastAsia="宋体" w:cs="宋体"/>
                <w:szCs w:val="21"/>
                <w:highlight w:val="none"/>
              </w:rPr>
              <w:t>（4）“开展本项目建设服务工作的理解和分析”中单项内容的描述与本项目对应的内容无关或存在重大缺陷的【如：内容与项目不匹配、项目信息错误（包括时间、地点、名称等）、不符合本项目涉及的相关规范或标准要求等情形】或未提供相应内容的得0分/项。</w:t>
            </w:r>
          </w:p>
        </w:tc>
      </w:tr>
      <w:tr w14:paraId="34B716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62" w:type="dxa"/>
            <w:vMerge w:val="continue"/>
            <w:noWrap/>
            <w:vAlign w:val="center"/>
          </w:tcPr>
          <w:p w14:paraId="18FF536C">
            <w:pPr>
              <w:spacing w:line="420" w:lineRule="exact"/>
              <w:jc w:val="center"/>
              <w:rPr>
                <w:rFonts w:ascii="宋体" w:hAnsi="宋体" w:eastAsia="宋体" w:cs="宋体"/>
                <w:szCs w:val="21"/>
                <w:highlight w:val="none"/>
              </w:rPr>
            </w:pPr>
          </w:p>
        </w:tc>
        <w:tc>
          <w:tcPr>
            <w:tcW w:w="812" w:type="dxa"/>
            <w:vMerge w:val="continue"/>
            <w:noWrap/>
            <w:vAlign w:val="center"/>
          </w:tcPr>
          <w:p w14:paraId="0116734D">
            <w:pPr>
              <w:spacing w:line="420" w:lineRule="exact"/>
              <w:jc w:val="center"/>
              <w:rPr>
                <w:rFonts w:ascii="宋体" w:hAnsi="宋体" w:eastAsia="宋体" w:cs="宋体"/>
                <w:szCs w:val="21"/>
                <w:highlight w:val="none"/>
              </w:rPr>
            </w:pPr>
          </w:p>
        </w:tc>
        <w:tc>
          <w:tcPr>
            <w:tcW w:w="1075" w:type="dxa"/>
            <w:noWrap/>
            <w:vAlign w:val="center"/>
          </w:tcPr>
          <w:p w14:paraId="42D2191F">
            <w:pPr>
              <w:spacing w:line="420" w:lineRule="exact"/>
              <w:jc w:val="center"/>
              <w:rPr>
                <w:rFonts w:ascii="宋体" w:hAnsi="宋体" w:eastAsia="宋体" w:cs="宋体"/>
                <w:szCs w:val="21"/>
                <w:highlight w:val="none"/>
              </w:rPr>
            </w:pPr>
            <w:r>
              <w:rPr>
                <w:rFonts w:hint="eastAsia" w:ascii="宋体" w:hAnsi="宋体" w:eastAsia="宋体" w:cs="宋体"/>
                <w:szCs w:val="21"/>
                <w:highlight w:val="none"/>
              </w:rPr>
              <w:t>昌宁县医共体总医院慢病管理信息系统建设项目开发设计方案（满分22.5分）</w:t>
            </w:r>
          </w:p>
        </w:tc>
        <w:tc>
          <w:tcPr>
            <w:tcW w:w="7775" w:type="dxa"/>
            <w:noWrap/>
            <w:vAlign w:val="center"/>
          </w:tcPr>
          <w:p w14:paraId="5FEF2FF3">
            <w:pPr>
              <w:spacing w:line="420" w:lineRule="exact"/>
              <w:rPr>
                <w:rFonts w:ascii="宋体" w:hAnsi="宋体" w:eastAsia="宋体" w:cs="宋体"/>
                <w:szCs w:val="21"/>
                <w:highlight w:val="none"/>
              </w:rPr>
            </w:pPr>
            <w:r>
              <w:rPr>
                <w:rFonts w:hint="eastAsia" w:ascii="宋体" w:hAnsi="宋体" w:eastAsia="宋体" w:cs="宋体"/>
                <w:szCs w:val="21"/>
                <w:highlight w:val="none"/>
              </w:rPr>
              <w:t>此部分内容应充分结合本项目采购需求的全部内容以及磋商程序和方法的评审要求进行综合分析后进行编制，此部分包含但不限于：</w:t>
            </w:r>
          </w:p>
          <w:p w14:paraId="499D0CBA">
            <w:pPr>
              <w:spacing w:line="420" w:lineRule="exact"/>
              <w:rPr>
                <w:rFonts w:ascii="宋体" w:hAnsi="宋体" w:eastAsia="宋体" w:cs="宋体"/>
                <w:szCs w:val="21"/>
                <w:highlight w:val="none"/>
              </w:rPr>
            </w:pPr>
            <w:r>
              <w:rPr>
                <w:rFonts w:hint="eastAsia" w:ascii="宋体" w:hAnsi="宋体" w:eastAsia="宋体" w:cs="宋体"/>
                <w:szCs w:val="21"/>
                <w:highlight w:val="none"/>
              </w:rPr>
              <w:t>①系统开发设计方案、设计技术标准和规范原则介绍；</w:t>
            </w:r>
          </w:p>
          <w:p w14:paraId="71BAB031">
            <w:pPr>
              <w:spacing w:line="420" w:lineRule="exact"/>
              <w:rPr>
                <w:rFonts w:ascii="宋体" w:hAnsi="宋体" w:eastAsia="宋体" w:cs="宋体"/>
                <w:szCs w:val="21"/>
                <w:highlight w:val="none"/>
              </w:rPr>
            </w:pPr>
            <w:r>
              <w:rPr>
                <w:rFonts w:hint="eastAsia" w:ascii="宋体" w:hAnsi="宋体" w:eastAsia="宋体" w:cs="宋体"/>
                <w:szCs w:val="21"/>
                <w:highlight w:val="none"/>
              </w:rPr>
              <w:t>②系统整体性能设计介绍（至少包含：架构体系性能设计、应用系统性能设计、数据存储性能设计等内容的技术路线和设计方案）；</w:t>
            </w:r>
          </w:p>
          <w:p w14:paraId="2EB9974B">
            <w:pPr>
              <w:spacing w:line="420" w:lineRule="exact"/>
              <w:rPr>
                <w:rFonts w:ascii="宋体" w:hAnsi="宋体" w:eastAsia="宋体" w:cs="宋体"/>
                <w:szCs w:val="21"/>
                <w:highlight w:val="none"/>
              </w:rPr>
            </w:pPr>
            <w:r>
              <w:rPr>
                <w:rFonts w:hint="eastAsia" w:ascii="宋体" w:hAnsi="宋体" w:eastAsia="宋体" w:cs="宋体"/>
                <w:szCs w:val="21"/>
                <w:highlight w:val="none"/>
              </w:rPr>
              <w:t>③系统架构设计介绍（至少包含：应用架构、技术架构、数据架构、逻辑架构、安全架构等内容的技术路线和设计方案）；</w:t>
            </w:r>
          </w:p>
          <w:p w14:paraId="48E24938">
            <w:pPr>
              <w:spacing w:line="420" w:lineRule="exact"/>
              <w:rPr>
                <w:rFonts w:ascii="宋体" w:hAnsi="宋体" w:eastAsia="宋体" w:cs="宋体"/>
                <w:szCs w:val="21"/>
                <w:highlight w:val="none"/>
              </w:rPr>
            </w:pPr>
            <w:r>
              <w:rPr>
                <w:rFonts w:hint="eastAsia" w:ascii="宋体" w:hAnsi="宋体" w:eastAsia="宋体" w:cs="宋体"/>
                <w:szCs w:val="21"/>
                <w:highlight w:val="none"/>
              </w:rPr>
              <w:t>④系统功能设计介绍（至少包含：各功能模块设计、各功能模块业务执行流程、原型设计图等内容的技术路线和设计方案）；</w:t>
            </w:r>
          </w:p>
          <w:p w14:paraId="0E943FC9">
            <w:pPr>
              <w:spacing w:line="420" w:lineRule="exact"/>
              <w:rPr>
                <w:rFonts w:ascii="宋体" w:hAnsi="宋体" w:eastAsia="宋体" w:cs="宋体"/>
                <w:szCs w:val="21"/>
                <w:highlight w:val="none"/>
              </w:rPr>
            </w:pPr>
            <w:r>
              <w:rPr>
                <w:rFonts w:hint="eastAsia" w:ascii="宋体" w:hAnsi="宋体" w:eastAsia="宋体" w:cs="宋体"/>
                <w:szCs w:val="21"/>
                <w:highlight w:val="none"/>
              </w:rPr>
              <w:t>⑤数据接口开发设计介绍（至少包含：各类数据接口设计思路、技术路线和设计方案）。</w:t>
            </w:r>
          </w:p>
          <w:p w14:paraId="35967889">
            <w:pPr>
              <w:spacing w:line="420" w:lineRule="exact"/>
              <w:rPr>
                <w:rFonts w:ascii="宋体" w:hAnsi="宋体" w:eastAsia="宋体" w:cs="宋体"/>
                <w:szCs w:val="21"/>
                <w:highlight w:val="none"/>
              </w:rPr>
            </w:pPr>
            <w:r>
              <w:rPr>
                <w:rFonts w:hint="eastAsia" w:ascii="宋体" w:hAnsi="宋体" w:eastAsia="宋体" w:cs="宋体"/>
                <w:szCs w:val="21"/>
                <w:highlight w:val="none"/>
              </w:rPr>
              <w:t>磋商小组对所有磋商响应文件的“昌宁县医共体总医院慢病管理信息系统建设项目开发设计方案”中</w:t>
            </w:r>
            <w:r>
              <w:rPr>
                <w:rFonts w:hint="eastAsia" w:ascii="宋体" w:hAnsi="宋体" w:eastAsia="宋体" w:cs="宋体"/>
                <w:szCs w:val="21"/>
                <w:highlight w:val="none"/>
                <w:lang w:val="en-US" w:eastAsia="zh-CN"/>
              </w:rPr>
              <w:t>5</w:t>
            </w:r>
            <w:r>
              <w:rPr>
                <w:rFonts w:hint="eastAsia" w:ascii="宋体" w:hAnsi="宋体" w:eastAsia="宋体" w:cs="宋体"/>
                <w:szCs w:val="21"/>
                <w:highlight w:val="none"/>
              </w:rPr>
              <w:t>类单项内容进行详细的审查评价评分，本项总分为22.5分（每类单项内容最高4.5分），具体评审细则如下：</w:t>
            </w:r>
          </w:p>
          <w:p w14:paraId="14F21747">
            <w:pPr>
              <w:spacing w:line="420" w:lineRule="exact"/>
              <w:rPr>
                <w:rFonts w:ascii="宋体" w:hAnsi="宋体" w:eastAsia="宋体" w:cs="宋体"/>
                <w:szCs w:val="21"/>
                <w:highlight w:val="none"/>
              </w:rPr>
            </w:pPr>
            <w:r>
              <w:rPr>
                <w:rFonts w:hint="eastAsia" w:ascii="宋体" w:hAnsi="宋体" w:eastAsia="宋体" w:cs="宋体"/>
                <w:szCs w:val="21"/>
                <w:highlight w:val="none"/>
              </w:rPr>
              <w:t>（1）每一单项内容是基于采购需求和昌宁县医共体总医院慢病管理信息系统建设项目建设标准要求进行编制，对应部分设计方案内容完整具体、设计逻辑清晰、系统架构和功能业务流程设计科学合理的，并结合实际情况，针对本项目的特点进行了具体分析，功能设计合理、完善、实用、全面，契合项目需求，对具体功能模块进行细化深化的，完全满足并优于采购需求的得4.5分。</w:t>
            </w:r>
          </w:p>
          <w:p w14:paraId="1E0BCD23">
            <w:pPr>
              <w:spacing w:line="420" w:lineRule="exact"/>
              <w:rPr>
                <w:rFonts w:ascii="宋体" w:hAnsi="宋体" w:eastAsia="宋体" w:cs="宋体"/>
                <w:szCs w:val="21"/>
                <w:highlight w:val="none"/>
              </w:rPr>
            </w:pPr>
            <w:r>
              <w:rPr>
                <w:rFonts w:hint="eastAsia" w:ascii="宋体" w:hAnsi="宋体" w:eastAsia="宋体" w:cs="宋体"/>
                <w:szCs w:val="21"/>
                <w:highlight w:val="none"/>
              </w:rPr>
              <w:t>（2）每一单项内容是基于采购需求和昌宁县医共体总医院慢病管理信息系统建设项目建设标准要求进行编制，对应设计方案内容完整较为详细具体、设计逻辑条理基本清晰、系统架构和功能业务流程设计基本合理的，能结合本项目的实际情况与特点进行的分析，功能设计较合理、较实用、较全面，基本满足采购需求的得3分。</w:t>
            </w:r>
          </w:p>
          <w:p w14:paraId="6EAD0E43">
            <w:pPr>
              <w:spacing w:line="420" w:lineRule="exact"/>
              <w:rPr>
                <w:rFonts w:ascii="宋体" w:hAnsi="宋体" w:eastAsia="宋体" w:cs="宋体"/>
                <w:szCs w:val="21"/>
                <w:highlight w:val="none"/>
              </w:rPr>
            </w:pPr>
            <w:r>
              <w:rPr>
                <w:rFonts w:hint="eastAsia" w:ascii="宋体" w:hAnsi="宋体" w:eastAsia="宋体" w:cs="宋体"/>
                <w:szCs w:val="21"/>
                <w:highlight w:val="none"/>
              </w:rPr>
              <w:t>（3）每一单项内容是基于采购需求和昌宁县医共体总医院慢病管理信息系统建设项目建设标准要求进行编制，对应设计方案内容描述较为简单、内容存在缺陷（含部分内容缺失）或系统设计逻辑存在部分错误的情况，系统架构和功能业务流程设计存在瑕疵或功能缺失的，开发设计思路不清晰的得1.5分</w:t>
            </w:r>
          </w:p>
          <w:p w14:paraId="36D87D2B">
            <w:pPr>
              <w:spacing w:line="420" w:lineRule="exact"/>
              <w:rPr>
                <w:rFonts w:ascii="宋体" w:hAnsi="宋体" w:eastAsia="宋体" w:cs="宋体"/>
                <w:szCs w:val="21"/>
                <w:highlight w:val="none"/>
              </w:rPr>
            </w:pPr>
            <w:r>
              <w:rPr>
                <w:rFonts w:hint="eastAsia" w:ascii="宋体" w:hAnsi="宋体" w:eastAsia="宋体" w:cs="宋体"/>
                <w:szCs w:val="21"/>
                <w:highlight w:val="none"/>
              </w:rPr>
              <w:t>（4）“昌宁县医共体总医院慢病管理信息系统建设项目总体设计方案”中单项内容的描述与本项目对应的内容无关或存在重大缺陷的【如：内容与项目不匹配、项目信息错误（包括时间、地点、名称等）、不符合本项目涉及的相关规范或标准要求等情形】或未提供相应方案的得0分/项。</w:t>
            </w:r>
          </w:p>
        </w:tc>
      </w:tr>
      <w:tr w14:paraId="65D34E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62" w:type="dxa"/>
            <w:vMerge w:val="continue"/>
            <w:noWrap/>
            <w:vAlign w:val="center"/>
          </w:tcPr>
          <w:p w14:paraId="21840A21">
            <w:pPr>
              <w:spacing w:line="420" w:lineRule="exact"/>
              <w:jc w:val="center"/>
              <w:rPr>
                <w:rFonts w:ascii="宋体" w:hAnsi="宋体" w:eastAsia="宋体" w:cs="宋体"/>
                <w:szCs w:val="21"/>
                <w:highlight w:val="none"/>
              </w:rPr>
            </w:pPr>
          </w:p>
        </w:tc>
        <w:tc>
          <w:tcPr>
            <w:tcW w:w="812" w:type="dxa"/>
            <w:vMerge w:val="continue"/>
            <w:noWrap/>
            <w:vAlign w:val="center"/>
          </w:tcPr>
          <w:p w14:paraId="062DA145">
            <w:pPr>
              <w:spacing w:line="420" w:lineRule="exact"/>
              <w:jc w:val="center"/>
              <w:rPr>
                <w:rFonts w:ascii="宋体" w:hAnsi="宋体" w:eastAsia="宋体" w:cs="宋体"/>
                <w:szCs w:val="21"/>
                <w:highlight w:val="none"/>
              </w:rPr>
            </w:pPr>
          </w:p>
        </w:tc>
        <w:tc>
          <w:tcPr>
            <w:tcW w:w="1075" w:type="dxa"/>
            <w:noWrap/>
            <w:vAlign w:val="center"/>
          </w:tcPr>
          <w:p w14:paraId="20952031">
            <w:pPr>
              <w:spacing w:line="420" w:lineRule="exact"/>
              <w:jc w:val="center"/>
              <w:rPr>
                <w:rFonts w:ascii="宋体" w:hAnsi="宋体" w:eastAsia="宋体" w:cs="宋体"/>
                <w:szCs w:val="21"/>
                <w:highlight w:val="none"/>
              </w:rPr>
            </w:pPr>
            <w:r>
              <w:rPr>
                <w:rFonts w:hint="eastAsia" w:ascii="宋体" w:hAnsi="宋体" w:eastAsia="宋体" w:cs="宋体"/>
                <w:szCs w:val="21"/>
                <w:highlight w:val="none"/>
              </w:rPr>
              <w:t>系统演示评价（满分1</w:t>
            </w:r>
            <w:r>
              <w:rPr>
                <w:rFonts w:hint="eastAsia" w:ascii="宋体" w:hAnsi="宋体" w:eastAsia="宋体" w:cs="宋体"/>
                <w:szCs w:val="21"/>
                <w:highlight w:val="none"/>
                <w:lang w:val="en-US" w:eastAsia="zh-CN"/>
              </w:rPr>
              <w:t>5</w:t>
            </w:r>
            <w:r>
              <w:rPr>
                <w:rFonts w:hint="eastAsia" w:ascii="宋体" w:hAnsi="宋体" w:eastAsia="宋体" w:cs="宋体"/>
                <w:szCs w:val="21"/>
                <w:highlight w:val="none"/>
              </w:rPr>
              <w:t>分）</w:t>
            </w:r>
          </w:p>
        </w:tc>
        <w:tc>
          <w:tcPr>
            <w:tcW w:w="7775" w:type="dxa"/>
            <w:noWrap/>
            <w:vAlign w:val="center"/>
          </w:tcPr>
          <w:p w14:paraId="1B0CF222">
            <w:pPr>
              <w:spacing w:line="420" w:lineRule="exact"/>
              <w:rPr>
                <w:rFonts w:ascii="宋体" w:hAnsi="宋体" w:eastAsia="宋体" w:cs="宋体"/>
                <w:szCs w:val="21"/>
                <w:highlight w:val="none"/>
              </w:rPr>
            </w:pPr>
            <w:r>
              <w:rPr>
                <w:rFonts w:hint="eastAsia" w:ascii="宋体" w:hAnsi="宋体" w:eastAsia="宋体" w:cs="宋体"/>
                <w:szCs w:val="21"/>
                <w:highlight w:val="none"/>
              </w:rPr>
              <w:t>磋商小组根据项目采购需求并结合磋商申请人递交演示视频所展示的内容进行综合评审。</w:t>
            </w:r>
          </w:p>
          <w:p w14:paraId="781CC471">
            <w:pPr>
              <w:spacing w:line="420" w:lineRule="exact"/>
              <w:rPr>
                <w:rFonts w:ascii="宋体" w:hAnsi="宋体" w:eastAsia="宋体" w:cs="宋体"/>
                <w:szCs w:val="21"/>
                <w:highlight w:val="none"/>
              </w:rPr>
            </w:pPr>
            <w:r>
              <w:rPr>
                <w:rFonts w:hint="eastAsia" w:ascii="宋体" w:hAnsi="宋体" w:eastAsia="宋体" w:cs="宋体"/>
                <w:szCs w:val="21"/>
                <w:highlight w:val="none"/>
              </w:rPr>
              <w:t>（一）演示要求：</w:t>
            </w:r>
          </w:p>
          <w:p w14:paraId="33AAE087">
            <w:pPr>
              <w:spacing w:line="420" w:lineRule="exact"/>
              <w:rPr>
                <w:rFonts w:ascii="宋体" w:hAnsi="宋体" w:eastAsia="宋体" w:cs="宋体"/>
                <w:szCs w:val="21"/>
                <w:highlight w:val="none"/>
              </w:rPr>
            </w:pPr>
            <w:r>
              <w:rPr>
                <w:rFonts w:hint="eastAsia" w:ascii="宋体" w:hAnsi="宋体" w:eastAsia="宋体" w:cs="宋体"/>
                <w:szCs w:val="21"/>
                <w:highlight w:val="none"/>
              </w:rPr>
              <w:t>本项目需要对本次采购的“昌宁县医共体总医院慢病管理信息系统”提供开发设计功能模块（demo）进行视频演示，演示方式采用视频并配音解说进行实现（格式：MP4）。视频演示须图像清晰、演示功能准确，配音解说须与视频显示内容一致。未提供演示视频或演示视频演示无法读取数据、无法演示、未按要求演示要求响应的对应评审内容不得分。</w:t>
            </w:r>
          </w:p>
          <w:p w14:paraId="1D34A654">
            <w:pPr>
              <w:spacing w:line="420" w:lineRule="exact"/>
              <w:rPr>
                <w:rFonts w:ascii="宋体" w:hAnsi="宋体" w:eastAsia="宋体" w:cs="宋体"/>
                <w:szCs w:val="21"/>
                <w:highlight w:val="none"/>
              </w:rPr>
            </w:pPr>
            <w:r>
              <w:rPr>
                <w:rFonts w:hint="eastAsia" w:ascii="宋体" w:hAnsi="宋体" w:eastAsia="宋体" w:cs="宋体"/>
                <w:szCs w:val="21"/>
                <w:highlight w:val="none"/>
              </w:rPr>
              <w:t>（二）评分标准：</w:t>
            </w:r>
          </w:p>
          <w:p w14:paraId="5CA4DC9B">
            <w:pPr>
              <w:spacing w:line="420" w:lineRule="exact"/>
              <w:rPr>
                <w:rFonts w:ascii="宋体" w:hAnsi="宋体" w:eastAsia="宋体" w:cs="宋体"/>
                <w:szCs w:val="21"/>
                <w:highlight w:val="none"/>
              </w:rPr>
            </w:pPr>
            <w:r>
              <w:rPr>
                <w:rFonts w:hint="eastAsia" w:ascii="宋体" w:hAnsi="宋体" w:eastAsia="宋体" w:cs="宋体"/>
                <w:szCs w:val="21"/>
                <w:highlight w:val="none"/>
              </w:rPr>
              <w:t>本项目需要对本次采购的“昌宁县医共体总医院慢病管理信息系统”提供开发设计功能模块（demo）进行视频演示，请根据竞争性磋商文件第五章采购需求中“二、昌宁县医共体总医院慢病管理信息系统功能需求”标注“▲”的为演示内容（共1</w:t>
            </w:r>
            <w:r>
              <w:rPr>
                <w:rFonts w:hint="eastAsia" w:ascii="宋体" w:hAnsi="宋体" w:eastAsia="宋体" w:cs="宋体"/>
                <w:szCs w:val="21"/>
                <w:highlight w:val="none"/>
                <w:lang w:val="en-US" w:eastAsia="zh-CN"/>
              </w:rPr>
              <w:t>5</w:t>
            </w:r>
            <w:r>
              <w:rPr>
                <w:rFonts w:hint="eastAsia" w:ascii="宋体" w:hAnsi="宋体" w:eastAsia="宋体" w:cs="宋体"/>
                <w:szCs w:val="21"/>
                <w:highlight w:val="none"/>
              </w:rPr>
              <w:t>项功能），请根据采购需求制作软件功能模块演示视频（demo）。其中各部分内容演示的功能模块必须演示系统功能的执行方式和相应的业务流程（需要通过数据验证的，磋商申请人可在演示过程中自行模拟相应数据模型）。磋商小组根据演示完成程度和功能业务执行情况进行综合评审：</w:t>
            </w:r>
          </w:p>
          <w:p w14:paraId="43738C41">
            <w:pPr>
              <w:spacing w:line="420" w:lineRule="exact"/>
              <w:rPr>
                <w:rFonts w:ascii="宋体" w:hAnsi="宋体" w:eastAsia="宋体" w:cs="宋体"/>
                <w:szCs w:val="21"/>
                <w:highlight w:val="none"/>
              </w:rPr>
            </w:pPr>
            <w:r>
              <w:rPr>
                <w:rFonts w:hint="eastAsia" w:ascii="宋体" w:hAnsi="宋体" w:eastAsia="宋体" w:cs="宋体"/>
                <w:szCs w:val="21"/>
                <w:highlight w:val="none"/>
              </w:rPr>
              <w:t>（1）系统演示评价（满分1</w:t>
            </w:r>
            <w:r>
              <w:rPr>
                <w:rFonts w:hint="eastAsia" w:ascii="宋体" w:hAnsi="宋体" w:eastAsia="宋体" w:cs="宋体"/>
                <w:szCs w:val="21"/>
                <w:highlight w:val="none"/>
                <w:lang w:val="en-US" w:eastAsia="zh-CN"/>
              </w:rPr>
              <w:t>5</w:t>
            </w:r>
            <w:r>
              <w:rPr>
                <w:rFonts w:hint="eastAsia" w:ascii="宋体" w:hAnsi="宋体" w:eastAsia="宋体" w:cs="宋体"/>
                <w:szCs w:val="21"/>
                <w:highlight w:val="none"/>
              </w:rPr>
              <w:t>分）</w:t>
            </w:r>
          </w:p>
          <w:p w14:paraId="1FCA8B67">
            <w:pPr>
              <w:spacing w:line="420" w:lineRule="exact"/>
              <w:rPr>
                <w:rFonts w:hint="eastAsia" w:ascii="宋体" w:hAnsi="宋体" w:eastAsia="宋体" w:cs="宋体"/>
                <w:szCs w:val="21"/>
                <w:highlight w:val="none"/>
              </w:rPr>
            </w:pPr>
            <w:r>
              <w:rPr>
                <w:rFonts w:hint="eastAsia" w:ascii="宋体" w:hAnsi="宋体" w:eastAsia="宋体" w:cs="宋体"/>
                <w:szCs w:val="21"/>
                <w:highlight w:val="none"/>
              </w:rPr>
              <w:t>“▲”的演示内容共1</w:t>
            </w:r>
            <w:r>
              <w:rPr>
                <w:rFonts w:hint="eastAsia" w:ascii="宋体" w:hAnsi="宋体" w:eastAsia="宋体" w:cs="宋体"/>
                <w:szCs w:val="21"/>
                <w:highlight w:val="none"/>
                <w:lang w:val="en-US" w:eastAsia="zh-CN"/>
              </w:rPr>
              <w:t>5</w:t>
            </w:r>
            <w:r>
              <w:rPr>
                <w:rFonts w:hint="eastAsia" w:ascii="宋体" w:hAnsi="宋体" w:eastAsia="宋体" w:cs="宋体"/>
                <w:szCs w:val="21"/>
                <w:highlight w:val="none"/>
              </w:rPr>
              <w:t>项功能，</w:t>
            </w:r>
            <w:r>
              <w:rPr>
                <w:rFonts w:hint="eastAsia" w:ascii="宋体" w:hAnsi="宋体" w:eastAsia="宋体" w:cs="宋体"/>
                <w:color w:val="auto"/>
                <w:sz w:val="21"/>
                <w:szCs w:val="21"/>
                <w:highlight w:val="none"/>
                <w:lang w:val="en-US" w:eastAsia="zh-CN"/>
              </w:rPr>
              <w:t>视频中每演示成功1项业务功能（业务功能完整能直观演示功能执行情况）得</w:t>
            </w:r>
            <w:r>
              <w:rPr>
                <w:rFonts w:hint="eastAsia" w:ascii="宋体" w:hAnsi="宋体" w:eastAsia="宋体" w:cs="宋体"/>
                <w:szCs w:val="21"/>
                <w:highlight w:val="none"/>
              </w:rPr>
              <w:t>1分，每少演示一项或演示内容与功能要求不符合的扣1分。</w:t>
            </w:r>
          </w:p>
        </w:tc>
      </w:tr>
      <w:tr w14:paraId="6D27A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62" w:type="dxa"/>
            <w:vMerge w:val="continue"/>
            <w:noWrap/>
            <w:vAlign w:val="center"/>
          </w:tcPr>
          <w:p w14:paraId="33C1EE3D">
            <w:pPr>
              <w:spacing w:line="420" w:lineRule="exact"/>
              <w:jc w:val="center"/>
              <w:rPr>
                <w:rFonts w:ascii="宋体" w:hAnsi="宋体" w:eastAsia="宋体" w:cs="宋体"/>
                <w:szCs w:val="21"/>
                <w:highlight w:val="none"/>
              </w:rPr>
            </w:pPr>
          </w:p>
        </w:tc>
        <w:tc>
          <w:tcPr>
            <w:tcW w:w="812" w:type="dxa"/>
            <w:vMerge w:val="continue"/>
            <w:noWrap/>
            <w:vAlign w:val="center"/>
          </w:tcPr>
          <w:p w14:paraId="7332A2DB">
            <w:pPr>
              <w:spacing w:line="420" w:lineRule="exact"/>
              <w:jc w:val="center"/>
              <w:rPr>
                <w:rFonts w:ascii="宋体" w:hAnsi="宋体" w:eastAsia="宋体" w:cs="宋体"/>
                <w:szCs w:val="21"/>
                <w:highlight w:val="none"/>
              </w:rPr>
            </w:pPr>
          </w:p>
        </w:tc>
        <w:tc>
          <w:tcPr>
            <w:tcW w:w="1075" w:type="dxa"/>
            <w:noWrap/>
            <w:vAlign w:val="center"/>
          </w:tcPr>
          <w:p w14:paraId="0EE43F17">
            <w:pPr>
              <w:keepNext/>
              <w:spacing w:line="420" w:lineRule="exact"/>
              <w:rPr>
                <w:rFonts w:ascii="宋体" w:hAnsi="宋体" w:eastAsia="宋体" w:cs="宋体"/>
                <w:szCs w:val="21"/>
                <w:highlight w:val="none"/>
              </w:rPr>
            </w:pPr>
            <w:r>
              <w:rPr>
                <w:rFonts w:hint="eastAsia" w:ascii="宋体" w:hAnsi="宋体" w:eastAsia="宋体" w:cs="宋体"/>
                <w:szCs w:val="21"/>
                <w:highlight w:val="none"/>
              </w:rPr>
              <w:t>昌宁县医共体总医院慢病管理信息系统建设技术方案（满分15分）</w:t>
            </w:r>
          </w:p>
        </w:tc>
        <w:tc>
          <w:tcPr>
            <w:tcW w:w="7775" w:type="dxa"/>
            <w:noWrap/>
            <w:vAlign w:val="center"/>
          </w:tcPr>
          <w:p w14:paraId="6EB15AEA">
            <w:pPr>
              <w:spacing w:line="420" w:lineRule="exact"/>
              <w:rPr>
                <w:rFonts w:ascii="宋体" w:hAnsi="宋体" w:eastAsia="宋体" w:cs="宋体"/>
                <w:szCs w:val="21"/>
                <w:highlight w:val="none"/>
              </w:rPr>
            </w:pPr>
            <w:r>
              <w:rPr>
                <w:rFonts w:hint="eastAsia" w:ascii="宋体" w:hAnsi="宋体" w:eastAsia="宋体" w:cs="宋体"/>
                <w:szCs w:val="21"/>
                <w:highlight w:val="none"/>
              </w:rPr>
              <w:t>此部分内容应充分结合本项目采购需求的全部内容以及磋商程序和方法的评审要求进行综合分析后进行编制，此部分包含但不限于：</w:t>
            </w:r>
          </w:p>
          <w:p w14:paraId="2AD1941F">
            <w:pPr>
              <w:spacing w:line="420" w:lineRule="exact"/>
              <w:rPr>
                <w:rFonts w:ascii="宋体" w:hAnsi="宋体" w:eastAsia="宋体" w:cs="宋体"/>
                <w:szCs w:val="21"/>
                <w:highlight w:val="none"/>
              </w:rPr>
            </w:pPr>
            <w:r>
              <w:rPr>
                <w:rFonts w:hint="eastAsia" w:ascii="宋体" w:hAnsi="宋体" w:eastAsia="宋体" w:cs="宋体"/>
                <w:szCs w:val="21"/>
                <w:highlight w:val="none"/>
              </w:rPr>
              <w:t>①系统及数据接口开发设计工作方案（至少包含各项工作技术实施方案、技术工作流程、工作管理机制等内容）；</w:t>
            </w:r>
          </w:p>
          <w:p w14:paraId="0094E0B3">
            <w:pPr>
              <w:spacing w:line="420" w:lineRule="exact"/>
              <w:rPr>
                <w:rFonts w:ascii="宋体" w:hAnsi="宋体" w:eastAsia="宋体" w:cs="宋体"/>
                <w:szCs w:val="21"/>
                <w:highlight w:val="none"/>
              </w:rPr>
            </w:pPr>
            <w:r>
              <w:rPr>
                <w:rFonts w:hint="eastAsia" w:ascii="宋体" w:hAnsi="宋体" w:eastAsia="宋体" w:cs="宋体"/>
                <w:szCs w:val="21"/>
                <w:highlight w:val="none"/>
              </w:rPr>
              <w:t>②系统在各医共体各成员单位安装部署技术服务方案（至少包含各项工作技术实施方案、技术工作流程、工作管理机制等内容）；</w:t>
            </w:r>
          </w:p>
          <w:p w14:paraId="24428469">
            <w:pPr>
              <w:spacing w:line="420" w:lineRule="exact"/>
              <w:rPr>
                <w:rFonts w:ascii="宋体" w:hAnsi="宋体" w:eastAsia="宋体" w:cs="宋体"/>
                <w:szCs w:val="21"/>
                <w:highlight w:val="none"/>
              </w:rPr>
            </w:pPr>
            <w:r>
              <w:rPr>
                <w:rFonts w:hint="eastAsia" w:ascii="宋体" w:hAnsi="宋体" w:eastAsia="宋体" w:cs="宋体"/>
                <w:szCs w:val="21"/>
                <w:highlight w:val="none"/>
              </w:rPr>
              <w:t>③各医共体各成员单位相关信息系统集成、相关数据接口开发服务、新建系统与采购人指定相关系统数据对接和系统集成实施服务信息数据整合技术服务方案（至少包含各项工作技术实施方案、技术工作流程、工作管理机制等内容）；</w:t>
            </w:r>
          </w:p>
          <w:p w14:paraId="6FD445E9">
            <w:pPr>
              <w:spacing w:line="420" w:lineRule="exact"/>
              <w:rPr>
                <w:rFonts w:ascii="宋体" w:hAnsi="宋体" w:eastAsia="宋体" w:cs="宋体"/>
                <w:szCs w:val="21"/>
                <w:highlight w:val="none"/>
              </w:rPr>
            </w:pPr>
            <w:r>
              <w:rPr>
                <w:rFonts w:hint="eastAsia" w:ascii="宋体" w:hAnsi="宋体" w:eastAsia="宋体" w:cs="宋体"/>
                <w:szCs w:val="21"/>
                <w:highlight w:val="none"/>
              </w:rPr>
              <w:t>④系统建设完成后开展测试、试运行、初验、终验技术方案，及针对项目验收提出相关问题的整改优化工作预案（至少包含各项工作技术实施方案、技术工作流程、工作管理机制等内容）；</w:t>
            </w:r>
          </w:p>
          <w:p w14:paraId="6E89FD8E">
            <w:pPr>
              <w:spacing w:line="420" w:lineRule="exact"/>
              <w:rPr>
                <w:rFonts w:ascii="宋体" w:hAnsi="宋体" w:eastAsia="宋体" w:cs="宋体"/>
                <w:szCs w:val="21"/>
                <w:highlight w:val="none"/>
              </w:rPr>
            </w:pPr>
            <w:r>
              <w:rPr>
                <w:rFonts w:hint="eastAsia" w:ascii="宋体" w:hAnsi="宋体" w:eastAsia="宋体" w:cs="宋体"/>
                <w:szCs w:val="21"/>
                <w:highlight w:val="none"/>
              </w:rPr>
              <w:t>⑤项目实施进度计划安排（至少包含开展各阶段技术工作的工作进度安排、时间节点介绍、人力物力配备等内容）；</w:t>
            </w:r>
          </w:p>
          <w:p w14:paraId="23BB1660">
            <w:pPr>
              <w:spacing w:line="420" w:lineRule="exact"/>
              <w:rPr>
                <w:rFonts w:ascii="宋体" w:hAnsi="宋体" w:eastAsia="宋体" w:cs="宋体"/>
                <w:szCs w:val="21"/>
                <w:highlight w:val="none"/>
              </w:rPr>
            </w:pPr>
            <w:r>
              <w:rPr>
                <w:rFonts w:hint="eastAsia" w:ascii="宋体" w:hAnsi="宋体" w:eastAsia="宋体" w:cs="宋体"/>
                <w:szCs w:val="21"/>
                <w:highlight w:val="none"/>
              </w:rPr>
              <w:t>⑥项目风险控制方案和应急处理方案（至少包含：风险和应急事项预见、应急响应时间情况介绍、风险和应急处理程序、相应的处置预案）。</w:t>
            </w:r>
          </w:p>
          <w:p w14:paraId="629A5BC4">
            <w:pPr>
              <w:spacing w:line="420" w:lineRule="exact"/>
              <w:rPr>
                <w:rFonts w:ascii="宋体" w:hAnsi="宋体" w:eastAsia="宋体" w:cs="宋体"/>
                <w:szCs w:val="21"/>
                <w:highlight w:val="none"/>
              </w:rPr>
            </w:pPr>
            <w:r>
              <w:rPr>
                <w:rFonts w:hint="eastAsia" w:ascii="宋体" w:hAnsi="宋体" w:eastAsia="宋体" w:cs="宋体"/>
                <w:szCs w:val="21"/>
                <w:highlight w:val="none"/>
              </w:rPr>
              <w:t>磋商小组对所有磋商响应文件的“昌宁县医共体总医院慢病管理信息系统建设技术方案”中6类单项内容进行详细的审查评价评分，本项总分为15分（每类单项内容最高2.5分），具体评审细则如下：</w:t>
            </w:r>
          </w:p>
          <w:p w14:paraId="1BC2090E">
            <w:pPr>
              <w:spacing w:line="420" w:lineRule="exact"/>
              <w:rPr>
                <w:rFonts w:ascii="宋体" w:hAnsi="宋体" w:eastAsia="宋体" w:cs="宋体"/>
                <w:szCs w:val="21"/>
                <w:highlight w:val="none"/>
              </w:rPr>
            </w:pPr>
            <w:r>
              <w:rPr>
                <w:rFonts w:hint="eastAsia" w:ascii="宋体" w:hAnsi="宋体" w:eastAsia="宋体" w:cs="宋体"/>
                <w:szCs w:val="21"/>
                <w:highlight w:val="none"/>
              </w:rPr>
              <w:t>（1）每一单项内容是基于采购需求并结合开展本项目业务系统所涉及的各项技术工作任务对应工作流程并在现行技术规范的要求下编制相应的技术工作方案，针对各项技术工作每个流程工序提出切实可行的具体实施流程和应对措施，技术工作方案准确详细描述相应工作流程和技术实施细则，相应技术方案科学、可执行力度强，对有效推进项目采购工作具有科学指导意义的得2.5分/项。</w:t>
            </w:r>
          </w:p>
          <w:p w14:paraId="4FBAE55A">
            <w:pPr>
              <w:spacing w:line="420" w:lineRule="exact"/>
              <w:rPr>
                <w:rFonts w:ascii="宋体" w:hAnsi="宋体" w:eastAsia="宋体" w:cs="宋体"/>
                <w:szCs w:val="21"/>
                <w:highlight w:val="none"/>
              </w:rPr>
            </w:pPr>
            <w:r>
              <w:rPr>
                <w:rFonts w:hint="eastAsia" w:ascii="宋体" w:hAnsi="宋体" w:eastAsia="宋体" w:cs="宋体"/>
                <w:szCs w:val="21"/>
                <w:highlight w:val="none"/>
              </w:rPr>
              <w:t>（2）每一单项内容是基于采购需求并结合开展本项目业务系统所涉及的各项技术工作任务对应工作流程并在现行技术规范的要求下编制相应的技术工作方案，相应技术方案基本完整但描述较为笼统，针对各项技术工作每个流程工序提出的实施流程和应对措施较为简单具有一定的可操作性，能指导开展项目采购工作的得1.5分/项。</w:t>
            </w:r>
          </w:p>
          <w:p w14:paraId="72FAD94E">
            <w:pPr>
              <w:spacing w:line="420" w:lineRule="exact"/>
              <w:rPr>
                <w:rFonts w:ascii="宋体" w:hAnsi="宋体" w:eastAsia="宋体" w:cs="宋体"/>
                <w:szCs w:val="21"/>
                <w:highlight w:val="none"/>
              </w:rPr>
            </w:pPr>
            <w:r>
              <w:rPr>
                <w:rFonts w:hint="eastAsia" w:ascii="宋体" w:hAnsi="宋体" w:eastAsia="宋体" w:cs="宋体"/>
                <w:szCs w:val="21"/>
                <w:highlight w:val="none"/>
              </w:rPr>
              <w:t>（3）每一单项内容基本符合采购需求和开展本项目业务系统所涉及的各项技术工作任务的标准和要求，相应技术方案描述简单不具体（如没有对相应工序的具体执行流程进行明确表述），存在明显瑕疵缺陷或存在前后逻辑错误，从而对项目采购工作的指导性欠佳的得0.5分/项。</w:t>
            </w:r>
            <w:bookmarkStart w:id="219" w:name="_GoBack"/>
            <w:bookmarkEnd w:id="219"/>
          </w:p>
          <w:p w14:paraId="746D2079">
            <w:pPr>
              <w:spacing w:line="420" w:lineRule="exact"/>
              <w:rPr>
                <w:rFonts w:ascii="宋体" w:hAnsi="宋体" w:eastAsia="宋体" w:cs="宋体"/>
                <w:szCs w:val="21"/>
                <w:highlight w:val="none"/>
              </w:rPr>
            </w:pPr>
            <w:r>
              <w:rPr>
                <w:rFonts w:hint="eastAsia" w:ascii="宋体" w:hAnsi="宋体" w:eastAsia="宋体" w:cs="宋体"/>
                <w:szCs w:val="21"/>
                <w:highlight w:val="none"/>
              </w:rPr>
              <w:t>（4）“昌宁县医共体总医院慢病管理信息系统建设技术方案”中单项内容的描述与本项目对应的内容无关或存在重大缺陷的【如：内容与项目不匹配、项目信息错误（包括时间、地点、名称等）、不符合本项目涉及的相关规范或标准要求等情形】或未提供相应方案的得0分/项。</w:t>
            </w:r>
          </w:p>
        </w:tc>
      </w:tr>
      <w:tr w14:paraId="21632C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62" w:type="dxa"/>
            <w:vMerge w:val="continue"/>
            <w:noWrap/>
            <w:vAlign w:val="center"/>
          </w:tcPr>
          <w:p w14:paraId="03028FBE">
            <w:pPr>
              <w:spacing w:line="420" w:lineRule="exact"/>
              <w:jc w:val="center"/>
              <w:rPr>
                <w:rFonts w:ascii="宋体" w:hAnsi="宋体" w:eastAsia="宋体" w:cs="宋体"/>
                <w:szCs w:val="21"/>
                <w:highlight w:val="none"/>
              </w:rPr>
            </w:pPr>
          </w:p>
        </w:tc>
        <w:tc>
          <w:tcPr>
            <w:tcW w:w="812" w:type="dxa"/>
            <w:vMerge w:val="continue"/>
            <w:noWrap/>
            <w:vAlign w:val="center"/>
          </w:tcPr>
          <w:p w14:paraId="76F0E74F">
            <w:pPr>
              <w:spacing w:line="420" w:lineRule="exact"/>
              <w:jc w:val="center"/>
              <w:rPr>
                <w:rFonts w:ascii="宋体" w:hAnsi="宋体" w:eastAsia="宋体" w:cs="宋体"/>
                <w:szCs w:val="21"/>
                <w:highlight w:val="none"/>
              </w:rPr>
            </w:pPr>
          </w:p>
        </w:tc>
        <w:tc>
          <w:tcPr>
            <w:tcW w:w="1075" w:type="dxa"/>
            <w:noWrap/>
            <w:vAlign w:val="center"/>
          </w:tcPr>
          <w:p w14:paraId="225F6590">
            <w:pPr>
              <w:kinsoku w:val="0"/>
              <w:overflowPunct w:val="0"/>
              <w:autoSpaceDE w:val="0"/>
              <w:autoSpaceDN w:val="0"/>
              <w:adjustRightInd w:val="0"/>
              <w:snapToGrid w:val="0"/>
              <w:spacing w:line="420" w:lineRule="exact"/>
              <w:jc w:val="center"/>
              <w:rPr>
                <w:rFonts w:ascii="宋体" w:hAnsi="宋体" w:eastAsia="宋体" w:cs="宋体"/>
                <w:szCs w:val="21"/>
                <w:highlight w:val="none"/>
              </w:rPr>
            </w:pPr>
            <w:r>
              <w:rPr>
                <w:rFonts w:hint="eastAsia" w:ascii="宋体" w:hAnsi="宋体" w:eastAsia="宋体" w:cs="宋体"/>
                <w:szCs w:val="21"/>
                <w:highlight w:val="none"/>
              </w:rPr>
              <w:t>项目技术培训服务方案（满分2分）</w:t>
            </w:r>
          </w:p>
        </w:tc>
        <w:tc>
          <w:tcPr>
            <w:tcW w:w="7775" w:type="dxa"/>
            <w:noWrap/>
            <w:vAlign w:val="center"/>
          </w:tcPr>
          <w:p w14:paraId="3B5D9BA8">
            <w:pPr>
              <w:widowControl/>
              <w:spacing w:line="420" w:lineRule="exact"/>
              <w:rPr>
                <w:rFonts w:ascii="宋体" w:hAnsi="宋体" w:eastAsia="宋体" w:cs="宋体"/>
                <w:szCs w:val="21"/>
                <w:highlight w:val="none"/>
              </w:rPr>
            </w:pPr>
            <w:r>
              <w:rPr>
                <w:rFonts w:hint="eastAsia" w:ascii="宋体" w:hAnsi="宋体" w:eastAsia="宋体" w:cs="宋体"/>
                <w:szCs w:val="21"/>
                <w:highlight w:val="none"/>
              </w:rPr>
              <w:t>此部分内容应充分结合本项目采购需求的全部内容以及磋商程序和方法的评审要求进行综合分析后进行编制，此部分包含但不限于：</w:t>
            </w:r>
          </w:p>
          <w:p w14:paraId="4EB90384">
            <w:pPr>
              <w:widowControl/>
              <w:spacing w:line="420" w:lineRule="exact"/>
              <w:rPr>
                <w:rFonts w:ascii="宋体" w:hAnsi="宋体" w:eastAsia="宋体" w:cs="宋体"/>
                <w:szCs w:val="21"/>
                <w:highlight w:val="none"/>
              </w:rPr>
            </w:pPr>
            <w:r>
              <w:rPr>
                <w:rFonts w:hint="eastAsia" w:ascii="宋体" w:hAnsi="宋体" w:eastAsia="宋体" w:cs="宋体"/>
                <w:szCs w:val="21"/>
                <w:highlight w:val="none"/>
              </w:rPr>
              <w:t>①项目技术培训内容和培训课程设置；</w:t>
            </w:r>
          </w:p>
          <w:p w14:paraId="4013FA37">
            <w:pPr>
              <w:widowControl/>
              <w:spacing w:line="420" w:lineRule="exact"/>
              <w:rPr>
                <w:rFonts w:ascii="宋体" w:hAnsi="宋体" w:eastAsia="宋体" w:cs="宋体"/>
                <w:szCs w:val="21"/>
                <w:highlight w:val="none"/>
              </w:rPr>
            </w:pPr>
            <w:r>
              <w:rPr>
                <w:rFonts w:hint="eastAsia" w:ascii="宋体" w:hAnsi="宋体" w:eastAsia="宋体" w:cs="宋体"/>
                <w:szCs w:val="21"/>
                <w:highlight w:val="none"/>
              </w:rPr>
              <w:t>②项目技术培训计划安排（明确具体培训模式、培训工作时间安排和具体各项课程安排等）。</w:t>
            </w:r>
          </w:p>
          <w:p w14:paraId="475BB57F">
            <w:pPr>
              <w:widowControl/>
              <w:spacing w:line="420" w:lineRule="exact"/>
              <w:rPr>
                <w:rFonts w:ascii="宋体" w:hAnsi="宋体" w:eastAsia="宋体" w:cs="宋体"/>
                <w:szCs w:val="21"/>
                <w:highlight w:val="none"/>
              </w:rPr>
            </w:pPr>
            <w:r>
              <w:rPr>
                <w:rFonts w:hint="eastAsia" w:ascii="宋体" w:hAnsi="宋体" w:eastAsia="宋体" w:cs="宋体"/>
                <w:szCs w:val="21"/>
                <w:highlight w:val="none"/>
              </w:rPr>
              <w:t>磋商小组对所有磋商响应文件的“项目技术培训服务方案”中2类单项内容进行详细的审查评价评分，本项总分为2分（每类单项内容最高1分），具体评审细则如下：</w:t>
            </w:r>
          </w:p>
          <w:p w14:paraId="3553B1F0">
            <w:pPr>
              <w:spacing w:line="400" w:lineRule="exact"/>
              <w:rPr>
                <w:rFonts w:ascii="宋体" w:hAnsi="宋体" w:eastAsia="宋体" w:cs="宋体"/>
                <w:szCs w:val="21"/>
                <w:highlight w:val="none"/>
              </w:rPr>
            </w:pPr>
            <w:r>
              <w:rPr>
                <w:rFonts w:hint="eastAsia" w:ascii="宋体" w:hAnsi="宋体" w:eastAsia="宋体" w:cs="宋体"/>
                <w:szCs w:val="21"/>
                <w:highlight w:val="none"/>
              </w:rPr>
              <w:t>（1）单项内容是基于采购需求和开展相应仪器设备使用技术培训服务的标准和要求进行编制，相应培训方案内容完整、相应培训流程和培训计划切实可行，完全契合采购需求，能确保培训工作高效有序推进的得1分/项；</w:t>
            </w:r>
          </w:p>
          <w:p w14:paraId="1A8C4768">
            <w:pPr>
              <w:spacing w:line="400" w:lineRule="exact"/>
              <w:rPr>
                <w:rFonts w:ascii="宋体" w:hAnsi="宋体" w:eastAsia="宋体" w:cs="宋体"/>
                <w:szCs w:val="21"/>
                <w:highlight w:val="none"/>
              </w:rPr>
            </w:pPr>
            <w:r>
              <w:rPr>
                <w:rFonts w:hint="eastAsia" w:ascii="宋体" w:hAnsi="宋体" w:eastAsia="宋体" w:cs="宋体"/>
                <w:szCs w:val="21"/>
                <w:highlight w:val="none"/>
              </w:rPr>
              <w:t>（2）单项内容均按照竞争性磋商文件要求编制，但相应培训方案存在缺失相关内容（如：存在未提供明确的培训课程设置、培训模式等情形的）或培训方案内容表述错误（如：内容前后表述矛盾、内容凭空编造、逻辑混乱、不可能实现的夸大的情形）的得0.5分/项；</w:t>
            </w:r>
          </w:p>
          <w:p w14:paraId="0D001342">
            <w:pPr>
              <w:widowControl/>
              <w:spacing w:line="420" w:lineRule="exact"/>
              <w:rPr>
                <w:rFonts w:ascii="宋体" w:hAnsi="宋体" w:eastAsia="宋体" w:cs="宋体"/>
                <w:szCs w:val="21"/>
                <w:highlight w:val="none"/>
              </w:rPr>
            </w:pPr>
            <w:r>
              <w:rPr>
                <w:rFonts w:hint="eastAsia" w:ascii="宋体" w:hAnsi="宋体" w:eastAsia="宋体" w:cs="宋体"/>
                <w:szCs w:val="21"/>
                <w:highlight w:val="none"/>
              </w:rPr>
              <w:t>（3）“项目技术培训服务方案”单项内容的描述与本项目对应的内容无关或存在重大缺陷的【如：内容与项目不匹配、项目信息错误（包括时间、地点、名称等）、不符合本项目涉及的相关规范或标准要求等情形】或未提供相应方案的关键性内容（如：未载明培训内容、培训工作时间安排，未提供对应单项内容）的得0分/项。</w:t>
            </w:r>
          </w:p>
        </w:tc>
      </w:tr>
      <w:tr w14:paraId="797EAF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62" w:type="dxa"/>
            <w:vMerge w:val="continue"/>
            <w:noWrap/>
            <w:vAlign w:val="center"/>
          </w:tcPr>
          <w:p w14:paraId="48771953">
            <w:pPr>
              <w:spacing w:line="420" w:lineRule="exact"/>
              <w:jc w:val="center"/>
              <w:rPr>
                <w:rFonts w:ascii="宋体" w:hAnsi="宋体" w:eastAsia="宋体" w:cs="宋体"/>
                <w:szCs w:val="21"/>
                <w:highlight w:val="none"/>
              </w:rPr>
            </w:pPr>
          </w:p>
        </w:tc>
        <w:tc>
          <w:tcPr>
            <w:tcW w:w="812" w:type="dxa"/>
            <w:vMerge w:val="continue"/>
            <w:noWrap/>
            <w:vAlign w:val="center"/>
          </w:tcPr>
          <w:p w14:paraId="69A723E3">
            <w:pPr>
              <w:spacing w:line="420" w:lineRule="exact"/>
              <w:jc w:val="center"/>
              <w:rPr>
                <w:rFonts w:ascii="宋体" w:hAnsi="宋体" w:eastAsia="宋体" w:cs="宋体"/>
                <w:szCs w:val="21"/>
                <w:highlight w:val="none"/>
              </w:rPr>
            </w:pPr>
          </w:p>
        </w:tc>
        <w:tc>
          <w:tcPr>
            <w:tcW w:w="1075" w:type="dxa"/>
            <w:noWrap/>
            <w:vAlign w:val="center"/>
          </w:tcPr>
          <w:p w14:paraId="29155E7F">
            <w:pPr>
              <w:kinsoku w:val="0"/>
              <w:overflowPunct w:val="0"/>
              <w:autoSpaceDE w:val="0"/>
              <w:autoSpaceDN w:val="0"/>
              <w:adjustRightInd w:val="0"/>
              <w:snapToGrid w:val="0"/>
              <w:spacing w:line="420" w:lineRule="exact"/>
              <w:jc w:val="center"/>
              <w:rPr>
                <w:rFonts w:ascii="宋体" w:hAnsi="宋体" w:eastAsia="宋体" w:cs="宋体"/>
                <w:szCs w:val="21"/>
                <w:highlight w:val="none"/>
              </w:rPr>
            </w:pPr>
            <w:r>
              <w:rPr>
                <w:rFonts w:hint="eastAsia" w:ascii="宋体" w:hAnsi="宋体" w:eastAsia="宋体" w:cs="宋体"/>
                <w:szCs w:val="21"/>
                <w:highlight w:val="none"/>
              </w:rPr>
              <w:t>售后服务能力介绍及售后服务方案（满分7.5分）</w:t>
            </w:r>
          </w:p>
        </w:tc>
        <w:tc>
          <w:tcPr>
            <w:tcW w:w="7775" w:type="dxa"/>
            <w:noWrap/>
            <w:vAlign w:val="center"/>
          </w:tcPr>
          <w:p w14:paraId="376A3EC2">
            <w:pPr>
              <w:widowControl/>
              <w:spacing w:line="420" w:lineRule="exact"/>
              <w:rPr>
                <w:rFonts w:ascii="宋体" w:hAnsi="宋体" w:eastAsia="宋体" w:cs="宋体"/>
                <w:szCs w:val="21"/>
                <w:highlight w:val="none"/>
              </w:rPr>
            </w:pPr>
            <w:r>
              <w:rPr>
                <w:rFonts w:hint="eastAsia" w:ascii="宋体" w:hAnsi="宋体" w:eastAsia="宋体" w:cs="宋体"/>
                <w:szCs w:val="21"/>
                <w:highlight w:val="none"/>
              </w:rPr>
              <w:t>此部分内容应充分结合本项目采购需求的全部内容以及磋商程序和方法的评审要求进行综合分析后进行编制，此部分包含但不限于：</w:t>
            </w:r>
          </w:p>
          <w:p w14:paraId="2D7B1C9F">
            <w:pPr>
              <w:widowControl/>
              <w:spacing w:line="420" w:lineRule="exact"/>
              <w:rPr>
                <w:rFonts w:ascii="宋体" w:hAnsi="宋体" w:eastAsia="宋体" w:cs="宋体"/>
                <w:szCs w:val="21"/>
                <w:highlight w:val="none"/>
              </w:rPr>
            </w:pPr>
            <w:r>
              <w:rPr>
                <w:rFonts w:hint="eastAsia" w:ascii="宋体" w:hAnsi="宋体" w:eastAsia="宋体" w:cs="宋体"/>
                <w:szCs w:val="21"/>
                <w:highlight w:val="none"/>
              </w:rPr>
              <w:t>①售后服务体系介绍和售后技术团队设置情况（提供售后服务机构设置情况和本次采购产品的备件库设置情况介绍和证明材料，售后管理技术人员数量、技术分工和岗位情况介绍等内容）；</w:t>
            </w:r>
          </w:p>
          <w:p w14:paraId="6F1F0818">
            <w:pPr>
              <w:widowControl/>
              <w:spacing w:line="420" w:lineRule="exact"/>
              <w:rPr>
                <w:rFonts w:ascii="宋体" w:hAnsi="宋体" w:eastAsia="宋体" w:cs="宋体"/>
                <w:szCs w:val="21"/>
                <w:highlight w:val="none"/>
              </w:rPr>
            </w:pPr>
            <w:r>
              <w:rPr>
                <w:rFonts w:hint="eastAsia" w:ascii="宋体" w:hAnsi="宋体" w:eastAsia="宋体" w:cs="宋体"/>
                <w:szCs w:val="21"/>
                <w:highlight w:val="none"/>
              </w:rPr>
              <w:t>②项目售后运维服务期限介绍，系统运维巡检、运行维护、系统升级技术方案；</w:t>
            </w:r>
          </w:p>
          <w:p w14:paraId="0AE72B07">
            <w:pPr>
              <w:widowControl/>
              <w:spacing w:line="420" w:lineRule="exact"/>
              <w:rPr>
                <w:rFonts w:ascii="宋体" w:hAnsi="宋体" w:eastAsia="宋体" w:cs="宋体"/>
                <w:szCs w:val="21"/>
                <w:highlight w:val="none"/>
              </w:rPr>
            </w:pPr>
            <w:r>
              <w:rPr>
                <w:rFonts w:hint="eastAsia" w:ascii="宋体" w:hAnsi="宋体" w:eastAsia="宋体" w:cs="宋体"/>
                <w:szCs w:val="21"/>
                <w:highlight w:val="none"/>
              </w:rPr>
              <w:t>③针对可能发生的各类售后服务问题进行解决、系统出现或者因外部原因形成的各类漏洞BUG进行系统修复和整改升级的工作机制、处理办法及响应（维修维护）时间安排。</w:t>
            </w:r>
          </w:p>
          <w:p w14:paraId="33B07D9C">
            <w:pPr>
              <w:spacing w:line="420" w:lineRule="exact"/>
              <w:jc w:val="left"/>
              <w:rPr>
                <w:rFonts w:ascii="宋体" w:hAnsi="宋体" w:eastAsia="宋体" w:cs="宋体"/>
                <w:szCs w:val="21"/>
                <w:highlight w:val="none"/>
              </w:rPr>
            </w:pPr>
            <w:r>
              <w:rPr>
                <w:rFonts w:hint="eastAsia" w:ascii="宋体" w:hAnsi="宋体" w:eastAsia="宋体" w:cs="宋体"/>
                <w:szCs w:val="21"/>
                <w:highlight w:val="none"/>
              </w:rPr>
              <w:t>磋商小组对所有磋商响应文件的“售后服务能力介绍及售后服务方案”中3类单项内容进行详细的审查评价评分，本项总分为7.5分（每类单项内容最高2.5分），具体评审细则如下：</w:t>
            </w:r>
          </w:p>
          <w:p w14:paraId="5FE5D9C6">
            <w:pPr>
              <w:spacing w:line="400" w:lineRule="exact"/>
              <w:rPr>
                <w:rFonts w:ascii="宋体" w:hAnsi="宋体" w:eastAsia="宋体" w:cs="宋体"/>
                <w:szCs w:val="21"/>
                <w:highlight w:val="none"/>
              </w:rPr>
            </w:pPr>
            <w:r>
              <w:rPr>
                <w:rFonts w:hint="eastAsia" w:ascii="宋体" w:hAnsi="宋体" w:eastAsia="宋体" w:cs="宋体"/>
                <w:szCs w:val="21"/>
                <w:highlight w:val="none"/>
              </w:rPr>
              <w:t>（1）单项内容是基于采购需求和项目售后服务要求进行编制，相应内容详实、齐全完整，磋商申请人具有完善的售后服务体系（指：提供售后服务机构设置情况和本次采购产品的备件库设置情况介绍和证明材料）、售后服务具有便捷性。磋商申请人提出的项目售后运维服务期限不低于本次采购要求；项目售后服务方案中工作任务计划和责任分工明确且契合采购需求，针对本次采购软硬件设施开展的满足采购需求的巡检、保养和运行维护服务提出准确详细描述相应的工作流程和技术实施细则；针对可能发生的各类售后服务问题和需要技术支持提出详细的售后服务工作机制和处理办法，提出的售后维护和相应技术支持作出的响应（维护维修）时间短（优于采购需求中的相关售后服务时间要求）的得2.5分/项。</w:t>
            </w:r>
          </w:p>
          <w:p w14:paraId="7B72408C">
            <w:pPr>
              <w:spacing w:line="400" w:lineRule="exact"/>
              <w:rPr>
                <w:rFonts w:ascii="宋体" w:hAnsi="宋体" w:eastAsia="宋体" w:cs="宋体"/>
                <w:szCs w:val="21"/>
                <w:highlight w:val="none"/>
              </w:rPr>
            </w:pPr>
            <w:r>
              <w:rPr>
                <w:rFonts w:hint="eastAsia" w:ascii="宋体" w:hAnsi="宋体" w:eastAsia="宋体" w:cs="宋体"/>
                <w:szCs w:val="21"/>
                <w:highlight w:val="none"/>
              </w:rPr>
              <w:t>（2）单项内容均按照竞争性磋商文件要求编制，磋商申请人具有较为完善的售后服务体系（指：磋商申请人与投标产品制造商共建的售后服务机构和产品备件库设置情况或依托拟提供产品制造商的售后服务机构和产品备件库设置情况证明材料）、售后服务较为便捷。磋商申请人提出的项目售后运维服务期限不低于本次采购要求；项目售后服务方案中工作任务计划和责任分工有一定阐述但不详实；对本次采购软硬件设施开展的满足采购需求的巡检、保养和运行维护服务提出了常规、通用的实施流程和技术实施细则，与采购需求契合度不高的；针对可能发生的各类售后服务问题提出了常规、通用售后服务工作机制和处理办法，提出的售后维护和相应技术支持作出的响应（维护维修）时间较短（满足采购需求中的相关售后服务时间要求）的得1.5分/项。</w:t>
            </w:r>
          </w:p>
          <w:p w14:paraId="3AB67227">
            <w:pPr>
              <w:spacing w:line="400" w:lineRule="exact"/>
              <w:rPr>
                <w:rFonts w:ascii="宋体" w:hAnsi="宋体" w:eastAsia="宋体" w:cs="宋体"/>
                <w:szCs w:val="21"/>
                <w:highlight w:val="none"/>
              </w:rPr>
            </w:pPr>
            <w:r>
              <w:rPr>
                <w:rFonts w:hint="eastAsia" w:ascii="宋体" w:hAnsi="宋体" w:eastAsia="宋体" w:cs="宋体"/>
                <w:szCs w:val="21"/>
                <w:highlight w:val="none"/>
              </w:rPr>
              <w:t>（3）单项内容存在缺失相关内容（如：存在部分售后服务体系证明材料缺失、未提供明确的工作任务计划和责任分工、未提供明确的售后维护和相应技术支持作出的响应（维护维修）时间、采购软硬件设施开展的满足采购需求的巡检、保养和运行维护服务的标准的情形）或单项内容存在内容表述错误（如：内容前后表述矛盾、内容凭空编造、逻辑混乱、不可能实现的夸大的情形），但磋商申请人提出的项目售后运维服务期限满足本次采购要求；的得0.5分/项；</w:t>
            </w:r>
          </w:p>
          <w:p w14:paraId="20877DE8">
            <w:pPr>
              <w:widowControl/>
              <w:spacing w:line="420" w:lineRule="exact"/>
              <w:rPr>
                <w:rFonts w:ascii="宋体" w:hAnsi="宋体" w:eastAsia="宋体" w:cs="宋体"/>
                <w:szCs w:val="21"/>
                <w:highlight w:val="none"/>
              </w:rPr>
            </w:pPr>
            <w:r>
              <w:rPr>
                <w:rFonts w:hint="eastAsia" w:ascii="宋体" w:hAnsi="宋体" w:eastAsia="宋体" w:cs="宋体"/>
                <w:szCs w:val="21"/>
                <w:highlight w:val="none"/>
              </w:rPr>
              <w:t>（4）“售后服务能力介绍及售后服务方案”中单项内容的描述与本项目对应的内容无关或存在重大缺陷的【如：内容与项目不匹配、项目信息错误（包括时间、地点、名称等）、不符合本项目涉及的相关规范或标准要求等情形】或未提供相应方案的关键性内容（如：未提供售后服务体系证明材料、未提供明确的售后服务实施流程和技术实施细则、未提供售后问题的处置工作机制和处理办法、未提供对应单项内容）的得0分/项。</w:t>
            </w:r>
          </w:p>
        </w:tc>
      </w:tr>
      <w:tr w14:paraId="75043B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62" w:type="dxa"/>
            <w:vMerge w:val="continue"/>
            <w:noWrap/>
            <w:vAlign w:val="center"/>
          </w:tcPr>
          <w:p w14:paraId="43D59D4E">
            <w:pPr>
              <w:spacing w:line="420" w:lineRule="exact"/>
              <w:jc w:val="center"/>
              <w:rPr>
                <w:rFonts w:ascii="宋体" w:hAnsi="宋体" w:eastAsia="宋体" w:cs="宋体"/>
                <w:szCs w:val="21"/>
                <w:highlight w:val="none"/>
              </w:rPr>
            </w:pPr>
          </w:p>
        </w:tc>
        <w:tc>
          <w:tcPr>
            <w:tcW w:w="812" w:type="dxa"/>
            <w:vMerge w:val="continue"/>
            <w:noWrap/>
            <w:vAlign w:val="center"/>
          </w:tcPr>
          <w:p w14:paraId="4E4829A0">
            <w:pPr>
              <w:spacing w:line="420" w:lineRule="exact"/>
              <w:jc w:val="center"/>
              <w:rPr>
                <w:rFonts w:ascii="宋体" w:hAnsi="宋体" w:eastAsia="宋体" w:cs="宋体"/>
                <w:szCs w:val="21"/>
                <w:highlight w:val="none"/>
              </w:rPr>
            </w:pPr>
          </w:p>
        </w:tc>
        <w:tc>
          <w:tcPr>
            <w:tcW w:w="1075" w:type="dxa"/>
            <w:noWrap/>
            <w:vAlign w:val="center"/>
          </w:tcPr>
          <w:p w14:paraId="2DF3EA72">
            <w:pPr>
              <w:kinsoku w:val="0"/>
              <w:overflowPunct w:val="0"/>
              <w:autoSpaceDE w:val="0"/>
              <w:autoSpaceDN w:val="0"/>
              <w:adjustRightInd w:val="0"/>
              <w:snapToGrid w:val="0"/>
              <w:spacing w:line="420" w:lineRule="exact"/>
              <w:jc w:val="center"/>
              <w:rPr>
                <w:rFonts w:ascii="宋体" w:hAnsi="宋体" w:eastAsia="宋体" w:cs="宋体"/>
                <w:szCs w:val="21"/>
                <w:highlight w:val="none"/>
              </w:rPr>
            </w:pPr>
            <w:r>
              <w:rPr>
                <w:rFonts w:hint="eastAsia" w:ascii="宋体" w:hAnsi="宋体" w:eastAsia="宋体" w:cs="宋体"/>
                <w:szCs w:val="21"/>
                <w:highlight w:val="none"/>
              </w:rPr>
              <w:t>昌宁县医共体总医院慢病管理信息系统后期运维服务情况表（满分5分）</w:t>
            </w:r>
          </w:p>
        </w:tc>
        <w:tc>
          <w:tcPr>
            <w:tcW w:w="7775" w:type="dxa"/>
            <w:noWrap/>
            <w:vAlign w:val="center"/>
          </w:tcPr>
          <w:p w14:paraId="713384C0">
            <w:pPr>
              <w:spacing w:line="420" w:lineRule="exact"/>
              <w:rPr>
                <w:rFonts w:ascii="宋体" w:hAnsi="宋体" w:eastAsia="宋体" w:cs="宋体"/>
                <w:szCs w:val="21"/>
                <w:highlight w:val="none"/>
              </w:rPr>
            </w:pPr>
            <w:r>
              <w:rPr>
                <w:rFonts w:hint="eastAsia" w:ascii="宋体" w:hAnsi="宋体" w:eastAsia="宋体" w:cs="宋体"/>
                <w:szCs w:val="21"/>
                <w:highlight w:val="none"/>
              </w:rPr>
              <w:t>本次采购的昌宁县医共体总医院慢病管理信息系统需要长期的运行维护，采购人将考虑本项目的售后运维服务期满后的昌宁县医共体总医院慢病管理信息系统运行维护服务工作的实际需求，后续运维服务内容包含昌宁县医共体总医院慢病管理信息系统在运行中的故障排错、信息数据维护备份及恢复、系统及数据库适配调整、昌宁县医共体总医院慢病管理信息系统定期升级更新等工作。参与本项目的磋商申请人可根据项目实际情况填报后续运行维护服务费，此服务费将纳入合同签署的考虑范畴。</w:t>
            </w:r>
          </w:p>
          <w:p w14:paraId="0F2FDD85">
            <w:pPr>
              <w:spacing w:line="420" w:lineRule="exact"/>
              <w:rPr>
                <w:rFonts w:ascii="宋体" w:hAnsi="宋体" w:eastAsia="宋体" w:cs="宋体"/>
                <w:szCs w:val="21"/>
                <w:highlight w:val="none"/>
              </w:rPr>
            </w:pPr>
            <w:r>
              <w:rPr>
                <w:rFonts w:hint="eastAsia" w:ascii="宋体" w:hAnsi="宋体" w:eastAsia="宋体" w:cs="宋体"/>
                <w:szCs w:val="21"/>
                <w:highlight w:val="none"/>
              </w:rPr>
              <w:t>评标委员会根据磋商申请人填报的昌宁县医共体总医院慢病管理信息系统后期运维服务费基于投标报价比例</w:t>
            </w:r>
            <w:r>
              <w:rPr>
                <w:rFonts w:hint="eastAsia" w:ascii="宋体" w:hAnsi="宋体" w:eastAsia="宋体" w:cs="宋体"/>
                <w:kern w:val="0"/>
                <w:szCs w:val="21"/>
                <w:highlight w:val="none"/>
              </w:rPr>
              <w:t>的情况进行评分：</w:t>
            </w:r>
          </w:p>
          <w:p w14:paraId="31911A69">
            <w:pPr>
              <w:spacing w:line="420" w:lineRule="exact"/>
              <w:rPr>
                <w:rFonts w:ascii="宋体" w:hAnsi="宋体" w:eastAsia="宋体" w:cs="宋体"/>
                <w:szCs w:val="21"/>
                <w:highlight w:val="none"/>
              </w:rPr>
            </w:pPr>
            <w:r>
              <w:rPr>
                <w:rFonts w:hint="eastAsia" w:ascii="宋体" w:hAnsi="宋体" w:eastAsia="宋体" w:cs="宋体"/>
                <w:szCs w:val="21"/>
                <w:highlight w:val="none"/>
              </w:rPr>
              <w:t>所有磋商申请人填报的昌宁县医共体总医院慢病管理信息系统后期运维服务费基于投标报价比例</w:t>
            </w:r>
            <w:r>
              <w:rPr>
                <w:rFonts w:hint="eastAsia" w:ascii="宋体" w:hAnsi="宋体" w:eastAsia="宋体" w:cs="宋体"/>
                <w:kern w:val="0"/>
                <w:szCs w:val="21"/>
                <w:highlight w:val="none"/>
              </w:rPr>
              <w:t>最低</w:t>
            </w:r>
            <w:r>
              <w:rPr>
                <w:rFonts w:hint="eastAsia" w:ascii="宋体" w:hAnsi="宋体" w:eastAsia="宋体" w:cs="宋体"/>
                <w:szCs w:val="21"/>
                <w:highlight w:val="none"/>
              </w:rPr>
              <w:t>的磋商申请人本项得满分</w:t>
            </w:r>
            <w:r>
              <w:rPr>
                <w:rFonts w:hint="eastAsia" w:hAnsi="宋体" w:cs="宋体"/>
                <w:szCs w:val="21"/>
                <w:highlight w:val="none"/>
              </w:rPr>
              <w:t>5</w:t>
            </w:r>
            <w:r>
              <w:rPr>
                <w:rFonts w:hint="eastAsia" w:ascii="宋体" w:hAnsi="宋体" w:eastAsia="宋体" w:cs="宋体"/>
                <w:szCs w:val="21"/>
                <w:highlight w:val="none"/>
              </w:rPr>
              <w:t>分，其他有效磋商申请人的得分=（作出最低的昌宁县医共体总医院慢病管理信息系统后期运维服务费基于投标报价比例÷其他有效磋商申请人作出的昌宁县医共体总医院慢病管理信息系统后期运维服务费基于投标报价比例）×5分。</w:t>
            </w:r>
          </w:p>
          <w:p w14:paraId="14282C21">
            <w:pPr>
              <w:spacing w:line="420" w:lineRule="exact"/>
              <w:rPr>
                <w:rFonts w:ascii="宋体" w:hAnsi="宋体" w:eastAsia="宋体" w:cs="宋体"/>
                <w:kern w:val="0"/>
                <w:szCs w:val="21"/>
                <w:highlight w:val="none"/>
              </w:rPr>
            </w:pPr>
            <w:r>
              <w:rPr>
                <w:rFonts w:hint="eastAsia" w:ascii="宋体" w:hAnsi="宋体" w:eastAsia="宋体" w:cs="宋体"/>
                <w:kern w:val="0"/>
                <w:szCs w:val="21"/>
                <w:highlight w:val="none"/>
              </w:rPr>
              <w:t>注：</w:t>
            </w:r>
          </w:p>
          <w:p w14:paraId="0F51BD59">
            <w:pPr>
              <w:spacing w:line="420" w:lineRule="exact"/>
              <w:rPr>
                <w:rFonts w:ascii="宋体" w:hAnsi="宋体" w:eastAsia="宋体" w:cs="宋体"/>
                <w:szCs w:val="21"/>
                <w:highlight w:val="none"/>
              </w:rPr>
            </w:pPr>
            <w:r>
              <w:rPr>
                <w:rFonts w:hint="eastAsia" w:ascii="宋体" w:hAnsi="宋体" w:eastAsia="宋体" w:cs="宋体"/>
                <w:kern w:val="0"/>
                <w:szCs w:val="21"/>
                <w:highlight w:val="none"/>
              </w:rPr>
              <w:t>1.计划昌宁县医共体总医院慢病管理信息系统后期运维服务费金额是指磋商申请人若有幸成交，计划在售后运维服务期满后为采购人继续提供后续运维服务的金额，昌宁县医共体总医院慢病管理信息系统后期运维服务费基于磋商报价总价比例是指计划昌宁县医共体总医院慢病管理信息系统后期运维服务费金额与磋商申请人本次填报的磋商报价总价的比值，即：昌宁县医共体总医院慢病管理信息系统后期运维服务费基于磋商报价总价比例=（昌宁县医共体总医院慢病管理信息系统后期运维服务费金额÷磋商申请人本次填报的磋商报价总价）×100%。</w:t>
            </w:r>
          </w:p>
          <w:p w14:paraId="5683E621">
            <w:pPr>
              <w:widowControl/>
              <w:spacing w:line="420" w:lineRule="exact"/>
              <w:rPr>
                <w:rFonts w:ascii="宋体" w:hAnsi="宋体" w:eastAsia="宋体" w:cs="宋体"/>
                <w:szCs w:val="21"/>
                <w:highlight w:val="none"/>
              </w:rPr>
            </w:pPr>
            <w:r>
              <w:rPr>
                <w:rFonts w:hint="eastAsia" w:ascii="宋体" w:hAnsi="宋体" w:eastAsia="宋体" w:cs="宋体"/>
                <w:kern w:val="0"/>
                <w:szCs w:val="21"/>
                <w:highlight w:val="none"/>
              </w:rPr>
              <w:t>2.</w:t>
            </w:r>
            <w:r>
              <w:rPr>
                <w:rFonts w:hint="eastAsia" w:ascii="宋体" w:hAnsi="宋体" w:eastAsia="宋体" w:cs="宋体"/>
                <w:szCs w:val="21"/>
                <w:highlight w:val="none"/>
              </w:rPr>
              <w:t>磋商申请人针对昌宁县医共体总医院慢病管理信息系统后期运维服务填报的昌宁县医共体总医院慢病管理信息系统后期运维服务费基于投标报价比例不能高于投标报价的</w:t>
            </w:r>
            <w:r>
              <w:rPr>
                <w:rFonts w:hint="eastAsia" w:ascii="宋体" w:hAnsi="宋体" w:eastAsia="宋体" w:cs="宋体"/>
                <w:szCs w:val="21"/>
                <w:highlight w:val="none"/>
                <w:lang w:val="en-US" w:eastAsia="zh-CN"/>
              </w:rPr>
              <w:t>8</w:t>
            </w:r>
            <w:r>
              <w:rPr>
                <w:rFonts w:hint="eastAsia" w:hAnsi="宋体" w:cs="宋体"/>
                <w:szCs w:val="21"/>
                <w:highlight w:val="none"/>
              </w:rPr>
              <w:t>%</w:t>
            </w:r>
            <w:r>
              <w:rPr>
                <w:rFonts w:hint="eastAsia" w:ascii="宋体" w:hAnsi="宋体" w:eastAsia="宋体" w:cs="宋体"/>
                <w:szCs w:val="21"/>
                <w:highlight w:val="none"/>
              </w:rPr>
              <w:t>。若磋商申请人填报的昌宁县医共体总医院慢病管理信息系统后期运维服务费基于投标报价比例高于</w:t>
            </w:r>
            <w:r>
              <w:rPr>
                <w:rFonts w:hint="eastAsia" w:ascii="宋体" w:hAnsi="宋体" w:eastAsia="宋体" w:cs="宋体"/>
                <w:szCs w:val="21"/>
                <w:highlight w:val="none"/>
                <w:lang w:val="en-US" w:eastAsia="zh-CN"/>
              </w:rPr>
              <w:t>8</w:t>
            </w:r>
            <w:r>
              <w:rPr>
                <w:rFonts w:hint="eastAsia" w:hAnsi="宋体" w:cs="宋体"/>
                <w:szCs w:val="21"/>
                <w:highlight w:val="none"/>
              </w:rPr>
              <w:t>%</w:t>
            </w:r>
            <w:r>
              <w:rPr>
                <w:rFonts w:hint="eastAsia" w:ascii="宋体" w:hAnsi="宋体" w:eastAsia="宋体" w:cs="宋体"/>
                <w:szCs w:val="21"/>
                <w:highlight w:val="none"/>
              </w:rPr>
              <w:t>，则本项按0分计。</w:t>
            </w:r>
          </w:p>
        </w:tc>
      </w:tr>
      <w:tr w14:paraId="6E4E32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62" w:type="dxa"/>
            <w:vMerge w:val="continue"/>
            <w:noWrap/>
            <w:vAlign w:val="center"/>
          </w:tcPr>
          <w:p w14:paraId="3452A7FE">
            <w:pPr>
              <w:spacing w:line="420" w:lineRule="exact"/>
              <w:jc w:val="center"/>
              <w:rPr>
                <w:rFonts w:ascii="宋体" w:hAnsi="宋体" w:eastAsia="宋体" w:cs="宋体"/>
                <w:szCs w:val="21"/>
                <w:highlight w:val="none"/>
              </w:rPr>
            </w:pPr>
          </w:p>
        </w:tc>
        <w:tc>
          <w:tcPr>
            <w:tcW w:w="812" w:type="dxa"/>
            <w:vMerge w:val="continue"/>
            <w:noWrap/>
            <w:vAlign w:val="center"/>
          </w:tcPr>
          <w:p w14:paraId="6E00C20D">
            <w:pPr>
              <w:spacing w:line="420" w:lineRule="exact"/>
              <w:jc w:val="center"/>
              <w:rPr>
                <w:rFonts w:ascii="宋体" w:hAnsi="宋体" w:eastAsia="宋体" w:cs="宋体"/>
                <w:szCs w:val="21"/>
                <w:highlight w:val="none"/>
              </w:rPr>
            </w:pPr>
          </w:p>
        </w:tc>
        <w:tc>
          <w:tcPr>
            <w:tcW w:w="1075" w:type="dxa"/>
            <w:noWrap/>
            <w:vAlign w:val="center"/>
          </w:tcPr>
          <w:p w14:paraId="1DE2DCB0">
            <w:pPr>
              <w:kinsoku w:val="0"/>
              <w:overflowPunct w:val="0"/>
              <w:autoSpaceDE w:val="0"/>
              <w:autoSpaceDN w:val="0"/>
              <w:adjustRightInd w:val="0"/>
              <w:snapToGrid w:val="0"/>
              <w:spacing w:line="420" w:lineRule="exact"/>
              <w:jc w:val="center"/>
              <w:rPr>
                <w:rFonts w:ascii="宋体" w:hAnsi="宋体" w:eastAsia="宋体" w:cs="宋体"/>
                <w:szCs w:val="21"/>
                <w:highlight w:val="none"/>
              </w:rPr>
            </w:pPr>
            <w:r>
              <w:rPr>
                <w:rFonts w:hint="eastAsia" w:ascii="宋体" w:hAnsi="宋体" w:eastAsia="宋体" w:cs="宋体"/>
                <w:szCs w:val="21"/>
                <w:highlight w:val="none"/>
              </w:rPr>
              <w:t>承担本项目的相关违约承诺（满分8分）</w:t>
            </w:r>
          </w:p>
        </w:tc>
        <w:tc>
          <w:tcPr>
            <w:tcW w:w="7775" w:type="dxa"/>
            <w:noWrap/>
            <w:vAlign w:val="center"/>
          </w:tcPr>
          <w:p w14:paraId="0C2226C1">
            <w:pPr>
              <w:kinsoku w:val="0"/>
              <w:overflowPunct w:val="0"/>
              <w:autoSpaceDE w:val="0"/>
              <w:autoSpaceDN w:val="0"/>
              <w:adjustRightInd w:val="0"/>
              <w:snapToGrid w:val="0"/>
              <w:spacing w:line="420" w:lineRule="exact"/>
              <w:jc w:val="left"/>
              <w:rPr>
                <w:rFonts w:ascii="宋体" w:hAnsi="宋体" w:eastAsia="宋体" w:cs="宋体"/>
                <w:szCs w:val="21"/>
                <w:highlight w:val="none"/>
              </w:rPr>
            </w:pPr>
            <w:r>
              <w:rPr>
                <w:rFonts w:hint="eastAsia" w:ascii="宋体" w:hAnsi="宋体" w:eastAsia="宋体" w:cs="宋体"/>
                <w:szCs w:val="21"/>
                <w:highlight w:val="none"/>
              </w:rPr>
              <w:t>此部分内容应充分结合本项目采购需求的全部内容以及磋商程序和方法的评审要求进行综合分析后进行编制，此部分包含但不限于：</w:t>
            </w:r>
          </w:p>
          <w:p w14:paraId="36790D5C">
            <w:pPr>
              <w:kinsoku w:val="0"/>
              <w:overflowPunct w:val="0"/>
              <w:autoSpaceDE w:val="0"/>
              <w:autoSpaceDN w:val="0"/>
              <w:adjustRightInd w:val="0"/>
              <w:snapToGrid w:val="0"/>
              <w:spacing w:line="420" w:lineRule="exact"/>
              <w:jc w:val="left"/>
              <w:rPr>
                <w:rFonts w:ascii="宋体" w:hAnsi="宋体" w:eastAsia="宋体" w:cs="宋体"/>
                <w:szCs w:val="21"/>
                <w:highlight w:val="none"/>
              </w:rPr>
            </w:pPr>
            <w:r>
              <w:rPr>
                <w:rFonts w:hint="eastAsia" w:ascii="宋体" w:hAnsi="宋体" w:eastAsia="宋体" w:cs="宋体"/>
                <w:szCs w:val="21"/>
                <w:highlight w:val="none"/>
              </w:rPr>
              <w:t>①针对未按合同履行期限规定的时间完成本项目所有采购任务的违约承诺；</w:t>
            </w:r>
          </w:p>
          <w:p w14:paraId="64A3E1CE">
            <w:pPr>
              <w:kinsoku w:val="0"/>
              <w:overflowPunct w:val="0"/>
              <w:autoSpaceDE w:val="0"/>
              <w:autoSpaceDN w:val="0"/>
              <w:adjustRightInd w:val="0"/>
              <w:snapToGrid w:val="0"/>
              <w:spacing w:line="420" w:lineRule="exact"/>
              <w:jc w:val="left"/>
              <w:rPr>
                <w:rFonts w:ascii="宋体" w:hAnsi="宋体" w:eastAsia="宋体" w:cs="宋体"/>
                <w:szCs w:val="21"/>
                <w:highlight w:val="none"/>
              </w:rPr>
            </w:pPr>
            <w:r>
              <w:rPr>
                <w:rFonts w:hint="eastAsia" w:ascii="宋体" w:hAnsi="宋体" w:eastAsia="宋体" w:cs="宋体"/>
                <w:szCs w:val="21"/>
                <w:highlight w:val="none"/>
              </w:rPr>
              <w:t>②针对发生本项目采购系统验收不合格的违约承诺；</w:t>
            </w:r>
          </w:p>
          <w:p w14:paraId="43A46053">
            <w:pPr>
              <w:kinsoku w:val="0"/>
              <w:overflowPunct w:val="0"/>
              <w:autoSpaceDE w:val="0"/>
              <w:autoSpaceDN w:val="0"/>
              <w:adjustRightInd w:val="0"/>
              <w:snapToGrid w:val="0"/>
              <w:spacing w:line="420" w:lineRule="exact"/>
              <w:jc w:val="left"/>
              <w:rPr>
                <w:rFonts w:ascii="宋体" w:hAnsi="宋体" w:eastAsia="宋体" w:cs="宋体"/>
                <w:szCs w:val="21"/>
                <w:highlight w:val="none"/>
              </w:rPr>
            </w:pPr>
            <w:r>
              <w:rPr>
                <w:rFonts w:hint="eastAsia" w:ascii="宋体" w:hAnsi="宋体" w:eastAsia="宋体" w:cs="宋体"/>
                <w:szCs w:val="21"/>
                <w:highlight w:val="none"/>
              </w:rPr>
              <w:t>③针对提供的各项售后服务工作质量不达标的违约承诺；</w:t>
            </w:r>
          </w:p>
          <w:p w14:paraId="75BCEEFB">
            <w:pPr>
              <w:kinsoku w:val="0"/>
              <w:overflowPunct w:val="0"/>
              <w:autoSpaceDE w:val="0"/>
              <w:autoSpaceDN w:val="0"/>
              <w:adjustRightInd w:val="0"/>
              <w:snapToGrid w:val="0"/>
              <w:spacing w:line="420" w:lineRule="exact"/>
              <w:jc w:val="left"/>
              <w:rPr>
                <w:rFonts w:ascii="宋体" w:hAnsi="宋体" w:eastAsia="宋体" w:cs="宋体"/>
                <w:szCs w:val="21"/>
                <w:highlight w:val="none"/>
              </w:rPr>
            </w:pPr>
            <w:r>
              <w:rPr>
                <w:rFonts w:hint="eastAsia" w:ascii="宋体" w:hAnsi="宋体" w:eastAsia="宋体" w:cs="宋体"/>
                <w:szCs w:val="21"/>
                <w:highlight w:val="none"/>
              </w:rPr>
              <w:t>④针对发生项目管理问题（如项目信息数据安全问题、知识产权问题、廉政问题）的违约承诺。</w:t>
            </w:r>
          </w:p>
          <w:p w14:paraId="16C1C546">
            <w:pPr>
              <w:kinsoku w:val="0"/>
              <w:overflowPunct w:val="0"/>
              <w:autoSpaceDE w:val="0"/>
              <w:autoSpaceDN w:val="0"/>
              <w:adjustRightInd w:val="0"/>
              <w:snapToGrid w:val="0"/>
              <w:spacing w:line="420" w:lineRule="exact"/>
              <w:jc w:val="left"/>
              <w:rPr>
                <w:rFonts w:ascii="宋体" w:hAnsi="宋体" w:eastAsia="宋体" w:cs="宋体"/>
                <w:szCs w:val="21"/>
                <w:highlight w:val="none"/>
              </w:rPr>
            </w:pPr>
            <w:r>
              <w:rPr>
                <w:rFonts w:hint="eastAsia" w:ascii="宋体" w:hAnsi="宋体" w:eastAsia="宋体" w:cs="宋体"/>
                <w:szCs w:val="21"/>
                <w:highlight w:val="none"/>
              </w:rPr>
              <w:t>磋商小组对所有磋商响应文件的“承担本项目的相关违约承诺”中4类单项内容进行详细的审查评价评分，本项总分为8分（每类单项内容最高2分），具体评审细则如下：</w:t>
            </w:r>
          </w:p>
          <w:p w14:paraId="21F5B58A">
            <w:pPr>
              <w:kinsoku w:val="0"/>
              <w:overflowPunct w:val="0"/>
              <w:autoSpaceDE w:val="0"/>
              <w:autoSpaceDN w:val="0"/>
              <w:adjustRightInd w:val="0"/>
              <w:snapToGrid w:val="0"/>
              <w:spacing w:line="420" w:lineRule="exact"/>
              <w:jc w:val="left"/>
              <w:rPr>
                <w:rFonts w:ascii="宋体" w:hAnsi="宋体" w:eastAsia="宋体" w:cs="宋体"/>
                <w:szCs w:val="21"/>
                <w:highlight w:val="none"/>
              </w:rPr>
            </w:pPr>
            <w:r>
              <w:rPr>
                <w:rFonts w:hint="eastAsia" w:ascii="宋体" w:hAnsi="宋体" w:eastAsia="宋体" w:cs="宋体"/>
                <w:szCs w:val="21"/>
                <w:highlight w:val="none"/>
              </w:rPr>
              <w:t>（1）“承担本项目的相关服务承诺”中4类单个小项违约承诺是针对若发生违反此类情况提出结合我国现行的《中华人民共和国民法典》及行业主管部门对本次采购软件开发建设服务的相关法律法规作出切实可行的违约补救或赔偿措施，及针对相应违约内容提出具有明确且能保障采购人权益的违约金额的得2分/项。</w:t>
            </w:r>
          </w:p>
          <w:p w14:paraId="0E5B0727">
            <w:pPr>
              <w:kinsoku w:val="0"/>
              <w:overflowPunct w:val="0"/>
              <w:autoSpaceDE w:val="0"/>
              <w:autoSpaceDN w:val="0"/>
              <w:adjustRightInd w:val="0"/>
              <w:snapToGrid w:val="0"/>
              <w:spacing w:line="420" w:lineRule="exact"/>
              <w:jc w:val="left"/>
              <w:rPr>
                <w:rFonts w:ascii="宋体" w:hAnsi="宋体" w:eastAsia="宋体" w:cs="宋体"/>
                <w:szCs w:val="21"/>
                <w:highlight w:val="none"/>
              </w:rPr>
            </w:pPr>
            <w:r>
              <w:rPr>
                <w:rFonts w:hint="eastAsia" w:ascii="宋体" w:hAnsi="宋体" w:eastAsia="宋体" w:cs="宋体"/>
                <w:szCs w:val="21"/>
                <w:highlight w:val="none"/>
              </w:rPr>
              <w:t>（2）“承担本项目的相关服务承诺”中4类单个小项违约承诺是针对若发生违反此类情况提出结合我国现行的《中华人民共和国民法典》及行业主管部门对本次采购各类产品和业务系统商用密码改造服务的相关法律法规作出具有一定可操作性的违约补救或赔偿措施，针对相应违约内容提出明确的违约金额但违约金额对保障采购人相应权益的力度较小的得1分/项。</w:t>
            </w:r>
          </w:p>
          <w:p w14:paraId="260A2648">
            <w:pPr>
              <w:kinsoku w:val="0"/>
              <w:overflowPunct w:val="0"/>
              <w:autoSpaceDE w:val="0"/>
              <w:autoSpaceDN w:val="0"/>
              <w:adjustRightInd w:val="0"/>
              <w:snapToGrid w:val="0"/>
              <w:spacing w:line="420" w:lineRule="exact"/>
              <w:jc w:val="left"/>
              <w:rPr>
                <w:rFonts w:ascii="宋体" w:hAnsi="宋体" w:eastAsia="宋体" w:cs="宋体"/>
                <w:szCs w:val="21"/>
                <w:highlight w:val="none"/>
              </w:rPr>
            </w:pPr>
            <w:r>
              <w:rPr>
                <w:rFonts w:hint="eastAsia" w:ascii="宋体" w:hAnsi="宋体" w:eastAsia="宋体" w:cs="宋体"/>
                <w:szCs w:val="21"/>
                <w:highlight w:val="none"/>
              </w:rPr>
              <w:t>（3）“承担本项目的相关服务承诺”中4类单个小项违约承诺针对若发生违反此类情况做出的违约补救或赔偿措施不具体、不明确的，没有针对相应违约内容提出具体的违约金额的得0.5分/项。</w:t>
            </w:r>
          </w:p>
          <w:p w14:paraId="63F7E9C3">
            <w:pPr>
              <w:widowControl/>
              <w:spacing w:line="420" w:lineRule="exact"/>
              <w:rPr>
                <w:rFonts w:ascii="宋体" w:hAnsi="宋体" w:eastAsia="宋体" w:cs="宋体"/>
                <w:szCs w:val="21"/>
                <w:highlight w:val="none"/>
              </w:rPr>
            </w:pPr>
            <w:r>
              <w:rPr>
                <w:rFonts w:hint="eastAsia" w:ascii="宋体" w:hAnsi="宋体" w:eastAsia="宋体" w:cs="宋体"/>
                <w:szCs w:val="21"/>
                <w:highlight w:val="none"/>
              </w:rPr>
              <w:t>（4）“承担本项目的相关服务承诺”中单个小项违约承诺的描述与本项目对应的单项内容的描述与本项目对应的内容无关或存在重大缺陷的【如：内容与项目不匹配、项目信息错误（包括时间、地点、名称等）、不符合本项目涉及的违约范围内容等情形】或未提供对应单项内容的得0分/项。</w:t>
            </w:r>
          </w:p>
          <w:p w14:paraId="6F75B84A">
            <w:pPr>
              <w:widowControl/>
              <w:spacing w:line="420" w:lineRule="exact"/>
              <w:rPr>
                <w:rFonts w:ascii="宋体" w:hAnsi="宋体" w:eastAsia="宋体" w:cs="宋体"/>
                <w:szCs w:val="21"/>
                <w:highlight w:val="none"/>
              </w:rPr>
            </w:pPr>
            <w:r>
              <w:rPr>
                <w:rFonts w:hint="eastAsia" w:ascii="宋体" w:hAnsi="宋体" w:eastAsia="宋体" w:cs="宋体"/>
                <w:b/>
                <w:bCs/>
                <w:szCs w:val="21"/>
                <w:highlight w:val="none"/>
              </w:rPr>
              <w:t>特别说明：磋商申请人所承诺的违约金额应当以具体违约赔偿的人民币金额作为承诺依据。</w:t>
            </w:r>
          </w:p>
        </w:tc>
      </w:tr>
      <w:tr w14:paraId="5D3D6E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62" w:type="dxa"/>
            <w:vMerge w:val="continue"/>
            <w:noWrap/>
            <w:vAlign w:val="center"/>
          </w:tcPr>
          <w:p w14:paraId="4041BBF0">
            <w:pPr>
              <w:spacing w:line="420" w:lineRule="exact"/>
              <w:jc w:val="center"/>
              <w:rPr>
                <w:rFonts w:ascii="宋体" w:hAnsi="宋体" w:eastAsia="宋体" w:cs="宋体"/>
                <w:szCs w:val="21"/>
                <w:highlight w:val="none"/>
              </w:rPr>
            </w:pPr>
          </w:p>
        </w:tc>
        <w:tc>
          <w:tcPr>
            <w:tcW w:w="812" w:type="dxa"/>
            <w:vMerge w:val="continue"/>
            <w:noWrap/>
            <w:vAlign w:val="center"/>
          </w:tcPr>
          <w:p w14:paraId="6D10C7D6">
            <w:pPr>
              <w:spacing w:line="420" w:lineRule="exact"/>
              <w:jc w:val="center"/>
              <w:rPr>
                <w:rFonts w:ascii="宋体" w:hAnsi="宋体" w:eastAsia="宋体" w:cs="宋体"/>
                <w:szCs w:val="21"/>
                <w:highlight w:val="none"/>
              </w:rPr>
            </w:pPr>
          </w:p>
        </w:tc>
        <w:tc>
          <w:tcPr>
            <w:tcW w:w="1075" w:type="dxa"/>
            <w:noWrap/>
            <w:vAlign w:val="center"/>
          </w:tcPr>
          <w:p w14:paraId="31A1E553">
            <w:pPr>
              <w:keepNext/>
              <w:spacing w:line="400" w:lineRule="exact"/>
              <w:jc w:val="center"/>
              <w:rPr>
                <w:rFonts w:ascii="宋体" w:hAnsi="宋体" w:eastAsia="宋体" w:cs="宋体"/>
                <w:szCs w:val="21"/>
                <w:highlight w:val="none"/>
              </w:rPr>
            </w:pPr>
            <w:r>
              <w:rPr>
                <w:rFonts w:hint="eastAsia" w:ascii="宋体" w:hAnsi="宋体" w:eastAsia="宋体"/>
                <w:highlight w:val="none"/>
              </w:rPr>
              <w:t>项目团队服务机构能力评价（满分6分）</w:t>
            </w:r>
          </w:p>
        </w:tc>
        <w:tc>
          <w:tcPr>
            <w:tcW w:w="7775" w:type="dxa"/>
            <w:noWrap/>
            <w:vAlign w:val="center"/>
          </w:tcPr>
          <w:p w14:paraId="352A9773">
            <w:pPr>
              <w:widowControl/>
              <w:kinsoku w:val="0"/>
              <w:overflowPunct w:val="0"/>
              <w:autoSpaceDE w:val="0"/>
              <w:autoSpaceDN w:val="0"/>
              <w:adjustRightInd w:val="0"/>
              <w:snapToGrid w:val="0"/>
              <w:spacing w:line="400" w:lineRule="exact"/>
              <w:jc w:val="left"/>
              <w:rPr>
                <w:rFonts w:ascii="宋体" w:hAnsi="宋体" w:eastAsia="宋体" w:cs="宋体"/>
                <w:szCs w:val="21"/>
                <w:highlight w:val="none"/>
              </w:rPr>
            </w:pPr>
            <w:r>
              <w:rPr>
                <w:rFonts w:hint="eastAsia" w:ascii="宋体" w:hAnsi="宋体" w:eastAsia="宋体" w:cs="宋体"/>
                <w:szCs w:val="21"/>
                <w:highlight w:val="none"/>
              </w:rPr>
              <w:t>磋商小组对所有磋商响应文件的“拟投入本项目的综合服务力量介绍”部分内容进行详细审查后，综合评审评分：</w:t>
            </w:r>
          </w:p>
          <w:p w14:paraId="0202998D">
            <w:pPr>
              <w:spacing w:line="400" w:lineRule="exact"/>
              <w:rPr>
                <w:rFonts w:ascii="宋体" w:hAnsi="宋体" w:eastAsia="宋体" w:cs="宋体"/>
                <w:szCs w:val="21"/>
                <w:highlight w:val="none"/>
              </w:rPr>
            </w:pPr>
            <w:r>
              <w:rPr>
                <w:rFonts w:hint="eastAsia" w:ascii="宋体" w:hAnsi="宋体" w:eastAsia="宋体" w:cs="宋体"/>
                <w:szCs w:val="21"/>
                <w:highlight w:val="none"/>
              </w:rPr>
              <w:t>特别说明：根据磋商响应文件中“拟投入本项目的综合服务力量介绍”部分中提供的相关资料进行综合评价，未提供相应证明材料的，评委可不予认可，相应评审项按0分计算。</w:t>
            </w:r>
          </w:p>
          <w:p w14:paraId="48737253">
            <w:pPr>
              <w:widowControl/>
              <w:spacing w:line="440" w:lineRule="exact"/>
              <w:rPr>
                <w:rFonts w:ascii="宋体" w:hAnsi="宋体" w:eastAsia="宋体" w:cs="宋体"/>
                <w:szCs w:val="21"/>
                <w:highlight w:val="none"/>
              </w:rPr>
            </w:pPr>
            <w:r>
              <w:rPr>
                <w:rFonts w:hint="eastAsia" w:ascii="宋体" w:hAnsi="宋体" w:eastAsia="宋体" w:cs="宋体"/>
                <w:szCs w:val="21"/>
                <w:highlight w:val="none"/>
              </w:rPr>
              <w:t>（1）磋商申请人拟组建的项目服务机构根据项目建设情况进行合理技术分工，项目技术服务团队组织结构健全设置合理，各类专业技术人员专业和数量构成配备合理，各类技术服务人员的能力资质证明材料【具有相应设备运维服务能力证明材料，如：具有信息系统项目管理师、软件设计师证书、信息系统管理类证书（如：PMP证书）等人员技术能力证明材料】全面齐全，技术服务人员具有丰富的服务经验，能够充分胜任服务岗位的，能满足项目开展的得6分；</w:t>
            </w:r>
          </w:p>
          <w:p w14:paraId="19B9068F">
            <w:pPr>
              <w:widowControl/>
              <w:spacing w:line="440" w:lineRule="exact"/>
              <w:rPr>
                <w:rFonts w:ascii="宋体" w:hAnsi="宋体" w:eastAsia="宋体" w:cs="宋体"/>
                <w:szCs w:val="21"/>
                <w:highlight w:val="none"/>
              </w:rPr>
            </w:pPr>
            <w:r>
              <w:rPr>
                <w:rFonts w:hint="eastAsia" w:ascii="宋体" w:hAnsi="宋体" w:eastAsia="宋体" w:cs="宋体"/>
                <w:szCs w:val="21"/>
                <w:highlight w:val="none"/>
              </w:rPr>
              <w:t>（2）磋商申请人拟组建的项目服务机构根据项目建设情况进行相应技术分工，项目技术服务团队组织结构较为健全，各类专业技术人员专业和数量构成配备较为合理，主要技术服务人员的能力资质证明材料【具有相应设备运维服务能力证明材料，如：具有信息系统项目管理师、软件设计师证书、信息系统管理类证书（如：PMP证书）等人员技术能力证明材料】较为齐全（缺失技术人员能力证明种类的不超过2类），技术服务人员具有相应的服务经验，能满足项目实施要求的得4.5分。</w:t>
            </w:r>
          </w:p>
          <w:p w14:paraId="6574BF07">
            <w:pPr>
              <w:widowControl/>
              <w:spacing w:line="440" w:lineRule="exact"/>
              <w:rPr>
                <w:rFonts w:ascii="宋体" w:hAnsi="宋体" w:eastAsia="宋体" w:cs="宋体"/>
                <w:szCs w:val="21"/>
                <w:highlight w:val="none"/>
              </w:rPr>
            </w:pPr>
            <w:r>
              <w:rPr>
                <w:rFonts w:hint="eastAsia" w:ascii="宋体" w:hAnsi="宋体" w:eastAsia="宋体" w:cs="宋体"/>
                <w:szCs w:val="21"/>
                <w:highlight w:val="none"/>
              </w:rPr>
              <w:t>（3）磋商申请人拟组建的项目服务机构的技术分工介绍表述不完整或分工不明确，项目技术服务团队组织结构基本健全，各类专业技术人员专业配置基本合理和数量配置人员较少，主要技术服务人员的能力资质证明材料存在部分缺失（缺失技术人员能力证明种类的超过2类），技术服务人员具有相应的服务经验，能满足项目实施要求的得3分。</w:t>
            </w:r>
          </w:p>
          <w:p w14:paraId="636B802B">
            <w:pPr>
              <w:widowControl/>
              <w:spacing w:line="440" w:lineRule="exact"/>
              <w:rPr>
                <w:rFonts w:ascii="宋体" w:hAnsi="宋体" w:eastAsia="宋体" w:cs="宋体"/>
                <w:szCs w:val="21"/>
                <w:highlight w:val="none"/>
              </w:rPr>
            </w:pPr>
            <w:r>
              <w:rPr>
                <w:rFonts w:hint="eastAsia" w:ascii="宋体" w:hAnsi="宋体" w:eastAsia="宋体" w:cs="宋体"/>
                <w:szCs w:val="21"/>
                <w:highlight w:val="none"/>
              </w:rPr>
              <w:t>（4）磋商申请人拟组建的项目服务机构没有技术分工介绍，项目技术服务团队组织结构基本健全，各类专业技术人员专业和数量构成配置基本满足采购要求，主要技术服务人员的能力资质证明材料存在缺失（无相应的职业证书或技术能力证书），技术服务人员无相应的服务经验或提供的证明材料模糊造成无法辨别者的1.5分。</w:t>
            </w:r>
          </w:p>
          <w:p w14:paraId="59FFDF92">
            <w:pPr>
              <w:widowControl/>
              <w:spacing w:line="440" w:lineRule="exact"/>
              <w:rPr>
                <w:rFonts w:ascii="宋体" w:hAnsi="宋体" w:eastAsia="宋体" w:cs="宋体"/>
                <w:b/>
                <w:bCs/>
                <w:szCs w:val="21"/>
                <w:highlight w:val="none"/>
              </w:rPr>
            </w:pPr>
            <w:r>
              <w:rPr>
                <w:rFonts w:hint="eastAsia" w:ascii="宋体" w:hAnsi="宋体" w:eastAsia="宋体" w:cs="宋体"/>
                <w:szCs w:val="21"/>
                <w:highlight w:val="none"/>
              </w:rPr>
              <w:t>注：未任何提供相应证明材料的此项得0分，须提供项目团队服务人员的相关证明材料（如身份证、学历证、职称证、执业/职业资格证书、人员在职证明材料）的，本项按0分计算。</w:t>
            </w:r>
          </w:p>
        </w:tc>
      </w:tr>
      <w:tr w14:paraId="43FDF7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62" w:type="dxa"/>
            <w:vMerge w:val="continue"/>
            <w:noWrap/>
            <w:vAlign w:val="center"/>
          </w:tcPr>
          <w:p w14:paraId="574295C8">
            <w:pPr>
              <w:spacing w:line="420" w:lineRule="exact"/>
              <w:jc w:val="center"/>
              <w:rPr>
                <w:rFonts w:ascii="宋体" w:hAnsi="宋体" w:eastAsia="宋体" w:cs="宋体"/>
                <w:szCs w:val="21"/>
                <w:highlight w:val="none"/>
              </w:rPr>
            </w:pPr>
          </w:p>
        </w:tc>
        <w:tc>
          <w:tcPr>
            <w:tcW w:w="812" w:type="dxa"/>
            <w:vMerge w:val="continue"/>
            <w:noWrap/>
            <w:vAlign w:val="center"/>
          </w:tcPr>
          <w:p w14:paraId="17A00752">
            <w:pPr>
              <w:spacing w:line="420" w:lineRule="exact"/>
              <w:jc w:val="center"/>
              <w:rPr>
                <w:rFonts w:ascii="宋体" w:hAnsi="宋体" w:eastAsia="宋体" w:cs="宋体"/>
                <w:szCs w:val="21"/>
                <w:highlight w:val="none"/>
              </w:rPr>
            </w:pPr>
          </w:p>
        </w:tc>
        <w:tc>
          <w:tcPr>
            <w:tcW w:w="1075" w:type="dxa"/>
            <w:noWrap/>
            <w:vAlign w:val="center"/>
          </w:tcPr>
          <w:p w14:paraId="2F189609">
            <w:pPr>
              <w:spacing w:line="420" w:lineRule="exact"/>
              <w:jc w:val="center"/>
              <w:rPr>
                <w:rFonts w:ascii="宋体" w:hAnsi="宋体" w:eastAsia="宋体" w:cs="宋体"/>
                <w:szCs w:val="21"/>
                <w:highlight w:val="none"/>
              </w:rPr>
            </w:pPr>
            <w:r>
              <w:rPr>
                <w:rFonts w:hint="eastAsia" w:ascii="宋体" w:hAnsi="宋体" w:eastAsia="宋体" w:cs="宋体"/>
                <w:szCs w:val="21"/>
                <w:highlight w:val="none"/>
              </w:rPr>
              <w:t>项目经验（满分</w:t>
            </w:r>
            <w:r>
              <w:rPr>
                <w:rFonts w:hint="eastAsia" w:ascii="宋体" w:hAnsi="宋体" w:eastAsia="宋体" w:cs="宋体"/>
                <w:szCs w:val="21"/>
                <w:highlight w:val="none"/>
                <w:lang w:val="en-US" w:eastAsia="zh-CN"/>
              </w:rPr>
              <w:t>3</w:t>
            </w:r>
            <w:r>
              <w:rPr>
                <w:rFonts w:hint="eastAsia" w:ascii="宋体" w:hAnsi="宋体" w:eastAsia="宋体" w:cs="宋体"/>
                <w:szCs w:val="21"/>
                <w:highlight w:val="none"/>
              </w:rPr>
              <w:t>分）</w:t>
            </w:r>
          </w:p>
        </w:tc>
        <w:tc>
          <w:tcPr>
            <w:tcW w:w="7775" w:type="dxa"/>
            <w:noWrap/>
            <w:vAlign w:val="center"/>
          </w:tcPr>
          <w:p w14:paraId="340BEB29">
            <w:pPr>
              <w:spacing w:line="420" w:lineRule="exact"/>
              <w:rPr>
                <w:rFonts w:ascii="宋体" w:hAnsi="宋体" w:eastAsia="宋体" w:cs="宋体"/>
                <w:szCs w:val="21"/>
                <w:highlight w:val="none"/>
              </w:rPr>
            </w:pPr>
            <w:r>
              <w:rPr>
                <w:rFonts w:hint="eastAsia" w:ascii="宋体" w:hAnsi="宋体" w:eastAsia="宋体" w:cs="宋体"/>
                <w:szCs w:val="21"/>
                <w:highlight w:val="none"/>
              </w:rPr>
              <w:t>包括2023年1月1日至今完成的项目经验情况等因素：</w:t>
            </w:r>
          </w:p>
          <w:p w14:paraId="342978D8">
            <w:pPr>
              <w:spacing w:line="420" w:lineRule="exact"/>
              <w:rPr>
                <w:rFonts w:ascii="宋体" w:hAnsi="宋体" w:eastAsia="宋体" w:cs="宋体"/>
                <w:szCs w:val="21"/>
                <w:highlight w:val="none"/>
              </w:rPr>
            </w:pPr>
            <w:r>
              <w:rPr>
                <w:rFonts w:hint="eastAsia" w:ascii="宋体" w:hAnsi="宋体" w:eastAsia="宋体" w:cs="宋体"/>
                <w:szCs w:val="21"/>
                <w:highlight w:val="none"/>
              </w:rPr>
              <w:t>根据响应文件中提供的项目经验证明材料进行评审，根据项目经验证明材料数量多少进行打分。若未提供项目经验证明材料，评委可不予认可。</w:t>
            </w:r>
          </w:p>
          <w:p w14:paraId="5B4BA0C3">
            <w:pPr>
              <w:spacing w:line="420" w:lineRule="exact"/>
              <w:rPr>
                <w:rFonts w:ascii="宋体" w:hAnsi="宋体" w:eastAsia="宋体" w:cs="宋体"/>
                <w:szCs w:val="21"/>
                <w:highlight w:val="none"/>
              </w:rPr>
            </w:pPr>
            <w:r>
              <w:rPr>
                <w:rFonts w:hint="eastAsia" w:ascii="宋体" w:hAnsi="宋体" w:eastAsia="宋体" w:cs="宋体"/>
                <w:szCs w:val="21"/>
                <w:highlight w:val="none"/>
              </w:rPr>
              <w:t>磋商申请人每提供一份项目经验证明材料（证明材料指合同或验收报告）得1</w:t>
            </w:r>
            <w:r>
              <w:rPr>
                <w:rFonts w:hint="eastAsia" w:ascii="宋体" w:hAnsi="宋体" w:eastAsia="宋体" w:cs="宋体"/>
                <w:szCs w:val="21"/>
                <w:highlight w:val="none"/>
                <w:lang w:val="en-US" w:eastAsia="zh-CN"/>
              </w:rPr>
              <w:t>.5</w:t>
            </w:r>
            <w:r>
              <w:rPr>
                <w:rFonts w:hint="eastAsia" w:ascii="宋体" w:hAnsi="宋体" w:eastAsia="宋体" w:cs="宋体"/>
                <w:szCs w:val="21"/>
                <w:highlight w:val="none"/>
              </w:rPr>
              <w:t>分，本项最高不超过</w:t>
            </w:r>
            <w:r>
              <w:rPr>
                <w:rFonts w:hint="eastAsia" w:ascii="宋体" w:hAnsi="宋体" w:eastAsia="宋体" w:cs="宋体"/>
                <w:szCs w:val="21"/>
                <w:highlight w:val="none"/>
                <w:lang w:val="en-US" w:eastAsia="zh-CN"/>
              </w:rPr>
              <w:t>3</w:t>
            </w:r>
            <w:r>
              <w:rPr>
                <w:rFonts w:hint="eastAsia" w:ascii="宋体" w:hAnsi="宋体" w:eastAsia="宋体" w:cs="宋体"/>
                <w:szCs w:val="21"/>
                <w:highlight w:val="none"/>
              </w:rPr>
              <w:t>分；磋商申请人无同类项目经验证明材料或提供的证明材料模糊造成无法辨别者，得0分。</w:t>
            </w:r>
          </w:p>
          <w:p w14:paraId="3CEB43B3">
            <w:pPr>
              <w:spacing w:line="420" w:lineRule="exact"/>
              <w:rPr>
                <w:rFonts w:ascii="宋体" w:hAnsi="宋体" w:eastAsia="宋体" w:cs="宋体"/>
                <w:b/>
                <w:bCs/>
                <w:szCs w:val="21"/>
                <w:highlight w:val="none"/>
              </w:rPr>
            </w:pPr>
            <w:r>
              <w:rPr>
                <w:rFonts w:hint="eastAsia" w:ascii="宋体" w:hAnsi="宋体" w:eastAsia="宋体" w:cs="宋体"/>
                <w:szCs w:val="21"/>
                <w:highlight w:val="none"/>
              </w:rPr>
              <w:t>项目经验：是指磋商申请人2023年1月1日（以合同签订的时间为准）至今承办完成过与本次采购内容相符的软件开发服务项目实施经验。</w:t>
            </w:r>
          </w:p>
        </w:tc>
      </w:tr>
      <w:tr w14:paraId="7E4CEE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62" w:type="dxa"/>
            <w:vMerge w:val="continue"/>
            <w:noWrap/>
            <w:vAlign w:val="center"/>
          </w:tcPr>
          <w:p w14:paraId="04DD5012">
            <w:pPr>
              <w:widowControl/>
              <w:spacing w:line="420" w:lineRule="exact"/>
              <w:jc w:val="left"/>
              <w:rPr>
                <w:rFonts w:ascii="宋体" w:hAnsi="宋体" w:eastAsia="宋体" w:cs="宋体"/>
                <w:szCs w:val="21"/>
                <w:highlight w:val="none"/>
              </w:rPr>
            </w:pPr>
          </w:p>
        </w:tc>
        <w:tc>
          <w:tcPr>
            <w:tcW w:w="812" w:type="dxa"/>
            <w:vMerge w:val="continue"/>
            <w:noWrap/>
            <w:vAlign w:val="center"/>
          </w:tcPr>
          <w:p w14:paraId="4417B438">
            <w:pPr>
              <w:widowControl/>
              <w:spacing w:line="420" w:lineRule="exact"/>
              <w:jc w:val="left"/>
              <w:rPr>
                <w:rFonts w:ascii="宋体" w:hAnsi="宋体" w:eastAsia="宋体" w:cs="宋体"/>
                <w:szCs w:val="21"/>
                <w:highlight w:val="none"/>
              </w:rPr>
            </w:pPr>
          </w:p>
        </w:tc>
        <w:tc>
          <w:tcPr>
            <w:tcW w:w="8850" w:type="dxa"/>
            <w:gridSpan w:val="2"/>
            <w:noWrap/>
            <w:vAlign w:val="center"/>
          </w:tcPr>
          <w:p w14:paraId="5222D7A3">
            <w:pPr>
              <w:spacing w:line="420" w:lineRule="exact"/>
              <w:rPr>
                <w:rFonts w:ascii="宋体" w:hAnsi="宋体" w:eastAsia="宋体" w:cs="宋体"/>
                <w:kern w:val="0"/>
                <w:szCs w:val="21"/>
                <w:highlight w:val="none"/>
              </w:rPr>
            </w:pPr>
            <w:r>
              <w:rPr>
                <w:rFonts w:hint="eastAsia" w:ascii="宋体" w:hAnsi="宋体" w:eastAsia="宋体" w:cs="宋体"/>
                <w:kern w:val="0"/>
                <w:szCs w:val="21"/>
                <w:highlight w:val="none"/>
              </w:rPr>
              <w:t>说明：1.</w:t>
            </w:r>
            <w:r>
              <w:rPr>
                <w:rFonts w:hint="eastAsia" w:ascii="宋体" w:hAnsi="宋体" w:eastAsia="宋体" w:cs="宋体"/>
                <w:kern w:val="0"/>
                <w:szCs w:val="21"/>
                <w:highlight w:val="none"/>
                <w:u w:val="single"/>
              </w:rPr>
              <w:t>对各磋商申请人响应文件的综合技术实力部分独立进行分档评分。</w:t>
            </w:r>
          </w:p>
          <w:p w14:paraId="49A92868">
            <w:pPr>
              <w:spacing w:line="420" w:lineRule="exact"/>
              <w:ind w:firstLine="630" w:firstLineChars="300"/>
              <w:rPr>
                <w:rFonts w:ascii="宋体" w:hAnsi="宋体" w:eastAsia="宋体" w:cs="宋体"/>
                <w:szCs w:val="21"/>
                <w:highlight w:val="none"/>
              </w:rPr>
            </w:pPr>
            <w:r>
              <w:rPr>
                <w:rFonts w:hint="eastAsia" w:ascii="宋体" w:hAnsi="宋体" w:eastAsia="宋体" w:cs="宋体"/>
                <w:szCs w:val="21"/>
                <w:highlight w:val="none"/>
              </w:rPr>
              <w:t>2.</w:t>
            </w:r>
            <w:r>
              <w:rPr>
                <w:rFonts w:hint="eastAsia" w:ascii="宋体" w:hAnsi="宋体" w:eastAsia="宋体" w:cs="宋体"/>
                <w:kern w:val="0"/>
                <w:szCs w:val="21"/>
                <w:highlight w:val="none"/>
                <w:u w:val="single"/>
              </w:rPr>
              <w:t>各磋商申请人须根据上述评分因素提供相应证明材料，以便磋商小组进行审查及评分。如上述资料提供不全或来源不明确，以致磋商小组无法核实的或判定的，则对应评分项应为最后一个档次。</w:t>
            </w:r>
          </w:p>
        </w:tc>
      </w:tr>
      <w:tr w14:paraId="5E941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trPr>
        <w:tc>
          <w:tcPr>
            <w:tcW w:w="562" w:type="dxa"/>
            <w:vMerge w:val="restart"/>
            <w:noWrap/>
            <w:vAlign w:val="center"/>
          </w:tcPr>
          <w:p w14:paraId="1E67949C">
            <w:pPr>
              <w:spacing w:line="420" w:lineRule="exact"/>
              <w:jc w:val="center"/>
              <w:rPr>
                <w:rFonts w:ascii="宋体" w:hAnsi="宋体" w:eastAsia="宋体" w:cs="宋体"/>
                <w:szCs w:val="21"/>
                <w:highlight w:val="none"/>
              </w:rPr>
            </w:pPr>
            <w:r>
              <w:rPr>
                <w:rFonts w:hint="eastAsia" w:ascii="宋体" w:hAnsi="宋体" w:eastAsia="宋体" w:cs="宋体"/>
                <w:szCs w:val="21"/>
                <w:highlight w:val="none"/>
              </w:rPr>
              <w:t>3.2</w:t>
            </w:r>
          </w:p>
          <w:p w14:paraId="0A8F1749">
            <w:pPr>
              <w:spacing w:line="420" w:lineRule="exact"/>
              <w:rPr>
                <w:rFonts w:ascii="宋体" w:hAnsi="宋体" w:eastAsia="宋体" w:cs="宋体"/>
                <w:szCs w:val="21"/>
                <w:highlight w:val="none"/>
              </w:rPr>
            </w:pPr>
          </w:p>
        </w:tc>
        <w:tc>
          <w:tcPr>
            <w:tcW w:w="812" w:type="dxa"/>
            <w:vMerge w:val="restart"/>
            <w:noWrap/>
            <w:vAlign w:val="center"/>
          </w:tcPr>
          <w:p w14:paraId="659224DA">
            <w:pPr>
              <w:spacing w:line="420" w:lineRule="exact"/>
              <w:rPr>
                <w:rFonts w:ascii="宋体" w:hAnsi="宋体" w:eastAsia="宋体" w:cs="宋体"/>
                <w:szCs w:val="21"/>
                <w:highlight w:val="none"/>
              </w:rPr>
            </w:pPr>
            <w:r>
              <w:rPr>
                <w:rFonts w:hint="eastAsia" w:ascii="宋体" w:hAnsi="宋体" w:eastAsia="宋体" w:cs="宋体"/>
                <w:szCs w:val="21"/>
                <w:highlight w:val="none"/>
              </w:rPr>
              <w:t>F2磋商报价（满分10分）</w:t>
            </w:r>
          </w:p>
        </w:tc>
        <w:tc>
          <w:tcPr>
            <w:tcW w:w="8850" w:type="dxa"/>
            <w:gridSpan w:val="2"/>
            <w:noWrap/>
            <w:vAlign w:val="center"/>
          </w:tcPr>
          <w:p w14:paraId="58F44D69">
            <w:pPr>
              <w:adjustRightInd w:val="0"/>
              <w:spacing w:line="420" w:lineRule="exact"/>
              <w:rPr>
                <w:rFonts w:ascii="宋体" w:hAnsi="宋体" w:eastAsia="宋体" w:cs="宋体"/>
                <w:szCs w:val="21"/>
                <w:highlight w:val="none"/>
              </w:rPr>
            </w:pPr>
            <w:r>
              <w:rPr>
                <w:rFonts w:hint="eastAsia" w:ascii="宋体" w:hAnsi="宋体" w:eastAsia="宋体" w:cs="宋体"/>
                <w:szCs w:val="21"/>
                <w:highlight w:val="none"/>
              </w:rPr>
              <w:t>（1）小微企业报价的确定：</w:t>
            </w:r>
          </w:p>
          <w:p w14:paraId="083CBC63">
            <w:pPr>
              <w:spacing w:line="420" w:lineRule="exact"/>
              <w:rPr>
                <w:rFonts w:ascii="宋体" w:hAnsi="宋体" w:eastAsia="宋体" w:cs="宋体"/>
                <w:bCs/>
                <w:kern w:val="0"/>
                <w:szCs w:val="21"/>
                <w:highlight w:val="none"/>
              </w:rPr>
            </w:pPr>
            <w:r>
              <w:rPr>
                <w:rFonts w:hint="eastAsia" w:ascii="宋体" w:hAnsi="宋体" w:eastAsia="宋体" w:cs="宋体"/>
                <w:bCs/>
                <w:kern w:val="0"/>
                <w:szCs w:val="21"/>
                <w:highlight w:val="none"/>
              </w:rPr>
              <w:t>①小型、微型企业提供参与投标时，须提供本企业的《中小企业声明函》。</w:t>
            </w:r>
          </w:p>
          <w:p w14:paraId="5CB2B4F6">
            <w:pPr>
              <w:spacing w:line="420" w:lineRule="exact"/>
              <w:rPr>
                <w:rFonts w:ascii="宋体" w:hAnsi="宋体" w:eastAsia="宋体" w:cs="宋体"/>
                <w:bCs/>
                <w:kern w:val="0"/>
                <w:szCs w:val="21"/>
                <w:highlight w:val="none"/>
              </w:rPr>
            </w:pPr>
            <w:r>
              <w:rPr>
                <w:rFonts w:hint="eastAsia" w:ascii="宋体" w:hAnsi="宋体" w:eastAsia="宋体" w:cs="宋体"/>
                <w:bCs/>
                <w:kern w:val="0"/>
                <w:szCs w:val="21"/>
                <w:highlight w:val="none"/>
              </w:rPr>
              <w:t>②如供应商为监狱企业，还须提供省级以上监狱管理局、戒毒管理局（含新疆生产建设兵团）出具的属于监狱企业的证明文件扫描件。</w:t>
            </w:r>
          </w:p>
          <w:p w14:paraId="171BEDEC">
            <w:pPr>
              <w:spacing w:line="420" w:lineRule="exact"/>
              <w:rPr>
                <w:rFonts w:ascii="宋体" w:hAnsi="宋体" w:eastAsia="宋体" w:cs="宋体"/>
                <w:bCs/>
                <w:kern w:val="0"/>
                <w:szCs w:val="21"/>
                <w:highlight w:val="none"/>
              </w:rPr>
            </w:pPr>
            <w:r>
              <w:rPr>
                <w:rFonts w:hint="eastAsia" w:ascii="宋体" w:hAnsi="宋体" w:eastAsia="宋体" w:cs="宋体"/>
                <w:bCs/>
                <w:kern w:val="0"/>
                <w:szCs w:val="21"/>
                <w:highlight w:val="none"/>
              </w:rPr>
              <w:t>③如供应商为残疾人福利性单位，提供《残疾人福利性单位声明函》。</w:t>
            </w:r>
          </w:p>
          <w:p w14:paraId="5E41F6B7">
            <w:pPr>
              <w:adjustRightInd w:val="0"/>
              <w:spacing w:line="420" w:lineRule="exact"/>
              <w:rPr>
                <w:rFonts w:ascii="宋体" w:hAnsi="宋体" w:eastAsia="宋体" w:cs="宋体"/>
                <w:szCs w:val="21"/>
                <w:highlight w:val="none"/>
              </w:rPr>
            </w:pPr>
            <w:r>
              <w:rPr>
                <w:rFonts w:hint="eastAsia" w:ascii="宋体" w:hAnsi="宋体" w:eastAsia="宋体" w:cs="宋体"/>
                <w:szCs w:val="21"/>
                <w:highlight w:val="none"/>
              </w:rPr>
              <w:t>④报价执行方式</w:t>
            </w:r>
          </w:p>
          <w:p w14:paraId="359A5AA8">
            <w:pPr>
              <w:adjustRightInd w:val="0"/>
              <w:spacing w:line="420" w:lineRule="exact"/>
              <w:rPr>
                <w:rFonts w:ascii="宋体" w:hAnsi="宋体" w:eastAsia="宋体" w:cs="宋体"/>
                <w:szCs w:val="21"/>
                <w:highlight w:val="none"/>
              </w:rPr>
            </w:pPr>
            <w:r>
              <w:rPr>
                <w:rFonts w:hint="eastAsia" w:ascii="宋体" w:hAnsi="宋体" w:eastAsia="宋体" w:cs="宋体"/>
                <w:szCs w:val="21"/>
                <w:highlight w:val="none"/>
              </w:rPr>
              <w:t>磋商申请人不属于联合体的，对小型、微型企业提供的服务的价格给予10%的扣除。</w:t>
            </w:r>
          </w:p>
          <w:p w14:paraId="3CDF6D66">
            <w:pPr>
              <w:adjustRightInd w:val="0"/>
              <w:spacing w:line="420" w:lineRule="exact"/>
              <w:rPr>
                <w:rFonts w:ascii="宋体" w:hAnsi="宋体" w:eastAsia="宋体" w:cs="宋体"/>
                <w:bCs/>
                <w:kern w:val="0"/>
                <w:szCs w:val="21"/>
                <w:highlight w:val="none"/>
              </w:rPr>
            </w:pPr>
            <w:r>
              <w:rPr>
                <w:rFonts w:hint="eastAsia" w:ascii="宋体" w:hAnsi="宋体" w:eastAsia="宋体" w:cs="宋体"/>
                <w:szCs w:val="21"/>
                <w:highlight w:val="none"/>
              </w:rPr>
              <w:t>小型、含微型企业报价计算公式：B小=B*(1-10%），该报价作为评审价格。</w:t>
            </w:r>
          </w:p>
        </w:tc>
      </w:tr>
      <w:tr w14:paraId="1B4158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3" w:hRule="atLeast"/>
        </w:trPr>
        <w:tc>
          <w:tcPr>
            <w:tcW w:w="562" w:type="dxa"/>
            <w:vMerge w:val="continue"/>
            <w:noWrap/>
            <w:vAlign w:val="center"/>
          </w:tcPr>
          <w:p w14:paraId="1E0017A0">
            <w:pPr>
              <w:spacing w:line="420" w:lineRule="exact"/>
              <w:rPr>
                <w:rFonts w:ascii="宋体" w:hAnsi="宋体" w:eastAsia="宋体" w:cs="宋体"/>
                <w:b/>
                <w:bCs/>
                <w:szCs w:val="21"/>
                <w:highlight w:val="none"/>
              </w:rPr>
            </w:pPr>
          </w:p>
        </w:tc>
        <w:tc>
          <w:tcPr>
            <w:tcW w:w="812" w:type="dxa"/>
            <w:vMerge w:val="continue"/>
            <w:noWrap/>
            <w:vAlign w:val="center"/>
          </w:tcPr>
          <w:p w14:paraId="714FF70C">
            <w:pPr>
              <w:spacing w:line="420" w:lineRule="exact"/>
              <w:rPr>
                <w:rFonts w:ascii="宋体" w:hAnsi="宋体" w:eastAsia="宋体" w:cs="宋体"/>
                <w:b/>
                <w:bCs/>
                <w:szCs w:val="21"/>
                <w:highlight w:val="none"/>
              </w:rPr>
            </w:pPr>
          </w:p>
        </w:tc>
        <w:tc>
          <w:tcPr>
            <w:tcW w:w="8850" w:type="dxa"/>
            <w:gridSpan w:val="2"/>
            <w:noWrap/>
            <w:vAlign w:val="center"/>
          </w:tcPr>
          <w:p w14:paraId="67B9882B">
            <w:pPr>
              <w:adjustRightInd w:val="0"/>
              <w:spacing w:line="400" w:lineRule="exact"/>
              <w:rPr>
                <w:rFonts w:ascii="宋体" w:hAnsi="宋体" w:eastAsia="宋体" w:cs="宋体"/>
                <w:szCs w:val="21"/>
                <w:highlight w:val="none"/>
              </w:rPr>
            </w:pPr>
            <w:r>
              <w:rPr>
                <w:rFonts w:hint="eastAsia" w:ascii="宋体" w:hAnsi="宋体" w:eastAsia="宋体" w:cs="宋体"/>
                <w:szCs w:val="21"/>
                <w:highlight w:val="none"/>
              </w:rPr>
              <w:t>（2）</w:t>
            </w:r>
            <w:r>
              <w:rPr>
                <w:rFonts w:hint="eastAsia" w:ascii="宋体" w:hAnsi="宋体" w:eastAsia="宋体" w:cs="宋体"/>
                <w:kern w:val="0"/>
                <w:highlight w:val="none"/>
              </w:rPr>
              <w:t>磋商报价评审（满分10分）</w:t>
            </w:r>
          </w:p>
          <w:p w14:paraId="617C1744">
            <w:pPr>
              <w:adjustRightInd w:val="0"/>
              <w:spacing w:line="400" w:lineRule="exact"/>
              <w:rPr>
                <w:rFonts w:ascii="宋体" w:hAnsi="宋体" w:eastAsia="宋体" w:cs="宋体"/>
                <w:szCs w:val="21"/>
                <w:highlight w:val="none"/>
              </w:rPr>
            </w:pPr>
            <w:r>
              <w:rPr>
                <w:rFonts w:hint="eastAsia" w:ascii="宋体" w:hAnsi="宋体" w:eastAsia="宋体" w:cs="宋体"/>
                <w:szCs w:val="21"/>
                <w:highlight w:val="none"/>
              </w:rPr>
              <w:t>磋商最终报价得分计算公式= （此部分评审基准价/该磋商申请人</w:t>
            </w:r>
            <w:r>
              <w:rPr>
                <w:rFonts w:hint="eastAsia" w:ascii="宋体" w:hAnsi="宋体" w:eastAsia="宋体" w:cs="宋体"/>
                <w:kern w:val="0"/>
                <w:highlight w:val="none"/>
              </w:rPr>
              <w:t>磋商</w:t>
            </w:r>
            <w:r>
              <w:rPr>
                <w:rFonts w:hint="eastAsia" w:ascii="宋体" w:hAnsi="宋体" w:eastAsia="宋体" w:cs="宋体"/>
                <w:szCs w:val="21"/>
                <w:highlight w:val="none"/>
              </w:rPr>
              <w:t>最终报价）×10</w:t>
            </w:r>
          </w:p>
          <w:p w14:paraId="43D7F1BC">
            <w:pPr>
              <w:adjustRightInd w:val="0"/>
              <w:spacing w:line="400" w:lineRule="exact"/>
              <w:rPr>
                <w:rFonts w:ascii="宋体" w:hAnsi="宋体" w:eastAsia="宋体" w:cs="宋体"/>
                <w:szCs w:val="21"/>
                <w:highlight w:val="none"/>
              </w:rPr>
            </w:pPr>
            <w:r>
              <w:rPr>
                <w:rFonts w:hint="eastAsia" w:ascii="宋体" w:hAnsi="宋体" w:eastAsia="宋体" w:cs="宋体"/>
                <w:szCs w:val="21"/>
                <w:highlight w:val="none"/>
              </w:rPr>
              <w:t>即：P1=[P/（B1，B2，…，Bn）]×10</w:t>
            </w:r>
          </w:p>
          <w:p w14:paraId="66DAD087">
            <w:pPr>
              <w:adjustRightInd w:val="0"/>
              <w:spacing w:line="400" w:lineRule="exact"/>
              <w:rPr>
                <w:rFonts w:ascii="宋体" w:hAnsi="宋体" w:eastAsia="宋体" w:cs="宋体"/>
                <w:szCs w:val="21"/>
                <w:highlight w:val="none"/>
              </w:rPr>
            </w:pPr>
            <w:r>
              <w:rPr>
                <w:rFonts w:hint="eastAsia" w:ascii="宋体" w:hAnsi="宋体" w:eastAsia="宋体" w:cs="宋体"/>
                <w:szCs w:val="21"/>
                <w:highlight w:val="none"/>
              </w:rPr>
              <w:t>注：P为评审基准价，即通过响应性评审且磋商最终报价最低的有效报价；</w:t>
            </w:r>
          </w:p>
          <w:p w14:paraId="2F2D08FD">
            <w:pPr>
              <w:adjustRightInd w:val="0"/>
              <w:spacing w:line="400" w:lineRule="exact"/>
              <w:rPr>
                <w:rFonts w:ascii="宋体" w:hAnsi="宋体" w:eastAsia="宋体" w:cs="宋体"/>
                <w:b/>
                <w:bCs/>
                <w:szCs w:val="21"/>
                <w:highlight w:val="none"/>
              </w:rPr>
            </w:pPr>
            <w:r>
              <w:rPr>
                <w:rFonts w:hint="eastAsia" w:ascii="宋体" w:hAnsi="宋体" w:eastAsia="宋体" w:cs="宋体"/>
                <w:szCs w:val="21"/>
                <w:highlight w:val="none"/>
              </w:rPr>
              <w:t>B1，B2，…，Bn为通过响应性评审的有效最终报价，n为通过响应性评审的有效最终报价的个数。</w:t>
            </w:r>
          </w:p>
        </w:tc>
      </w:tr>
    </w:tbl>
    <w:p w14:paraId="1B859618">
      <w:pPr>
        <w:pStyle w:val="60"/>
        <w:spacing w:line="460" w:lineRule="exact"/>
        <w:ind w:firstLine="0" w:firstLineChars="0"/>
        <w:rPr>
          <w:rFonts w:ascii="宋体" w:hAnsi="宋体" w:eastAsia="宋体" w:cs="宋体"/>
          <w:b/>
          <w:bCs/>
          <w:kern w:val="0"/>
          <w:sz w:val="24"/>
          <w:szCs w:val="24"/>
          <w:highlight w:val="none"/>
        </w:rPr>
      </w:pPr>
    </w:p>
    <w:p w14:paraId="62C1F1D2">
      <w:pPr>
        <w:pStyle w:val="60"/>
        <w:spacing w:line="460" w:lineRule="exact"/>
        <w:ind w:firstLine="0" w:firstLineChars="0"/>
        <w:rPr>
          <w:rFonts w:ascii="宋体" w:hAnsi="宋体" w:eastAsia="宋体" w:cs="宋体"/>
          <w:b/>
          <w:bCs/>
          <w:kern w:val="0"/>
          <w:sz w:val="24"/>
          <w:szCs w:val="24"/>
          <w:highlight w:val="none"/>
        </w:rPr>
      </w:pPr>
      <w:r>
        <w:rPr>
          <w:rFonts w:hint="eastAsia" w:ascii="宋体" w:hAnsi="宋体" w:eastAsia="宋体" w:cs="宋体"/>
          <w:b/>
          <w:bCs/>
          <w:kern w:val="0"/>
          <w:sz w:val="24"/>
          <w:szCs w:val="24"/>
          <w:highlight w:val="none"/>
        </w:rPr>
        <w:t>四、磋商方法</w:t>
      </w:r>
    </w:p>
    <w:p w14:paraId="20A966E6">
      <w:pPr>
        <w:widowControl/>
        <w:spacing w:line="460" w:lineRule="exact"/>
        <w:ind w:firstLine="420" w:firstLineChars="200"/>
        <w:rPr>
          <w:rFonts w:ascii="宋体" w:hAnsi="宋体" w:eastAsia="宋体" w:cs="宋体"/>
          <w:kern w:val="0"/>
          <w:szCs w:val="21"/>
          <w:highlight w:val="none"/>
        </w:rPr>
      </w:pPr>
      <w:r>
        <w:rPr>
          <w:rFonts w:hint="eastAsia" w:ascii="宋体" w:hAnsi="宋体" w:eastAsia="宋体" w:cs="宋体"/>
          <w:kern w:val="0"/>
          <w:szCs w:val="21"/>
          <w:highlight w:val="none"/>
        </w:rPr>
        <w:t>（一）综合评分法。磋商小组将根据评审办法计算出各磋商申请人的综合得分，按得分由高到低推荐成交候选人排序；得分相同的，按最终报价由低到高顺序排列；得分且最终报价相同的，按产品参数的响应程度部分合计得分高低顺序排列；</w:t>
      </w:r>
      <w:r>
        <w:rPr>
          <w:rFonts w:hint="eastAsia" w:ascii="宋体" w:hAnsi="宋体" w:eastAsia="宋体" w:cs="宋体"/>
          <w:szCs w:val="21"/>
          <w:highlight w:val="none"/>
        </w:rPr>
        <w:t>若以上条件均相同时，磋商申请人所投产品中包含节能产品、环境标志产品的应予以优先采购</w:t>
      </w:r>
      <w:r>
        <w:rPr>
          <w:rFonts w:hint="eastAsia" w:ascii="宋体" w:hAnsi="宋体" w:eastAsia="宋体" w:cs="宋体"/>
          <w:kern w:val="0"/>
          <w:szCs w:val="21"/>
          <w:highlight w:val="none"/>
        </w:rPr>
        <w:t>。最终磋商小组将根据评审后的总得分由高到低顺序排列推荐1～3个成交候选人。</w:t>
      </w:r>
    </w:p>
    <w:p w14:paraId="0004D19B">
      <w:pPr>
        <w:widowControl/>
        <w:spacing w:line="460" w:lineRule="exact"/>
        <w:ind w:firstLine="420" w:firstLineChars="200"/>
        <w:rPr>
          <w:rFonts w:ascii="宋体" w:hAnsi="宋体" w:eastAsia="宋体" w:cs="宋体"/>
          <w:kern w:val="0"/>
          <w:sz w:val="24"/>
          <w:szCs w:val="24"/>
          <w:highlight w:val="none"/>
        </w:rPr>
      </w:pPr>
      <w:r>
        <w:rPr>
          <w:rFonts w:hint="eastAsia" w:ascii="宋体" w:hAnsi="宋体" w:eastAsia="宋体" w:cs="宋体"/>
          <w:kern w:val="0"/>
          <w:szCs w:val="21"/>
          <w:highlight w:val="none"/>
        </w:rPr>
        <w:t>（二）磋商时，除价格得分外，磋商小组各成员将独立对每个有效磋商申请人的响应文件进行评价、打分，然后将每个磋商申请人各项评分因素的得分汇总后计算磋商小组各成员独立评分的算术平均值（保留2位小数），得出每个磋商申请人的最终得分。</w:t>
      </w:r>
    </w:p>
    <w:p w14:paraId="6C5D2C0D">
      <w:pPr>
        <w:widowControl/>
        <w:spacing w:line="460" w:lineRule="exact"/>
        <w:ind w:firstLine="420" w:firstLineChars="200"/>
        <w:rPr>
          <w:rFonts w:ascii="宋体" w:hAnsi="宋体" w:eastAsia="宋体" w:cs="宋体"/>
          <w:kern w:val="0"/>
          <w:szCs w:val="21"/>
          <w:highlight w:val="none"/>
        </w:rPr>
      </w:pPr>
      <w:bookmarkStart w:id="202" w:name="_Toc383175535"/>
      <w:bookmarkStart w:id="203" w:name="_Toc86124098"/>
      <w:bookmarkStart w:id="204" w:name="_Toc347849273"/>
      <w:bookmarkStart w:id="205" w:name="_Toc191374451"/>
      <w:bookmarkStart w:id="206" w:name="_Toc378499754"/>
      <w:r>
        <w:rPr>
          <w:rFonts w:hint="eastAsia" w:ascii="宋体" w:hAnsi="宋体" w:eastAsia="宋体" w:cs="宋体"/>
          <w:kern w:val="0"/>
          <w:szCs w:val="21"/>
          <w:highlight w:val="none"/>
        </w:rPr>
        <w:t>（三）核心产品同一品牌中标候选人确定方式：本选择方式根据《财政部87号令》制定。</w:t>
      </w:r>
    </w:p>
    <w:p w14:paraId="6EB06886">
      <w:pPr>
        <w:widowControl/>
        <w:spacing w:line="460" w:lineRule="exact"/>
        <w:ind w:firstLine="420" w:firstLineChars="200"/>
        <w:rPr>
          <w:rFonts w:ascii="宋体" w:hAnsi="宋体" w:eastAsia="宋体" w:cs="宋体"/>
          <w:kern w:val="0"/>
          <w:szCs w:val="21"/>
          <w:highlight w:val="none"/>
        </w:rPr>
      </w:pPr>
      <w:r>
        <w:rPr>
          <w:rFonts w:hint="eastAsia" w:ascii="宋体" w:hAnsi="宋体" w:eastAsia="宋体" w:cs="宋体"/>
          <w:kern w:val="0"/>
          <w:szCs w:val="21"/>
          <w:highlight w:val="none"/>
        </w:rPr>
        <w:t>提供核心产品相同品牌产品且通过资格审查、符合性审查的不同磋商申请人参加同一合同项下采购活动的，按一家磋商申请人计算，评审后总得分最高的核心产品同品牌磋商申请人获得成交候选人推荐资格；评审得分相同的，按磋商最终报价最低的同品牌磋商申请人获得成交候选人推荐资格；总得分且磋商最终报价相同的，按技术评分最高的同品牌磋商申请人获得成交候选人推荐资格。</w:t>
      </w:r>
    </w:p>
    <w:p w14:paraId="0F1B2EE2">
      <w:pPr>
        <w:pStyle w:val="60"/>
        <w:spacing w:line="460" w:lineRule="exact"/>
        <w:ind w:left="420" w:leftChars="200" w:firstLine="0" w:firstLineChars="0"/>
        <w:rPr>
          <w:rFonts w:ascii="宋体" w:hAnsi="宋体" w:eastAsia="宋体" w:cs="宋体"/>
          <w:b/>
          <w:bCs/>
          <w:kern w:val="0"/>
          <w:sz w:val="24"/>
          <w:szCs w:val="24"/>
          <w:highlight w:val="none"/>
        </w:rPr>
      </w:pPr>
      <w:r>
        <w:rPr>
          <w:rFonts w:hint="eastAsia" w:ascii="宋体" w:hAnsi="宋体" w:eastAsia="宋体" w:cs="宋体"/>
          <w:b/>
          <w:bCs/>
          <w:kern w:val="0"/>
          <w:sz w:val="24"/>
          <w:szCs w:val="24"/>
          <w:highlight w:val="none"/>
        </w:rPr>
        <w:t>五、磋商程序</w:t>
      </w:r>
      <w:bookmarkEnd w:id="202"/>
      <w:bookmarkEnd w:id="203"/>
      <w:bookmarkEnd w:id="204"/>
      <w:bookmarkEnd w:id="205"/>
      <w:bookmarkEnd w:id="206"/>
    </w:p>
    <w:p w14:paraId="4A1AD0AF">
      <w:pPr>
        <w:widowControl/>
        <w:spacing w:line="460" w:lineRule="exact"/>
        <w:ind w:firstLine="420" w:firstLineChars="200"/>
        <w:rPr>
          <w:rFonts w:ascii="宋体" w:hAnsi="宋体" w:eastAsia="宋体" w:cs="宋体"/>
          <w:kern w:val="0"/>
          <w:szCs w:val="21"/>
          <w:highlight w:val="none"/>
        </w:rPr>
      </w:pPr>
      <w:r>
        <w:rPr>
          <w:rFonts w:hint="eastAsia" w:ascii="宋体" w:hAnsi="宋体" w:eastAsia="宋体" w:cs="宋体"/>
          <w:kern w:val="0"/>
          <w:szCs w:val="21"/>
          <w:highlight w:val="none"/>
        </w:rPr>
        <w:t>资格审查→磋商过程</w:t>
      </w:r>
      <w:r>
        <w:rPr>
          <w:rFonts w:hint="eastAsia" w:ascii="宋体" w:hAnsi="宋体" w:eastAsia="宋体" w:cs="宋体"/>
          <w:szCs w:val="21"/>
          <w:highlight w:val="none"/>
        </w:rPr>
        <w:t>→</w:t>
      </w:r>
      <w:r>
        <w:rPr>
          <w:rFonts w:hint="eastAsia" w:ascii="宋体" w:hAnsi="宋体" w:eastAsia="宋体" w:cs="宋体"/>
          <w:kern w:val="0"/>
          <w:szCs w:val="21"/>
          <w:highlight w:val="none"/>
        </w:rPr>
        <w:t>在规定的时间内提交最终报价</w:t>
      </w:r>
      <w:r>
        <w:rPr>
          <w:rFonts w:hint="eastAsia" w:ascii="宋体" w:hAnsi="宋体" w:eastAsia="宋体" w:cs="宋体"/>
          <w:szCs w:val="21"/>
          <w:highlight w:val="none"/>
        </w:rPr>
        <w:t>→</w:t>
      </w:r>
      <w:r>
        <w:rPr>
          <w:rFonts w:hint="eastAsia" w:ascii="宋体" w:hAnsi="宋体" w:eastAsia="宋体" w:cs="宋体"/>
          <w:kern w:val="0"/>
          <w:szCs w:val="21"/>
          <w:highlight w:val="none"/>
        </w:rPr>
        <w:t>响应文件的编制符合性审查→响应文件的响应性评审→综合评估评分。</w:t>
      </w:r>
    </w:p>
    <w:p w14:paraId="605A98C2">
      <w:pPr>
        <w:pStyle w:val="60"/>
        <w:widowControl/>
        <w:numPr>
          <w:ilvl w:val="0"/>
          <w:numId w:val="9"/>
        </w:numPr>
        <w:spacing w:line="460" w:lineRule="exact"/>
        <w:ind w:left="0" w:firstLine="420"/>
        <w:rPr>
          <w:rFonts w:ascii="宋体" w:hAnsi="宋体" w:eastAsia="宋体" w:cs="宋体"/>
          <w:kern w:val="0"/>
          <w:szCs w:val="21"/>
          <w:highlight w:val="none"/>
        </w:rPr>
      </w:pPr>
      <w:r>
        <w:rPr>
          <w:rFonts w:hint="eastAsia" w:ascii="宋体" w:hAnsi="宋体" w:eastAsia="宋体" w:cs="宋体"/>
          <w:kern w:val="0"/>
          <w:szCs w:val="21"/>
          <w:highlight w:val="none"/>
        </w:rPr>
        <w:t>磋商小组依据本章规定的标准对磋商申请人提交的资格部分文件进行审查。只要有一项不符合磋商标准的，就不能通过审查，不再参与磋商。当资格审查通过的磋商申请人少于3家时，将终止本次竞争性磋商采购活动。</w:t>
      </w:r>
    </w:p>
    <w:p w14:paraId="7536831A">
      <w:pPr>
        <w:pStyle w:val="60"/>
        <w:widowControl/>
        <w:numPr>
          <w:ilvl w:val="0"/>
          <w:numId w:val="9"/>
        </w:numPr>
        <w:spacing w:line="460" w:lineRule="exact"/>
        <w:ind w:left="0" w:firstLine="420"/>
        <w:rPr>
          <w:rFonts w:ascii="宋体" w:hAnsi="宋体" w:eastAsia="宋体" w:cs="宋体"/>
          <w:kern w:val="0"/>
          <w:szCs w:val="21"/>
          <w:highlight w:val="none"/>
        </w:rPr>
      </w:pPr>
      <w:r>
        <w:rPr>
          <w:rFonts w:hint="eastAsia" w:ascii="宋体" w:hAnsi="宋体" w:eastAsia="宋体" w:cs="宋体"/>
          <w:kern w:val="0"/>
          <w:szCs w:val="21"/>
          <w:highlight w:val="none"/>
        </w:rPr>
        <w:t>采购需求的审查以响应文件中所提供的相应技术证明材料中技术参数进行审查；响应文件中未提供相应资料的，按不实质性响应磋商文件处理。</w:t>
      </w:r>
    </w:p>
    <w:p w14:paraId="3AC0E899">
      <w:pPr>
        <w:pStyle w:val="60"/>
        <w:spacing w:line="460" w:lineRule="exact"/>
        <w:ind w:left="420" w:leftChars="200" w:firstLine="0" w:firstLineChars="0"/>
        <w:rPr>
          <w:rFonts w:ascii="宋体" w:hAnsi="宋体" w:eastAsia="宋体" w:cs="宋体"/>
          <w:b/>
          <w:bCs/>
          <w:kern w:val="0"/>
          <w:sz w:val="24"/>
          <w:szCs w:val="24"/>
          <w:highlight w:val="none"/>
        </w:rPr>
      </w:pPr>
      <w:r>
        <w:rPr>
          <w:rFonts w:hint="eastAsia" w:ascii="宋体" w:hAnsi="宋体" w:eastAsia="宋体" w:cs="宋体"/>
          <w:b/>
          <w:bCs/>
          <w:kern w:val="0"/>
          <w:sz w:val="24"/>
          <w:szCs w:val="24"/>
          <w:highlight w:val="none"/>
        </w:rPr>
        <w:t>六、磋商标准</w:t>
      </w:r>
    </w:p>
    <w:p w14:paraId="1139BC65">
      <w:pPr>
        <w:pStyle w:val="60"/>
        <w:widowControl/>
        <w:numPr>
          <w:ilvl w:val="0"/>
          <w:numId w:val="10"/>
        </w:numPr>
        <w:spacing w:line="460" w:lineRule="exact"/>
        <w:ind w:firstLineChars="0"/>
        <w:rPr>
          <w:rFonts w:ascii="宋体" w:hAnsi="宋体" w:eastAsia="宋体" w:cs="宋体"/>
          <w:kern w:val="0"/>
          <w:szCs w:val="21"/>
          <w:highlight w:val="none"/>
        </w:rPr>
      </w:pPr>
      <w:r>
        <w:rPr>
          <w:rFonts w:hint="eastAsia" w:ascii="宋体" w:hAnsi="宋体" w:eastAsia="宋体" w:cs="宋体"/>
          <w:kern w:val="0"/>
          <w:szCs w:val="21"/>
          <w:highlight w:val="none"/>
        </w:rPr>
        <w:t>审查标准</w:t>
      </w:r>
    </w:p>
    <w:p w14:paraId="04ECA103">
      <w:pPr>
        <w:widowControl/>
        <w:spacing w:line="460" w:lineRule="exact"/>
        <w:ind w:firstLine="420" w:firstLineChars="200"/>
        <w:rPr>
          <w:rFonts w:ascii="宋体" w:hAnsi="宋体" w:eastAsia="宋体" w:cs="宋体"/>
          <w:kern w:val="0"/>
          <w:szCs w:val="21"/>
          <w:highlight w:val="none"/>
        </w:rPr>
      </w:pPr>
      <w:r>
        <w:rPr>
          <w:rFonts w:hint="eastAsia" w:ascii="宋体" w:hAnsi="宋体" w:eastAsia="宋体" w:cs="宋体"/>
          <w:kern w:val="0"/>
          <w:szCs w:val="21"/>
          <w:highlight w:val="none"/>
        </w:rPr>
        <w:t>审查标准：依据法律法规和磋商文件的规定，对响应文件中的资格证明、技术及服务要求等实质性要求审查标准进行审查，见“磋商程序和方法前附表”。</w:t>
      </w:r>
    </w:p>
    <w:p w14:paraId="02816749">
      <w:pPr>
        <w:pStyle w:val="60"/>
        <w:widowControl/>
        <w:numPr>
          <w:ilvl w:val="0"/>
          <w:numId w:val="10"/>
        </w:numPr>
        <w:spacing w:line="460" w:lineRule="exact"/>
        <w:ind w:firstLineChars="0"/>
        <w:rPr>
          <w:rFonts w:ascii="宋体" w:hAnsi="宋体" w:eastAsia="宋体" w:cs="宋体"/>
          <w:kern w:val="0"/>
          <w:szCs w:val="21"/>
          <w:highlight w:val="none"/>
        </w:rPr>
      </w:pPr>
      <w:r>
        <w:rPr>
          <w:rFonts w:hint="eastAsia" w:ascii="宋体" w:hAnsi="宋体" w:eastAsia="宋体" w:cs="宋体"/>
          <w:kern w:val="0"/>
          <w:szCs w:val="21"/>
          <w:highlight w:val="none"/>
        </w:rPr>
        <w:t>磋商标准</w:t>
      </w:r>
    </w:p>
    <w:p w14:paraId="2E89A113">
      <w:pPr>
        <w:pStyle w:val="60"/>
        <w:widowControl/>
        <w:numPr>
          <w:ilvl w:val="0"/>
          <w:numId w:val="11"/>
        </w:numPr>
        <w:spacing w:line="460" w:lineRule="exact"/>
        <w:ind w:left="0" w:firstLine="420"/>
        <w:rPr>
          <w:rFonts w:ascii="宋体" w:hAnsi="宋体" w:eastAsia="宋体" w:cs="宋体"/>
          <w:kern w:val="0"/>
          <w:szCs w:val="21"/>
          <w:highlight w:val="none"/>
        </w:rPr>
      </w:pPr>
      <w:r>
        <w:rPr>
          <w:rFonts w:hint="eastAsia" w:ascii="宋体" w:hAnsi="宋体" w:eastAsia="宋体" w:cs="宋体"/>
          <w:kern w:val="0"/>
          <w:szCs w:val="21"/>
          <w:highlight w:val="none"/>
        </w:rPr>
        <w:t>磋商申请人只有通过资格审查才能进行磋商过程及提交最终报价（第二轮磋商报价）及详细评审。</w:t>
      </w:r>
    </w:p>
    <w:p w14:paraId="0BBFEF77">
      <w:pPr>
        <w:pStyle w:val="60"/>
        <w:widowControl/>
        <w:numPr>
          <w:ilvl w:val="0"/>
          <w:numId w:val="11"/>
        </w:numPr>
        <w:spacing w:line="460" w:lineRule="exact"/>
        <w:ind w:left="0" w:firstLine="420"/>
        <w:rPr>
          <w:rFonts w:ascii="宋体" w:hAnsi="宋体" w:eastAsia="宋体" w:cs="宋体"/>
          <w:kern w:val="0"/>
          <w:szCs w:val="21"/>
          <w:highlight w:val="none"/>
        </w:rPr>
      </w:pPr>
      <w:r>
        <w:rPr>
          <w:rFonts w:hint="eastAsia" w:ascii="宋体" w:hAnsi="宋体" w:eastAsia="宋体" w:cs="宋体"/>
          <w:kern w:val="0"/>
          <w:szCs w:val="21"/>
          <w:highlight w:val="none"/>
        </w:rPr>
        <w:t>通过审查的各磋商申请人将按照上传磋商响应文件的顺序并根据政采云平台的流程依次与磋商小组进行单一独立磋商，由磋商小组开启相应磋商流程。磋商申请人可对拟提供应的产品进行述标（项目（产品）质量、产品质量保证期、技术支持和售后服务等进行介绍）时间：不能超过10分钟。磋商小组将就项目相关质量、磋商报价等方面进行磋商，磋商申请人可对磋商情况填报二次报价及承诺，</w:t>
      </w:r>
      <w:r>
        <w:rPr>
          <w:rFonts w:hint="eastAsia" w:ascii="宋体" w:hAnsi="宋体" w:eastAsia="宋体" w:cs="宋体"/>
          <w:b/>
          <w:bCs/>
          <w:kern w:val="0"/>
          <w:szCs w:val="21"/>
          <w:highlight w:val="none"/>
        </w:rPr>
        <w:t>各磋商申请人须根据云南省政府采购电子交易平台的系统提示在规定时间内进行填报二次报价及承诺。</w:t>
      </w:r>
    </w:p>
    <w:p w14:paraId="44FC0F02">
      <w:pPr>
        <w:pStyle w:val="60"/>
        <w:widowControl/>
        <w:numPr>
          <w:ilvl w:val="0"/>
          <w:numId w:val="11"/>
        </w:numPr>
        <w:spacing w:line="460" w:lineRule="exact"/>
        <w:ind w:left="0" w:firstLine="420"/>
        <w:rPr>
          <w:rFonts w:ascii="宋体" w:hAnsi="宋体" w:eastAsia="宋体" w:cs="宋体"/>
          <w:kern w:val="0"/>
          <w:szCs w:val="21"/>
          <w:highlight w:val="none"/>
        </w:rPr>
      </w:pPr>
      <w:r>
        <w:rPr>
          <w:rFonts w:hint="eastAsia" w:ascii="宋体" w:hAnsi="宋体" w:eastAsia="宋体" w:cs="宋体"/>
          <w:kern w:val="0"/>
          <w:szCs w:val="21"/>
          <w:highlight w:val="none"/>
        </w:rPr>
        <w:t>第二轮磋商报价为磋商申请人的最终报价。若磋商申请人最终报价超过预算价，按无效响应文件处理。</w:t>
      </w:r>
    </w:p>
    <w:p w14:paraId="3F219F74">
      <w:pPr>
        <w:pStyle w:val="60"/>
        <w:widowControl/>
        <w:numPr>
          <w:ilvl w:val="0"/>
          <w:numId w:val="11"/>
        </w:numPr>
        <w:spacing w:line="460" w:lineRule="exact"/>
        <w:ind w:left="0" w:firstLine="420"/>
        <w:rPr>
          <w:rFonts w:ascii="宋体" w:hAnsi="宋体" w:eastAsia="宋体" w:cs="宋体"/>
          <w:kern w:val="0"/>
          <w:szCs w:val="21"/>
          <w:highlight w:val="none"/>
        </w:rPr>
      </w:pPr>
      <w:r>
        <w:rPr>
          <w:rFonts w:hint="eastAsia" w:ascii="宋体" w:hAnsi="宋体" w:eastAsia="宋体" w:cs="宋体"/>
          <w:kern w:val="0"/>
          <w:szCs w:val="21"/>
          <w:highlight w:val="none"/>
        </w:rPr>
        <w:t>磋商小组对各磋商申请人的响应文件进行详细评审。磋商小组按照得分的高低推荐成交候选人，推荐成交候选人1—3人，并标明排列顺序。</w:t>
      </w:r>
    </w:p>
    <w:p w14:paraId="7C089409">
      <w:pPr>
        <w:pStyle w:val="60"/>
        <w:spacing w:line="460" w:lineRule="exact"/>
        <w:ind w:left="420" w:leftChars="200" w:firstLine="0" w:firstLineChars="0"/>
        <w:rPr>
          <w:rFonts w:ascii="宋体" w:hAnsi="宋体" w:eastAsia="宋体" w:cs="宋体"/>
          <w:b/>
          <w:bCs/>
          <w:kern w:val="0"/>
          <w:sz w:val="24"/>
          <w:szCs w:val="24"/>
          <w:highlight w:val="none"/>
        </w:rPr>
      </w:pPr>
      <w:bookmarkStart w:id="207" w:name="_Toc48271433"/>
      <w:bookmarkStart w:id="208" w:name="_Toc378499756"/>
      <w:bookmarkStart w:id="209" w:name="_Toc347849275"/>
      <w:bookmarkStart w:id="210" w:name="_Toc383175537"/>
      <w:bookmarkStart w:id="211" w:name="_Toc329810241"/>
      <w:bookmarkStart w:id="212" w:name="_Toc191374454"/>
      <w:bookmarkStart w:id="213" w:name="_Toc86124101"/>
      <w:r>
        <w:rPr>
          <w:rFonts w:hint="eastAsia" w:ascii="宋体" w:hAnsi="宋体" w:eastAsia="宋体" w:cs="宋体"/>
          <w:b/>
          <w:bCs/>
          <w:kern w:val="0"/>
          <w:sz w:val="24"/>
          <w:szCs w:val="24"/>
          <w:highlight w:val="none"/>
        </w:rPr>
        <w:t>七、磋商</w:t>
      </w:r>
      <w:bookmarkEnd w:id="207"/>
      <w:r>
        <w:rPr>
          <w:rFonts w:hint="eastAsia" w:ascii="宋体" w:hAnsi="宋体" w:eastAsia="宋体" w:cs="宋体"/>
          <w:b/>
          <w:bCs/>
          <w:kern w:val="0"/>
          <w:sz w:val="24"/>
          <w:szCs w:val="24"/>
          <w:highlight w:val="none"/>
        </w:rPr>
        <w:t>、比较与评价</w:t>
      </w:r>
      <w:bookmarkEnd w:id="208"/>
      <w:bookmarkEnd w:id="209"/>
      <w:bookmarkEnd w:id="210"/>
      <w:bookmarkEnd w:id="211"/>
    </w:p>
    <w:p w14:paraId="374F6950">
      <w:pPr>
        <w:pStyle w:val="60"/>
        <w:widowControl/>
        <w:numPr>
          <w:ilvl w:val="0"/>
          <w:numId w:val="12"/>
        </w:numPr>
        <w:spacing w:line="460" w:lineRule="exact"/>
        <w:ind w:left="0" w:firstLine="420"/>
        <w:rPr>
          <w:rFonts w:ascii="宋体" w:hAnsi="宋体" w:eastAsia="宋体" w:cs="宋体"/>
          <w:kern w:val="0"/>
          <w:szCs w:val="21"/>
          <w:highlight w:val="none"/>
        </w:rPr>
      </w:pPr>
      <w:r>
        <w:rPr>
          <w:rFonts w:hint="eastAsia" w:ascii="宋体" w:hAnsi="宋体" w:eastAsia="宋体" w:cs="宋体"/>
          <w:kern w:val="0"/>
          <w:szCs w:val="21"/>
          <w:highlight w:val="none"/>
        </w:rPr>
        <w:t>磋商小组所有成员集中与通过资格审查的单一磋商申请人分别进行磋商。在磋商中，磋商的任何一方不得透露与磋商有关的其他磋商申请人的技术资料、价格、折扣和其他商业信息和商业秘密。</w:t>
      </w:r>
    </w:p>
    <w:p w14:paraId="6DEE9B31">
      <w:pPr>
        <w:pStyle w:val="60"/>
        <w:widowControl/>
        <w:numPr>
          <w:ilvl w:val="0"/>
          <w:numId w:val="12"/>
        </w:numPr>
        <w:spacing w:line="460" w:lineRule="exact"/>
        <w:ind w:left="0" w:firstLine="420"/>
        <w:rPr>
          <w:rFonts w:ascii="宋体" w:hAnsi="宋体" w:eastAsia="宋体" w:cs="宋体"/>
          <w:kern w:val="0"/>
          <w:szCs w:val="21"/>
          <w:highlight w:val="none"/>
        </w:rPr>
      </w:pPr>
      <w:r>
        <w:rPr>
          <w:rFonts w:hint="eastAsia" w:ascii="宋体" w:hAnsi="宋体" w:eastAsia="宋体" w:cs="宋体"/>
          <w:kern w:val="0"/>
          <w:szCs w:val="21"/>
          <w:highlight w:val="none"/>
        </w:rPr>
        <w:t>磋商文件有实质性变动的，磋商小组将经采购人代表确认后，以书面形式通知所有参加磋商的磋商申请人。但不得对涉及竞争的公平、公正性内容进行修改、变动。</w:t>
      </w:r>
    </w:p>
    <w:p w14:paraId="73E8F9CE">
      <w:pPr>
        <w:pStyle w:val="60"/>
        <w:widowControl/>
        <w:numPr>
          <w:ilvl w:val="0"/>
          <w:numId w:val="12"/>
        </w:numPr>
        <w:spacing w:line="460" w:lineRule="exact"/>
        <w:ind w:left="0" w:firstLine="420"/>
        <w:rPr>
          <w:rFonts w:ascii="宋体" w:hAnsi="宋体" w:eastAsia="宋体" w:cs="宋体"/>
          <w:kern w:val="0"/>
          <w:szCs w:val="21"/>
          <w:highlight w:val="none"/>
        </w:rPr>
      </w:pPr>
      <w:r>
        <w:rPr>
          <w:rFonts w:hint="eastAsia" w:ascii="宋体" w:hAnsi="宋体" w:eastAsia="宋体" w:cs="宋体"/>
          <w:kern w:val="0"/>
          <w:szCs w:val="21"/>
          <w:highlight w:val="none"/>
        </w:rPr>
        <w:t>为有助于对响应文件的详细审查、评价和比较，磋商小组可要求对磋商申请人分别进行技术询问、澄清，有关要求和答复均通过云南省政府采购电子交易平台进行。</w:t>
      </w:r>
    </w:p>
    <w:p w14:paraId="33D4C15D">
      <w:pPr>
        <w:pStyle w:val="60"/>
        <w:widowControl/>
        <w:numPr>
          <w:ilvl w:val="0"/>
          <w:numId w:val="12"/>
        </w:numPr>
        <w:spacing w:line="460" w:lineRule="exact"/>
        <w:ind w:left="0" w:firstLine="420"/>
        <w:rPr>
          <w:rFonts w:ascii="宋体" w:hAnsi="宋体" w:eastAsia="宋体" w:cs="宋体"/>
          <w:kern w:val="0"/>
          <w:szCs w:val="21"/>
          <w:highlight w:val="none"/>
        </w:rPr>
      </w:pPr>
      <w:r>
        <w:rPr>
          <w:rFonts w:hint="eastAsia" w:ascii="宋体" w:hAnsi="宋体" w:eastAsia="宋体" w:cs="宋体"/>
          <w:kern w:val="0"/>
          <w:szCs w:val="21"/>
          <w:highlight w:val="none"/>
        </w:rPr>
        <w:t>磋商小组在对响应文件的有效性、完整性和响应程度进行审查时，可以要求磋商申请人对响应文件中含义不明确、同类问题表述不一致或者有明显文字和计算错误的内容等作出必要的澄清、说明或者更正。磋商申请人的澄清、说明或者更正不得超出响应文件的范围或者改变响应文件的实质性内容。磋商小组要求磋商申请人澄清、说明或者更正响应文件应当以书面形式作出。磋商申请人的澄清、说明或者更正应当由法定代表人或其授权代表签字或者加盖公章。由授权代表签字的，应当附法定代表人授权书。磋商申请人为自然人的，应当由本人签字并附身份证明。</w:t>
      </w:r>
    </w:p>
    <w:p w14:paraId="1593191A">
      <w:pPr>
        <w:pStyle w:val="60"/>
        <w:widowControl/>
        <w:numPr>
          <w:ilvl w:val="0"/>
          <w:numId w:val="12"/>
        </w:numPr>
        <w:spacing w:line="460" w:lineRule="exact"/>
        <w:ind w:left="0" w:firstLine="420"/>
        <w:rPr>
          <w:rFonts w:ascii="宋体" w:hAnsi="宋体" w:eastAsia="宋体" w:cs="宋体"/>
          <w:kern w:val="0"/>
          <w:szCs w:val="21"/>
          <w:highlight w:val="none"/>
        </w:rPr>
      </w:pPr>
      <w:r>
        <w:rPr>
          <w:rFonts w:hint="eastAsia" w:ascii="宋体" w:hAnsi="宋体" w:eastAsia="宋体" w:cs="宋体"/>
          <w:kern w:val="0"/>
          <w:szCs w:val="21"/>
          <w:highlight w:val="none"/>
        </w:rPr>
        <w:t>磋商小组对磋商申请人提交的澄清、说明有疑问的，可以要求磋商申请人进一步澄清、说明。磋商小组要求磋商申请人澄清、说明或者更正响应文件应当以书面形式作出。磋商申请人的澄清、说明或者更正应当由法定代表人或其授权代表签字或者加盖公章，并按照云南省政府采购电子交易平台的系统要求进行上传。</w:t>
      </w:r>
    </w:p>
    <w:p w14:paraId="2B0EF445">
      <w:pPr>
        <w:pStyle w:val="60"/>
        <w:widowControl/>
        <w:numPr>
          <w:ilvl w:val="0"/>
          <w:numId w:val="12"/>
        </w:numPr>
        <w:spacing w:line="460" w:lineRule="exact"/>
        <w:ind w:left="0" w:firstLine="420"/>
        <w:rPr>
          <w:rFonts w:ascii="宋体" w:hAnsi="宋体" w:eastAsia="宋体" w:cs="宋体"/>
          <w:kern w:val="0"/>
          <w:szCs w:val="21"/>
          <w:highlight w:val="none"/>
        </w:rPr>
      </w:pPr>
      <w:r>
        <w:rPr>
          <w:rFonts w:hint="eastAsia" w:ascii="宋体" w:hAnsi="宋体" w:eastAsia="宋体" w:cs="宋体"/>
          <w:kern w:val="0"/>
          <w:szCs w:val="21"/>
          <w:highlight w:val="none"/>
        </w:rPr>
        <w:t>磋商结束后，磋商小组将要求所有继续参加磋商的磋商申请人在规定时间内提交最后报价，提交最后报价的磋商申请人不得少于3家。</w:t>
      </w:r>
    </w:p>
    <w:p w14:paraId="6BB617F5">
      <w:pPr>
        <w:pStyle w:val="60"/>
        <w:widowControl/>
        <w:numPr>
          <w:ilvl w:val="0"/>
          <w:numId w:val="12"/>
        </w:numPr>
        <w:spacing w:line="460" w:lineRule="exact"/>
        <w:ind w:left="0" w:firstLine="420"/>
        <w:rPr>
          <w:rFonts w:ascii="宋体" w:hAnsi="宋体" w:eastAsia="宋体" w:cs="宋体"/>
          <w:kern w:val="0"/>
          <w:szCs w:val="21"/>
          <w:highlight w:val="none"/>
        </w:rPr>
      </w:pPr>
      <w:r>
        <w:rPr>
          <w:rFonts w:hint="eastAsia" w:ascii="宋体" w:hAnsi="宋体" w:eastAsia="宋体" w:cs="宋体"/>
          <w:kern w:val="0"/>
          <w:szCs w:val="21"/>
          <w:highlight w:val="none"/>
        </w:rPr>
        <w:t>磋商小组成员要依法独立审查，并对审查意见承担个人责任。磋商小组成员对需要共同认定的事项存在争议的，按照少数服从多数的原则作出结论。</w:t>
      </w:r>
    </w:p>
    <w:p w14:paraId="75176E52">
      <w:pPr>
        <w:pStyle w:val="60"/>
        <w:widowControl/>
        <w:numPr>
          <w:ilvl w:val="0"/>
          <w:numId w:val="12"/>
        </w:numPr>
        <w:spacing w:line="460" w:lineRule="exact"/>
        <w:ind w:left="0" w:firstLine="420"/>
        <w:rPr>
          <w:rFonts w:ascii="宋体" w:hAnsi="宋体" w:eastAsia="宋体" w:cs="宋体"/>
          <w:kern w:val="0"/>
          <w:sz w:val="24"/>
          <w:szCs w:val="24"/>
          <w:highlight w:val="none"/>
        </w:rPr>
      </w:pPr>
      <w:r>
        <w:rPr>
          <w:rFonts w:hint="eastAsia" w:ascii="宋体" w:hAnsi="宋体" w:eastAsia="宋体" w:cs="宋体"/>
          <w:kern w:val="0"/>
          <w:szCs w:val="21"/>
          <w:highlight w:val="none"/>
        </w:rPr>
        <w:t>评审报告应当由磋商小组全体人员签字认可。磋商小组成员对评审报告有异议的，磋商小组按照少数服从多数的原则推荐成交候选人，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14:paraId="67798726">
      <w:pPr>
        <w:pStyle w:val="60"/>
        <w:spacing w:line="460" w:lineRule="exact"/>
        <w:ind w:left="420" w:leftChars="200" w:firstLine="0" w:firstLineChars="0"/>
        <w:rPr>
          <w:rFonts w:ascii="宋体" w:hAnsi="宋体" w:eastAsia="宋体" w:cs="宋体"/>
          <w:b/>
          <w:bCs/>
          <w:kern w:val="0"/>
          <w:sz w:val="24"/>
          <w:szCs w:val="24"/>
          <w:highlight w:val="none"/>
        </w:rPr>
      </w:pPr>
      <w:bookmarkStart w:id="214" w:name="_Toc347849276"/>
      <w:bookmarkStart w:id="215" w:name="_Toc378499757"/>
      <w:bookmarkStart w:id="216" w:name="_Toc329810242"/>
      <w:bookmarkStart w:id="217" w:name="_Toc7252792"/>
      <w:bookmarkStart w:id="218" w:name="_Toc383175538"/>
      <w:r>
        <w:rPr>
          <w:rFonts w:hint="eastAsia" w:ascii="宋体" w:hAnsi="宋体" w:eastAsia="宋体" w:cs="宋体"/>
          <w:b/>
          <w:bCs/>
          <w:kern w:val="0"/>
          <w:sz w:val="24"/>
          <w:szCs w:val="24"/>
          <w:highlight w:val="none"/>
        </w:rPr>
        <w:t>八、磋商结果</w:t>
      </w:r>
      <w:bookmarkEnd w:id="214"/>
      <w:bookmarkEnd w:id="215"/>
      <w:bookmarkEnd w:id="216"/>
      <w:bookmarkEnd w:id="217"/>
      <w:bookmarkEnd w:id="218"/>
    </w:p>
    <w:bookmarkEnd w:id="212"/>
    <w:bookmarkEnd w:id="213"/>
    <w:p w14:paraId="4CB57948">
      <w:pPr>
        <w:widowControl/>
        <w:spacing w:line="460" w:lineRule="exact"/>
        <w:ind w:firstLine="420" w:firstLineChars="200"/>
        <w:rPr>
          <w:rFonts w:ascii="宋体" w:hAnsi="宋体" w:eastAsia="宋体" w:cs="宋体"/>
          <w:b/>
          <w:bCs/>
          <w:sz w:val="28"/>
          <w:szCs w:val="28"/>
          <w:highlight w:val="none"/>
        </w:rPr>
      </w:pPr>
      <w:r>
        <w:rPr>
          <w:rFonts w:hint="eastAsia" w:ascii="宋体" w:hAnsi="宋体" w:eastAsia="宋体" w:cs="宋体"/>
          <w:kern w:val="0"/>
          <w:szCs w:val="21"/>
          <w:highlight w:val="none"/>
        </w:rPr>
        <w:t>磋商小组对各磋商申请人的响应文件进行详细评审。磋商小组按照得分的高低推荐成交候选人，推荐成交候选人1-3名，并标明排列顺序。</w:t>
      </w:r>
    </w:p>
    <w:sectPr>
      <w:pgSz w:w="11906" w:h="16838"/>
      <w:pgMar w:top="936" w:right="1134" w:bottom="1089" w:left="113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roman"/>
    <w:pitch w:val="default"/>
    <w:sig w:usb0="E0002AFF" w:usb1="C0007841" w:usb2="00000009" w:usb3="00000000" w:csb0="400001FF" w:csb1="FFFF0000"/>
    <w:embedRegular r:id="rId1" w:fontKey="{1FB85109-1DE5-46BC-B3E6-7BAB1C0D66C9}"/>
  </w:font>
  <w:font w:name="宋体">
    <w:panose1 w:val="02010600030101010101"/>
    <w:charset w:val="0D"/>
    <w:family w:val="auto"/>
    <w:pitch w:val="default"/>
    <w:sig w:usb0="00000003" w:usb1="288F0000" w:usb2="00000006" w:usb3="00000000" w:csb0="00040001" w:csb1="00000000"/>
    <w:embedRegular r:id="rId2" w:fontKey="{C154CE1E-6A83-4B50-B29C-F327BF577EF9}"/>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等线">
    <w:altName w:val="Arial Unicode MS"/>
    <w:panose1 w:val="02010600030101010101"/>
    <w:charset w:val="86"/>
    <w:family w:val="auto"/>
    <w:pitch w:val="default"/>
    <w:sig w:usb0="00000000" w:usb1="00000000" w:usb2="00000016" w:usb3="00000000" w:csb0="0004000F" w:csb1="00000000"/>
  </w:font>
  <w:font w:name="Arial Unicode MS">
    <w:panose1 w:val="020B0604020202020204"/>
    <w:charset w:val="86"/>
    <w:family w:val="auto"/>
    <w:pitch w:val="default"/>
    <w:sig w:usb0="FFFFFFFF" w:usb1="E9FFFFFF" w:usb2="0000003F" w:usb3="00000000" w:csb0="603F01FF" w:csb1="FFFF0000"/>
  </w:font>
  <w:font w:name="仿宋_GB2312">
    <w:altName w:val="仿宋"/>
    <w:panose1 w:val="020B0604020202020204"/>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等线 Light">
    <w:altName w:val="宋体"/>
    <w:panose1 w:val="02010600030101010101"/>
    <w:charset w:val="86"/>
    <w:family w:val="auto"/>
    <w:pitch w:val="default"/>
    <w:sig w:usb0="00000000" w:usb1="00000000" w:usb2="00000016" w:usb3="00000000" w:csb0="0004000F" w:csb1="00000000"/>
  </w:font>
  <w:font w:name="微软雅黑">
    <w:panose1 w:val="020B0503020204020204"/>
    <w:charset w:val="86"/>
    <w:family w:val="swiss"/>
    <w:pitch w:val="default"/>
    <w:sig w:usb0="80000287" w:usb1="280F3C52" w:usb2="00000016" w:usb3="00000000" w:csb0="0004001F" w:csb1="00000000"/>
  </w:font>
  <w:font w:name="Akzidenz Grotesk">
    <w:altName w:val="宋体"/>
    <w:panose1 w:val="020B0604020202020204"/>
    <w:charset w:val="86"/>
    <w:family w:val="auto"/>
    <w:pitch w:val="default"/>
    <w:sig w:usb0="00000000" w:usb1="00000000" w:usb2="00000010" w:usb3="00000000" w:csb0="00040000" w:csb1="00000000"/>
  </w:font>
  <w:font w:name="Microsoft Sans Serif">
    <w:panose1 w:val="020B0604020202020204"/>
    <w:charset w:val="00"/>
    <w:family w:val="swiss"/>
    <w:pitch w:val="default"/>
    <w:sig w:usb0="E1002AFF" w:usb1="C0000002" w:usb2="00000008" w:usb3="00000000" w:csb0="200101FF" w:csb1="20280000"/>
  </w:font>
  <w:font w:name="华文楷体">
    <w:panose1 w:val="02010600040101010101"/>
    <w:charset w:val="86"/>
    <w:family w:val="auto"/>
    <w:pitch w:val="default"/>
    <w:sig w:usb0="00000287" w:usb1="080F0000" w:usb2="00000000" w:usb3="00000000" w:csb0="0004009F" w:csb1="DFD70000"/>
  </w:font>
  <w:font w:name="等线">
    <w:altName w:val="Arial Unicode MS"/>
    <w:panose1 w:val="00000000000000000000"/>
    <w:charset w:val="00"/>
    <w:family w:val="auto"/>
    <w:pitch w:val="default"/>
    <w:sig w:usb0="00000000" w:usb1="00000000" w:usb2="00000000" w:usb3="00000000" w:csb0="00000000" w:csb1="00000000"/>
  </w:font>
  <w:font w:name="等线 Light">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D31EC8">
    <w:pPr>
      <w:pStyle w:val="18"/>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3618662"/>
                          </w:sdtPr>
                          <w:sdtContent>
                            <w:p w14:paraId="6B762A4C">
                              <w:pPr>
                                <w:pStyle w:val="18"/>
                                <w:jc w:val="center"/>
                              </w:pPr>
                              <w:r>
                                <w:fldChar w:fldCharType="begin"/>
                              </w:r>
                              <w:r>
                                <w:instrText xml:space="preserve"> PAGE   \* MERGEFORMAT </w:instrText>
                              </w:r>
                              <w:r>
                                <w:fldChar w:fldCharType="separate"/>
                              </w:r>
                              <w:r>
                                <w:rPr>
                                  <w:lang w:val="zh-CN"/>
                                </w:rPr>
                                <w:t>1</w:t>
                              </w:r>
                              <w:r>
                                <w:rPr>
                                  <w:lang w:val="zh-CN"/>
                                </w:rPr>
                                <w:fldChar w:fldCharType="end"/>
                              </w:r>
                            </w:p>
                          </w:sdtContent>
                        </w:sdt>
                        <w:p w14:paraId="7756AA04">
                          <w:pPr>
                            <w:pStyle w:val="12"/>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sdt>
                    <w:sdtPr>
                      <w:id w:val="3618662"/>
                    </w:sdtPr>
                    <w:sdtContent>
                      <w:p w14:paraId="6B762A4C">
                        <w:pPr>
                          <w:pStyle w:val="18"/>
                          <w:jc w:val="center"/>
                        </w:pPr>
                        <w:r>
                          <w:fldChar w:fldCharType="begin"/>
                        </w:r>
                        <w:r>
                          <w:instrText xml:space="preserve"> PAGE   \* MERGEFORMAT </w:instrText>
                        </w:r>
                        <w:r>
                          <w:fldChar w:fldCharType="separate"/>
                        </w:r>
                        <w:r>
                          <w:rPr>
                            <w:lang w:val="zh-CN"/>
                          </w:rPr>
                          <w:t>1</w:t>
                        </w:r>
                        <w:r>
                          <w:rPr>
                            <w:lang w:val="zh-CN"/>
                          </w:rPr>
                          <w:fldChar w:fldCharType="end"/>
                        </w:r>
                      </w:p>
                    </w:sdtContent>
                  </w:sdt>
                  <w:p w14:paraId="7756AA04">
                    <w:pPr>
                      <w:pStyle w:val="12"/>
                    </w:pPr>
                  </w:p>
                </w:txbxContent>
              </v:textbox>
            </v:shape>
          </w:pict>
        </mc:Fallback>
      </mc:AlternateContent>
    </w:r>
  </w:p>
  <w:p w14:paraId="1C352369">
    <w:pPr>
      <w:pStyle w:val="1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5C51BF">
    <w:pPr>
      <w:pStyle w:val="18"/>
      <w:jc w:val="cente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836201B">
                          <w:pPr>
                            <w:pStyle w:val="18"/>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v:fill on="f" focussize="0,0"/>
              <v:stroke on="f" weight="0.5pt"/>
              <v:imagedata o:title=""/>
              <o:lock v:ext="edit" aspectratio="f"/>
              <v:textbox inset="0mm,0mm,0mm,0mm" style="mso-fit-shape-to-text:t;">
                <w:txbxContent>
                  <w:p w14:paraId="0836201B">
                    <w:pPr>
                      <w:pStyle w:val="18"/>
                    </w:pPr>
                    <w:r>
                      <w:fldChar w:fldCharType="begin"/>
                    </w:r>
                    <w:r>
                      <w:instrText xml:space="preserve"> PAGE  \* MERGEFORMAT </w:instrText>
                    </w:r>
                    <w:r>
                      <w:fldChar w:fldCharType="separate"/>
                    </w:r>
                    <w:r>
                      <w:t>2</w:t>
                    </w:r>
                    <w:r>
                      <w:fldChar w:fldCharType="end"/>
                    </w:r>
                  </w:p>
                </w:txbxContent>
              </v:textbox>
            </v:shape>
          </w:pict>
        </mc:Fallback>
      </mc:AlternateContent>
    </w:r>
  </w:p>
  <w:p w14:paraId="6D1EDD83">
    <w:pPr>
      <w:pStyle w:val="18"/>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BDA13">
    <w:pPr>
      <w:pStyle w:val="18"/>
      <w:jc w:val="cente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8CB3424">
                          <w:pPr>
                            <w:pStyle w:val="1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78CB3424">
                    <w:pPr>
                      <w:pStyle w:val="18"/>
                    </w:pPr>
                    <w:r>
                      <w:fldChar w:fldCharType="begin"/>
                    </w:r>
                    <w:r>
                      <w:instrText xml:space="preserve"> PAGE  \* MERGEFORMAT </w:instrText>
                    </w:r>
                    <w:r>
                      <w:fldChar w:fldCharType="separate"/>
                    </w:r>
                    <w:r>
                      <w:t>1</w:t>
                    </w:r>
                    <w:r>
                      <w:fldChar w:fldCharType="end"/>
                    </w:r>
                  </w:p>
                </w:txbxContent>
              </v:textbox>
            </v:shape>
          </w:pict>
        </mc:Fallback>
      </mc:AlternateContent>
    </w:r>
    <w:sdt>
      <w:sdtPr>
        <w:id w:val="147468077"/>
      </w:sdtPr>
      <w:sdtContent>
        <w:r>
          <w:drawing>
            <wp:anchor distT="0" distB="0" distL="114300" distR="114300" simplePos="0" relativeHeight="251660288" behindDoc="0" locked="0" layoutInCell="1" allowOverlap="1">
              <wp:simplePos x="0" y="0"/>
              <wp:positionH relativeFrom="column">
                <wp:posOffset>4671060</wp:posOffset>
              </wp:positionH>
              <wp:positionV relativeFrom="paragraph">
                <wp:posOffset>20320</wp:posOffset>
              </wp:positionV>
              <wp:extent cx="1447165" cy="485775"/>
              <wp:effectExtent l="0" t="0" r="63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447165" cy="485775"/>
                      </a:xfrm>
                      <a:prstGeom prst="rect">
                        <a:avLst/>
                      </a:prstGeom>
                      <a:noFill/>
                      <a:ln w="9525">
                        <a:noFill/>
                        <a:miter lim="800000"/>
                        <a:headEnd/>
                        <a:tailEnd/>
                      </a:ln>
                    </pic:spPr>
                  </pic:pic>
                </a:graphicData>
              </a:graphic>
            </wp:anchor>
          </w:drawing>
        </w:r>
      </w:sdtContent>
    </w:sdt>
  </w:p>
  <w:p w14:paraId="3BE563AE">
    <w:pPr>
      <w:pStyle w:val="18"/>
      <w:jc w:val="righ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ED0A67">
    <w:pPr>
      <w:pStyle w:val="18"/>
      <w:jc w:val="center"/>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CAFAA70">
                          <w:pPr>
                            <w:pStyle w:val="1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14:paraId="2CAFAA70">
                    <w:pPr>
                      <w:pStyle w:val="18"/>
                    </w:pPr>
                    <w:r>
                      <w:fldChar w:fldCharType="begin"/>
                    </w:r>
                    <w:r>
                      <w:instrText xml:space="preserve"> PAGE  \* MERGEFORMAT </w:instrText>
                    </w:r>
                    <w:r>
                      <w:fldChar w:fldCharType="separate"/>
                    </w:r>
                    <w:r>
                      <w:t>1</w:t>
                    </w:r>
                    <w:r>
                      <w:fldChar w:fldCharType="end"/>
                    </w:r>
                  </w:p>
                </w:txbxContent>
              </v:textbox>
            </v:shape>
          </w:pict>
        </mc:Fallback>
      </mc:AlternateContent>
    </w:r>
    <w:sdt>
      <w:sdtPr>
        <w:id w:val="1866405595"/>
      </w:sdtPr>
      <w:sdtContent>
        <w:r>
          <w:drawing>
            <wp:anchor distT="0" distB="0" distL="114300" distR="114300" simplePos="0" relativeHeight="251661312" behindDoc="0" locked="0" layoutInCell="1" allowOverlap="1">
              <wp:simplePos x="0" y="0"/>
              <wp:positionH relativeFrom="column">
                <wp:posOffset>4671060</wp:posOffset>
              </wp:positionH>
              <wp:positionV relativeFrom="paragraph">
                <wp:posOffset>20320</wp:posOffset>
              </wp:positionV>
              <wp:extent cx="1447165" cy="485775"/>
              <wp:effectExtent l="0" t="0" r="635" b="9525"/>
              <wp:wrapNone/>
              <wp:docPr id="1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447165" cy="485775"/>
                      </a:xfrm>
                      <a:prstGeom prst="rect">
                        <a:avLst/>
                      </a:prstGeom>
                      <a:noFill/>
                      <a:ln w="9525">
                        <a:noFill/>
                        <a:miter lim="800000"/>
                        <a:headEnd/>
                        <a:tailEnd/>
                      </a:ln>
                    </pic:spPr>
                  </pic:pic>
                </a:graphicData>
              </a:graphic>
            </wp:anchor>
          </w:drawing>
        </w:r>
      </w:sdtContent>
    </w:sdt>
  </w:p>
  <w:p w14:paraId="79C17641">
    <w:pPr>
      <w:pStyle w:val="18"/>
      <w:jc w:val="right"/>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7287E7">
    <w:pPr>
      <w:pStyle w:val="18"/>
      <w:jc w:val="center"/>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7460581"/>
                          </w:sdtPr>
                          <w:sdtContent>
                            <w:p w14:paraId="5BB194D6">
                              <w:pPr>
                                <w:pStyle w:val="18"/>
                                <w:jc w:val="center"/>
                              </w:pPr>
                              <w:r>
                                <w:fldChar w:fldCharType="begin"/>
                              </w:r>
                              <w:r>
                                <w:instrText xml:space="preserve">PAGE   \* MERGEFORMAT</w:instrText>
                              </w:r>
                              <w:r>
                                <w:fldChar w:fldCharType="separate"/>
                              </w:r>
                              <w:r>
                                <w:rPr>
                                  <w:lang w:val="zh-CN"/>
                                </w:rPr>
                                <w:t>83</w:t>
                              </w:r>
                              <w:r>
                                <w:rPr>
                                  <w:lang w:val="zh-CN"/>
                                </w:rPr>
                                <w:fldChar w:fldCharType="end"/>
                              </w:r>
                            </w:p>
                          </w:sdtContent>
                        </w:sdt>
                        <w:p w14:paraId="458B4B47">
                          <w:pPr>
                            <w:pStyle w:val="12"/>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sdt>
                    <w:sdtPr>
                      <w:id w:val="147460581"/>
                    </w:sdtPr>
                    <w:sdtContent>
                      <w:p w14:paraId="5BB194D6">
                        <w:pPr>
                          <w:pStyle w:val="18"/>
                          <w:jc w:val="center"/>
                        </w:pPr>
                        <w:r>
                          <w:fldChar w:fldCharType="begin"/>
                        </w:r>
                        <w:r>
                          <w:instrText xml:space="preserve">PAGE   \* MERGEFORMAT</w:instrText>
                        </w:r>
                        <w:r>
                          <w:fldChar w:fldCharType="separate"/>
                        </w:r>
                        <w:r>
                          <w:rPr>
                            <w:lang w:val="zh-CN"/>
                          </w:rPr>
                          <w:t>83</w:t>
                        </w:r>
                        <w:r>
                          <w:rPr>
                            <w:lang w:val="zh-CN"/>
                          </w:rPr>
                          <w:fldChar w:fldCharType="end"/>
                        </w:r>
                      </w:p>
                    </w:sdtContent>
                  </w:sdt>
                  <w:p w14:paraId="458B4B47">
                    <w:pPr>
                      <w:pStyle w:val="12"/>
                    </w:pPr>
                  </w:p>
                </w:txbxContent>
              </v:textbox>
            </v:shape>
          </w:pict>
        </mc:Fallback>
      </mc:AlternateContent>
    </w:r>
  </w:p>
  <w:p w14:paraId="2F3FB5F6">
    <w:pPr>
      <w:pStyle w:val="18"/>
      <w:jc w:val="right"/>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3D1F55">
    <w:pPr>
      <w:pStyle w:val="19"/>
      <w:rPr>
        <w:rFonts w:eastAsia="宋体"/>
        <w:sz w:val="15"/>
        <w:szCs w:val="15"/>
      </w:rPr>
    </w:pPr>
    <w:r>
      <w:rPr>
        <w:rFonts w:hint="eastAsia" w:ascii="宋体" w:hAnsi="宋体" w:eastAsia="宋体" w:cs="宋体"/>
        <w:sz w:val="16"/>
        <w:szCs w:val="16"/>
      </w:rPr>
      <w:t xml:space="preserve">昌宁县医共体总医院慢病管理信息系统采购项目竞争性磋商文件                           </w:t>
    </w:r>
    <w:r>
      <w:rPr>
        <w:rFonts w:hint="eastAsia" w:ascii="宋体" w:hAnsi="宋体" w:eastAsia="宋体"/>
        <w:sz w:val="16"/>
        <w:szCs w:val="16"/>
      </w:rPr>
      <w:t>项目编号：TRZBC2026-75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800FCB">
    <w:pPr>
      <w:pStyle w:val="19"/>
    </w:pPr>
    <w:r>
      <w:rPr>
        <w:rFonts w:hint="eastAsia" w:ascii="宋体" w:hAnsi="宋体" w:eastAsia="宋体" w:cs="宋体"/>
        <w:sz w:val="15"/>
        <w:szCs w:val="15"/>
      </w:rPr>
      <w:t>保山中医医院视频监控系统项目竞争性磋商文件</w:t>
    </w:r>
    <w:r>
      <w:rPr>
        <w:rFonts w:hint="eastAsia" w:ascii="宋体" w:hAnsi="宋体" w:eastAsia="宋体"/>
        <w:sz w:val="15"/>
        <w:szCs w:val="15"/>
      </w:rPr>
      <w:t>项目编号：TRZBC2020-07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25ECC35"/>
    <w:multiLevelType w:val="singleLevel"/>
    <w:tmpl w:val="D25ECC35"/>
    <w:lvl w:ilvl="0" w:tentative="0">
      <w:start w:val="1"/>
      <w:numFmt w:val="decimal"/>
      <w:pStyle w:val="8"/>
      <w:lvlText w:val="%1."/>
      <w:lvlJc w:val="left"/>
      <w:pPr>
        <w:tabs>
          <w:tab w:val="left" w:pos="360"/>
        </w:tabs>
        <w:ind w:left="360" w:hanging="360"/>
      </w:pPr>
    </w:lvl>
  </w:abstractNum>
  <w:abstractNum w:abstractNumId="1">
    <w:nsid w:val="04252575"/>
    <w:multiLevelType w:val="multilevel"/>
    <w:tmpl w:val="04252575"/>
    <w:lvl w:ilvl="0" w:tentative="0">
      <w:start w:val="21"/>
      <w:numFmt w:val="decimal"/>
      <w:lvlText w:val="%1"/>
      <w:lvlJc w:val="left"/>
      <w:pPr>
        <w:ind w:left="420" w:hanging="420"/>
      </w:pPr>
      <w:rPr>
        <w:rFonts w:hint="default" w:cs="宋体"/>
      </w:rPr>
    </w:lvl>
    <w:lvl w:ilvl="1" w:tentative="0">
      <w:start w:val="1"/>
      <w:numFmt w:val="decimal"/>
      <w:lvlText w:val="%1.%2"/>
      <w:lvlJc w:val="left"/>
      <w:pPr>
        <w:ind w:left="420" w:hanging="420"/>
      </w:pPr>
      <w:rPr>
        <w:rFonts w:hint="default" w:cs="宋体"/>
      </w:rPr>
    </w:lvl>
    <w:lvl w:ilvl="2" w:tentative="0">
      <w:start w:val="1"/>
      <w:numFmt w:val="decimal"/>
      <w:lvlText w:val="%1.%2.%3"/>
      <w:lvlJc w:val="left"/>
      <w:pPr>
        <w:ind w:left="720" w:hanging="720"/>
      </w:pPr>
      <w:rPr>
        <w:rFonts w:hint="default" w:cs="宋体"/>
      </w:rPr>
    </w:lvl>
    <w:lvl w:ilvl="3" w:tentative="0">
      <w:start w:val="1"/>
      <w:numFmt w:val="decimal"/>
      <w:lvlText w:val="%1.%2.%3.%4"/>
      <w:lvlJc w:val="left"/>
      <w:pPr>
        <w:ind w:left="1080" w:hanging="1080"/>
      </w:pPr>
      <w:rPr>
        <w:rFonts w:hint="default" w:cs="宋体"/>
      </w:rPr>
    </w:lvl>
    <w:lvl w:ilvl="4" w:tentative="0">
      <w:start w:val="1"/>
      <w:numFmt w:val="decimal"/>
      <w:lvlText w:val="%1.%2.%3.%4.%5"/>
      <w:lvlJc w:val="left"/>
      <w:pPr>
        <w:ind w:left="1080" w:hanging="1080"/>
      </w:pPr>
      <w:rPr>
        <w:rFonts w:hint="default" w:cs="宋体"/>
      </w:rPr>
    </w:lvl>
    <w:lvl w:ilvl="5" w:tentative="0">
      <w:start w:val="1"/>
      <w:numFmt w:val="decimal"/>
      <w:lvlText w:val="%1.%2.%3.%4.%5.%6"/>
      <w:lvlJc w:val="left"/>
      <w:pPr>
        <w:ind w:left="1440" w:hanging="1440"/>
      </w:pPr>
      <w:rPr>
        <w:rFonts w:hint="default" w:cs="宋体"/>
      </w:rPr>
    </w:lvl>
    <w:lvl w:ilvl="6" w:tentative="0">
      <w:start w:val="1"/>
      <w:numFmt w:val="decimal"/>
      <w:lvlText w:val="%1.%2.%3.%4.%5.%6.%7"/>
      <w:lvlJc w:val="left"/>
      <w:pPr>
        <w:ind w:left="1440" w:hanging="1440"/>
      </w:pPr>
      <w:rPr>
        <w:rFonts w:hint="default" w:cs="宋体"/>
      </w:rPr>
    </w:lvl>
    <w:lvl w:ilvl="7" w:tentative="0">
      <w:start w:val="1"/>
      <w:numFmt w:val="decimal"/>
      <w:lvlText w:val="%1.%2.%3.%4.%5.%6.%7.%8"/>
      <w:lvlJc w:val="left"/>
      <w:pPr>
        <w:ind w:left="1800" w:hanging="1800"/>
      </w:pPr>
      <w:rPr>
        <w:rFonts w:hint="default" w:cs="宋体"/>
      </w:rPr>
    </w:lvl>
    <w:lvl w:ilvl="8" w:tentative="0">
      <w:start w:val="1"/>
      <w:numFmt w:val="decimal"/>
      <w:lvlText w:val="%1.%2.%3.%4.%5.%6.%7.%8.%9"/>
      <w:lvlJc w:val="left"/>
      <w:pPr>
        <w:ind w:left="1800" w:hanging="1800"/>
      </w:pPr>
      <w:rPr>
        <w:rFonts w:hint="default" w:cs="宋体"/>
      </w:rPr>
    </w:lvl>
  </w:abstractNum>
  <w:abstractNum w:abstractNumId="2">
    <w:nsid w:val="069F34F2"/>
    <w:multiLevelType w:val="multilevel"/>
    <w:tmpl w:val="069F34F2"/>
    <w:lvl w:ilvl="0" w:tentative="0">
      <w:start w:val="1"/>
      <w:numFmt w:val="chineseCountingThousand"/>
      <w:lvlText w:val="(%1)"/>
      <w:lvlJc w:val="left"/>
      <w:pPr>
        <w:ind w:left="900" w:hanging="420"/>
      </w:p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3">
    <w:nsid w:val="0F240975"/>
    <w:multiLevelType w:val="multilevel"/>
    <w:tmpl w:val="0F240975"/>
    <w:lvl w:ilvl="0" w:tentative="0">
      <w:start w:val="1"/>
      <w:numFmt w:val="decimal"/>
      <w:lvlText w:val="%1."/>
      <w:lvlJc w:val="left"/>
      <w:pPr>
        <w:ind w:left="846" w:hanging="420"/>
      </w:p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4">
    <w:nsid w:val="140079A2"/>
    <w:multiLevelType w:val="multilevel"/>
    <w:tmpl w:val="140079A2"/>
    <w:lvl w:ilvl="0" w:tentative="0">
      <w:start w:val="1"/>
      <w:numFmt w:val="decimal"/>
      <w:lvlText w:val="%1."/>
      <w:lvlJc w:val="left"/>
      <w:pPr>
        <w:ind w:left="1242" w:hanging="382"/>
      </w:pPr>
      <w:rPr>
        <w:rFonts w:hint="default" w:ascii="仿宋" w:hAnsi="仿宋" w:eastAsia="仿宋"/>
        <w:spacing w:val="0"/>
        <w:sz w:val="24"/>
        <w:szCs w:val="24"/>
      </w:rPr>
    </w:lvl>
    <w:lvl w:ilvl="1" w:tentative="0">
      <w:start w:val="0"/>
      <w:numFmt w:val="bullet"/>
      <w:lvlText w:val="•"/>
      <w:lvlJc w:val="left"/>
      <w:pPr>
        <w:ind w:left="2010" w:hanging="382"/>
      </w:pPr>
      <w:rPr>
        <w:rFonts w:hint="default" w:ascii="Times New Roman" w:hAnsi="Times New Roman" w:cs="Times New Roman"/>
      </w:rPr>
    </w:lvl>
    <w:lvl w:ilvl="2" w:tentative="0">
      <w:start w:val="0"/>
      <w:numFmt w:val="bullet"/>
      <w:lvlText w:val="•"/>
      <w:lvlJc w:val="left"/>
      <w:pPr>
        <w:ind w:left="2781" w:hanging="382"/>
      </w:pPr>
      <w:rPr>
        <w:rFonts w:hint="default" w:ascii="Times New Roman" w:hAnsi="Times New Roman" w:cs="Times New Roman"/>
      </w:rPr>
    </w:lvl>
    <w:lvl w:ilvl="3" w:tentative="0">
      <w:start w:val="0"/>
      <w:numFmt w:val="bullet"/>
      <w:lvlText w:val="•"/>
      <w:lvlJc w:val="left"/>
      <w:pPr>
        <w:ind w:left="3551" w:hanging="382"/>
      </w:pPr>
      <w:rPr>
        <w:rFonts w:hint="default" w:ascii="Times New Roman" w:hAnsi="Times New Roman" w:cs="Times New Roman"/>
      </w:rPr>
    </w:lvl>
    <w:lvl w:ilvl="4" w:tentative="0">
      <w:start w:val="0"/>
      <w:numFmt w:val="bullet"/>
      <w:lvlText w:val="•"/>
      <w:lvlJc w:val="left"/>
      <w:pPr>
        <w:ind w:left="4322" w:hanging="382"/>
      </w:pPr>
      <w:rPr>
        <w:rFonts w:hint="default" w:ascii="Times New Roman" w:hAnsi="Times New Roman" w:cs="Times New Roman"/>
      </w:rPr>
    </w:lvl>
    <w:lvl w:ilvl="5" w:tentative="0">
      <w:start w:val="0"/>
      <w:numFmt w:val="bullet"/>
      <w:lvlText w:val="•"/>
      <w:lvlJc w:val="left"/>
      <w:pPr>
        <w:ind w:left="5093" w:hanging="382"/>
      </w:pPr>
      <w:rPr>
        <w:rFonts w:hint="default" w:ascii="Times New Roman" w:hAnsi="Times New Roman" w:cs="Times New Roman"/>
      </w:rPr>
    </w:lvl>
    <w:lvl w:ilvl="6" w:tentative="0">
      <w:start w:val="0"/>
      <w:numFmt w:val="bullet"/>
      <w:lvlText w:val="•"/>
      <w:lvlJc w:val="left"/>
      <w:pPr>
        <w:ind w:left="5863" w:hanging="382"/>
      </w:pPr>
      <w:rPr>
        <w:rFonts w:hint="default" w:ascii="Times New Roman" w:hAnsi="Times New Roman" w:cs="Times New Roman"/>
      </w:rPr>
    </w:lvl>
    <w:lvl w:ilvl="7" w:tentative="0">
      <w:start w:val="0"/>
      <w:numFmt w:val="bullet"/>
      <w:lvlText w:val="•"/>
      <w:lvlJc w:val="left"/>
      <w:pPr>
        <w:ind w:left="6634" w:hanging="382"/>
      </w:pPr>
      <w:rPr>
        <w:rFonts w:hint="default" w:ascii="Times New Roman" w:hAnsi="Times New Roman" w:cs="Times New Roman"/>
      </w:rPr>
    </w:lvl>
    <w:lvl w:ilvl="8" w:tentative="0">
      <w:start w:val="0"/>
      <w:numFmt w:val="bullet"/>
      <w:lvlText w:val="•"/>
      <w:lvlJc w:val="left"/>
      <w:pPr>
        <w:ind w:left="7404" w:hanging="382"/>
      </w:pPr>
      <w:rPr>
        <w:rFonts w:hint="default" w:ascii="Times New Roman" w:hAnsi="Times New Roman" w:cs="Times New Roman"/>
      </w:rPr>
    </w:lvl>
  </w:abstractNum>
  <w:abstractNum w:abstractNumId="5">
    <w:nsid w:val="26925BDF"/>
    <w:multiLevelType w:val="multilevel"/>
    <w:tmpl w:val="26925BDF"/>
    <w:lvl w:ilvl="0" w:tentative="0">
      <w:start w:val="1"/>
      <w:numFmt w:val="chineseCountingThousand"/>
      <w:lvlText w:val="(%1)"/>
      <w:lvlJc w:val="left"/>
      <w:pPr>
        <w:ind w:left="840" w:hanging="420"/>
      </w:p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6">
    <w:nsid w:val="423F26CD"/>
    <w:multiLevelType w:val="multilevel"/>
    <w:tmpl w:val="423F26CD"/>
    <w:lvl w:ilvl="0" w:tentative="0">
      <w:start w:val="1"/>
      <w:numFmt w:val="decimal"/>
      <w:lvlText w:val="（%1）"/>
      <w:lvlJc w:val="left"/>
      <w:pPr>
        <w:ind w:left="840" w:hanging="420"/>
      </w:pPr>
      <w:rPr>
        <w:rFonts w:hint="default"/>
      </w:rPr>
    </w:lvl>
    <w:lvl w:ilvl="1" w:tentative="0">
      <w:start w:val="1"/>
      <w:numFmt w:val="lowerLetter"/>
      <w:lvlText w:val="%2)"/>
      <w:lvlJc w:val="left"/>
      <w:pPr>
        <w:ind w:left="1260" w:hanging="420"/>
      </w:pPr>
    </w:lvl>
    <w:lvl w:ilvl="2" w:tentative="0">
      <w:start w:val="1"/>
      <w:numFmt w:val="decimal"/>
      <w:lvlText w:val="（%3）"/>
      <w:lvlJc w:val="left"/>
      <w:pPr>
        <w:ind w:left="1680" w:hanging="420"/>
      </w:pPr>
      <w:rPr>
        <w:rFonts w:hint="default"/>
      </w:r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7">
    <w:nsid w:val="4AEE452A"/>
    <w:multiLevelType w:val="multilevel"/>
    <w:tmpl w:val="4AEE452A"/>
    <w:lvl w:ilvl="0" w:tentative="0">
      <w:start w:val="13"/>
      <w:numFmt w:val="decimal"/>
      <w:lvlText w:val="%1"/>
      <w:lvlJc w:val="left"/>
      <w:pPr>
        <w:ind w:left="420" w:hanging="420"/>
      </w:pPr>
      <w:rPr>
        <w:rFonts w:hint="default" w:cs="宋体"/>
      </w:rPr>
    </w:lvl>
    <w:lvl w:ilvl="1" w:tentative="0">
      <w:start w:val="1"/>
      <w:numFmt w:val="decimal"/>
      <w:lvlText w:val="%1.%2"/>
      <w:lvlJc w:val="left"/>
      <w:pPr>
        <w:ind w:left="420" w:hanging="420"/>
      </w:pPr>
      <w:rPr>
        <w:rFonts w:hint="default" w:cs="宋体"/>
      </w:rPr>
    </w:lvl>
    <w:lvl w:ilvl="2" w:tentative="0">
      <w:start w:val="1"/>
      <w:numFmt w:val="decimal"/>
      <w:lvlText w:val="%1.%2.%3"/>
      <w:lvlJc w:val="left"/>
      <w:pPr>
        <w:ind w:left="720" w:hanging="720"/>
      </w:pPr>
      <w:rPr>
        <w:rFonts w:hint="default" w:cs="宋体"/>
      </w:rPr>
    </w:lvl>
    <w:lvl w:ilvl="3" w:tentative="0">
      <w:start w:val="1"/>
      <w:numFmt w:val="decimal"/>
      <w:lvlText w:val="%1.%2.%3.%4"/>
      <w:lvlJc w:val="left"/>
      <w:pPr>
        <w:ind w:left="1080" w:hanging="1080"/>
      </w:pPr>
      <w:rPr>
        <w:rFonts w:hint="default" w:cs="宋体"/>
      </w:rPr>
    </w:lvl>
    <w:lvl w:ilvl="4" w:tentative="0">
      <w:start w:val="1"/>
      <w:numFmt w:val="decimal"/>
      <w:lvlText w:val="%1.%2.%3.%4.%5"/>
      <w:lvlJc w:val="left"/>
      <w:pPr>
        <w:ind w:left="1080" w:hanging="1080"/>
      </w:pPr>
      <w:rPr>
        <w:rFonts w:hint="default" w:cs="宋体"/>
      </w:rPr>
    </w:lvl>
    <w:lvl w:ilvl="5" w:tentative="0">
      <w:start w:val="1"/>
      <w:numFmt w:val="decimal"/>
      <w:lvlText w:val="%1.%2.%3.%4.%5.%6"/>
      <w:lvlJc w:val="left"/>
      <w:pPr>
        <w:ind w:left="1440" w:hanging="1440"/>
      </w:pPr>
      <w:rPr>
        <w:rFonts w:hint="default" w:cs="宋体"/>
      </w:rPr>
    </w:lvl>
    <w:lvl w:ilvl="6" w:tentative="0">
      <w:start w:val="1"/>
      <w:numFmt w:val="decimal"/>
      <w:lvlText w:val="%1.%2.%3.%4.%5.%6.%7"/>
      <w:lvlJc w:val="left"/>
      <w:pPr>
        <w:ind w:left="1440" w:hanging="1440"/>
      </w:pPr>
      <w:rPr>
        <w:rFonts w:hint="default" w:cs="宋体"/>
      </w:rPr>
    </w:lvl>
    <w:lvl w:ilvl="7" w:tentative="0">
      <w:start w:val="1"/>
      <w:numFmt w:val="decimal"/>
      <w:lvlText w:val="%1.%2.%3.%4.%5.%6.%7.%8"/>
      <w:lvlJc w:val="left"/>
      <w:pPr>
        <w:ind w:left="1800" w:hanging="1800"/>
      </w:pPr>
      <w:rPr>
        <w:rFonts w:hint="default" w:cs="宋体"/>
      </w:rPr>
    </w:lvl>
    <w:lvl w:ilvl="8" w:tentative="0">
      <w:start w:val="1"/>
      <w:numFmt w:val="decimal"/>
      <w:lvlText w:val="%1.%2.%3.%4.%5.%6.%7.%8.%9"/>
      <w:lvlJc w:val="left"/>
      <w:pPr>
        <w:ind w:left="1800" w:hanging="1800"/>
      </w:pPr>
      <w:rPr>
        <w:rFonts w:hint="default" w:cs="宋体"/>
      </w:rPr>
    </w:lvl>
  </w:abstractNum>
  <w:abstractNum w:abstractNumId="8">
    <w:nsid w:val="4DEC0A56"/>
    <w:multiLevelType w:val="multilevel"/>
    <w:tmpl w:val="4DEC0A56"/>
    <w:lvl w:ilvl="0" w:tentative="0">
      <w:start w:val="1"/>
      <w:numFmt w:val="decimal"/>
      <w:lvlText w:val="（%1）"/>
      <w:lvlJc w:val="left"/>
      <w:pPr>
        <w:ind w:left="1130" w:hanging="420"/>
      </w:pPr>
      <w:rPr>
        <w:rFonts w:hint="default"/>
        <w:lang w:val="en-US"/>
      </w:rPr>
    </w:lvl>
    <w:lvl w:ilvl="1" w:tentative="0">
      <w:start w:val="1"/>
      <w:numFmt w:val="lowerLetter"/>
      <w:lvlText w:val="%2)"/>
      <w:lvlJc w:val="left"/>
      <w:pPr>
        <w:ind w:left="1124" w:hanging="420"/>
      </w:pPr>
    </w:lvl>
    <w:lvl w:ilvl="2" w:tentative="0">
      <w:start w:val="1"/>
      <w:numFmt w:val="lowerRoman"/>
      <w:lvlText w:val="%3."/>
      <w:lvlJc w:val="right"/>
      <w:pPr>
        <w:ind w:left="1544" w:hanging="420"/>
      </w:pPr>
    </w:lvl>
    <w:lvl w:ilvl="3" w:tentative="0">
      <w:start w:val="1"/>
      <w:numFmt w:val="decimal"/>
      <w:lvlText w:val="%4."/>
      <w:lvlJc w:val="left"/>
      <w:pPr>
        <w:ind w:left="1964" w:hanging="420"/>
      </w:pPr>
    </w:lvl>
    <w:lvl w:ilvl="4" w:tentative="0">
      <w:start w:val="1"/>
      <w:numFmt w:val="lowerLetter"/>
      <w:lvlText w:val="%5)"/>
      <w:lvlJc w:val="left"/>
      <w:pPr>
        <w:ind w:left="2384" w:hanging="420"/>
      </w:pPr>
    </w:lvl>
    <w:lvl w:ilvl="5" w:tentative="0">
      <w:start w:val="1"/>
      <w:numFmt w:val="lowerRoman"/>
      <w:lvlText w:val="%6."/>
      <w:lvlJc w:val="right"/>
      <w:pPr>
        <w:ind w:left="2804" w:hanging="420"/>
      </w:pPr>
    </w:lvl>
    <w:lvl w:ilvl="6" w:tentative="0">
      <w:start w:val="1"/>
      <w:numFmt w:val="decimal"/>
      <w:lvlText w:val="%7."/>
      <w:lvlJc w:val="left"/>
      <w:pPr>
        <w:ind w:left="3224" w:hanging="420"/>
      </w:pPr>
    </w:lvl>
    <w:lvl w:ilvl="7" w:tentative="0">
      <w:start w:val="1"/>
      <w:numFmt w:val="lowerLetter"/>
      <w:lvlText w:val="%8)"/>
      <w:lvlJc w:val="left"/>
      <w:pPr>
        <w:ind w:left="3644" w:hanging="420"/>
      </w:pPr>
    </w:lvl>
    <w:lvl w:ilvl="8" w:tentative="0">
      <w:start w:val="1"/>
      <w:numFmt w:val="lowerRoman"/>
      <w:lvlText w:val="%9."/>
      <w:lvlJc w:val="right"/>
      <w:pPr>
        <w:ind w:left="4064" w:hanging="420"/>
      </w:pPr>
    </w:lvl>
  </w:abstractNum>
  <w:abstractNum w:abstractNumId="9">
    <w:nsid w:val="4FA37481"/>
    <w:multiLevelType w:val="multilevel"/>
    <w:tmpl w:val="4FA37481"/>
    <w:lvl w:ilvl="0" w:tentative="0">
      <w:start w:val="1"/>
      <w:numFmt w:val="chineseCountingThousand"/>
      <w:lvlText w:val="(%1)"/>
      <w:lvlJc w:val="left"/>
      <w:pPr>
        <w:ind w:left="900" w:hanging="420"/>
      </w:p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0">
    <w:nsid w:val="581278F3"/>
    <w:multiLevelType w:val="multilevel"/>
    <w:tmpl w:val="581278F3"/>
    <w:lvl w:ilvl="0" w:tentative="0">
      <w:start w:val="1"/>
      <w:numFmt w:val="chineseCountingThousand"/>
      <w:lvlText w:val="(%1)"/>
      <w:lvlJc w:val="left"/>
      <w:pPr>
        <w:ind w:left="900" w:hanging="420"/>
      </w:p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1">
    <w:nsid w:val="684E3C5D"/>
    <w:multiLevelType w:val="multilevel"/>
    <w:tmpl w:val="684E3C5D"/>
    <w:lvl w:ilvl="0" w:tentative="0">
      <w:start w:val="1"/>
      <w:numFmt w:val="decimal"/>
      <w:lvlText w:val="%1."/>
      <w:lvlJc w:val="left"/>
      <w:pPr>
        <w:ind w:left="420" w:hanging="420"/>
      </w:pPr>
    </w:lvl>
    <w:lvl w:ilvl="1" w:tentative="0">
      <w:start w:val="1"/>
      <w:numFmt w:val="decimal"/>
      <w:lvlText w:val="%2."/>
      <w:lvlJc w:val="left"/>
      <w:pPr>
        <w:ind w:left="840" w:hanging="420"/>
      </w:pPr>
      <w:rPr>
        <w:rFonts w:hint="default"/>
      </w:rPr>
    </w:lvl>
    <w:lvl w:ilvl="2" w:tentative="0">
      <w:start w:val="1"/>
      <w:numFmt w:val="decimal"/>
      <w:lvlText w:val="（%3）"/>
      <w:lvlJc w:val="left"/>
      <w:pPr>
        <w:ind w:left="1560" w:hanging="720"/>
      </w:pPr>
      <w:rPr>
        <w:rFonts w:hint="default"/>
      </w:rPr>
    </w:lvl>
    <w:lvl w:ilvl="3" w:tentative="0">
      <w:start w:val="1"/>
      <w:numFmt w:val="decimal"/>
      <w:lvlText w:val="%4、"/>
      <w:lvlJc w:val="left"/>
      <w:pPr>
        <w:ind w:left="1980" w:hanging="720"/>
      </w:pPr>
      <w:rPr>
        <w:rFonts w:hint="default"/>
      </w:rPr>
    </w:lvl>
    <w:lvl w:ilvl="4" w:tentative="0">
      <w:start w:val="1"/>
      <w:numFmt w:val="japaneseCounting"/>
      <w:lvlText w:val="（%5）"/>
      <w:lvlJc w:val="left"/>
      <w:pPr>
        <w:ind w:left="2400" w:hanging="720"/>
      </w:pPr>
      <w:rPr>
        <w:rFonts w:hint="default"/>
      </w:rPr>
    </w:lvl>
    <w:lvl w:ilvl="5" w:tentative="0">
      <w:start w:val="1"/>
      <w:numFmt w:val="japaneseCounting"/>
      <w:lvlText w:val="第%6节"/>
      <w:lvlJc w:val="left"/>
      <w:pPr>
        <w:ind w:left="4983" w:hanging="1155"/>
      </w:pPr>
      <w:rPr>
        <w:rFonts w:hint="default"/>
      </w:rPr>
    </w:lvl>
    <w:lvl w:ilvl="6" w:tentative="0">
      <w:start w:val="1"/>
      <w:numFmt w:val="japaneseCounting"/>
      <w:lvlText w:val="%7、"/>
      <w:lvlJc w:val="left"/>
      <w:pPr>
        <w:ind w:left="3030" w:hanging="510"/>
      </w:pPr>
      <w:rPr>
        <w:rFonts w:hint="default" w:cs="宋体"/>
        <w:b/>
      </w:r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11"/>
  </w:num>
  <w:num w:numId="3">
    <w:abstractNumId w:val="7"/>
  </w:num>
  <w:num w:numId="4">
    <w:abstractNumId w:val="5"/>
  </w:num>
  <w:num w:numId="5">
    <w:abstractNumId w:val="6"/>
  </w:num>
  <w:num w:numId="6">
    <w:abstractNumId w:val="1"/>
  </w:num>
  <w:num w:numId="7">
    <w:abstractNumId w:val="8"/>
  </w:num>
  <w:num w:numId="8">
    <w:abstractNumId w:val="4"/>
    <w:lvlOverride w:ilvl="0">
      <w:startOverride w:val="1"/>
    </w:lvlOverride>
  </w:num>
  <w:num w:numId="9">
    <w:abstractNumId w:val="10"/>
  </w:num>
  <w:num w:numId="10">
    <w:abstractNumId w:val="2"/>
  </w:num>
  <w:num w:numId="11">
    <w:abstractNumId w:val="3"/>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embedSystemFonts/>
  <w:saveSubsetFonts/>
  <w:bordersDoNotSurroundHeader w:val="0"/>
  <w:bordersDoNotSurroundFooter w:val="0"/>
  <w:hideSpellingErrors/>
  <w:documentProtection w:enforcement="0"/>
  <w:defaultTabStop w:val="105"/>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TA0YTNjNjQ5ZmRiNTU0MDFlODQ1NDY1ZjVlNTRiNTAifQ=="/>
  </w:docVars>
  <w:rsids>
    <w:rsidRoot w:val="0023005F"/>
    <w:rsid w:val="0000017C"/>
    <w:rsid w:val="0000077C"/>
    <w:rsid w:val="000007D7"/>
    <w:rsid w:val="00000AD3"/>
    <w:rsid w:val="0000183F"/>
    <w:rsid w:val="00001940"/>
    <w:rsid w:val="00002B2B"/>
    <w:rsid w:val="00003F9A"/>
    <w:rsid w:val="000040A5"/>
    <w:rsid w:val="00004A96"/>
    <w:rsid w:val="00004AED"/>
    <w:rsid w:val="00004D32"/>
    <w:rsid w:val="000055D1"/>
    <w:rsid w:val="000069B4"/>
    <w:rsid w:val="00007299"/>
    <w:rsid w:val="00007EF0"/>
    <w:rsid w:val="00010024"/>
    <w:rsid w:val="00010ACD"/>
    <w:rsid w:val="00011E5F"/>
    <w:rsid w:val="00011F63"/>
    <w:rsid w:val="00011F6F"/>
    <w:rsid w:val="00012719"/>
    <w:rsid w:val="00013354"/>
    <w:rsid w:val="00013BB0"/>
    <w:rsid w:val="00013D62"/>
    <w:rsid w:val="00013E92"/>
    <w:rsid w:val="00014B19"/>
    <w:rsid w:val="00014DF4"/>
    <w:rsid w:val="00014FF3"/>
    <w:rsid w:val="00015671"/>
    <w:rsid w:val="00015DED"/>
    <w:rsid w:val="00016DD9"/>
    <w:rsid w:val="00017569"/>
    <w:rsid w:val="0001764D"/>
    <w:rsid w:val="00020253"/>
    <w:rsid w:val="00021184"/>
    <w:rsid w:val="00021208"/>
    <w:rsid w:val="000218E6"/>
    <w:rsid w:val="00021C4B"/>
    <w:rsid w:val="00021DFF"/>
    <w:rsid w:val="00021FB7"/>
    <w:rsid w:val="000225B7"/>
    <w:rsid w:val="000235F7"/>
    <w:rsid w:val="000242F3"/>
    <w:rsid w:val="00025C6E"/>
    <w:rsid w:val="00025FB7"/>
    <w:rsid w:val="00026543"/>
    <w:rsid w:val="0002699B"/>
    <w:rsid w:val="000271A1"/>
    <w:rsid w:val="000273CC"/>
    <w:rsid w:val="000279C8"/>
    <w:rsid w:val="00027EA0"/>
    <w:rsid w:val="000302A6"/>
    <w:rsid w:val="000302B8"/>
    <w:rsid w:val="00030C0C"/>
    <w:rsid w:val="00031332"/>
    <w:rsid w:val="00031474"/>
    <w:rsid w:val="00031649"/>
    <w:rsid w:val="0003200A"/>
    <w:rsid w:val="0003217F"/>
    <w:rsid w:val="000325B7"/>
    <w:rsid w:val="00032938"/>
    <w:rsid w:val="00032BA3"/>
    <w:rsid w:val="00032C90"/>
    <w:rsid w:val="000333E7"/>
    <w:rsid w:val="000338DE"/>
    <w:rsid w:val="0003470A"/>
    <w:rsid w:val="00034DF0"/>
    <w:rsid w:val="000358A4"/>
    <w:rsid w:val="00036740"/>
    <w:rsid w:val="00036AA0"/>
    <w:rsid w:val="00036F7E"/>
    <w:rsid w:val="0003701C"/>
    <w:rsid w:val="00037EA9"/>
    <w:rsid w:val="000403CF"/>
    <w:rsid w:val="00040612"/>
    <w:rsid w:val="00040846"/>
    <w:rsid w:val="000410D3"/>
    <w:rsid w:val="000414B5"/>
    <w:rsid w:val="00042269"/>
    <w:rsid w:val="00042342"/>
    <w:rsid w:val="00042527"/>
    <w:rsid w:val="00042F2C"/>
    <w:rsid w:val="000444AE"/>
    <w:rsid w:val="00045CEA"/>
    <w:rsid w:val="00046CCC"/>
    <w:rsid w:val="00047326"/>
    <w:rsid w:val="00047981"/>
    <w:rsid w:val="00047B8C"/>
    <w:rsid w:val="00051136"/>
    <w:rsid w:val="0005129C"/>
    <w:rsid w:val="000518A3"/>
    <w:rsid w:val="00051BE6"/>
    <w:rsid w:val="000528C4"/>
    <w:rsid w:val="0005465F"/>
    <w:rsid w:val="0005470C"/>
    <w:rsid w:val="00054C43"/>
    <w:rsid w:val="000556DC"/>
    <w:rsid w:val="00056747"/>
    <w:rsid w:val="000568A9"/>
    <w:rsid w:val="00061A33"/>
    <w:rsid w:val="00061CD8"/>
    <w:rsid w:val="00062AEC"/>
    <w:rsid w:val="00063245"/>
    <w:rsid w:val="00063E73"/>
    <w:rsid w:val="000643C9"/>
    <w:rsid w:val="0006468D"/>
    <w:rsid w:val="0006504F"/>
    <w:rsid w:val="00065542"/>
    <w:rsid w:val="000662BA"/>
    <w:rsid w:val="00067603"/>
    <w:rsid w:val="000677F6"/>
    <w:rsid w:val="0006794C"/>
    <w:rsid w:val="00067B92"/>
    <w:rsid w:val="000710E6"/>
    <w:rsid w:val="00072537"/>
    <w:rsid w:val="00074216"/>
    <w:rsid w:val="000747A8"/>
    <w:rsid w:val="000748F8"/>
    <w:rsid w:val="00075162"/>
    <w:rsid w:val="000763B0"/>
    <w:rsid w:val="00076D51"/>
    <w:rsid w:val="000771B5"/>
    <w:rsid w:val="000776E9"/>
    <w:rsid w:val="00077DB1"/>
    <w:rsid w:val="00080507"/>
    <w:rsid w:val="00080A89"/>
    <w:rsid w:val="00080CC1"/>
    <w:rsid w:val="0008159B"/>
    <w:rsid w:val="000828E3"/>
    <w:rsid w:val="00082A81"/>
    <w:rsid w:val="00082BE3"/>
    <w:rsid w:val="00083B9B"/>
    <w:rsid w:val="000850DD"/>
    <w:rsid w:val="00085DF5"/>
    <w:rsid w:val="0008704C"/>
    <w:rsid w:val="00087349"/>
    <w:rsid w:val="000907AE"/>
    <w:rsid w:val="00090828"/>
    <w:rsid w:val="000909C7"/>
    <w:rsid w:val="00090CC2"/>
    <w:rsid w:val="00090F4E"/>
    <w:rsid w:val="0009165A"/>
    <w:rsid w:val="00091C11"/>
    <w:rsid w:val="00091F4B"/>
    <w:rsid w:val="00091F6F"/>
    <w:rsid w:val="000955D9"/>
    <w:rsid w:val="00096787"/>
    <w:rsid w:val="00096A27"/>
    <w:rsid w:val="00097F7B"/>
    <w:rsid w:val="000A0C72"/>
    <w:rsid w:val="000A1124"/>
    <w:rsid w:val="000A1A05"/>
    <w:rsid w:val="000A1BA7"/>
    <w:rsid w:val="000A21D3"/>
    <w:rsid w:val="000A3151"/>
    <w:rsid w:val="000A319C"/>
    <w:rsid w:val="000A3B96"/>
    <w:rsid w:val="000A4F88"/>
    <w:rsid w:val="000A5C72"/>
    <w:rsid w:val="000A64C5"/>
    <w:rsid w:val="000A6528"/>
    <w:rsid w:val="000B0244"/>
    <w:rsid w:val="000B02CC"/>
    <w:rsid w:val="000B059F"/>
    <w:rsid w:val="000B11B4"/>
    <w:rsid w:val="000B13E5"/>
    <w:rsid w:val="000B1716"/>
    <w:rsid w:val="000B18C7"/>
    <w:rsid w:val="000B200A"/>
    <w:rsid w:val="000B2382"/>
    <w:rsid w:val="000B2E73"/>
    <w:rsid w:val="000B49F6"/>
    <w:rsid w:val="000B6096"/>
    <w:rsid w:val="000B6227"/>
    <w:rsid w:val="000B62BA"/>
    <w:rsid w:val="000B6E95"/>
    <w:rsid w:val="000B73E7"/>
    <w:rsid w:val="000B7779"/>
    <w:rsid w:val="000B7DB7"/>
    <w:rsid w:val="000C0721"/>
    <w:rsid w:val="000C082C"/>
    <w:rsid w:val="000C0DE0"/>
    <w:rsid w:val="000C13BD"/>
    <w:rsid w:val="000C1CAB"/>
    <w:rsid w:val="000C2983"/>
    <w:rsid w:val="000C2A61"/>
    <w:rsid w:val="000C3004"/>
    <w:rsid w:val="000C3639"/>
    <w:rsid w:val="000C3D4A"/>
    <w:rsid w:val="000C47BC"/>
    <w:rsid w:val="000C48E5"/>
    <w:rsid w:val="000C4E31"/>
    <w:rsid w:val="000C56F3"/>
    <w:rsid w:val="000C610D"/>
    <w:rsid w:val="000D0149"/>
    <w:rsid w:val="000D021D"/>
    <w:rsid w:val="000D085C"/>
    <w:rsid w:val="000D0BC2"/>
    <w:rsid w:val="000D0ED0"/>
    <w:rsid w:val="000D18D9"/>
    <w:rsid w:val="000D23AE"/>
    <w:rsid w:val="000D2559"/>
    <w:rsid w:val="000D26FF"/>
    <w:rsid w:val="000D2AC0"/>
    <w:rsid w:val="000D3ABF"/>
    <w:rsid w:val="000D44D0"/>
    <w:rsid w:val="000D55C4"/>
    <w:rsid w:val="000D63D0"/>
    <w:rsid w:val="000D67A1"/>
    <w:rsid w:val="000D77CE"/>
    <w:rsid w:val="000D78A7"/>
    <w:rsid w:val="000E0DBD"/>
    <w:rsid w:val="000E15D9"/>
    <w:rsid w:val="000E2171"/>
    <w:rsid w:val="000E253E"/>
    <w:rsid w:val="000E2C82"/>
    <w:rsid w:val="000E2D9E"/>
    <w:rsid w:val="000E3365"/>
    <w:rsid w:val="000E4792"/>
    <w:rsid w:val="000E5358"/>
    <w:rsid w:val="000E5421"/>
    <w:rsid w:val="000E5D71"/>
    <w:rsid w:val="000E6120"/>
    <w:rsid w:val="000E6260"/>
    <w:rsid w:val="000E635F"/>
    <w:rsid w:val="000E67B5"/>
    <w:rsid w:val="000F001E"/>
    <w:rsid w:val="000F05D5"/>
    <w:rsid w:val="000F06C7"/>
    <w:rsid w:val="000F0C4B"/>
    <w:rsid w:val="000F143A"/>
    <w:rsid w:val="000F143F"/>
    <w:rsid w:val="000F194B"/>
    <w:rsid w:val="000F1B50"/>
    <w:rsid w:val="000F25A9"/>
    <w:rsid w:val="000F267C"/>
    <w:rsid w:val="000F2D5B"/>
    <w:rsid w:val="000F328C"/>
    <w:rsid w:val="000F36F1"/>
    <w:rsid w:val="000F3F0F"/>
    <w:rsid w:val="000F3FD0"/>
    <w:rsid w:val="000F4A97"/>
    <w:rsid w:val="000F4D36"/>
    <w:rsid w:val="000F57F1"/>
    <w:rsid w:val="000F62E9"/>
    <w:rsid w:val="000F6928"/>
    <w:rsid w:val="000F6B08"/>
    <w:rsid w:val="000F6DA0"/>
    <w:rsid w:val="00100EB9"/>
    <w:rsid w:val="0010129D"/>
    <w:rsid w:val="001014A1"/>
    <w:rsid w:val="00101D9B"/>
    <w:rsid w:val="00102124"/>
    <w:rsid w:val="00102B40"/>
    <w:rsid w:val="00106111"/>
    <w:rsid w:val="001065D8"/>
    <w:rsid w:val="00106FEC"/>
    <w:rsid w:val="001103EB"/>
    <w:rsid w:val="00110718"/>
    <w:rsid w:val="001113BD"/>
    <w:rsid w:val="001116A3"/>
    <w:rsid w:val="00112033"/>
    <w:rsid w:val="00112934"/>
    <w:rsid w:val="0011299F"/>
    <w:rsid w:val="00112DFE"/>
    <w:rsid w:val="00114104"/>
    <w:rsid w:val="001148C4"/>
    <w:rsid w:val="001163AD"/>
    <w:rsid w:val="001166E0"/>
    <w:rsid w:val="00117DAC"/>
    <w:rsid w:val="00120150"/>
    <w:rsid w:val="001207DD"/>
    <w:rsid w:val="00120BBD"/>
    <w:rsid w:val="00120C44"/>
    <w:rsid w:val="0012169E"/>
    <w:rsid w:val="00122269"/>
    <w:rsid w:val="00122328"/>
    <w:rsid w:val="00122BB0"/>
    <w:rsid w:val="00122DBA"/>
    <w:rsid w:val="001232F1"/>
    <w:rsid w:val="001233E9"/>
    <w:rsid w:val="001240FE"/>
    <w:rsid w:val="00124784"/>
    <w:rsid w:val="00124921"/>
    <w:rsid w:val="0012503D"/>
    <w:rsid w:val="00125B21"/>
    <w:rsid w:val="00125FD9"/>
    <w:rsid w:val="001260B3"/>
    <w:rsid w:val="00126441"/>
    <w:rsid w:val="00126B23"/>
    <w:rsid w:val="00126D66"/>
    <w:rsid w:val="001276CF"/>
    <w:rsid w:val="00127704"/>
    <w:rsid w:val="00127780"/>
    <w:rsid w:val="00127AE9"/>
    <w:rsid w:val="001307D8"/>
    <w:rsid w:val="00132381"/>
    <w:rsid w:val="001327FF"/>
    <w:rsid w:val="001328EB"/>
    <w:rsid w:val="00132BC7"/>
    <w:rsid w:val="0013335B"/>
    <w:rsid w:val="001347D2"/>
    <w:rsid w:val="00134D37"/>
    <w:rsid w:val="0013539C"/>
    <w:rsid w:val="00135445"/>
    <w:rsid w:val="00135879"/>
    <w:rsid w:val="001361AB"/>
    <w:rsid w:val="001368EB"/>
    <w:rsid w:val="00136C53"/>
    <w:rsid w:val="00137369"/>
    <w:rsid w:val="00137AE0"/>
    <w:rsid w:val="00137B3E"/>
    <w:rsid w:val="00137EC5"/>
    <w:rsid w:val="0014067B"/>
    <w:rsid w:val="001414D8"/>
    <w:rsid w:val="00142109"/>
    <w:rsid w:val="001441DE"/>
    <w:rsid w:val="00144630"/>
    <w:rsid w:val="00144972"/>
    <w:rsid w:val="001451AA"/>
    <w:rsid w:val="00145E19"/>
    <w:rsid w:val="00147C17"/>
    <w:rsid w:val="001500C5"/>
    <w:rsid w:val="00150253"/>
    <w:rsid w:val="00150316"/>
    <w:rsid w:val="0015091F"/>
    <w:rsid w:val="00150F6C"/>
    <w:rsid w:val="0015101B"/>
    <w:rsid w:val="001514CC"/>
    <w:rsid w:val="00151BE5"/>
    <w:rsid w:val="00151FD2"/>
    <w:rsid w:val="001523BE"/>
    <w:rsid w:val="001524B0"/>
    <w:rsid w:val="00153077"/>
    <w:rsid w:val="00154699"/>
    <w:rsid w:val="001547B7"/>
    <w:rsid w:val="00155A05"/>
    <w:rsid w:val="00156196"/>
    <w:rsid w:val="0015659E"/>
    <w:rsid w:val="00157D11"/>
    <w:rsid w:val="00157E3C"/>
    <w:rsid w:val="00160755"/>
    <w:rsid w:val="00161029"/>
    <w:rsid w:val="00161DDF"/>
    <w:rsid w:val="00162309"/>
    <w:rsid w:val="001632BF"/>
    <w:rsid w:val="00163F79"/>
    <w:rsid w:val="00164768"/>
    <w:rsid w:val="00165FEB"/>
    <w:rsid w:val="0016613E"/>
    <w:rsid w:val="001666D8"/>
    <w:rsid w:val="001668AA"/>
    <w:rsid w:val="00166C89"/>
    <w:rsid w:val="00166E13"/>
    <w:rsid w:val="00167564"/>
    <w:rsid w:val="0016793D"/>
    <w:rsid w:val="00170984"/>
    <w:rsid w:val="0017113A"/>
    <w:rsid w:val="00173C4A"/>
    <w:rsid w:val="001743ED"/>
    <w:rsid w:val="0017479A"/>
    <w:rsid w:val="00175AAA"/>
    <w:rsid w:val="001776E8"/>
    <w:rsid w:val="00177A5F"/>
    <w:rsid w:val="00177F67"/>
    <w:rsid w:val="001801AB"/>
    <w:rsid w:val="00182241"/>
    <w:rsid w:val="0018270E"/>
    <w:rsid w:val="00183737"/>
    <w:rsid w:val="00184363"/>
    <w:rsid w:val="00186578"/>
    <w:rsid w:val="0018746C"/>
    <w:rsid w:val="00187C29"/>
    <w:rsid w:val="00191E03"/>
    <w:rsid w:val="001930ED"/>
    <w:rsid w:val="00194E9A"/>
    <w:rsid w:val="00195A83"/>
    <w:rsid w:val="00196DA9"/>
    <w:rsid w:val="001A021E"/>
    <w:rsid w:val="001A12FF"/>
    <w:rsid w:val="001A19C1"/>
    <w:rsid w:val="001A3424"/>
    <w:rsid w:val="001A3603"/>
    <w:rsid w:val="001A3825"/>
    <w:rsid w:val="001A38D5"/>
    <w:rsid w:val="001A4485"/>
    <w:rsid w:val="001A4A75"/>
    <w:rsid w:val="001A4F0F"/>
    <w:rsid w:val="001A5357"/>
    <w:rsid w:val="001A58E6"/>
    <w:rsid w:val="001A5C4C"/>
    <w:rsid w:val="001A7F54"/>
    <w:rsid w:val="001B06E8"/>
    <w:rsid w:val="001B0E84"/>
    <w:rsid w:val="001B11A6"/>
    <w:rsid w:val="001B12E7"/>
    <w:rsid w:val="001B15C6"/>
    <w:rsid w:val="001B1C56"/>
    <w:rsid w:val="001B1D3C"/>
    <w:rsid w:val="001B32D7"/>
    <w:rsid w:val="001B3536"/>
    <w:rsid w:val="001B4F38"/>
    <w:rsid w:val="001B6416"/>
    <w:rsid w:val="001B7131"/>
    <w:rsid w:val="001B7C72"/>
    <w:rsid w:val="001C0330"/>
    <w:rsid w:val="001C071D"/>
    <w:rsid w:val="001C12CA"/>
    <w:rsid w:val="001C18B5"/>
    <w:rsid w:val="001C1BF0"/>
    <w:rsid w:val="001C21F3"/>
    <w:rsid w:val="001C2C21"/>
    <w:rsid w:val="001C312B"/>
    <w:rsid w:val="001C319C"/>
    <w:rsid w:val="001C36BE"/>
    <w:rsid w:val="001C42B5"/>
    <w:rsid w:val="001C486C"/>
    <w:rsid w:val="001C54E5"/>
    <w:rsid w:val="001C64E2"/>
    <w:rsid w:val="001C66C2"/>
    <w:rsid w:val="001C6731"/>
    <w:rsid w:val="001C73EE"/>
    <w:rsid w:val="001D05F7"/>
    <w:rsid w:val="001D0A6B"/>
    <w:rsid w:val="001D1843"/>
    <w:rsid w:val="001D1C1E"/>
    <w:rsid w:val="001D2532"/>
    <w:rsid w:val="001D2C19"/>
    <w:rsid w:val="001D31F5"/>
    <w:rsid w:val="001D3429"/>
    <w:rsid w:val="001D3487"/>
    <w:rsid w:val="001D3612"/>
    <w:rsid w:val="001D399D"/>
    <w:rsid w:val="001D3CCA"/>
    <w:rsid w:val="001D3E04"/>
    <w:rsid w:val="001D5404"/>
    <w:rsid w:val="001D56C5"/>
    <w:rsid w:val="001D6C88"/>
    <w:rsid w:val="001E0DD5"/>
    <w:rsid w:val="001E31F4"/>
    <w:rsid w:val="001E332E"/>
    <w:rsid w:val="001E3398"/>
    <w:rsid w:val="001E4684"/>
    <w:rsid w:val="001E4C5E"/>
    <w:rsid w:val="001E5C37"/>
    <w:rsid w:val="001E663B"/>
    <w:rsid w:val="001E69A3"/>
    <w:rsid w:val="001E70C9"/>
    <w:rsid w:val="001F07E9"/>
    <w:rsid w:val="001F1E3B"/>
    <w:rsid w:val="001F2AA2"/>
    <w:rsid w:val="001F2B65"/>
    <w:rsid w:val="001F2D03"/>
    <w:rsid w:val="001F35B0"/>
    <w:rsid w:val="001F3733"/>
    <w:rsid w:val="001F37BD"/>
    <w:rsid w:val="001F4154"/>
    <w:rsid w:val="001F4E7A"/>
    <w:rsid w:val="001F502E"/>
    <w:rsid w:val="001F6D1B"/>
    <w:rsid w:val="00200EF6"/>
    <w:rsid w:val="0020159B"/>
    <w:rsid w:val="0020251C"/>
    <w:rsid w:val="002028EF"/>
    <w:rsid w:val="00202ABC"/>
    <w:rsid w:val="002040BC"/>
    <w:rsid w:val="00204277"/>
    <w:rsid w:val="00204F28"/>
    <w:rsid w:val="00205A00"/>
    <w:rsid w:val="002064B4"/>
    <w:rsid w:val="00206F6D"/>
    <w:rsid w:val="00211455"/>
    <w:rsid w:val="00212E7A"/>
    <w:rsid w:val="002133AD"/>
    <w:rsid w:val="00213685"/>
    <w:rsid w:val="00213742"/>
    <w:rsid w:val="00213BDC"/>
    <w:rsid w:val="00213C72"/>
    <w:rsid w:val="002142CD"/>
    <w:rsid w:val="00214A52"/>
    <w:rsid w:val="00215B5D"/>
    <w:rsid w:val="00215F86"/>
    <w:rsid w:val="002174C3"/>
    <w:rsid w:val="00217562"/>
    <w:rsid w:val="00217FB0"/>
    <w:rsid w:val="002222C7"/>
    <w:rsid w:val="0022446C"/>
    <w:rsid w:val="00224921"/>
    <w:rsid w:val="00224DBD"/>
    <w:rsid w:val="00225B0E"/>
    <w:rsid w:val="00225FF2"/>
    <w:rsid w:val="00227E07"/>
    <w:rsid w:val="00227EFA"/>
    <w:rsid w:val="0023005F"/>
    <w:rsid w:val="002301FA"/>
    <w:rsid w:val="00230B3F"/>
    <w:rsid w:val="00231FC2"/>
    <w:rsid w:val="0023233D"/>
    <w:rsid w:val="00232549"/>
    <w:rsid w:val="00232B32"/>
    <w:rsid w:val="00232DCE"/>
    <w:rsid w:val="002333ED"/>
    <w:rsid w:val="0023379E"/>
    <w:rsid w:val="0023439F"/>
    <w:rsid w:val="00234A81"/>
    <w:rsid w:val="00235761"/>
    <w:rsid w:val="00235CE1"/>
    <w:rsid w:val="00236B08"/>
    <w:rsid w:val="00237B21"/>
    <w:rsid w:val="00237EB7"/>
    <w:rsid w:val="00237FBC"/>
    <w:rsid w:val="002412C7"/>
    <w:rsid w:val="0024181C"/>
    <w:rsid w:val="00242A4F"/>
    <w:rsid w:val="0024339A"/>
    <w:rsid w:val="00243C1E"/>
    <w:rsid w:val="0024487C"/>
    <w:rsid w:val="00245520"/>
    <w:rsid w:val="00245E9E"/>
    <w:rsid w:val="002467ED"/>
    <w:rsid w:val="002467EE"/>
    <w:rsid w:val="002468C3"/>
    <w:rsid w:val="00246BB2"/>
    <w:rsid w:val="00246F72"/>
    <w:rsid w:val="00247451"/>
    <w:rsid w:val="0025012B"/>
    <w:rsid w:val="00251B8A"/>
    <w:rsid w:val="0025266A"/>
    <w:rsid w:val="00252A0B"/>
    <w:rsid w:val="00253269"/>
    <w:rsid w:val="0025351F"/>
    <w:rsid w:val="00253E79"/>
    <w:rsid w:val="00254834"/>
    <w:rsid w:val="00255804"/>
    <w:rsid w:val="002601DF"/>
    <w:rsid w:val="00260F3B"/>
    <w:rsid w:val="0026105C"/>
    <w:rsid w:val="002610F6"/>
    <w:rsid w:val="00261D74"/>
    <w:rsid w:val="00262564"/>
    <w:rsid w:val="00262943"/>
    <w:rsid w:val="002643F1"/>
    <w:rsid w:val="002644A5"/>
    <w:rsid w:val="0026494C"/>
    <w:rsid w:val="0026522F"/>
    <w:rsid w:val="002653C5"/>
    <w:rsid w:val="00265D42"/>
    <w:rsid w:val="00265FC4"/>
    <w:rsid w:val="00266309"/>
    <w:rsid w:val="002670A5"/>
    <w:rsid w:val="002674A1"/>
    <w:rsid w:val="00274CB6"/>
    <w:rsid w:val="0027532E"/>
    <w:rsid w:val="00276BA0"/>
    <w:rsid w:val="00276CDB"/>
    <w:rsid w:val="00276F64"/>
    <w:rsid w:val="002776FA"/>
    <w:rsid w:val="00277B88"/>
    <w:rsid w:val="002810D1"/>
    <w:rsid w:val="002817DE"/>
    <w:rsid w:val="002818DA"/>
    <w:rsid w:val="00281B84"/>
    <w:rsid w:val="00281DBD"/>
    <w:rsid w:val="002821D9"/>
    <w:rsid w:val="00282673"/>
    <w:rsid w:val="00283279"/>
    <w:rsid w:val="0028337E"/>
    <w:rsid w:val="002835F7"/>
    <w:rsid w:val="00283D8B"/>
    <w:rsid w:val="00284357"/>
    <w:rsid w:val="00285797"/>
    <w:rsid w:val="0028798C"/>
    <w:rsid w:val="002905F1"/>
    <w:rsid w:val="002916FF"/>
    <w:rsid w:val="00291B79"/>
    <w:rsid w:val="00291E81"/>
    <w:rsid w:val="00291F54"/>
    <w:rsid w:val="00292C43"/>
    <w:rsid w:val="002940B9"/>
    <w:rsid w:val="00295452"/>
    <w:rsid w:val="00295B84"/>
    <w:rsid w:val="00296C26"/>
    <w:rsid w:val="00296EB1"/>
    <w:rsid w:val="00297B03"/>
    <w:rsid w:val="002A00C1"/>
    <w:rsid w:val="002A028C"/>
    <w:rsid w:val="002A11F8"/>
    <w:rsid w:val="002A1BEC"/>
    <w:rsid w:val="002A1C8D"/>
    <w:rsid w:val="002A3C74"/>
    <w:rsid w:val="002A46DD"/>
    <w:rsid w:val="002A479A"/>
    <w:rsid w:val="002A5577"/>
    <w:rsid w:val="002A6414"/>
    <w:rsid w:val="002A6CC1"/>
    <w:rsid w:val="002A70AF"/>
    <w:rsid w:val="002B1297"/>
    <w:rsid w:val="002B1B9C"/>
    <w:rsid w:val="002B2F8D"/>
    <w:rsid w:val="002B3BA8"/>
    <w:rsid w:val="002B3EDB"/>
    <w:rsid w:val="002B4A09"/>
    <w:rsid w:val="002B4E92"/>
    <w:rsid w:val="002B4FB4"/>
    <w:rsid w:val="002B50C1"/>
    <w:rsid w:val="002B5832"/>
    <w:rsid w:val="002B68DC"/>
    <w:rsid w:val="002B78D3"/>
    <w:rsid w:val="002B7FE8"/>
    <w:rsid w:val="002C0B0D"/>
    <w:rsid w:val="002C19D7"/>
    <w:rsid w:val="002C1C70"/>
    <w:rsid w:val="002C1DC7"/>
    <w:rsid w:val="002C225D"/>
    <w:rsid w:val="002C2A69"/>
    <w:rsid w:val="002C2DFE"/>
    <w:rsid w:val="002C404D"/>
    <w:rsid w:val="002C5033"/>
    <w:rsid w:val="002D03D6"/>
    <w:rsid w:val="002D1030"/>
    <w:rsid w:val="002D25D4"/>
    <w:rsid w:val="002D2C4F"/>
    <w:rsid w:val="002D2FDE"/>
    <w:rsid w:val="002D4AE1"/>
    <w:rsid w:val="002D5620"/>
    <w:rsid w:val="002D5FF9"/>
    <w:rsid w:val="002D6472"/>
    <w:rsid w:val="002D678A"/>
    <w:rsid w:val="002D7741"/>
    <w:rsid w:val="002D7B65"/>
    <w:rsid w:val="002D7B87"/>
    <w:rsid w:val="002D7C12"/>
    <w:rsid w:val="002D7DF9"/>
    <w:rsid w:val="002E0213"/>
    <w:rsid w:val="002E032F"/>
    <w:rsid w:val="002E0510"/>
    <w:rsid w:val="002E0606"/>
    <w:rsid w:val="002E1769"/>
    <w:rsid w:val="002E1B28"/>
    <w:rsid w:val="002E1FEE"/>
    <w:rsid w:val="002E30CA"/>
    <w:rsid w:val="002E3A24"/>
    <w:rsid w:val="002E3EBD"/>
    <w:rsid w:val="002E4F33"/>
    <w:rsid w:val="002E5CD5"/>
    <w:rsid w:val="002E666C"/>
    <w:rsid w:val="002E687E"/>
    <w:rsid w:val="002E69BC"/>
    <w:rsid w:val="002E73F1"/>
    <w:rsid w:val="002E7649"/>
    <w:rsid w:val="002E772C"/>
    <w:rsid w:val="002E7A28"/>
    <w:rsid w:val="002E7C5D"/>
    <w:rsid w:val="002E7C93"/>
    <w:rsid w:val="002E7EE6"/>
    <w:rsid w:val="002F11B6"/>
    <w:rsid w:val="002F19CC"/>
    <w:rsid w:val="002F4AD7"/>
    <w:rsid w:val="002F5238"/>
    <w:rsid w:val="002F7382"/>
    <w:rsid w:val="00300CF8"/>
    <w:rsid w:val="00301AC3"/>
    <w:rsid w:val="003020A2"/>
    <w:rsid w:val="0030304A"/>
    <w:rsid w:val="00304081"/>
    <w:rsid w:val="00304498"/>
    <w:rsid w:val="003048A4"/>
    <w:rsid w:val="00304E67"/>
    <w:rsid w:val="003058D2"/>
    <w:rsid w:val="00305BA3"/>
    <w:rsid w:val="003060A0"/>
    <w:rsid w:val="00306800"/>
    <w:rsid w:val="0030691F"/>
    <w:rsid w:val="00307834"/>
    <w:rsid w:val="00310111"/>
    <w:rsid w:val="003103DD"/>
    <w:rsid w:val="0031066D"/>
    <w:rsid w:val="003106AA"/>
    <w:rsid w:val="00310BF9"/>
    <w:rsid w:val="00310D7B"/>
    <w:rsid w:val="00311D7A"/>
    <w:rsid w:val="00311FA3"/>
    <w:rsid w:val="00312B83"/>
    <w:rsid w:val="003130F2"/>
    <w:rsid w:val="00313262"/>
    <w:rsid w:val="003138E7"/>
    <w:rsid w:val="0031442F"/>
    <w:rsid w:val="00315188"/>
    <w:rsid w:val="00315238"/>
    <w:rsid w:val="00315A0D"/>
    <w:rsid w:val="00315A62"/>
    <w:rsid w:val="003166C0"/>
    <w:rsid w:val="00317A2E"/>
    <w:rsid w:val="00320156"/>
    <w:rsid w:val="00320990"/>
    <w:rsid w:val="00320D0D"/>
    <w:rsid w:val="00321DA8"/>
    <w:rsid w:val="003225CB"/>
    <w:rsid w:val="00322864"/>
    <w:rsid w:val="00322D5A"/>
    <w:rsid w:val="00323730"/>
    <w:rsid w:val="00323D98"/>
    <w:rsid w:val="0032436B"/>
    <w:rsid w:val="00324A09"/>
    <w:rsid w:val="003251A1"/>
    <w:rsid w:val="00325C41"/>
    <w:rsid w:val="00326C4E"/>
    <w:rsid w:val="00327019"/>
    <w:rsid w:val="00327CB1"/>
    <w:rsid w:val="00327CC2"/>
    <w:rsid w:val="00330426"/>
    <w:rsid w:val="0033242A"/>
    <w:rsid w:val="00332797"/>
    <w:rsid w:val="00332AF6"/>
    <w:rsid w:val="00332E6B"/>
    <w:rsid w:val="00333170"/>
    <w:rsid w:val="003339FB"/>
    <w:rsid w:val="00333F89"/>
    <w:rsid w:val="0033423B"/>
    <w:rsid w:val="00334862"/>
    <w:rsid w:val="00335478"/>
    <w:rsid w:val="003358E8"/>
    <w:rsid w:val="00335C06"/>
    <w:rsid w:val="00336144"/>
    <w:rsid w:val="003369BA"/>
    <w:rsid w:val="00336A29"/>
    <w:rsid w:val="0033746E"/>
    <w:rsid w:val="00340BAD"/>
    <w:rsid w:val="003413BA"/>
    <w:rsid w:val="0034178E"/>
    <w:rsid w:val="00341BB4"/>
    <w:rsid w:val="00343052"/>
    <w:rsid w:val="00343977"/>
    <w:rsid w:val="0034438E"/>
    <w:rsid w:val="00344945"/>
    <w:rsid w:val="00344BFF"/>
    <w:rsid w:val="00344CA0"/>
    <w:rsid w:val="00345193"/>
    <w:rsid w:val="00345199"/>
    <w:rsid w:val="00346153"/>
    <w:rsid w:val="003463A6"/>
    <w:rsid w:val="00346931"/>
    <w:rsid w:val="003472B2"/>
    <w:rsid w:val="00347C5E"/>
    <w:rsid w:val="00347E2F"/>
    <w:rsid w:val="00350BAB"/>
    <w:rsid w:val="00350F17"/>
    <w:rsid w:val="00351284"/>
    <w:rsid w:val="003513F7"/>
    <w:rsid w:val="00351550"/>
    <w:rsid w:val="00351E7E"/>
    <w:rsid w:val="003520A6"/>
    <w:rsid w:val="00355AB3"/>
    <w:rsid w:val="00356066"/>
    <w:rsid w:val="00356084"/>
    <w:rsid w:val="0035632F"/>
    <w:rsid w:val="00360355"/>
    <w:rsid w:val="00360AD7"/>
    <w:rsid w:val="00360D18"/>
    <w:rsid w:val="0036206A"/>
    <w:rsid w:val="00362C7E"/>
    <w:rsid w:val="00362E74"/>
    <w:rsid w:val="0036329D"/>
    <w:rsid w:val="003647F6"/>
    <w:rsid w:val="00364DAD"/>
    <w:rsid w:val="00366968"/>
    <w:rsid w:val="00366A60"/>
    <w:rsid w:val="0036729F"/>
    <w:rsid w:val="0036776D"/>
    <w:rsid w:val="00367895"/>
    <w:rsid w:val="00367B60"/>
    <w:rsid w:val="00370CDC"/>
    <w:rsid w:val="00370D35"/>
    <w:rsid w:val="0037109F"/>
    <w:rsid w:val="00371EBB"/>
    <w:rsid w:val="003722A9"/>
    <w:rsid w:val="003723B1"/>
    <w:rsid w:val="00373684"/>
    <w:rsid w:val="0037377E"/>
    <w:rsid w:val="00373FF7"/>
    <w:rsid w:val="003745EC"/>
    <w:rsid w:val="00374C97"/>
    <w:rsid w:val="0037522C"/>
    <w:rsid w:val="003752C8"/>
    <w:rsid w:val="0037649A"/>
    <w:rsid w:val="00376548"/>
    <w:rsid w:val="00376B7F"/>
    <w:rsid w:val="003776AF"/>
    <w:rsid w:val="00380CDB"/>
    <w:rsid w:val="00380DCB"/>
    <w:rsid w:val="00381029"/>
    <w:rsid w:val="00381D1B"/>
    <w:rsid w:val="00382F63"/>
    <w:rsid w:val="00383004"/>
    <w:rsid w:val="00384630"/>
    <w:rsid w:val="00384778"/>
    <w:rsid w:val="00385181"/>
    <w:rsid w:val="0038549F"/>
    <w:rsid w:val="003864C1"/>
    <w:rsid w:val="00390182"/>
    <w:rsid w:val="00390BA1"/>
    <w:rsid w:val="00392183"/>
    <w:rsid w:val="00392487"/>
    <w:rsid w:val="00392DE5"/>
    <w:rsid w:val="00393190"/>
    <w:rsid w:val="0039355A"/>
    <w:rsid w:val="003935BB"/>
    <w:rsid w:val="003947BC"/>
    <w:rsid w:val="00395373"/>
    <w:rsid w:val="0039565B"/>
    <w:rsid w:val="00395BBF"/>
    <w:rsid w:val="0039669C"/>
    <w:rsid w:val="00396AA6"/>
    <w:rsid w:val="00397875"/>
    <w:rsid w:val="00397B4F"/>
    <w:rsid w:val="00397B55"/>
    <w:rsid w:val="003A0242"/>
    <w:rsid w:val="003A06B6"/>
    <w:rsid w:val="003A06C8"/>
    <w:rsid w:val="003A1081"/>
    <w:rsid w:val="003A350C"/>
    <w:rsid w:val="003A3950"/>
    <w:rsid w:val="003A4295"/>
    <w:rsid w:val="003A5270"/>
    <w:rsid w:val="003A536E"/>
    <w:rsid w:val="003A6944"/>
    <w:rsid w:val="003A7004"/>
    <w:rsid w:val="003A7427"/>
    <w:rsid w:val="003A7EE0"/>
    <w:rsid w:val="003B01E6"/>
    <w:rsid w:val="003B0390"/>
    <w:rsid w:val="003B21CA"/>
    <w:rsid w:val="003B242B"/>
    <w:rsid w:val="003B337B"/>
    <w:rsid w:val="003B33F1"/>
    <w:rsid w:val="003B38A9"/>
    <w:rsid w:val="003B495D"/>
    <w:rsid w:val="003B56D6"/>
    <w:rsid w:val="003B58AB"/>
    <w:rsid w:val="003B67B0"/>
    <w:rsid w:val="003B754A"/>
    <w:rsid w:val="003C11D9"/>
    <w:rsid w:val="003C28DE"/>
    <w:rsid w:val="003C2A14"/>
    <w:rsid w:val="003C2E85"/>
    <w:rsid w:val="003C34B0"/>
    <w:rsid w:val="003C41F7"/>
    <w:rsid w:val="003C491D"/>
    <w:rsid w:val="003C4A2A"/>
    <w:rsid w:val="003C4F3E"/>
    <w:rsid w:val="003C514C"/>
    <w:rsid w:val="003C5B3D"/>
    <w:rsid w:val="003C5E09"/>
    <w:rsid w:val="003C6243"/>
    <w:rsid w:val="003C6AF1"/>
    <w:rsid w:val="003C74D2"/>
    <w:rsid w:val="003D010B"/>
    <w:rsid w:val="003D13E2"/>
    <w:rsid w:val="003D15E7"/>
    <w:rsid w:val="003D1D38"/>
    <w:rsid w:val="003D348A"/>
    <w:rsid w:val="003D384C"/>
    <w:rsid w:val="003D4674"/>
    <w:rsid w:val="003D51E7"/>
    <w:rsid w:val="003D58C8"/>
    <w:rsid w:val="003D5F55"/>
    <w:rsid w:val="003D6E7B"/>
    <w:rsid w:val="003D7976"/>
    <w:rsid w:val="003D7B75"/>
    <w:rsid w:val="003D7D15"/>
    <w:rsid w:val="003E17B7"/>
    <w:rsid w:val="003E1A6C"/>
    <w:rsid w:val="003E2927"/>
    <w:rsid w:val="003E2D0A"/>
    <w:rsid w:val="003E322B"/>
    <w:rsid w:val="003E33CD"/>
    <w:rsid w:val="003E3710"/>
    <w:rsid w:val="003E3DF9"/>
    <w:rsid w:val="003E54EF"/>
    <w:rsid w:val="003E5D74"/>
    <w:rsid w:val="003E63CE"/>
    <w:rsid w:val="003E75B5"/>
    <w:rsid w:val="003F06F4"/>
    <w:rsid w:val="003F0CAF"/>
    <w:rsid w:val="003F1405"/>
    <w:rsid w:val="003F2022"/>
    <w:rsid w:val="003F2285"/>
    <w:rsid w:val="003F23CD"/>
    <w:rsid w:val="003F37EB"/>
    <w:rsid w:val="003F3A59"/>
    <w:rsid w:val="003F4029"/>
    <w:rsid w:val="003F51C7"/>
    <w:rsid w:val="003F6834"/>
    <w:rsid w:val="003F7F63"/>
    <w:rsid w:val="00401CA0"/>
    <w:rsid w:val="00402469"/>
    <w:rsid w:val="004029B9"/>
    <w:rsid w:val="0040312A"/>
    <w:rsid w:val="004032F0"/>
    <w:rsid w:val="00403B71"/>
    <w:rsid w:val="0040445A"/>
    <w:rsid w:val="0040456C"/>
    <w:rsid w:val="00404B0F"/>
    <w:rsid w:val="00404EE5"/>
    <w:rsid w:val="004050D0"/>
    <w:rsid w:val="00406294"/>
    <w:rsid w:val="004062F3"/>
    <w:rsid w:val="00406300"/>
    <w:rsid w:val="00410472"/>
    <w:rsid w:val="004106C8"/>
    <w:rsid w:val="00411104"/>
    <w:rsid w:val="00412273"/>
    <w:rsid w:val="0041282F"/>
    <w:rsid w:val="00412DFA"/>
    <w:rsid w:val="004134E4"/>
    <w:rsid w:val="00413A26"/>
    <w:rsid w:val="00414E5E"/>
    <w:rsid w:val="00415180"/>
    <w:rsid w:val="00415621"/>
    <w:rsid w:val="004156FE"/>
    <w:rsid w:val="00415E3B"/>
    <w:rsid w:val="00416F1B"/>
    <w:rsid w:val="00417328"/>
    <w:rsid w:val="004200AC"/>
    <w:rsid w:val="00420610"/>
    <w:rsid w:val="00420B13"/>
    <w:rsid w:val="00421F86"/>
    <w:rsid w:val="00422140"/>
    <w:rsid w:val="00422EE8"/>
    <w:rsid w:val="00423348"/>
    <w:rsid w:val="0042348B"/>
    <w:rsid w:val="0042442A"/>
    <w:rsid w:val="004264AE"/>
    <w:rsid w:val="00430535"/>
    <w:rsid w:val="004308BC"/>
    <w:rsid w:val="00430EDF"/>
    <w:rsid w:val="004310D9"/>
    <w:rsid w:val="00432EF3"/>
    <w:rsid w:val="00433677"/>
    <w:rsid w:val="00433A85"/>
    <w:rsid w:val="00433E64"/>
    <w:rsid w:val="0043478C"/>
    <w:rsid w:val="00434C1F"/>
    <w:rsid w:val="00435D2E"/>
    <w:rsid w:val="0043613C"/>
    <w:rsid w:val="00436710"/>
    <w:rsid w:val="0043726B"/>
    <w:rsid w:val="004401A1"/>
    <w:rsid w:val="00440EE6"/>
    <w:rsid w:val="00441122"/>
    <w:rsid w:val="00442156"/>
    <w:rsid w:val="004437B0"/>
    <w:rsid w:val="00443C7B"/>
    <w:rsid w:val="00443EB8"/>
    <w:rsid w:val="004447FE"/>
    <w:rsid w:val="00444C00"/>
    <w:rsid w:val="00446D55"/>
    <w:rsid w:val="00447036"/>
    <w:rsid w:val="00447159"/>
    <w:rsid w:val="0044758F"/>
    <w:rsid w:val="004479E5"/>
    <w:rsid w:val="00450382"/>
    <w:rsid w:val="00451E15"/>
    <w:rsid w:val="004521C4"/>
    <w:rsid w:val="00452A96"/>
    <w:rsid w:val="00453EFE"/>
    <w:rsid w:val="00455693"/>
    <w:rsid w:val="00455716"/>
    <w:rsid w:val="00456CD9"/>
    <w:rsid w:val="00457983"/>
    <w:rsid w:val="0046031F"/>
    <w:rsid w:val="004622C7"/>
    <w:rsid w:val="0046255F"/>
    <w:rsid w:val="004636B9"/>
    <w:rsid w:val="004641E2"/>
    <w:rsid w:val="00464615"/>
    <w:rsid w:val="00464DAC"/>
    <w:rsid w:val="004650AB"/>
    <w:rsid w:val="004659DD"/>
    <w:rsid w:val="00466654"/>
    <w:rsid w:val="004707FA"/>
    <w:rsid w:val="00470939"/>
    <w:rsid w:val="004710D7"/>
    <w:rsid w:val="00472C34"/>
    <w:rsid w:val="004740A7"/>
    <w:rsid w:val="0047430E"/>
    <w:rsid w:val="004744B2"/>
    <w:rsid w:val="00474A89"/>
    <w:rsid w:val="00474D8E"/>
    <w:rsid w:val="0047535D"/>
    <w:rsid w:val="00475BCC"/>
    <w:rsid w:val="004764CE"/>
    <w:rsid w:val="0047714B"/>
    <w:rsid w:val="0047757F"/>
    <w:rsid w:val="004800FC"/>
    <w:rsid w:val="0048112F"/>
    <w:rsid w:val="0048158D"/>
    <w:rsid w:val="004816B6"/>
    <w:rsid w:val="00481FF5"/>
    <w:rsid w:val="004847E3"/>
    <w:rsid w:val="004862D7"/>
    <w:rsid w:val="00486944"/>
    <w:rsid w:val="00487269"/>
    <w:rsid w:val="0048731E"/>
    <w:rsid w:val="00487FD4"/>
    <w:rsid w:val="00490F20"/>
    <w:rsid w:val="00490F91"/>
    <w:rsid w:val="004910B8"/>
    <w:rsid w:val="00491C50"/>
    <w:rsid w:val="00492238"/>
    <w:rsid w:val="00493C37"/>
    <w:rsid w:val="004945C8"/>
    <w:rsid w:val="0049490B"/>
    <w:rsid w:val="00494AE9"/>
    <w:rsid w:val="00494F22"/>
    <w:rsid w:val="00495D51"/>
    <w:rsid w:val="00497D0F"/>
    <w:rsid w:val="00497FA5"/>
    <w:rsid w:val="004A0198"/>
    <w:rsid w:val="004A03DE"/>
    <w:rsid w:val="004A1891"/>
    <w:rsid w:val="004A2A6C"/>
    <w:rsid w:val="004A51DC"/>
    <w:rsid w:val="004A5309"/>
    <w:rsid w:val="004A56BF"/>
    <w:rsid w:val="004A5A39"/>
    <w:rsid w:val="004A6C1A"/>
    <w:rsid w:val="004A71BC"/>
    <w:rsid w:val="004A7415"/>
    <w:rsid w:val="004A7AFB"/>
    <w:rsid w:val="004A7E08"/>
    <w:rsid w:val="004B0839"/>
    <w:rsid w:val="004B126F"/>
    <w:rsid w:val="004B127A"/>
    <w:rsid w:val="004B1827"/>
    <w:rsid w:val="004B1C61"/>
    <w:rsid w:val="004B1DCE"/>
    <w:rsid w:val="004B29AE"/>
    <w:rsid w:val="004B4DCE"/>
    <w:rsid w:val="004B5554"/>
    <w:rsid w:val="004B5C27"/>
    <w:rsid w:val="004B5F04"/>
    <w:rsid w:val="004B609D"/>
    <w:rsid w:val="004B6260"/>
    <w:rsid w:val="004B6314"/>
    <w:rsid w:val="004B6A3D"/>
    <w:rsid w:val="004B75CB"/>
    <w:rsid w:val="004C199E"/>
    <w:rsid w:val="004C19C0"/>
    <w:rsid w:val="004C2999"/>
    <w:rsid w:val="004C3201"/>
    <w:rsid w:val="004C3912"/>
    <w:rsid w:val="004C3EB1"/>
    <w:rsid w:val="004C488E"/>
    <w:rsid w:val="004C4F12"/>
    <w:rsid w:val="004C4F73"/>
    <w:rsid w:val="004C5331"/>
    <w:rsid w:val="004C5471"/>
    <w:rsid w:val="004C6A22"/>
    <w:rsid w:val="004C6DA5"/>
    <w:rsid w:val="004C73E2"/>
    <w:rsid w:val="004C7830"/>
    <w:rsid w:val="004D0833"/>
    <w:rsid w:val="004D0B74"/>
    <w:rsid w:val="004D0B82"/>
    <w:rsid w:val="004D0F03"/>
    <w:rsid w:val="004D1E70"/>
    <w:rsid w:val="004D232A"/>
    <w:rsid w:val="004D2B9A"/>
    <w:rsid w:val="004D2D1D"/>
    <w:rsid w:val="004D406E"/>
    <w:rsid w:val="004D4BAA"/>
    <w:rsid w:val="004D50FD"/>
    <w:rsid w:val="004D6261"/>
    <w:rsid w:val="004D7923"/>
    <w:rsid w:val="004E1084"/>
    <w:rsid w:val="004E228E"/>
    <w:rsid w:val="004E3037"/>
    <w:rsid w:val="004E3913"/>
    <w:rsid w:val="004E3F40"/>
    <w:rsid w:val="004E408E"/>
    <w:rsid w:val="004E40AC"/>
    <w:rsid w:val="004E4856"/>
    <w:rsid w:val="004E4C32"/>
    <w:rsid w:val="004E4EAD"/>
    <w:rsid w:val="004E5066"/>
    <w:rsid w:val="004E5957"/>
    <w:rsid w:val="004E630E"/>
    <w:rsid w:val="004E6489"/>
    <w:rsid w:val="004E6966"/>
    <w:rsid w:val="004F0AC9"/>
    <w:rsid w:val="004F0E5F"/>
    <w:rsid w:val="004F0EDD"/>
    <w:rsid w:val="004F1BB9"/>
    <w:rsid w:val="004F24FA"/>
    <w:rsid w:val="004F2C2E"/>
    <w:rsid w:val="004F4C67"/>
    <w:rsid w:val="004F4E17"/>
    <w:rsid w:val="004F4E54"/>
    <w:rsid w:val="004F50A8"/>
    <w:rsid w:val="004F518D"/>
    <w:rsid w:val="004F5462"/>
    <w:rsid w:val="004F589D"/>
    <w:rsid w:val="004F5C91"/>
    <w:rsid w:val="004F5DD0"/>
    <w:rsid w:val="00500B9B"/>
    <w:rsid w:val="00500E7F"/>
    <w:rsid w:val="00501C97"/>
    <w:rsid w:val="00501D28"/>
    <w:rsid w:val="0050222C"/>
    <w:rsid w:val="00502B00"/>
    <w:rsid w:val="00502B0F"/>
    <w:rsid w:val="00502DF5"/>
    <w:rsid w:val="0050460A"/>
    <w:rsid w:val="00504BB0"/>
    <w:rsid w:val="0050580E"/>
    <w:rsid w:val="005068DD"/>
    <w:rsid w:val="00506E17"/>
    <w:rsid w:val="0051124E"/>
    <w:rsid w:val="00512126"/>
    <w:rsid w:val="00512274"/>
    <w:rsid w:val="00513484"/>
    <w:rsid w:val="00513AAD"/>
    <w:rsid w:val="00513CC1"/>
    <w:rsid w:val="0051428C"/>
    <w:rsid w:val="005142AE"/>
    <w:rsid w:val="00514C84"/>
    <w:rsid w:val="005152B6"/>
    <w:rsid w:val="00515B1B"/>
    <w:rsid w:val="00515D62"/>
    <w:rsid w:val="00516154"/>
    <w:rsid w:val="005165EB"/>
    <w:rsid w:val="00516BDC"/>
    <w:rsid w:val="00517819"/>
    <w:rsid w:val="00517BF4"/>
    <w:rsid w:val="0052018B"/>
    <w:rsid w:val="00520F07"/>
    <w:rsid w:val="00521862"/>
    <w:rsid w:val="0052196A"/>
    <w:rsid w:val="005220DD"/>
    <w:rsid w:val="00522389"/>
    <w:rsid w:val="005227AC"/>
    <w:rsid w:val="00522DDA"/>
    <w:rsid w:val="00523610"/>
    <w:rsid w:val="00523E87"/>
    <w:rsid w:val="00523F1B"/>
    <w:rsid w:val="00524038"/>
    <w:rsid w:val="0052689E"/>
    <w:rsid w:val="00526A97"/>
    <w:rsid w:val="005279C1"/>
    <w:rsid w:val="00530AC3"/>
    <w:rsid w:val="00530F65"/>
    <w:rsid w:val="0053154B"/>
    <w:rsid w:val="00532FF1"/>
    <w:rsid w:val="005332EB"/>
    <w:rsid w:val="00533469"/>
    <w:rsid w:val="00533CD6"/>
    <w:rsid w:val="005356AF"/>
    <w:rsid w:val="005368C2"/>
    <w:rsid w:val="00536BB7"/>
    <w:rsid w:val="00536BE3"/>
    <w:rsid w:val="00540871"/>
    <w:rsid w:val="00541E4F"/>
    <w:rsid w:val="0054276C"/>
    <w:rsid w:val="00542E61"/>
    <w:rsid w:val="005430AF"/>
    <w:rsid w:val="00544100"/>
    <w:rsid w:val="00544984"/>
    <w:rsid w:val="00544CD6"/>
    <w:rsid w:val="005452DA"/>
    <w:rsid w:val="0054563D"/>
    <w:rsid w:val="005477E1"/>
    <w:rsid w:val="005478F6"/>
    <w:rsid w:val="00550074"/>
    <w:rsid w:val="005509CF"/>
    <w:rsid w:val="00550C53"/>
    <w:rsid w:val="0055207F"/>
    <w:rsid w:val="0055219C"/>
    <w:rsid w:val="005522AA"/>
    <w:rsid w:val="005523F9"/>
    <w:rsid w:val="00552402"/>
    <w:rsid w:val="00552707"/>
    <w:rsid w:val="00552832"/>
    <w:rsid w:val="00554066"/>
    <w:rsid w:val="005545ED"/>
    <w:rsid w:val="005572FA"/>
    <w:rsid w:val="00560D3E"/>
    <w:rsid w:val="00560E77"/>
    <w:rsid w:val="005612A5"/>
    <w:rsid w:val="00564A4C"/>
    <w:rsid w:val="00565EE3"/>
    <w:rsid w:val="005660EE"/>
    <w:rsid w:val="00566BE4"/>
    <w:rsid w:val="00566F5D"/>
    <w:rsid w:val="00567943"/>
    <w:rsid w:val="00570858"/>
    <w:rsid w:val="005714E0"/>
    <w:rsid w:val="005716AE"/>
    <w:rsid w:val="005716C3"/>
    <w:rsid w:val="00571722"/>
    <w:rsid w:val="0057191E"/>
    <w:rsid w:val="00572913"/>
    <w:rsid w:val="00572A09"/>
    <w:rsid w:val="0057448B"/>
    <w:rsid w:val="00574E5F"/>
    <w:rsid w:val="00574E92"/>
    <w:rsid w:val="00574F83"/>
    <w:rsid w:val="00576028"/>
    <w:rsid w:val="00576075"/>
    <w:rsid w:val="005765E8"/>
    <w:rsid w:val="00577718"/>
    <w:rsid w:val="00580A9C"/>
    <w:rsid w:val="00580C38"/>
    <w:rsid w:val="00582FA1"/>
    <w:rsid w:val="005834FC"/>
    <w:rsid w:val="00583E2A"/>
    <w:rsid w:val="0058480F"/>
    <w:rsid w:val="005848B1"/>
    <w:rsid w:val="0058623F"/>
    <w:rsid w:val="0058668F"/>
    <w:rsid w:val="00586797"/>
    <w:rsid w:val="005875DD"/>
    <w:rsid w:val="00591D75"/>
    <w:rsid w:val="005936F0"/>
    <w:rsid w:val="00593C26"/>
    <w:rsid w:val="00594B1E"/>
    <w:rsid w:val="0059554E"/>
    <w:rsid w:val="00595C62"/>
    <w:rsid w:val="005961CC"/>
    <w:rsid w:val="00596AE6"/>
    <w:rsid w:val="00596C68"/>
    <w:rsid w:val="00596D79"/>
    <w:rsid w:val="00597466"/>
    <w:rsid w:val="00597A94"/>
    <w:rsid w:val="005A0CAC"/>
    <w:rsid w:val="005A12BB"/>
    <w:rsid w:val="005A18D0"/>
    <w:rsid w:val="005A2090"/>
    <w:rsid w:val="005A3671"/>
    <w:rsid w:val="005A4054"/>
    <w:rsid w:val="005A5075"/>
    <w:rsid w:val="005A57FC"/>
    <w:rsid w:val="005A6720"/>
    <w:rsid w:val="005A7074"/>
    <w:rsid w:val="005A7B87"/>
    <w:rsid w:val="005A7EF4"/>
    <w:rsid w:val="005B0718"/>
    <w:rsid w:val="005B159A"/>
    <w:rsid w:val="005B18BC"/>
    <w:rsid w:val="005B1FAB"/>
    <w:rsid w:val="005B315F"/>
    <w:rsid w:val="005B31E4"/>
    <w:rsid w:val="005B3938"/>
    <w:rsid w:val="005B5A03"/>
    <w:rsid w:val="005B5C09"/>
    <w:rsid w:val="005B5D04"/>
    <w:rsid w:val="005B6114"/>
    <w:rsid w:val="005B75CE"/>
    <w:rsid w:val="005B797A"/>
    <w:rsid w:val="005C1272"/>
    <w:rsid w:val="005C1375"/>
    <w:rsid w:val="005C16C2"/>
    <w:rsid w:val="005C1A3B"/>
    <w:rsid w:val="005C1D13"/>
    <w:rsid w:val="005C1F09"/>
    <w:rsid w:val="005C2318"/>
    <w:rsid w:val="005C34FE"/>
    <w:rsid w:val="005C3DF8"/>
    <w:rsid w:val="005C43B6"/>
    <w:rsid w:val="005C4F14"/>
    <w:rsid w:val="005C528D"/>
    <w:rsid w:val="005C74AF"/>
    <w:rsid w:val="005C773B"/>
    <w:rsid w:val="005D0C82"/>
    <w:rsid w:val="005D1005"/>
    <w:rsid w:val="005D1E38"/>
    <w:rsid w:val="005D280D"/>
    <w:rsid w:val="005D303C"/>
    <w:rsid w:val="005D657C"/>
    <w:rsid w:val="005D7CE9"/>
    <w:rsid w:val="005E0AA6"/>
    <w:rsid w:val="005E0B02"/>
    <w:rsid w:val="005E1BE4"/>
    <w:rsid w:val="005E261A"/>
    <w:rsid w:val="005E2906"/>
    <w:rsid w:val="005E4899"/>
    <w:rsid w:val="005E5278"/>
    <w:rsid w:val="005E5F6C"/>
    <w:rsid w:val="005E6CA6"/>
    <w:rsid w:val="005E7200"/>
    <w:rsid w:val="005E7B55"/>
    <w:rsid w:val="005F0378"/>
    <w:rsid w:val="005F049B"/>
    <w:rsid w:val="005F1095"/>
    <w:rsid w:val="005F1234"/>
    <w:rsid w:val="005F1826"/>
    <w:rsid w:val="005F2C8C"/>
    <w:rsid w:val="005F392F"/>
    <w:rsid w:val="005F3A39"/>
    <w:rsid w:val="005F43C5"/>
    <w:rsid w:val="005F443F"/>
    <w:rsid w:val="005F492A"/>
    <w:rsid w:val="005F4AD1"/>
    <w:rsid w:val="005F59B7"/>
    <w:rsid w:val="005F5D51"/>
    <w:rsid w:val="005F5D73"/>
    <w:rsid w:val="005F5E99"/>
    <w:rsid w:val="005F655D"/>
    <w:rsid w:val="005F7A15"/>
    <w:rsid w:val="0060091B"/>
    <w:rsid w:val="00600B85"/>
    <w:rsid w:val="00600D9E"/>
    <w:rsid w:val="00600FB6"/>
    <w:rsid w:val="006010EB"/>
    <w:rsid w:val="006011BD"/>
    <w:rsid w:val="006013DA"/>
    <w:rsid w:val="00601912"/>
    <w:rsid w:val="0060288C"/>
    <w:rsid w:val="006029AB"/>
    <w:rsid w:val="00602A27"/>
    <w:rsid w:val="00604163"/>
    <w:rsid w:val="00604771"/>
    <w:rsid w:val="0060508D"/>
    <w:rsid w:val="00605778"/>
    <w:rsid w:val="006058D3"/>
    <w:rsid w:val="00605ECE"/>
    <w:rsid w:val="00606DB3"/>
    <w:rsid w:val="00606F50"/>
    <w:rsid w:val="00607464"/>
    <w:rsid w:val="0060759C"/>
    <w:rsid w:val="006105E8"/>
    <w:rsid w:val="00610A16"/>
    <w:rsid w:val="00612A40"/>
    <w:rsid w:val="00613413"/>
    <w:rsid w:val="00613C54"/>
    <w:rsid w:val="00613C5F"/>
    <w:rsid w:val="00613CA0"/>
    <w:rsid w:val="00615D7D"/>
    <w:rsid w:val="00616F81"/>
    <w:rsid w:val="006171F2"/>
    <w:rsid w:val="006174F7"/>
    <w:rsid w:val="006200B0"/>
    <w:rsid w:val="00620749"/>
    <w:rsid w:val="0062086F"/>
    <w:rsid w:val="00620E16"/>
    <w:rsid w:val="00620FB7"/>
    <w:rsid w:val="00622131"/>
    <w:rsid w:val="00622373"/>
    <w:rsid w:val="006227AE"/>
    <w:rsid w:val="00622CEE"/>
    <w:rsid w:val="00622D9D"/>
    <w:rsid w:val="00623116"/>
    <w:rsid w:val="006237D2"/>
    <w:rsid w:val="00623CED"/>
    <w:rsid w:val="00623D3F"/>
    <w:rsid w:val="006251D2"/>
    <w:rsid w:val="00625410"/>
    <w:rsid w:val="0062595E"/>
    <w:rsid w:val="00625A43"/>
    <w:rsid w:val="00625B20"/>
    <w:rsid w:val="0062624D"/>
    <w:rsid w:val="00626B66"/>
    <w:rsid w:val="00631CB5"/>
    <w:rsid w:val="00631D6F"/>
    <w:rsid w:val="0063360B"/>
    <w:rsid w:val="00633E30"/>
    <w:rsid w:val="0063467E"/>
    <w:rsid w:val="006351C8"/>
    <w:rsid w:val="00635233"/>
    <w:rsid w:val="00635C15"/>
    <w:rsid w:val="0063671D"/>
    <w:rsid w:val="00637A3B"/>
    <w:rsid w:val="00637AEA"/>
    <w:rsid w:val="0064035B"/>
    <w:rsid w:val="0064101D"/>
    <w:rsid w:val="00641A09"/>
    <w:rsid w:val="00641E35"/>
    <w:rsid w:val="00642172"/>
    <w:rsid w:val="0064220F"/>
    <w:rsid w:val="006422EC"/>
    <w:rsid w:val="006436F7"/>
    <w:rsid w:val="00643A18"/>
    <w:rsid w:val="00643C0D"/>
    <w:rsid w:val="006446E7"/>
    <w:rsid w:val="00644EA7"/>
    <w:rsid w:val="0064526E"/>
    <w:rsid w:val="006456C2"/>
    <w:rsid w:val="00645991"/>
    <w:rsid w:val="00646C86"/>
    <w:rsid w:val="006476FF"/>
    <w:rsid w:val="0064780A"/>
    <w:rsid w:val="00647B10"/>
    <w:rsid w:val="00647BF9"/>
    <w:rsid w:val="0065036A"/>
    <w:rsid w:val="00652109"/>
    <w:rsid w:val="00652CD9"/>
    <w:rsid w:val="00652F6C"/>
    <w:rsid w:val="0065300E"/>
    <w:rsid w:val="00653556"/>
    <w:rsid w:val="00653662"/>
    <w:rsid w:val="006548B2"/>
    <w:rsid w:val="00654B69"/>
    <w:rsid w:val="00655311"/>
    <w:rsid w:val="00657007"/>
    <w:rsid w:val="00657BA6"/>
    <w:rsid w:val="00660124"/>
    <w:rsid w:val="00660344"/>
    <w:rsid w:val="00660E9E"/>
    <w:rsid w:val="00661159"/>
    <w:rsid w:val="006621DA"/>
    <w:rsid w:val="006628E7"/>
    <w:rsid w:val="006629FE"/>
    <w:rsid w:val="0066351F"/>
    <w:rsid w:val="0066467F"/>
    <w:rsid w:val="006646A9"/>
    <w:rsid w:val="00664BD7"/>
    <w:rsid w:val="00665198"/>
    <w:rsid w:val="00665A17"/>
    <w:rsid w:val="00666552"/>
    <w:rsid w:val="00666874"/>
    <w:rsid w:val="00666C8F"/>
    <w:rsid w:val="00666DE9"/>
    <w:rsid w:val="006676EC"/>
    <w:rsid w:val="0066796C"/>
    <w:rsid w:val="00667ACA"/>
    <w:rsid w:val="00670017"/>
    <w:rsid w:val="006701CC"/>
    <w:rsid w:val="00670210"/>
    <w:rsid w:val="00670B02"/>
    <w:rsid w:val="00670CF8"/>
    <w:rsid w:val="0067237F"/>
    <w:rsid w:val="00672EA8"/>
    <w:rsid w:val="0067388E"/>
    <w:rsid w:val="00675552"/>
    <w:rsid w:val="0067611E"/>
    <w:rsid w:val="006763CD"/>
    <w:rsid w:val="00676E9F"/>
    <w:rsid w:val="00677208"/>
    <w:rsid w:val="0067752C"/>
    <w:rsid w:val="00677B45"/>
    <w:rsid w:val="0068028B"/>
    <w:rsid w:val="006805F5"/>
    <w:rsid w:val="00681D2B"/>
    <w:rsid w:val="00684AEB"/>
    <w:rsid w:val="0068534F"/>
    <w:rsid w:val="006854E9"/>
    <w:rsid w:val="006855A7"/>
    <w:rsid w:val="0068621E"/>
    <w:rsid w:val="00686AFD"/>
    <w:rsid w:val="00686C9A"/>
    <w:rsid w:val="006876D7"/>
    <w:rsid w:val="00687C59"/>
    <w:rsid w:val="00687E2D"/>
    <w:rsid w:val="00690042"/>
    <w:rsid w:val="00690163"/>
    <w:rsid w:val="00690777"/>
    <w:rsid w:val="00691103"/>
    <w:rsid w:val="006914AA"/>
    <w:rsid w:val="00691D83"/>
    <w:rsid w:val="00691F72"/>
    <w:rsid w:val="00692207"/>
    <w:rsid w:val="00692294"/>
    <w:rsid w:val="006931B0"/>
    <w:rsid w:val="00693E90"/>
    <w:rsid w:val="006944C9"/>
    <w:rsid w:val="00694696"/>
    <w:rsid w:val="00694FDC"/>
    <w:rsid w:val="006953BB"/>
    <w:rsid w:val="00696179"/>
    <w:rsid w:val="00696AFD"/>
    <w:rsid w:val="00697BC3"/>
    <w:rsid w:val="006A0EBD"/>
    <w:rsid w:val="006A2069"/>
    <w:rsid w:val="006A29E3"/>
    <w:rsid w:val="006A2FBF"/>
    <w:rsid w:val="006A3B53"/>
    <w:rsid w:val="006A3EFE"/>
    <w:rsid w:val="006A4994"/>
    <w:rsid w:val="006A4B3B"/>
    <w:rsid w:val="006A4D25"/>
    <w:rsid w:val="006A519D"/>
    <w:rsid w:val="006A5482"/>
    <w:rsid w:val="006A5BAB"/>
    <w:rsid w:val="006A5D1F"/>
    <w:rsid w:val="006A5F48"/>
    <w:rsid w:val="006A5FD9"/>
    <w:rsid w:val="006A6C17"/>
    <w:rsid w:val="006A7092"/>
    <w:rsid w:val="006A7719"/>
    <w:rsid w:val="006A783B"/>
    <w:rsid w:val="006A7A5A"/>
    <w:rsid w:val="006B0044"/>
    <w:rsid w:val="006B0098"/>
    <w:rsid w:val="006B057E"/>
    <w:rsid w:val="006B0653"/>
    <w:rsid w:val="006B0B80"/>
    <w:rsid w:val="006B2915"/>
    <w:rsid w:val="006B391A"/>
    <w:rsid w:val="006B3CD1"/>
    <w:rsid w:val="006B3F5C"/>
    <w:rsid w:val="006B4D76"/>
    <w:rsid w:val="006B4E75"/>
    <w:rsid w:val="006B58A5"/>
    <w:rsid w:val="006B58E1"/>
    <w:rsid w:val="006B6E08"/>
    <w:rsid w:val="006B7191"/>
    <w:rsid w:val="006C0AD8"/>
    <w:rsid w:val="006C0EC9"/>
    <w:rsid w:val="006C11D8"/>
    <w:rsid w:val="006C16F9"/>
    <w:rsid w:val="006C1955"/>
    <w:rsid w:val="006C1C91"/>
    <w:rsid w:val="006C1D16"/>
    <w:rsid w:val="006C25F3"/>
    <w:rsid w:val="006C2776"/>
    <w:rsid w:val="006C575C"/>
    <w:rsid w:val="006C57A8"/>
    <w:rsid w:val="006C583A"/>
    <w:rsid w:val="006C58D7"/>
    <w:rsid w:val="006C672E"/>
    <w:rsid w:val="006C785A"/>
    <w:rsid w:val="006D0351"/>
    <w:rsid w:val="006D0513"/>
    <w:rsid w:val="006D05FF"/>
    <w:rsid w:val="006D0B43"/>
    <w:rsid w:val="006D0C56"/>
    <w:rsid w:val="006D1515"/>
    <w:rsid w:val="006D1E7D"/>
    <w:rsid w:val="006D2231"/>
    <w:rsid w:val="006D2BF3"/>
    <w:rsid w:val="006D2E2D"/>
    <w:rsid w:val="006D35D4"/>
    <w:rsid w:val="006D3B5A"/>
    <w:rsid w:val="006D3EF0"/>
    <w:rsid w:val="006D5651"/>
    <w:rsid w:val="006D59F8"/>
    <w:rsid w:val="006D5BD3"/>
    <w:rsid w:val="006D6BFB"/>
    <w:rsid w:val="006D6E55"/>
    <w:rsid w:val="006D758A"/>
    <w:rsid w:val="006D7948"/>
    <w:rsid w:val="006E03AB"/>
    <w:rsid w:val="006E0EE1"/>
    <w:rsid w:val="006E1320"/>
    <w:rsid w:val="006E1598"/>
    <w:rsid w:val="006E23D2"/>
    <w:rsid w:val="006E2513"/>
    <w:rsid w:val="006E338D"/>
    <w:rsid w:val="006E370B"/>
    <w:rsid w:val="006E47BD"/>
    <w:rsid w:val="006E56B7"/>
    <w:rsid w:val="006E5DA4"/>
    <w:rsid w:val="006E64F4"/>
    <w:rsid w:val="006E6944"/>
    <w:rsid w:val="006E6C3D"/>
    <w:rsid w:val="006E7188"/>
    <w:rsid w:val="006F1172"/>
    <w:rsid w:val="006F1189"/>
    <w:rsid w:val="006F13A8"/>
    <w:rsid w:val="006F1E24"/>
    <w:rsid w:val="006F2BD1"/>
    <w:rsid w:val="006F2E55"/>
    <w:rsid w:val="006F3EEC"/>
    <w:rsid w:val="006F5019"/>
    <w:rsid w:val="006F520F"/>
    <w:rsid w:val="006F5D04"/>
    <w:rsid w:val="006F5E44"/>
    <w:rsid w:val="006F7197"/>
    <w:rsid w:val="006F7DCB"/>
    <w:rsid w:val="007005DC"/>
    <w:rsid w:val="00700617"/>
    <w:rsid w:val="00700A42"/>
    <w:rsid w:val="007014C6"/>
    <w:rsid w:val="007025BE"/>
    <w:rsid w:val="0070342D"/>
    <w:rsid w:val="0070438B"/>
    <w:rsid w:val="00704421"/>
    <w:rsid w:val="007045EB"/>
    <w:rsid w:val="00706BAD"/>
    <w:rsid w:val="0070745F"/>
    <w:rsid w:val="00707709"/>
    <w:rsid w:val="007114C4"/>
    <w:rsid w:val="007118B4"/>
    <w:rsid w:val="00713219"/>
    <w:rsid w:val="0071331E"/>
    <w:rsid w:val="0071351A"/>
    <w:rsid w:val="007145E0"/>
    <w:rsid w:val="00714A08"/>
    <w:rsid w:val="00714A56"/>
    <w:rsid w:val="00714C17"/>
    <w:rsid w:val="00715081"/>
    <w:rsid w:val="0071580E"/>
    <w:rsid w:val="00715A1A"/>
    <w:rsid w:val="00716A29"/>
    <w:rsid w:val="00716DC4"/>
    <w:rsid w:val="007179EE"/>
    <w:rsid w:val="007206FD"/>
    <w:rsid w:val="0072103B"/>
    <w:rsid w:val="00721357"/>
    <w:rsid w:val="007218EE"/>
    <w:rsid w:val="00721A51"/>
    <w:rsid w:val="007220B5"/>
    <w:rsid w:val="007230FB"/>
    <w:rsid w:val="007232E9"/>
    <w:rsid w:val="0072340C"/>
    <w:rsid w:val="007242B8"/>
    <w:rsid w:val="0072553B"/>
    <w:rsid w:val="007263E3"/>
    <w:rsid w:val="00726544"/>
    <w:rsid w:val="00726E86"/>
    <w:rsid w:val="00726F7E"/>
    <w:rsid w:val="00727078"/>
    <w:rsid w:val="0073020A"/>
    <w:rsid w:val="00732282"/>
    <w:rsid w:val="007324ED"/>
    <w:rsid w:val="00732AA3"/>
    <w:rsid w:val="00732C5A"/>
    <w:rsid w:val="00732F6A"/>
    <w:rsid w:val="0073324E"/>
    <w:rsid w:val="0073477F"/>
    <w:rsid w:val="007358CE"/>
    <w:rsid w:val="007368D4"/>
    <w:rsid w:val="007368E2"/>
    <w:rsid w:val="007369AA"/>
    <w:rsid w:val="0073762A"/>
    <w:rsid w:val="007378C6"/>
    <w:rsid w:val="007378C8"/>
    <w:rsid w:val="00737DD3"/>
    <w:rsid w:val="00741A4D"/>
    <w:rsid w:val="00741C4F"/>
    <w:rsid w:val="007425E5"/>
    <w:rsid w:val="007429A2"/>
    <w:rsid w:val="00742B5D"/>
    <w:rsid w:val="0074335B"/>
    <w:rsid w:val="00743407"/>
    <w:rsid w:val="00743F25"/>
    <w:rsid w:val="00745063"/>
    <w:rsid w:val="007457A9"/>
    <w:rsid w:val="00745DEE"/>
    <w:rsid w:val="0074768D"/>
    <w:rsid w:val="007477D3"/>
    <w:rsid w:val="0074787B"/>
    <w:rsid w:val="00747D17"/>
    <w:rsid w:val="00747E2F"/>
    <w:rsid w:val="00751C35"/>
    <w:rsid w:val="00752339"/>
    <w:rsid w:val="0075274C"/>
    <w:rsid w:val="00753382"/>
    <w:rsid w:val="0075353F"/>
    <w:rsid w:val="00754817"/>
    <w:rsid w:val="007558A7"/>
    <w:rsid w:val="00755F01"/>
    <w:rsid w:val="00756025"/>
    <w:rsid w:val="007564C1"/>
    <w:rsid w:val="0075696F"/>
    <w:rsid w:val="00756A71"/>
    <w:rsid w:val="00756B84"/>
    <w:rsid w:val="00756DD1"/>
    <w:rsid w:val="0075707B"/>
    <w:rsid w:val="007572CB"/>
    <w:rsid w:val="00761423"/>
    <w:rsid w:val="00761F98"/>
    <w:rsid w:val="0076222F"/>
    <w:rsid w:val="00762671"/>
    <w:rsid w:val="007627E1"/>
    <w:rsid w:val="00762CBB"/>
    <w:rsid w:val="00763967"/>
    <w:rsid w:val="00763998"/>
    <w:rsid w:val="00764804"/>
    <w:rsid w:val="00765853"/>
    <w:rsid w:val="00765A05"/>
    <w:rsid w:val="007668B9"/>
    <w:rsid w:val="00766B4F"/>
    <w:rsid w:val="00766BAB"/>
    <w:rsid w:val="0076711E"/>
    <w:rsid w:val="0076781A"/>
    <w:rsid w:val="00767C72"/>
    <w:rsid w:val="007704FE"/>
    <w:rsid w:val="00771A2C"/>
    <w:rsid w:val="00771CC4"/>
    <w:rsid w:val="00771DD3"/>
    <w:rsid w:val="00771DEF"/>
    <w:rsid w:val="00772020"/>
    <w:rsid w:val="00772E2D"/>
    <w:rsid w:val="00772FCA"/>
    <w:rsid w:val="007730DE"/>
    <w:rsid w:val="007737DC"/>
    <w:rsid w:val="00773B85"/>
    <w:rsid w:val="007746C5"/>
    <w:rsid w:val="00774888"/>
    <w:rsid w:val="00774A51"/>
    <w:rsid w:val="00775005"/>
    <w:rsid w:val="0077627A"/>
    <w:rsid w:val="0077683D"/>
    <w:rsid w:val="00777137"/>
    <w:rsid w:val="00780368"/>
    <w:rsid w:val="0078095C"/>
    <w:rsid w:val="00780C87"/>
    <w:rsid w:val="00780D84"/>
    <w:rsid w:val="0078165F"/>
    <w:rsid w:val="0078167A"/>
    <w:rsid w:val="0078261F"/>
    <w:rsid w:val="0078331B"/>
    <w:rsid w:val="007840FF"/>
    <w:rsid w:val="00784D7D"/>
    <w:rsid w:val="00785424"/>
    <w:rsid w:val="00785FAC"/>
    <w:rsid w:val="0078671A"/>
    <w:rsid w:val="00791CAD"/>
    <w:rsid w:val="00792FB5"/>
    <w:rsid w:val="007933D5"/>
    <w:rsid w:val="00793972"/>
    <w:rsid w:val="007939BF"/>
    <w:rsid w:val="00793BBB"/>
    <w:rsid w:val="00794298"/>
    <w:rsid w:val="0079495F"/>
    <w:rsid w:val="00795F92"/>
    <w:rsid w:val="007967CD"/>
    <w:rsid w:val="0079697A"/>
    <w:rsid w:val="00796C6D"/>
    <w:rsid w:val="00796DAF"/>
    <w:rsid w:val="00796F8E"/>
    <w:rsid w:val="007A0501"/>
    <w:rsid w:val="007A0C61"/>
    <w:rsid w:val="007A0C6D"/>
    <w:rsid w:val="007A0EB6"/>
    <w:rsid w:val="007A16C9"/>
    <w:rsid w:val="007A17E1"/>
    <w:rsid w:val="007A1AB2"/>
    <w:rsid w:val="007A2177"/>
    <w:rsid w:val="007A23D4"/>
    <w:rsid w:val="007A2847"/>
    <w:rsid w:val="007A3683"/>
    <w:rsid w:val="007A46AE"/>
    <w:rsid w:val="007A46F3"/>
    <w:rsid w:val="007A59EE"/>
    <w:rsid w:val="007A5D12"/>
    <w:rsid w:val="007A5D44"/>
    <w:rsid w:val="007A6515"/>
    <w:rsid w:val="007A6D7C"/>
    <w:rsid w:val="007A7567"/>
    <w:rsid w:val="007A7CF6"/>
    <w:rsid w:val="007A7FBD"/>
    <w:rsid w:val="007B03E9"/>
    <w:rsid w:val="007B0486"/>
    <w:rsid w:val="007B075C"/>
    <w:rsid w:val="007B1C3E"/>
    <w:rsid w:val="007B1E3A"/>
    <w:rsid w:val="007B206D"/>
    <w:rsid w:val="007B42B3"/>
    <w:rsid w:val="007B4633"/>
    <w:rsid w:val="007B64CB"/>
    <w:rsid w:val="007B7238"/>
    <w:rsid w:val="007B7B60"/>
    <w:rsid w:val="007C0EE3"/>
    <w:rsid w:val="007C0F84"/>
    <w:rsid w:val="007C0FEA"/>
    <w:rsid w:val="007C340A"/>
    <w:rsid w:val="007C4269"/>
    <w:rsid w:val="007C4AFE"/>
    <w:rsid w:val="007C4CA7"/>
    <w:rsid w:val="007C667C"/>
    <w:rsid w:val="007D0599"/>
    <w:rsid w:val="007D07E7"/>
    <w:rsid w:val="007D0839"/>
    <w:rsid w:val="007D0FC6"/>
    <w:rsid w:val="007D106D"/>
    <w:rsid w:val="007D32F5"/>
    <w:rsid w:val="007D3A39"/>
    <w:rsid w:val="007D3CF5"/>
    <w:rsid w:val="007D3D63"/>
    <w:rsid w:val="007D40BE"/>
    <w:rsid w:val="007D4C10"/>
    <w:rsid w:val="007D4CAE"/>
    <w:rsid w:val="007D68E9"/>
    <w:rsid w:val="007D6BBC"/>
    <w:rsid w:val="007D6E2E"/>
    <w:rsid w:val="007D70FF"/>
    <w:rsid w:val="007D72EF"/>
    <w:rsid w:val="007E05A6"/>
    <w:rsid w:val="007E1709"/>
    <w:rsid w:val="007E1AE5"/>
    <w:rsid w:val="007E2BFE"/>
    <w:rsid w:val="007E2CF8"/>
    <w:rsid w:val="007E3486"/>
    <w:rsid w:val="007E40C9"/>
    <w:rsid w:val="007E4691"/>
    <w:rsid w:val="007E4C5A"/>
    <w:rsid w:val="007E4DB3"/>
    <w:rsid w:val="007E5177"/>
    <w:rsid w:val="007E5CC6"/>
    <w:rsid w:val="007E5E79"/>
    <w:rsid w:val="007E5F4E"/>
    <w:rsid w:val="007E6B96"/>
    <w:rsid w:val="007F1C6A"/>
    <w:rsid w:val="007F1E9A"/>
    <w:rsid w:val="007F1EB6"/>
    <w:rsid w:val="007F241A"/>
    <w:rsid w:val="007F298B"/>
    <w:rsid w:val="007F29A6"/>
    <w:rsid w:val="007F3042"/>
    <w:rsid w:val="007F31B4"/>
    <w:rsid w:val="007F3C1D"/>
    <w:rsid w:val="007F3F54"/>
    <w:rsid w:val="007F44DD"/>
    <w:rsid w:val="007F46D9"/>
    <w:rsid w:val="007F4A22"/>
    <w:rsid w:val="007F4CCF"/>
    <w:rsid w:val="007F5463"/>
    <w:rsid w:val="007F5E68"/>
    <w:rsid w:val="007F5EC2"/>
    <w:rsid w:val="007F6F1B"/>
    <w:rsid w:val="007F737B"/>
    <w:rsid w:val="00801210"/>
    <w:rsid w:val="008022FD"/>
    <w:rsid w:val="0080291D"/>
    <w:rsid w:val="008031D0"/>
    <w:rsid w:val="008039A0"/>
    <w:rsid w:val="008039BA"/>
    <w:rsid w:val="00804163"/>
    <w:rsid w:val="00804493"/>
    <w:rsid w:val="00805D61"/>
    <w:rsid w:val="008069FC"/>
    <w:rsid w:val="0080704A"/>
    <w:rsid w:val="0080707F"/>
    <w:rsid w:val="00810DFC"/>
    <w:rsid w:val="00811CE5"/>
    <w:rsid w:val="00811E69"/>
    <w:rsid w:val="00813A17"/>
    <w:rsid w:val="008140BC"/>
    <w:rsid w:val="008149A1"/>
    <w:rsid w:val="00814BE3"/>
    <w:rsid w:val="008156D1"/>
    <w:rsid w:val="00815A51"/>
    <w:rsid w:val="00815CDF"/>
    <w:rsid w:val="00815D50"/>
    <w:rsid w:val="0081654E"/>
    <w:rsid w:val="00816702"/>
    <w:rsid w:val="00817156"/>
    <w:rsid w:val="00817C81"/>
    <w:rsid w:val="00820DEA"/>
    <w:rsid w:val="0082110B"/>
    <w:rsid w:val="008211D9"/>
    <w:rsid w:val="00821B4B"/>
    <w:rsid w:val="00821B50"/>
    <w:rsid w:val="00821B79"/>
    <w:rsid w:val="00821E15"/>
    <w:rsid w:val="0082373A"/>
    <w:rsid w:val="00823A6D"/>
    <w:rsid w:val="00824F9E"/>
    <w:rsid w:val="008250F4"/>
    <w:rsid w:val="00825189"/>
    <w:rsid w:val="00825809"/>
    <w:rsid w:val="00825CA9"/>
    <w:rsid w:val="0082603C"/>
    <w:rsid w:val="00826A85"/>
    <w:rsid w:val="0082748B"/>
    <w:rsid w:val="00827914"/>
    <w:rsid w:val="008300D2"/>
    <w:rsid w:val="00830AB1"/>
    <w:rsid w:val="0083269D"/>
    <w:rsid w:val="00832739"/>
    <w:rsid w:val="00833789"/>
    <w:rsid w:val="00834381"/>
    <w:rsid w:val="00834540"/>
    <w:rsid w:val="00834613"/>
    <w:rsid w:val="00834C4E"/>
    <w:rsid w:val="00834FDF"/>
    <w:rsid w:val="00840294"/>
    <w:rsid w:val="00840324"/>
    <w:rsid w:val="008412A1"/>
    <w:rsid w:val="0084156D"/>
    <w:rsid w:val="00841653"/>
    <w:rsid w:val="00841A63"/>
    <w:rsid w:val="00841D3A"/>
    <w:rsid w:val="00841F1E"/>
    <w:rsid w:val="00842431"/>
    <w:rsid w:val="00842E0B"/>
    <w:rsid w:val="00843108"/>
    <w:rsid w:val="008433D3"/>
    <w:rsid w:val="00843DA1"/>
    <w:rsid w:val="00843DFC"/>
    <w:rsid w:val="00845104"/>
    <w:rsid w:val="00845832"/>
    <w:rsid w:val="0084616F"/>
    <w:rsid w:val="00846948"/>
    <w:rsid w:val="00846BFF"/>
    <w:rsid w:val="00847338"/>
    <w:rsid w:val="0084746D"/>
    <w:rsid w:val="00850508"/>
    <w:rsid w:val="0085119C"/>
    <w:rsid w:val="008517CD"/>
    <w:rsid w:val="008522F1"/>
    <w:rsid w:val="00852BCF"/>
    <w:rsid w:val="00853698"/>
    <w:rsid w:val="00854971"/>
    <w:rsid w:val="00856AC2"/>
    <w:rsid w:val="008570C0"/>
    <w:rsid w:val="0085767D"/>
    <w:rsid w:val="008605BB"/>
    <w:rsid w:val="008606A3"/>
    <w:rsid w:val="00860B5A"/>
    <w:rsid w:val="00860EE4"/>
    <w:rsid w:val="00861AD3"/>
    <w:rsid w:val="0086293A"/>
    <w:rsid w:val="00862AF3"/>
    <w:rsid w:val="00862C67"/>
    <w:rsid w:val="0086360A"/>
    <w:rsid w:val="0086398F"/>
    <w:rsid w:val="00863F53"/>
    <w:rsid w:val="00864309"/>
    <w:rsid w:val="008651AE"/>
    <w:rsid w:val="00865497"/>
    <w:rsid w:val="00865897"/>
    <w:rsid w:val="00865D05"/>
    <w:rsid w:val="00865F27"/>
    <w:rsid w:val="008663A0"/>
    <w:rsid w:val="00866756"/>
    <w:rsid w:val="00866B6D"/>
    <w:rsid w:val="00867673"/>
    <w:rsid w:val="0086786F"/>
    <w:rsid w:val="008706EC"/>
    <w:rsid w:val="00871FFF"/>
    <w:rsid w:val="0087200E"/>
    <w:rsid w:val="008727B0"/>
    <w:rsid w:val="00874B27"/>
    <w:rsid w:val="00874F38"/>
    <w:rsid w:val="00875F21"/>
    <w:rsid w:val="00876018"/>
    <w:rsid w:val="00876867"/>
    <w:rsid w:val="008769C2"/>
    <w:rsid w:val="008777EE"/>
    <w:rsid w:val="008778DE"/>
    <w:rsid w:val="00877A1C"/>
    <w:rsid w:val="00880460"/>
    <w:rsid w:val="008806DF"/>
    <w:rsid w:val="008811EB"/>
    <w:rsid w:val="00881F5A"/>
    <w:rsid w:val="00882B3E"/>
    <w:rsid w:val="0088395D"/>
    <w:rsid w:val="00883C10"/>
    <w:rsid w:val="00884157"/>
    <w:rsid w:val="00884A0E"/>
    <w:rsid w:val="00887B03"/>
    <w:rsid w:val="00887DB7"/>
    <w:rsid w:val="00890CD5"/>
    <w:rsid w:val="00891846"/>
    <w:rsid w:val="00892102"/>
    <w:rsid w:val="00892596"/>
    <w:rsid w:val="0089324D"/>
    <w:rsid w:val="00893F60"/>
    <w:rsid w:val="00893FCE"/>
    <w:rsid w:val="0089470D"/>
    <w:rsid w:val="0089499A"/>
    <w:rsid w:val="008952FF"/>
    <w:rsid w:val="0089562C"/>
    <w:rsid w:val="008957BD"/>
    <w:rsid w:val="0089595D"/>
    <w:rsid w:val="0089699F"/>
    <w:rsid w:val="00897C1B"/>
    <w:rsid w:val="00897E22"/>
    <w:rsid w:val="008A0488"/>
    <w:rsid w:val="008A0BEB"/>
    <w:rsid w:val="008A2527"/>
    <w:rsid w:val="008A28DC"/>
    <w:rsid w:val="008A2C9B"/>
    <w:rsid w:val="008A30FD"/>
    <w:rsid w:val="008A36C5"/>
    <w:rsid w:val="008A3AEF"/>
    <w:rsid w:val="008A543F"/>
    <w:rsid w:val="008A5F58"/>
    <w:rsid w:val="008A76D5"/>
    <w:rsid w:val="008B0009"/>
    <w:rsid w:val="008B02FB"/>
    <w:rsid w:val="008B0650"/>
    <w:rsid w:val="008B07C6"/>
    <w:rsid w:val="008B1170"/>
    <w:rsid w:val="008B18A4"/>
    <w:rsid w:val="008B1C3F"/>
    <w:rsid w:val="008B2E49"/>
    <w:rsid w:val="008B3113"/>
    <w:rsid w:val="008B3181"/>
    <w:rsid w:val="008B3E89"/>
    <w:rsid w:val="008B4643"/>
    <w:rsid w:val="008B4D77"/>
    <w:rsid w:val="008B610F"/>
    <w:rsid w:val="008B6C25"/>
    <w:rsid w:val="008B7253"/>
    <w:rsid w:val="008B7858"/>
    <w:rsid w:val="008B7C1F"/>
    <w:rsid w:val="008C022C"/>
    <w:rsid w:val="008C1992"/>
    <w:rsid w:val="008C220E"/>
    <w:rsid w:val="008C22D2"/>
    <w:rsid w:val="008C240D"/>
    <w:rsid w:val="008C292C"/>
    <w:rsid w:val="008C3642"/>
    <w:rsid w:val="008C365F"/>
    <w:rsid w:val="008C3929"/>
    <w:rsid w:val="008C3D33"/>
    <w:rsid w:val="008C41E6"/>
    <w:rsid w:val="008C56A5"/>
    <w:rsid w:val="008C5915"/>
    <w:rsid w:val="008C616B"/>
    <w:rsid w:val="008C6179"/>
    <w:rsid w:val="008C7AA8"/>
    <w:rsid w:val="008C7EE6"/>
    <w:rsid w:val="008D0958"/>
    <w:rsid w:val="008D0F83"/>
    <w:rsid w:val="008D10A5"/>
    <w:rsid w:val="008D22DE"/>
    <w:rsid w:val="008D4C8B"/>
    <w:rsid w:val="008D4C97"/>
    <w:rsid w:val="008D4EF8"/>
    <w:rsid w:val="008D58C9"/>
    <w:rsid w:val="008D615A"/>
    <w:rsid w:val="008D6636"/>
    <w:rsid w:val="008D74F8"/>
    <w:rsid w:val="008D7A8D"/>
    <w:rsid w:val="008E0BC2"/>
    <w:rsid w:val="008E1BB5"/>
    <w:rsid w:val="008E1C05"/>
    <w:rsid w:val="008E1F19"/>
    <w:rsid w:val="008E2291"/>
    <w:rsid w:val="008E2546"/>
    <w:rsid w:val="008E28C0"/>
    <w:rsid w:val="008E309C"/>
    <w:rsid w:val="008E3C81"/>
    <w:rsid w:val="008E5512"/>
    <w:rsid w:val="008E5639"/>
    <w:rsid w:val="008E5FB8"/>
    <w:rsid w:val="008E767A"/>
    <w:rsid w:val="008F033F"/>
    <w:rsid w:val="008F1A49"/>
    <w:rsid w:val="008F1E95"/>
    <w:rsid w:val="008F2F79"/>
    <w:rsid w:val="008F36D1"/>
    <w:rsid w:val="008F370F"/>
    <w:rsid w:val="008F4AD4"/>
    <w:rsid w:val="008F4E81"/>
    <w:rsid w:val="008F5CEF"/>
    <w:rsid w:val="008F5D39"/>
    <w:rsid w:val="008F5DA4"/>
    <w:rsid w:val="008F6749"/>
    <w:rsid w:val="009008BF"/>
    <w:rsid w:val="009009BD"/>
    <w:rsid w:val="00900C4A"/>
    <w:rsid w:val="00900D23"/>
    <w:rsid w:val="00901915"/>
    <w:rsid w:val="00901C91"/>
    <w:rsid w:val="00901D14"/>
    <w:rsid w:val="00902047"/>
    <w:rsid w:val="009024C3"/>
    <w:rsid w:val="00902F56"/>
    <w:rsid w:val="009038C2"/>
    <w:rsid w:val="00904883"/>
    <w:rsid w:val="0090565A"/>
    <w:rsid w:val="00906269"/>
    <w:rsid w:val="009074A0"/>
    <w:rsid w:val="00907CCA"/>
    <w:rsid w:val="00907F82"/>
    <w:rsid w:val="00910991"/>
    <w:rsid w:val="00910D4E"/>
    <w:rsid w:val="00910EA2"/>
    <w:rsid w:val="00911064"/>
    <w:rsid w:val="00911FB2"/>
    <w:rsid w:val="0091259A"/>
    <w:rsid w:val="00913A19"/>
    <w:rsid w:val="009149D8"/>
    <w:rsid w:val="00915124"/>
    <w:rsid w:val="009153DC"/>
    <w:rsid w:val="009155E5"/>
    <w:rsid w:val="0091569F"/>
    <w:rsid w:val="00915D2B"/>
    <w:rsid w:val="00915FE9"/>
    <w:rsid w:val="009161EF"/>
    <w:rsid w:val="00916311"/>
    <w:rsid w:val="00916465"/>
    <w:rsid w:val="009164B4"/>
    <w:rsid w:val="00916A9D"/>
    <w:rsid w:val="00916AFC"/>
    <w:rsid w:val="00917168"/>
    <w:rsid w:val="009176D5"/>
    <w:rsid w:val="00920610"/>
    <w:rsid w:val="00920BEB"/>
    <w:rsid w:val="009211A6"/>
    <w:rsid w:val="009220D4"/>
    <w:rsid w:val="009221C2"/>
    <w:rsid w:val="009225E4"/>
    <w:rsid w:val="00923A62"/>
    <w:rsid w:val="00925227"/>
    <w:rsid w:val="009264E8"/>
    <w:rsid w:val="00926820"/>
    <w:rsid w:val="00926A3D"/>
    <w:rsid w:val="00926E53"/>
    <w:rsid w:val="00926FEB"/>
    <w:rsid w:val="00927CFE"/>
    <w:rsid w:val="00927D96"/>
    <w:rsid w:val="009304B1"/>
    <w:rsid w:val="009311FB"/>
    <w:rsid w:val="0093129F"/>
    <w:rsid w:val="0093227A"/>
    <w:rsid w:val="00932D6D"/>
    <w:rsid w:val="00933DBA"/>
    <w:rsid w:val="00935CCA"/>
    <w:rsid w:val="00936126"/>
    <w:rsid w:val="00937325"/>
    <w:rsid w:val="00937424"/>
    <w:rsid w:val="00941607"/>
    <w:rsid w:val="00941C22"/>
    <w:rsid w:val="00941D5E"/>
    <w:rsid w:val="00942A3A"/>
    <w:rsid w:val="00944436"/>
    <w:rsid w:val="00944A53"/>
    <w:rsid w:val="00944D74"/>
    <w:rsid w:val="00944DFF"/>
    <w:rsid w:val="00946377"/>
    <w:rsid w:val="009475A6"/>
    <w:rsid w:val="00947B27"/>
    <w:rsid w:val="00950240"/>
    <w:rsid w:val="009503D5"/>
    <w:rsid w:val="00951C1D"/>
    <w:rsid w:val="0095251D"/>
    <w:rsid w:val="0095253F"/>
    <w:rsid w:val="00952AFD"/>
    <w:rsid w:val="00953EC4"/>
    <w:rsid w:val="00954B4F"/>
    <w:rsid w:val="00954FF8"/>
    <w:rsid w:val="009560A6"/>
    <w:rsid w:val="0095640E"/>
    <w:rsid w:val="009573EE"/>
    <w:rsid w:val="00957AC4"/>
    <w:rsid w:val="009601EF"/>
    <w:rsid w:val="009602A9"/>
    <w:rsid w:val="00960463"/>
    <w:rsid w:val="00960D3B"/>
    <w:rsid w:val="00961CA4"/>
    <w:rsid w:val="0096325C"/>
    <w:rsid w:val="00964392"/>
    <w:rsid w:val="00964869"/>
    <w:rsid w:val="00964952"/>
    <w:rsid w:val="00966097"/>
    <w:rsid w:val="00966105"/>
    <w:rsid w:val="00966B4F"/>
    <w:rsid w:val="0096724B"/>
    <w:rsid w:val="009673F8"/>
    <w:rsid w:val="009675D6"/>
    <w:rsid w:val="00967CCC"/>
    <w:rsid w:val="009707E8"/>
    <w:rsid w:val="00973461"/>
    <w:rsid w:val="00973A76"/>
    <w:rsid w:val="00976443"/>
    <w:rsid w:val="0097739B"/>
    <w:rsid w:val="00977F3D"/>
    <w:rsid w:val="009802CF"/>
    <w:rsid w:val="00980B28"/>
    <w:rsid w:val="00980D54"/>
    <w:rsid w:val="0098121F"/>
    <w:rsid w:val="009814F3"/>
    <w:rsid w:val="00982624"/>
    <w:rsid w:val="00982BC2"/>
    <w:rsid w:val="009830BB"/>
    <w:rsid w:val="0098388D"/>
    <w:rsid w:val="009839DF"/>
    <w:rsid w:val="0098423D"/>
    <w:rsid w:val="00984B0D"/>
    <w:rsid w:val="0098506A"/>
    <w:rsid w:val="0098589F"/>
    <w:rsid w:val="009865A8"/>
    <w:rsid w:val="00986678"/>
    <w:rsid w:val="00986A6A"/>
    <w:rsid w:val="00986F59"/>
    <w:rsid w:val="00990E39"/>
    <w:rsid w:val="00992FC9"/>
    <w:rsid w:val="0099306B"/>
    <w:rsid w:val="00994713"/>
    <w:rsid w:val="00994774"/>
    <w:rsid w:val="009947F2"/>
    <w:rsid w:val="009949DE"/>
    <w:rsid w:val="009950A0"/>
    <w:rsid w:val="00995284"/>
    <w:rsid w:val="009962AD"/>
    <w:rsid w:val="009963CE"/>
    <w:rsid w:val="009964E9"/>
    <w:rsid w:val="00996CA3"/>
    <w:rsid w:val="009971E4"/>
    <w:rsid w:val="00997C47"/>
    <w:rsid w:val="009A1355"/>
    <w:rsid w:val="009A1C2D"/>
    <w:rsid w:val="009A1D65"/>
    <w:rsid w:val="009A200A"/>
    <w:rsid w:val="009A3155"/>
    <w:rsid w:val="009A3BF6"/>
    <w:rsid w:val="009A3FE8"/>
    <w:rsid w:val="009A4054"/>
    <w:rsid w:val="009A55EB"/>
    <w:rsid w:val="009A57FC"/>
    <w:rsid w:val="009A5EFE"/>
    <w:rsid w:val="009A5F57"/>
    <w:rsid w:val="009A6186"/>
    <w:rsid w:val="009A67B3"/>
    <w:rsid w:val="009A7DBF"/>
    <w:rsid w:val="009B0A3A"/>
    <w:rsid w:val="009B1F83"/>
    <w:rsid w:val="009B2F40"/>
    <w:rsid w:val="009B32E3"/>
    <w:rsid w:val="009B41A1"/>
    <w:rsid w:val="009B4383"/>
    <w:rsid w:val="009B55C0"/>
    <w:rsid w:val="009B5F16"/>
    <w:rsid w:val="009B5F64"/>
    <w:rsid w:val="009B60C3"/>
    <w:rsid w:val="009B63E7"/>
    <w:rsid w:val="009B695F"/>
    <w:rsid w:val="009B7964"/>
    <w:rsid w:val="009B7F43"/>
    <w:rsid w:val="009C0B3B"/>
    <w:rsid w:val="009C1393"/>
    <w:rsid w:val="009C202C"/>
    <w:rsid w:val="009C2B55"/>
    <w:rsid w:val="009C2F0B"/>
    <w:rsid w:val="009C36B5"/>
    <w:rsid w:val="009C534C"/>
    <w:rsid w:val="009C5F72"/>
    <w:rsid w:val="009C740C"/>
    <w:rsid w:val="009C749F"/>
    <w:rsid w:val="009D0383"/>
    <w:rsid w:val="009D05C7"/>
    <w:rsid w:val="009D0910"/>
    <w:rsid w:val="009D12EB"/>
    <w:rsid w:val="009D1505"/>
    <w:rsid w:val="009D1B39"/>
    <w:rsid w:val="009D3118"/>
    <w:rsid w:val="009D3D7E"/>
    <w:rsid w:val="009D5183"/>
    <w:rsid w:val="009D5EF9"/>
    <w:rsid w:val="009D7317"/>
    <w:rsid w:val="009D7BC1"/>
    <w:rsid w:val="009D7DE0"/>
    <w:rsid w:val="009E0CB3"/>
    <w:rsid w:val="009E0DCC"/>
    <w:rsid w:val="009E126C"/>
    <w:rsid w:val="009E206E"/>
    <w:rsid w:val="009E239D"/>
    <w:rsid w:val="009E3416"/>
    <w:rsid w:val="009E39FE"/>
    <w:rsid w:val="009E575A"/>
    <w:rsid w:val="009E6608"/>
    <w:rsid w:val="009E6D9D"/>
    <w:rsid w:val="009E746E"/>
    <w:rsid w:val="009E7D5D"/>
    <w:rsid w:val="009E7F9B"/>
    <w:rsid w:val="009F0496"/>
    <w:rsid w:val="009F0B14"/>
    <w:rsid w:val="009F10DC"/>
    <w:rsid w:val="009F12EA"/>
    <w:rsid w:val="009F17F0"/>
    <w:rsid w:val="009F2123"/>
    <w:rsid w:val="009F2695"/>
    <w:rsid w:val="009F39B1"/>
    <w:rsid w:val="009F651D"/>
    <w:rsid w:val="009F7834"/>
    <w:rsid w:val="009F7A45"/>
    <w:rsid w:val="00A014BD"/>
    <w:rsid w:val="00A02583"/>
    <w:rsid w:val="00A028A1"/>
    <w:rsid w:val="00A02CEA"/>
    <w:rsid w:val="00A03A48"/>
    <w:rsid w:val="00A0494B"/>
    <w:rsid w:val="00A04C1D"/>
    <w:rsid w:val="00A057CA"/>
    <w:rsid w:val="00A05BA7"/>
    <w:rsid w:val="00A05E56"/>
    <w:rsid w:val="00A060E0"/>
    <w:rsid w:val="00A06F6D"/>
    <w:rsid w:val="00A06F7E"/>
    <w:rsid w:val="00A1036F"/>
    <w:rsid w:val="00A103CA"/>
    <w:rsid w:val="00A10D36"/>
    <w:rsid w:val="00A11B33"/>
    <w:rsid w:val="00A11D44"/>
    <w:rsid w:val="00A136F4"/>
    <w:rsid w:val="00A13C9D"/>
    <w:rsid w:val="00A14279"/>
    <w:rsid w:val="00A144ED"/>
    <w:rsid w:val="00A14627"/>
    <w:rsid w:val="00A14748"/>
    <w:rsid w:val="00A147CA"/>
    <w:rsid w:val="00A164DA"/>
    <w:rsid w:val="00A175FE"/>
    <w:rsid w:val="00A2053F"/>
    <w:rsid w:val="00A21787"/>
    <w:rsid w:val="00A21B54"/>
    <w:rsid w:val="00A21BA0"/>
    <w:rsid w:val="00A224A2"/>
    <w:rsid w:val="00A225A0"/>
    <w:rsid w:val="00A2265B"/>
    <w:rsid w:val="00A22DEF"/>
    <w:rsid w:val="00A2392F"/>
    <w:rsid w:val="00A23C96"/>
    <w:rsid w:val="00A25BF6"/>
    <w:rsid w:val="00A26415"/>
    <w:rsid w:val="00A2695A"/>
    <w:rsid w:val="00A27DC3"/>
    <w:rsid w:val="00A30264"/>
    <w:rsid w:val="00A31319"/>
    <w:rsid w:val="00A33183"/>
    <w:rsid w:val="00A33335"/>
    <w:rsid w:val="00A33932"/>
    <w:rsid w:val="00A33AA0"/>
    <w:rsid w:val="00A345D6"/>
    <w:rsid w:val="00A3464F"/>
    <w:rsid w:val="00A34AF5"/>
    <w:rsid w:val="00A34B05"/>
    <w:rsid w:val="00A34C56"/>
    <w:rsid w:val="00A35548"/>
    <w:rsid w:val="00A35F7A"/>
    <w:rsid w:val="00A3620F"/>
    <w:rsid w:val="00A403A2"/>
    <w:rsid w:val="00A40804"/>
    <w:rsid w:val="00A409B4"/>
    <w:rsid w:val="00A410B6"/>
    <w:rsid w:val="00A4166C"/>
    <w:rsid w:val="00A41AA3"/>
    <w:rsid w:val="00A42E06"/>
    <w:rsid w:val="00A43422"/>
    <w:rsid w:val="00A43EAC"/>
    <w:rsid w:val="00A44D62"/>
    <w:rsid w:val="00A45D9C"/>
    <w:rsid w:val="00A46685"/>
    <w:rsid w:val="00A46AF1"/>
    <w:rsid w:val="00A4719A"/>
    <w:rsid w:val="00A472FA"/>
    <w:rsid w:val="00A4737F"/>
    <w:rsid w:val="00A4738B"/>
    <w:rsid w:val="00A47426"/>
    <w:rsid w:val="00A479CE"/>
    <w:rsid w:val="00A47C17"/>
    <w:rsid w:val="00A47D37"/>
    <w:rsid w:val="00A506F0"/>
    <w:rsid w:val="00A5171C"/>
    <w:rsid w:val="00A52833"/>
    <w:rsid w:val="00A528D3"/>
    <w:rsid w:val="00A52A40"/>
    <w:rsid w:val="00A52A7B"/>
    <w:rsid w:val="00A52BBB"/>
    <w:rsid w:val="00A542AC"/>
    <w:rsid w:val="00A54442"/>
    <w:rsid w:val="00A555A9"/>
    <w:rsid w:val="00A56D3B"/>
    <w:rsid w:val="00A573CF"/>
    <w:rsid w:val="00A579F3"/>
    <w:rsid w:val="00A57E08"/>
    <w:rsid w:val="00A614CF"/>
    <w:rsid w:val="00A619E5"/>
    <w:rsid w:val="00A62920"/>
    <w:rsid w:val="00A62C02"/>
    <w:rsid w:val="00A63F2E"/>
    <w:rsid w:val="00A641FB"/>
    <w:rsid w:val="00A64DDE"/>
    <w:rsid w:val="00A65507"/>
    <w:rsid w:val="00A66098"/>
    <w:rsid w:val="00A66349"/>
    <w:rsid w:val="00A667C2"/>
    <w:rsid w:val="00A67269"/>
    <w:rsid w:val="00A703B1"/>
    <w:rsid w:val="00A71C9E"/>
    <w:rsid w:val="00A734A1"/>
    <w:rsid w:val="00A7415F"/>
    <w:rsid w:val="00A74797"/>
    <w:rsid w:val="00A74C8E"/>
    <w:rsid w:val="00A75F0B"/>
    <w:rsid w:val="00A75FF2"/>
    <w:rsid w:val="00A7746B"/>
    <w:rsid w:val="00A80317"/>
    <w:rsid w:val="00A80B93"/>
    <w:rsid w:val="00A80F64"/>
    <w:rsid w:val="00A81698"/>
    <w:rsid w:val="00A817B7"/>
    <w:rsid w:val="00A83145"/>
    <w:rsid w:val="00A83A1E"/>
    <w:rsid w:val="00A83A77"/>
    <w:rsid w:val="00A83C7B"/>
    <w:rsid w:val="00A83CE3"/>
    <w:rsid w:val="00A83FE4"/>
    <w:rsid w:val="00A841EF"/>
    <w:rsid w:val="00A84BFA"/>
    <w:rsid w:val="00A855C9"/>
    <w:rsid w:val="00A867CE"/>
    <w:rsid w:val="00A868C2"/>
    <w:rsid w:val="00A86DB3"/>
    <w:rsid w:val="00A87155"/>
    <w:rsid w:val="00A875B9"/>
    <w:rsid w:val="00A87AA2"/>
    <w:rsid w:val="00A90273"/>
    <w:rsid w:val="00A91BDB"/>
    <w:rsid w:val="00A92301"/>
    <w:rsid w:val="00A92342"/>
    <w:rsid w:val="00A928DB"/>
    <w:rsid w:val="00A92B9C"/>
    <w:rsid w:val="00A92EC7"/>
    <w:rsid w:val="00A9304F"/>
    <w:rsid w:val="00A937CB"/>
    <w:rsid w:val="00A93B27"/>
    <w:rsid w:val="00A94EB7"/>
    <w:rsid w:val="00A9608D"/>
    <w:rsid w:val="00A96355"/>
    <w:rsid w:val="00A9658A"/>
    <w:rsid w:val="00A96ADF"/>
    <w:rsid w:val="00A96CA1"/>
    <w:rsid w:val="00A97686"/>
    <w:rsid w:val="00A97937"/>
    <w:rsid w:val="00AA0245"/>
    <w:rsid w:val="00AA02BA"/>
    <w:rsid w:val="00AA1899"/>
    <w:rsid w:val="00AA29D4"/>
    <w:rsid w:val="00AA2D08"/>
    <w:rsid w:val="00AA2DE1"/>
    <w:rsid w:val="00AA3183"/>
    <w:rsid w:val="00AA32C8"/>
    <w:rsid w:val="00AA37BB"/>
    <w:rsid w:val="00AA3CEC"/>
    <w:rsid w:val="00AA4202"/>
    <w:rsid w:val="00AA4314"/>
    <w:rsid w:val="00AA5167"/>
    <w:rsid w:val="00AA51CD"/>
    <w:rsid w:val="00AA5209"/>
    <w:rsid w:val="00AA5355"/>
    <w:rsid w:val="00AA6D96"/>
    <w:rsid w:val="00AA6F90"/>
    <w:rsid w:val="00AA7233"/>
    <w:rsid w:val="00AA7476"/>
    <w:rsid w:val="00AA75E5"/>
    <w:rsid w:val="00AA77F6"/>
    <w:rsid w:val="00AA7AE9"/>
    <w:rsid w:val="00AB0324"/>
    <w:rsid w:val="00AB035B"/>
    <w:rsid w:val="00AB058F"/>
    <w:rsid w:val="00AB1812"/>
    <w:rsid w:val="00AB183A"/>
    <w:rsid w:val="00AB1D64"/>
    <w:rsid w:val="00AB3563"/>
    <w:rsid w:val="00AB3DC2"/>
    <w:rsid w:val="00AB3F6B"/>
    <w:rsid w:val="00AB530B"/>
    <w:rsid w:val="00AB60D1"/>
    <w:rsid w:val="00AB74AC"/>
    <w:rsid w:val="00AC0BCF"/>
    <w:rsid w:val="00AC20B4"/>
    <w:rsid w:val="00AC446B"/>
    <w:rsid w:val="00AC4B2A"/>
    <w:rsid w:val="00AC5F65"/>
    <w:rsid w:val="00AC6952"/>
    <w:rsid w:val="00AC75B6"/>
    <w:rsid w:val="00AD012B"/>
    <w:rsid w:val="00AD0627"/>
    <w:rsid w:val="00AD1392"/>
    <w:rsid w:val="00AD195C"/>
    <w:rsid w:val="00AD1E74"/>
    <w:rsid w:val="00AD227C"/>
    <w:rsid w:val="00AD31C8"/>
    <w:rsid w:val="00AD34CF"/>
    <w:rsid w:val="00AD47A8"/>
    <w:rsid w:val="00AD5898"/>
    <w:rsid w:val="00AD5B29"/>
    <w:rsid w:val="00AD5FBD"/>
    <w:rsid w:val="00AD6472"/>
    <w:rsid w:val="00AD6D50"/>
    <w:rsid w:val="00AD7338"/>
    <w:rsid w:val="00AD77EB"/>
    <w:rsid w:val="00AE0238"/>
    <w:rsid w:val="00AE0D4C"/>
    <w:rsid w:val="00AE2485"/>
    <w:rsid w:val="00AE2BA1"/>
    <w:rsid w:val="00AE4805"/>
    <w:rsid w:val="00AE4912"/>
    <w:rsid w:val="00AE53DA"/>
    <w:rsid w:val="00AE5D74"/>
    <w:rsid w:val="00AE61C8"/>
    <w:rsid w:val="00AE6BE2"/>
    <w:rsid w:val="00AE71DA"/>
    <w:rsid w:val="00AE7A75"/>
    <w:rsid w:val="00AF1542"/>
    <w:rsid w:val="00AF2250"/>
    <w:rsid w:val="00AF29C2"/>
    <w:rsid w:val="00AF30D0"/>
    <w:rsid w:val="00AF3CEC"/>
    <w:rsid w:val="00AF4EA2"/>
    <w:rsid w:val="00AF590D"/>
    <w:rsid w:val="00AF6236"/>
    <w:rsid w:val="00AF681F"/>
    <w:rsid w:val="00AF6CBC"/>
    <w:rsid w:val="00AF6D65"/>
    <w:rsid w:val="00AF7E98"/>
    <w:rsid w:val="00B0114A"/>
    <w:rsid w:val="00B01701"/>
    <w:rsid w:val="00B01E7E"/>
    <w:rsid w:val="00B0253A"/>
    <w:rsid w:val="00B02E5B"/>
    <w:rsid w:val="00B03492"/>
    <w:rsid w:val="00B03ADA"/>
    <w:rsid w:val="00B05441"/>
    <w:rsid w:val="00B05764"/>
    <w:rsid w:val="00B0630F"/>
    <w:rsid w:val="00B06793"/>
    <w:rsid w:val="00B06951"/>
    <w:rsid w:val="00B06AD3"/>
    <w:rsid w:val="00B06FE2"/>
    <w:rsid w:val="00B07DC6"/>
    <w:rsid w:val="00B10381"/>
    <w:rsid w:val="00B10B67"/>
    <w:rsid w:val="00B10D57"/>
    <w:rsid w:val="00B11089"/>
    <w:rsid w:val="00B11225"/>
    <w:rsid w:val="00B11946"/>
    <w:rsid w:val="00B11F35"/>
    <w:rsid w:val="00B121AD"/>
    <w:rsid w:val="00B1246D"/>
    <w:rsid w:val="00B126E9"/>
    <w:rsid w:val="00B12865"/>
    <w:rsid w:val="00B12BCA"/>
    <w:rsid w:val="00B12D30"/>
    <w:rsid w:val="00B13507"/>
    <w:rsid w:val="00B139D7"/>
    <w:rsid w:val="00B13AE9"/>
    <w:rsid w:val="00B14089"/>
    <w:rsid w:val="00B14310"/>
    <w:rsid w:val="00B14EA7"/>
    <w:rsid w:val="00B154AD"/>
    <w:rsid w:val="00B1579A"/>
    <w:rsid w:val="00B15873"/>
    <w:rsid w:val="00B163CB"/>
    <w:rsid w:val="00B16609"/>
    <w:rsid w:val="00B166E7"/>
    <w:rsid w:val="00B17144"/>
    <w:rsid w:val="00B171B7"/>
    <w:rsid w:val="00B17D83"/>
    <w:rsid w:val="00B2002E"/>
    <w:rsid w:val="00B21BDB"/>
    <w:rsid w:val="00B22582"/>
    <w:rsid w:val="00B229C6"/>
    <w:rsid w:val="00B23389"/>
    <w:rsid w:val="00B2494E"/>
    <w:rsid w:val="00B24BE9"/>
    <w:rsid w:val="00B24FBB"/>
    <w:rsid w:val="00B25991"/>
    <w:rsid w:val="00B25DFB"/>
    <w:rsid w:val="00B261D7"/>
    <w:rsid w:val="00B2753A"/>
    <w:rsid w:val="00B279DE"/>
    <w:rsid w:val="00B30015"/>
    <w:rsid w:val="00B315BB"/>
    <w:rsid w:val="00B31F3B"/>
    <w:rsid w:val="00B32745"/>
    <w:rsid w:val="00B3350E"/>
    <w:rsid w:val="00B341E2"/>
    <w:rsid w:val="00B34548"/>
    <w:rsid w:val="00B35413"/>
    <w:rsid w:val="00B3554D"/>
    <w:rsid w:val="00B35E8F"/>
    <w:rsid w:val="00B3611D"/>
    <w:rsid w:val="00B36DAE"/>
    <w:rsid w:val="00B36E4B"/>
    <w:rsid w:val="00B37A72"/>
    <w:rsid w:val="00B37E43"/>
    <w:rsid w:val="00B4000C"/>
    <w:rsid w:val="00B402E4"/>
    <w:rsid w:val="00B409D1"/>
    <w:rsid w:val="00B40B3A"/>
    <w:rsid w:val="00B4185E"/>
    <w:rsid w:val="00B41C60"/>
    <w:rsid w:val="00B42308"/>
    <w:rsid w:val="00B4257D"/>
    <w:rsid w:val="00B42690"/>
    <w:rsid w:val="00B42928"/>
    <w:rsid w:val="00B42CDD"/>
    <w:rsid w:val="00B44789"/>
    <w:rsid w:val="00B45016"/>
    <w:rsid w:val="00B46069"/>
    <w:rsid w:val="00B469F6"/>
    <w:rsid w:val="00B47795"/>
    <w:rsid w:val="00B50234"/>
    <w:rsid w:val="00B50635"/>
    <w:rsid w:val="00B5170E"/>
    <w:rsid w:val="00B51C24"/>
    <w:rsid w:val="00B52644"/>
    <w:rsid w:val="00B528FC"/>
    <w:rsid w:val="00B52937"/>
    <w:rsid w:val="00B52E97"/>
    <w:rsid w:val="00B54262"/>
    <w:rsid w:val="00B54421"/>
    <w:rsid w:val="00B54648"/>
    <w:rsid w:val="00B54C3E"/>
    <w:rsid w:val="00B55698"/>
    <w:rsid w:val="00B55D5E"/>
    <w:rsid w:val="00B55F48"/>
    <w:rsid w:val="00B55F93"/>
    <w:rsid w:val="00B56074"/>
    <w:rsid w:val="00B560A8"/>
    <w:rsid w:val="00B563C2"/>
    <w:rsid w:val="00B5648F"/>
    <w:rsid w:val="00B56841"/>
    <w:rsid w:val="00B56886"/>
    <w:rsid w:val="00B61115"/>
    <w:rsid w:val="00B616A0"/>
    <w:rsid w:val="00B61720"/>
    <w:rsid w:val="00B61E1F"/>
    <w:rsid w:val="00B62435"/>
    <w:rsid w:val="00B627BF"/>
    <w:rsid w:val="00B62FB3"/>
    <w:rsid w:val="00B635DD"/>
    <w:rsid w:val="00B637AB"/>
    <w:rsid w:val="00B638D3"/>
    <w:rsid w:val="00B64673"/>
    <w:rsid w:val="00B64792"/>
    <w:rsid w:val="00B66A2A"/>
    <w:rsid w:val="00B67F90"/>
    <w:rsid w:val="00B703E1"/>
    <w:rsid w:val="00B705E2"/>
    <w:rsid w:val="00B7071C"/>
    <w:rsid w:val="00B70A17"/>
    <w:rsid w:val="00B70DB3"/>
    <w:rsid w:val="00B70F61"/>
    <w:rsid w:val="00B71F65"/>
    <w:rsid w:val="00B723CC"/>
    <w:rsid w:val="00B72A06"/>
    <w:rsid w:val="00B7371A"/>
    <w:rsid w:val="00B74146"/>
    <w:rsid w:val="00B74748"/>
    <w:rsid w:val="00B74977"/>
    <w:rsid w:val="00B75CD3"/>
    <w:rsid w:val="00B77DC8"/>
    <w:rsid w:val="00B80B08"/>
    <w:rsid w:val="00B80D60"/>
    <w:rsid w:val="00B813B1"/>
    <w:rsid w:val="00B81B7D"/>
    <w:rsid w:val="00B835DB"/>
    <w:rsid w:val="00B83662"/>
    <w:rsid w:val="00B841BC"/>
    <w:rsid w:val="00B84346"/>
    <w:rsid w:val="00B85EEB"/>
    <w:rsid w:val="00B86524"/>
    <w:rsid w:val="00B87594"/>
    <w:rsid w:val="00B87EBA"/>
    <w:rsid w:val="00B906A5"/>
    <w:rsid w:val="00B9080B"/>
    <w:rsid w:val="00B923DE"/>
    <w:rsid w:val="00B92559"/>
    <w:rsid w:val="00B93195"/>
    <w:rsid w:val="00B936FF"/>
    <w:rsid w:val="00B939D3"/>
    <w:rsid w:val="00B93A49"/>
    <w:rsid w:val="00B93F2F"/>
    <w:rsid w:val="00B94683"/>
    <w:rsid w:val="00B948B4"/>
    <w:rsid w:val="00B94C1C"/>
    <w:rsid w:val="00B9547E"/>
    <w:rsid w:val="00B963F8"/>
    <w:rsid w:val="00B9782E"/>
    <w:rsid w:val="00BA0182"/>
    <w:rsid w:val="00BA0B28"/>
    <w:rsid w:val="00BA1309"/>
    <w:rsid w:val="00BA1A8C"/>
    <w:rsid w:val="00BA2255"/>
    <w:rsid w:val="00BA2C63"/>
    <w:rsid w:val="00BA2CC7"/>
    <w:rsid w:val="00BA302C"/>
    <w:rsid w:val="00BA3219"/>
    <w:rsid w:val="00BA396E"/>
    <w:rsid w:val="00BA3AEB"/>
    <w:rsid w:val="00BA4B52"/>
    <w:rsid w:val="00BA57A8"/>
    <w:rsid w:val="00BA58CE"/>
    <w:rsid w:val="00BA5981"/>
    <w:rsid w:val="00BA6150"/>
    <w:rsid w:val="00BA63DA"/>
    <w:rsid w:val="00BA74F7"/>
    <w:rsid w:val="00BA7852"/>
    <w:rsid w:val="00BB0444"/>
    <w:rsid w:val="00BB0589"/>
    <w:rsid w:val="00BB098C"/>
    <w:rsid w:val="00BB1355"/>
    <w:rsid w:val="00BB1722"/>
    <w:rsid w:val="00BB2624"/>
    <w:rsid w:val="00BB45FE"/>
    <w:rsid w:val="00BB4BB0"/>
    <w:rsid w:val="00BB4CCF"/>
    <w:rsid w:val="00BB631E"/>
    <w:rsid w:val="00BB690E"/>
    <w:rsid w:val="00BB74AE"/>
    <w:rsid w:val="00BB7E3B"/>
    <w:rsid w:val="00BC0727"/>
    <w:rsid w:val="00BC0E47"/>
    <w:rsid w:val="00BC1040"/>
    <w:rsid w:val="00BC2CD4"/>
    <w:rsid w:val="00BC3FA0"/>
    <w:rsid w:val="00BC49F0"/>
    <w:rsid w:val="00BC4F14"/>
    <w:rsid w:val="00BC4F90"/>
    <w:rsid w:val="00BC662D"/>
    <w:rsid w:val="00BC66EB"/>
    <w:rsid w:val="00BC68C0"/>
    <w:rsid w:val="00BC742F"/>
    <w:rsid w:val="00BC7CCA"/>
    <w:rsid w:val="00BD0579"/>
    <w:rsid w:val="00BD0817"/>
    <w:rsid w:val="00BD1ADB"/>
    <w:rsid w:val="00BD2AF3"/>
    <w:rsid w:val="00BD32B6"/>
    <w:rsid w:val="00BD4959"/>
    <w:rsid w:val="00BD552B"/>
    <w:rsid w:val="00BD5C5F"/>
    <w:rsid w:val="00BD65BA"/>
    <w:rsid w:val="00BD6F91"/>
    <w:rsid w:val="00BD7C04"/>
    <w:rsid w:val="00BE04A0"/>
    <w:rsid w:val="00BE1719"/>
    <w:rsid w:val="00BE174B"/>
    <w:rsid w:val="00BE4054"/>
    <w:rsid w:val="00BE43DF"/>
    <w:rsid w:val="00BE4865"/>
    <w:rsid w:val="00BE4C62"/>
    <w:rsid w:val="00BE649A"/>
    <w:rsid w:val="00BE6BAB"/>
    <w:rsid w:val="00BF0E8D"/>
    <w:rsid w:val="00BF10D9"/>
    <w:rsid w:val="00BF210F"/>
    <w:rsid w:val="00BF257D"/>
    <w:rsid w:val="00BF286F"/>
    <w:rsid w:val="00BF2F6A"/>
    <w:rsid w:val="00BF3465"/>
    <w:rsid w:val="00BF47D9"/>
    <w:rsid w:val="00BF4986"/>
    <w:rsid w:val="00BF5CED"/>
    <w:rsid w:val="00BF6256"/>
    <w:rsid w:val="00BF62F3"/>
    <w:rsid w:val="00BF680B"/>
    <w:rsid w:val="00BF71A3"/>
    <w:rsid w:val="00BF7E76"/>
    <w:rsid w:val="00C00A7F"/>
    <w:rsid w:val="00C01357"/>
    <w:rsid w:val="00C01D6A"/>
    <w:rsid w:val="00C03A24"/>
    <w:rsid w:val="00C03DB0"/>
    <w:rsid w:val="00C06AA6"/>
    <w:rsid w:val="00C0706E"/>
    <w:rsid w:val="00C10A39"/>
    <w:rsid w:val="00C11328"/>
    <w:rsid w:val="00C11390"/>
    <w:rsid w:val="00C119A2"/>
    <w:rsid w:val="00C11F00"/>
    <w:rsid w:val="00C135D5"/>
    <w:rsid w:val="00C14014"/>
    <w:rsid w:val="00C146DC"/>
    <w:rsid w:val="00C1477B"/>
    <w:rsid w:val="00C160F0"/>
    <w:rsid w:val="00C16957"/>
    <w:rsid w:val="00C16A40"/>
    <w:rsid w:val="00C2005D"/>
    <w:rsid w:val="00C20EBD"/>
    <w:rsid w:val="00C22307"/>
    <w:rsid w:val="00C22D8F"/>
    <w:rsid w:val="00C23030"/>
    <w:rsid w:val="00C23075"/>
    <w:rsid w:val="00C239CF"/>
    <w:rsid w:val="00C23DC2"/>
    <w:rsid w:val="00C24695"/>
    <w:rsid w:val="00C24972"/>
    <w:rsid w:val="00C250A7"/>
    <w:rsid w:val="00C26A4E"/>
    <w:rsid w:val="00C26AB7"/>
    <w:rsid w:val="00C2719A"/>
    <w:rsid w:val="00C27B8D"/>
    <w:rsid w:val="00C27CFB"/>
    <w:rsid w:val="00C27D3F"/>
    <w:rsid w:val="00C31DB9"/>
    <w:rsid w:val="00C330FE"/>
    <w:rsid w:val="00C33288"/>
    <w:rsid w:val="00C33316"/>
    <w:rsid w:val="00C3352A"/>
    <w:rsid w:val="00C3390D"/>
    <w:rsid w:val="00C3469B"/>
    <w:rsid w:val="00C34BEA"/>
    <w:rsid w:val="00C34D2F"/>
    <w:rsid w:val="00C34DAD"/>
    <w:rsid w:val="00C3638A"/>
    <w:rsid w:val="00C40571"/>
    <w:rsid w:val="00C4131F"/>
    <w:rsid w:val="00C4141D"/>
    <w:rsid w:val="00C42A46"/>
    <w:rsid w:val="00C4314E"/>
    <w:rsid w:val="00C437E0"/>
    <w:rsid w:val="00C443B2"/>
    <w:rsid w:val="00C44514"/>
    <w:rsid w:val="00C44B4C"/>
    <w:rsid w:val="00C4559B"/>
    <w:rsid w:val="00C45908"/>
    <w:rsid w:val="00C45FD9"/>
    <w:rsid w:val="00C468DA"/>
    <w:rsid w:val="00C46AFB"/>
    <w:rsid w:val="00C471CF"/>
    <w:rsid w:val="00C47569"/>
    <w:rsid w:val="00C5149B"/>
    <w:rsid w:val="00C52304"/>
    <w:rsid w:val="00C52931"/>
    <w:rsid w:val="00C538E8"/>
    <w:rsid w:val="00C5482F"/>
    <w:rsid w:val="00C54C15"/>
    <w:rsid w:val="00C57594"/>
    <w:rsid w:val="00C57658"/>
    <w:rsid w:val="00C60393"/>
    <w:rsid w:val="00C609C0"/>
    <w:rsid w:val="00C60DE4"/>
    <w:rsid w:val="00C612BA"/>
    <w:rsid w:val="00C621A8"/>
    <w:rsid w:val="00C6283E"/>
    <w:rsid w:val="00C62F9D"/>
    <w:rsid w:val="00C63DB5"/>
    <w:rsid w:val="00C645FC"/>
    <w:rsid w:val="00C65417"/>
    <w:rsid w:val="00C6650B"/>
    <w:rsid w:val="00C67809"/>
    <w:rsid w:val="00C67BBC"/>
    <w:rsid w:val="00C67E09"/>
    <w:rsid w:val="00C700E8"/>
    <w:rsid w:val="00C719D8"/>
    <w:rsid w:val="00C71D91"/>
    <w:rsid w:val="00C721D7"/>
    <w:rsid w:val="00C73A6C"/>
    <w:rsid w:val="00C7403C"/>
    <w:rsid w:val="00C757CC"/>
    <w:rsid w:val="00C75C27"/>
    <w:rsid w:val="00C75C76"/>
    <w:rsid w:val="00C75F3C"/>
    <w:rsid w:val="00C76465"/>
    <w:rsid w:val="00C77531"/>
    <w:rsid w:val="00C77DCF"/>
    <w:rsid w:val="00C8004B"/>
    <w:rsid w:val="00C811AC"/>
    <w:rsid w:val="00C81A0C"/>
    <w:rsid w:val="00C82D1D"/>
    <w:rsid w:val="00C82F96"/>
    <w:rsid w:val="00C84172"/>
    <w:rsid w:val="00C853D0"/>
    <w:rsid w:val="00C86234"/>
    <w:rsid w:val="00C864A2"/>
    <w:rsid w:val="00C87A6F"/>
    <w:rsid w:val="00C87FF7"/>
    <w:rsid w:val="00C90BB6"/>
    <w:rsid w:val="00C90DF7"/>
    <w:rsid w:val="00C920C7"/>
    <w:rsid w:val="00C937B1"/>
    <w:rsid w:val="00C944C6"/>
    <w:rsid w:val="00C94C48"/>
    <w:rsid w:val="00C95AD0"/>
    <w:rsid w:val="00C964A3"/>
    <w:rsid w:val="00C96811"/>
    <w:rsid w:val="00C96BCB"/>
    <w:rsid w:val="00C96C20"/>
    <w:rsid w:val="00C9743A"/>
    <w:rsid w:val="00CA028D"/>
    <w:rsid w:val="00CA0744"/>
    <w:rsid w:val="00CA2022"/>
    <w:rsid w:val="00CA21AB"/>
    <w:rsid w:val="00CA2B9D"/>
    <w:rsid w:val="00CA2BFF"/>
    <w:rsid w:val="00CA2D15"/>
    <w:rsid w:val="00CA3406"/>
    <w:rsid w:val="00CA378D"/>
    <w:rsid w:val="00CA39D7"/>
    <w:rsid w:val="00CA3D5B"/>
    <w:rsid w:val="00CA3F51"/>
    <w:rsid w:val="00CA443E"/>
    <w:rsid w:val="00CA50BC"/>
    <w:rsid w:val="00CA55A7"/>
    <w:rsid w:val="00CB0581"/>
    <w:rsid w:val="00CB05E0"/>
    <w:rsid w:val="00CB06E2"/>
    <w:rsid w:val="00CB1385"/>
    <w:rsid w:val="00CB1505"/>
    <w:rsid w:val="00CB1792"/>
    <w:rsid w:val="00CB2F02"/>
    <w:rsid w:val="00CB31B3"/>
    <w:rsid w:val="00CB365F"/>
    <w:rsid w:val="00CB3CB1"/>
    <w:rsid w:val="00CB45D1"/>
    <w:rsid w:val="00CB5660"/>
    <w:rsid w:val="00CB5A16"/>
    <w:rsid w:val="00CB5F48"/>
    <w:rsid w:val="00CB624D"/>
    <w:rsid w:val="00CB71B7"/>
    <w:rsid w:val="00CC0717"/>
    <w:rsid w:val="00CC1D71"/>
    <w:rsid w:val="00CC215A"/>
    <w:rsid w:val="00CC21F9"/>
    <w:rsid w:val="00CC42B9"/>
    <w:rsid w:val="00CC5C7B"/>
    <w:rsid w:val="00CC5D6D"/>
    <w:rsid w:val="00CC62E3"/>
    <w:rsid w:val="00CC6E3C"/>
    <w:rsid w:val="00CC7EC8"/>
    <w:rsid w:val="00CD03FC"/>
    <w:rsid w:val="00CD1EBC"/>
    <w:rsid w:val="00CD2097"/>
    <w:rsid w:val="00CD2B5B"/>
    <w:rsid w:val="00CD4B7A"/>
    <w:rsid w:val="00CD4E9E"/>
    <w:rsid w:val="00CD5FA7"/>
    <w:rsid w:val="00CD7BE5"/>
    <w:rsid w:val="00CE03DF"/>
    <w:rsid w:val="00CE1F7E"/>
    <w:rsid w:val="00CE268C"/>
    <w:rsid w:val="00CE390A"/>
    <w:rsid w:val="00CE4A92"/>
    <w:rsid w:val="00CE54A3"/>
    <w:rsid w:val="00CE56C3"/>
    <w:rsid w:val="00CE6DCD"/>
    <w:rsid w:val="00CE713F"/>
    <w:rsid w:val="00CE7215"/>
    <w:rsid w:val="00CE764E"/>
    <w:rsid w:val="00CF1F5C"/>
    <w:rsid w:val="00CF2771"/>
    <w:rsid w:val="00CF2C11"/>
    <w:rsid w:val="00CF3147"/>
    <w:rsid w:val="00CF36BC"/>
    <w:rsid w:val="00CF36F1"/>
    <w:rsid w:val="00CF452B"/>
    <w:rsid w:val="00CF467C"/>
    <w:rsid w:val="00CF5115"/>
    <w:rsid w:val="00CF529D"/>
    <w:rsid w:val="00CF5EAF"/>
    <w:rsid w:val="00CF5F54"/>
    <w:rsid w:val="00CF728B"/>
    <w:rsid w:val="00D004E0"/>
    <w:rsid w:val="00D026C3"/>
    <w:rsid w:val="00D02AA0"/>
    <w:rsid w:val="00D030BD"/>
    <w:rsid w:val="00D03DBE"/>
    <w:rsid w:val="00D04780"/>
    <w:rsid w:val="00D04DA6"/>
    <w:rsid w:val="00D04FD5"/>
    <w:rsid w:val="00D05149"/>
    <w:rsid w:val="00D0658E"/>
    <w:rsid w:val="00D0667B"/>
    <w:rsid w:val="00D0752D"/>
    <w:rsid w:val="00D10653"/>
    <w:rsid w:val="00D10AFD"/>
    <w:rsid w:val="00D11221"/>
    <w:rsid w:val="00D11412"/>
    <w:rsid w:val="00D1142E"/>
    <w:rsid w:val="00D12425"/>
    <w:rsid w:val="00D125EB"/>
    <w:rsid w:val="00D136EB"/>
    <w:rsid w:val="00D14991"/>
    <w:rsid w:val="00D14D58"/>
    <w:rsid w:val="00D1507D"/>
    <w:rsid w:val="00D15C5A"/>
    <w:rsid w:val="00D15DF7"/>
    <w:rsid w:val="00D17A46"/>
    <w:rsid w:val="00D20028"/>
    <w:rsid w:val="00D20BF5"/>
    <w:rsid w:val="00D21406"/>
    <w:rsid w:val="00D225D7"/>
    <w:rsid w:val="00D227DA"/>
    <w:rsid w:val="00D22EB8"/>
    <w:rsid w:val="00D23907"/>
    <w:rsid w:val="00D23987"/>
    <w:rsid w:val="00D23D4B"/>
    <w:rsid w:val="00D23EF6"/>
    <w:rsid w:val="00D2437E"/>
    <w:rsid w:val="00D2572D"/>
    <w:rsid w:val="00D261CD"/>
    <w:rsid w:val="00D27175"/>
    <w:rsid w:val="00D272BD"/>
    <w:rsid w:val="00D3034F"/>
    <w:rsid w:val="00D303E1"/>
    <w:rsid w:val="00D311B9"/>
    <w:rsid w:val="00D3175E"/>
    <w:rsid w:val="00D322F4"/>
    <w:rsid w:val="00D323C0"/>
    <w:rsid w:val="00D3448B"/>
    <w:rsid w:val="00D3711A"/>
    <w:rsid w:val="00D37406"/>
    <w:rsid w:val="00D4020D"/>
    <w:rsid w:val="00D40DAC"/>
    <w:rsid w:val="00D40DEA"/>
    <w:rsid w:val="00D41C32"/>
    <w:rsid w:val="00D451E7"/>
    <w:rsid w:val="00D45AB3"/>
    <w:rsid w:val="00D45C73"/>
    <w:rsid w:val="00D46152"/>
    <w:rsid w:val="00D477E9"/>
    <w:rsid w:val="00D508E7"/>
    <w:rsid w:val="00D508F6"/>
    <w:rsid w:val="00D508F8"/>
    <w:rsid w:val="00D51188"/>
    <w:rsid w:val="00D5127D"/>
    <w:rsid w:val="00D51710"/>
    <w:rsid w:val="00D51858"/>
    <w:rsid w:val="00D5197C"/>
    <w:rsid w:val="00D51B3C"/>
    <w:rsid w:val="00D558B4"/>
    <w:rsid w:val="00D55ED1"/>
    <w:rsid w:val="00D5654D"/>
    <w:rsid w:val="00D5796A"/>
    <w:rsid w:val="00D57E7E"/>
    <w:rsid w:val="00D60B8F"/>
    <w:rsid w:val="00D6157F"/>
    <w:rsid w:val="00D61BBF"/>
    <w:rsid w:val="00D622F3"/>
    <w:rsid w:val="00D6379D"/>
    <w:rsid w:val="00D63D37"/>
    <w:rsid w:val="00D64CB1"/>
    <w:rsid w:val="00D64F1B"/>
    <w:rsid w:val="00D650A1"/>
    <w:rsid w:val="00D6549B"/>
    <w:rsid w:val="00D65DE0"/>
    <w:rsid w:val="00D66FD2"/>
    <w:rsid w:val="00D66FD3"/>
    <w:rsid w:val="00D70BCE"/>
    <w:rsid w:val="00D72288"/>
    <w:rsid w:val="00D722C4"/>
    <w:rsid w:val="00D72AEC"/>
    <w:rsid w:val="00D73885"/>
    <w:rsid w:val="00D74E25"/>
    <w:rsid w:val="00D75364"/>
    <w:rsid w:val="00D76AC9"/>
    <w:rsid w:val="00D76B37"/>
    <w:rsid w:val="00D76CB8"/>
    <w:rsid w:val="00D76CDD"/>
    <w:rsid w:val="00D76F02"/>
    <w:rsid w:val="00D7735A"/>
    <w:rsid w:val="00D77940"/>
    <w:rsid w:val="00D77C04"/>
    <w:rsid w:val="00D8080D"/>
    <w:rsid w:val="00D8255F"/>
    <w:rsid w:val="00D8334A"/>
    <w:rsid w:val="00D83BA0"/>
    <w:rsid w:val="00D83CA6"/>
    <w:rsid w:val="00D84EB9"/>
    <w:rsid w:val="00D87D40"/>
    <w:rsid w:val="00D90201"/>
    <w:rsid w:val="00D9098D"/>
    <w:rsid w:val="00D90E96"/>
    <w:rsid w:val="00D91A8A"/>
    <w:rsid w:val="00D91EDB"/>
    <w:rsid w:val="00D92476"/>
    <w:rsid w:val="00D92D5C"/>
    <w:rsid w:val="00D93275"/>
    <w:rsid w:val="00D9351C"/>
    <w:rsid w:val="00D942EC"/>
    <w:rsid w:val="00D94DCD"/>
    <w:rsid w:val="00D94EA3"/>
    <w:rsid w:val="00D9637F"/>
    <w:rsid w:val="00D96DE4"/>
    <w:rsid w:val="00DA0676"/>
    <w:rsid w:val="00DA0CF6"/>
    <w:rsid w:val="00DA0E68"/>
    <w:rsid w:val="00DA1211"/>
    <w:rsid w:val="00DA1A1F"/>
    <w:rsid w:val="00DA2073"/>
    <w:rsid w:val="00DA23B2"/>
    <w:rsid w:val="00DA2587"/>
    <w:rsid w:val="00DA2A8F"/>
    <w:rsid w:val="00DA3148"/>
    <w:rsid w:val="00DA3D89"/>
    <w:rsid w:val="00DA3EA5"/>
    <w:rsid w:val="00DA4DF4"/>
    <w:rsid w:val="00DA4EA9"/>
    <w:rsid w:val="00DA59A0"/>
    <w:rsid w:val="00DA5A19"/>
    <w:rsid w:val="00DA609D"/>
    <w:rsid w:val="00DA6E15"/>
    <w:rsid w:val="00DA6E1F"/>
    <w:rsid w:val="00DA7E83"/>
    <w:rsid w:val="00DB0160"/>
    <w:rsid w:val="00DB0256"/>
    <w:rsid w:val="00DB0312"/>
    <w:rsid w:val="00DB0F43"/>
    <w:rsid w:val="00DB1B9B"/>
    <w:rsid w:val="00DB2128"/>
    <w:rsid w:val="00DB25E2"/>
    <w:rsid w:val="00DB2702"/>
    <w:rsid w:val="00DB3AF5"/>
    <w:rsid w:val="00DB498A"/>
    <w:rsid w:val="00DB4ABA"/>
    <w:rsid w:val="00DB4AC5"/>
    <w:rsid w:val="00DB4D6F"/>
    <w:rsid w:val="00DB5085"/>
    <w:rsid w:val="00DB55EA"/>
    <w:rsid w:val="00DB636D"/>
    <w:rsid w:val="00DB663D"/>
    <w:rsid w:val="00DB66FF"/>
    <w:rsid w:val="00DB6FB1"/>
    <w:rsid w:val="00DB7DE2"/>
    <w:rsid w:val="00DC19F3"/>
    <w:rsid w:val="00DC1E39"/>
    <w:rsid w:val="00DC2398"/>
    <w:rsid w:val="00DC3C4B"/>
    <w:rsid w:val="00DC3CBF"/>
    <w:rsid w:val="00DC5DA3"/>
    <w:rsid w:val="00DC6FB6"/>
    <w:rsid w:val="00DC765F"/>
    <w:rsid w:val="00DC7729"/>
    <w:rsid w:val="00DC7E8A"/>
    <w:rsid w:val="00DD0A9C"/>
    <w:rsid w:val="00DD0C7B"/>
    <w:rsid w:val="00DD2504"/>
    <w:rsid w:val="00DD3781"/>
    <w:rsid w:val="00DD3B27"/>
    <w:rsid w:val="00DD4CD5"/>
    <w:rsid w:val="00DD51B1"/>
    <w:rsid w:val="00DD51E2"/>
    <w:rsid w:val="00DD523E"/>
    <w:rsid w:val="00DD5799"/>
    <w:rsid w:val="00DD6215"/>
    <w:rsid w:val="00DE0E57"/>
    <w:rsid w:val="00DE13F3"/>
    <w:rsid w:val="00DE1868"/>
    <w:rsid w:val="00DE1933"/>
    <w:rsid w:val="00DE3408"/>
    <w:rsid w:val="00DE35EB"/>
    <w:rsid w:val="00DE54BF"/>
    <w:rsid w:val="00DE5743"/>
    <w:rsid w:val="00DE6A57"/>
    <w:rsid w:val="00DE7166"/>
    <w:rsid w:val="00DE75F5"/>
    <w:rsid w:val="00DF0EA8"/>
    <w:rsid w:val="00DF18C7"/>
    <w:rsid w:val="00DF2537"/>
    <w:rsid w:val="00DF274A"/>
    <w:rsid w:val="00DF3F63"/>
    <w:rsid w:val="00DF4101"/>
    <w:rsid w:val="00DF4345"/>
    <w:rsid w:val="00DF497D"/>
    <w:rsid w:val="00DF51A7"/>
    <w:rsid w:val="00DF5928"/>
    <w:rsid w:val="00DF5C3E"/>
    <w:rsid w:val="00DF660D"/>
    <w:rsid w:val="00DF66C0"/>
    <w:rsid w:val="00DF699D"/>
    <w:rsid w:val="00DF6AE7"/>
    <w:rsid w:val="00DF6DBA"/>
    <w:rsid w:val="00DF75AE"/>
    <w:rsid w:val="00DF7762"/>
    <w:rsid w:val="00DF79E1"/>
    <w:rsid w:val="00DF7BB9"/>
    <w:rsid w:val="00E00782"/>
    <w:rsid w:val="00E01437"/>
    <w:rsid w:val="00E01A79"/>
    <w:rsid w:val="00E01A8F"/>
    <w:rsid w:val="00E02574"/>
    <w:rsid w:val="00E02789"/>
    <w:rsid w:val="00E0295C"/>
    <w:rsid w:val="00E02B32"/>
    <w:rsid w:val="00E02E7F"/>
    <w:rsid w:val="00E03720"/>
    <w:rsid w:val="00E04419"/>
    <w:rsid w:val="00E056C8"/>
    <w:rsid w:val="00E05ADF"/>
    <w:rsid w:val="00E06848"/>
    <w:rsid w:val="00E06862"/>
    <w:rsid w:val="00E075C3"/>
    <w:rsid w:val="00E07920"/>
    <w:rsid w:val="00E07D22"/>
    <w:rsid w:val="00E07F0C"/>
    <w:rsid w:val="00E100AA"/>
    <w:rsid w:val="00E1018C"/>
    <w:rsid w:val="00E106DC"/>
    <w:rsid w:val="00E113B6"/>
    <w:rsid w:val="00E114CA"/>
    <w:rsid w:val="00E11A96"/>
    <w:rsid w:val="00E11E28"/>
    <w:rsid w:val="00E11E6F"/>
    <w:rsid w:val="00E12C76"/>
    <w:rsid w:val="00E12D8C"/>
    <w:rsid w:val="00E14995"/>
    <w:rsid w:val="00E14CCD"/>
    <w:rsid w:val="00E14EAA"/>
    <w:rsid w:val="00E15443"/>
    <w:rsid w:val="00E162C8"/>
    <w:rsid w:val="00E16B44"/>
    <w:rsid w:val="00E20F0E"/>
    <w:rsid w:val="00E21CE9"/>
    <w:rsid w:val="00E2223A"/>
    <w:rsid w:val="00E225E0"/>
    <w:rsid w:val="00E228DD"/>
    <w:rsid w:val="00E2311D"/>
    <w:rsid w:val="00E23AB4"/>
    <w:rsid w:val="00E23E8A"/>
    <w:rsid w:val="00E24B2D"/>
    <w:rsid w:val="00E2531E"/>
    <w:rsid w:val="00E25581"/>
    <w:rsid w:val="00E25665"/>
    <w:rsid w:val="00E25ABD"/>
    <w:rsid w:val="00E27723"/>
    <w:rsid w:val="00E277E1"/>
    <w:rsid w:val="00E30126"/>
    <w:rsid w:val="00E30186"/>
    <w:rsid w:val="00E30B41"/>
    <w:rsid w:val="00E30E98"/>
    <w:rsid w:val="00E30EDE"/>
    <w:rsid w:val="00E31C31"/>
    <w:rsid w:val="00E3244B"/>
    <w:rsid w:val="00E33444"/>
    <w:rsid w:val="00E345AC"/>
    <w:rsid w:val="00E37B41"/>
    <w:rsid w:val="00E37E20"/>
    <w:rsid w:val="00E37F6E"/>
    <w:rsid w:val="00E40047"/>
    <w:rsid w:val="00E40A36"/>
    <w:rsid w:val="00E40DCD"/>
    <w:rsid w:val="00E40E25"/>
    <w:rsid w:val="00E415E4"/>
    <w:rsid w:val="00E41BB1"/>
    <w:rsid w:val="00E42EB2"/>
    <w:rsid w:val="00E44139"/>
    <w:rsid w:val="00E44145"/>
    <w:rsid w:val="00E4431B"/>
    <w:rsid w:val="00E444E5"/>
    <w:rsid w:val="00E45A42"/>
    <w:rsid w:val="00E45DF3"/>
    <w:rsid w:val="00E46185"/>
    <w:rsid w:val="00E46625"/>
    <w:rsid w:val="00E46AB5"/>
    <w:rsid w:val="00E46CF2"/>
    <w:rsid w:val="00E47AB7"/>
    <w:rsid w:val="00E47CA3"/>
    <w:rsid w:val="00E47D7C"/>
    <w:rsid w:val="00E5012B"/>
    <w:rsid w:val="00E50646"/>
    <w:rsid w:val="00E511E7"/>
    <w:rsid w:val="00E51EE6"/>
    <w:rsid w:val="00E52A1A"/>
    <w:rsid w:val="00E5471E"/>
    <w:rsid w:val="00E54E66"/>
    <w:rsid w:val="00E54EE1"/>
    <w:rsid w:val="00E55B06"/>
    <w:rsid w:val="00E5667C"/>
    <w:rsid w:val="00E56E22"/>
    <w:rsid w:val="00E56FDF"/>
    <w:rsid w:val="00E57BD7"/>
    <w:rsid w:val="00E57C4D"/>
    <w:rsid w:val="00E60520"/>
    <w:rsid w:val="00E61F49"/>
    <w:rsid w:val="00E6209B"/>
    <w:rsid w:val="00E62FEC"/>
    <w:rsid w:val="00E63D3E"/>
    <w:rsid w:val="00E65096"/>
    <w:rsid w:val="00E6538D"/>
    <w:rsid w:val="00E65B92"/>
    <w:rsid w:val="00E66805"/>
    <w:rsid w:val="00E67601"/>
    <w:rsid w:val="00E700E2"/>
    <w:rsid w:val="00E704F1"/>
    <w:rsid w:val="00E70C3F"/>
    <w:rsid w:val="00E70CA2"/>
    <w:rsid w:val="00E72677"/>
    <w:rsid w:val="00E72746"/>
    <w:rsid w:val="00E72BE0"/>
    <w:rsid w:val="00E752EC"/>
    <w:rsid w:val="00E75D53"/>
    <w:rsid w:val="00E775CF"/>
    <w:rsid w:val="00E77AE4"/>
    <w:rsid w:val="00E8059B"/>
    <w:rsid w:val="00E80A72"/>
    <w:rsid w:val="00E81299"/>
    <w:rsid w:val="00E818E0"/>
    <w:rsid w:val="00E81E13"/>
    <w:rsid w:val="00E825F1"/>
    <w:rsid w:val="00E8426E"/>
    <w:rsid w:val="00E84785"/>
    <w:rsid w:val="00E84814"/>
    <w:rsid w:val="00E84C9E"/>
    <w:rsid w:val="00E865C2"/>
    <w:rsid w:val="00E877AB"/>
    <w:rsid w:val="00E87A8A"/>
    <w:rsid w:val="00E87BC5"/>
    <w:rsid w:val="00E90DEA"/>
    <w:rsid w:val="00E91355"/>
    <w:rsid w:val="00E91C06"/>
    <w:rsid w:val="00E91C33"/>
    <w:rsid w:val="00E91CF8"/>
    <w:rsid w:val="00E91D0D"/>
    <w:rsid w:val="00E92678"/>
    <w:rsid w:val="00E92E20"/>
    <w:rsid w:val="00E93346"/>
    <w:rsid w:val="00E934ED"/>
    <w:rsid w:val="00E93623"/>
    <w:rsid w:val="00E957CE"/>
    <w:rsid w:val="00E95DBC"/>
    <w:rsid w:val="00E95F5E"/>
    <w:rsid w:val="00E96245"/>
    <w:rsid w:val="00E9677A"/>
    <w:rsid w:val="00E968DC"/>
    <w:rsid w:val="00E96D86"/>
    <w:rsid w:val="00E972C0"/>
    <w:rsid w:val="00EA03BF"/>
    <w:rsid w:val="00EA0E02"/>
    <w:rsid w:val="00EA1A4D"/>
    <w:rsid w:val="00EA1BE1"/>
    <w:rsid w:val="00EA2397"/>
    <w:rsid w:val="00EA2536"/>
    <w:rsid w:val="00EA3527"/>
    <w:rsid w:val="00EA35C7"/>
    <w:rsid w:val="00EA3C03"/>
    <w:rsid w:val="00EA3E3F"/>
    <w:rsid w:val="00EA4106"/>
    <w:rsid w:val="00EA48C8"/>
    <w:rsid w:val="00EA4CA9"/>
    <w:rsid w:val="00EA5E4E"/>
    <w:rsid w:val="00EA62E0"/>
    <w:rsid w:val="00EA65D1"/>
    <w:rsid w:val="00EA6DA8"/>
    <w:rsid w:val="00EA77A6"/>
    <w:rsid w:val="00EB0812"/>
    <w:rsid w:val="00EB186F"/>
    <w:rsid w:val="00EB2066"/>
    <w:rsid w:val="00EB2878"/>
    <w:rsid w:val="00EB3613"/>
    <w:rsid w:val="00EB3C75"/>
    <w:rsid w:val="00EB4BCE"/>
    <w:rsid w:val="00EB4E6B"/>
    <w:rsid w:val="00EB504B"/>
    <w:rsid w:val="00EB5777"/>
    <w:rsid w:val="00EB57D4"/>
    <w:rsid w:val="00EB5CB1"/>
    <w:rsid w:val="00EB5F35"/>
    <w:rsid w:val="00EB632C"/>
    <w:rsid w:val="00EB655E"/>
    <w:rsid w:val="00EB6A6E"/>
    <w:rsid w:val="00EB74C7"/>
    <w:rsid w:val="00EB74D6"/>
    <w:rsid w:val="00EC1ED5"/>
    <w:rsid w:val="00EC279E"/>
    <w:rsid w:val="00EC27FC"/>
    <w:rsid w:val="00EC2926"/>
    <w:rsid w:val="00EC415F"/>
    <w:rsid w:val="00EC4353"/>
    <w:rsid w:val="00EC4462"/>
    <w:rsid w:val="00EC44DD"/>
    <w:rsid w:val="00EC4EE1"/>
    <w:rsid w:val="00EC5134"/>
    <w:rsid w:val="00EC6A5F"/>
    <w:rsid w:val="00EC6F2D"/>
    <w:rsid w:val="00EC76BF"/>
    <w:rsid w:val="00EC7D0C"/>
    <w:rsid w:val="00ED0C9A"/>
    <w:rsid w:val="00ED0D0E"/>
    <w:rsid w:val="00ED104B"/>
    <w:rsid w:val="00ED1962"/>
    <w:rsid w:val="00ED19DF"/>
    <w:rsid w:val="00ED2388"/>
    <w:rsid w:val="00ED2C98"/>
    <w:rsid w:val="00ED2F9C"/>
    <w:rsid w:val="00ED3433"/>
    <w:rsid w:val="00ED4AF1"/>
    <w:rsid w:val="00ED5592"/>
    <w:rsid w:val="00ED59AA"/>
    <w:rsid w:val="00ED5C41"/>
    <w:rsid w:val="00ED6BEA"/>
    <w:rsid w:val="00ED7830"/>
    <w:rsid w:val="00ED78AE"/>
    <w:rsid w:val="00ED7ED3"/>
    <w:rsid w:val="00EE02CF"/>
    <w:rsid w:val="00EE1045"/>
    <w:rsid w:val="00EE1799"/>
    <w:rsid w:val="00EE20F5"/>
    <w:rsid w:val="00EE265A"/>
    <w:rsid w:val="00EE2A9E"/>
    <w:rsid w:val="00EE33E6"/>
    <w:rsid w:val="00EE3D9B"/>
    <w:rsid w:val="00EE45E0"/>
    <w:rsid w:val="00EE4BA0"/>
    <w:rsid w:val="00EE6B90"/>
    <w:rsid w:val="00EE7C2C"/>
    <w:rsid w:val="00EE7DA4"/>
    <w:rsid w:val="00EF0449"/>
    <w:rsid w:val="00EF09AC"/>
    <w:rsid w:val="00EF09E6"/>
    <w:rsid w:val="00EF0B1B"/>
    <w:rsid w:val="00EF32D5"/>
    <w:rsid w:val="00EF4EDE"/>
    <w:rsid w:val="00EF5067"/>
    <w:rsid w:val="00EF5ECF"/>
    <w:rsid w:val="00EF6CC5"/>
    <w:rsid w:val="00EF7067"/>
    <w:rsid w:val="00EF76F3"/>
    <w:rsid w:val="00EF7BC8"/>
    <w:rsid w:val="00EF7BF3"/>
    <w:rsid w:val="00EF7EF0"/>
    <w:rsid w:val="00F00219"/>
    <w:rsid w:val="00F01D8A"/>
    <w:rsid w:val="00F02F0C"/>
    <w:rsid w:val="00F033DD"/>
    <w:rsid w:val="00F03796"/>
    <w:rsid w:val="00F03B27"/>
    <w:rsid w:val="00F03C04"/>
    <w:rsid w:val="00F03D03"/>
    <w:rsid w:val="00F04288"/>
    <w:rsid w:val="00F0437C"/>
    <w:rsid w:val="00F04871"/>
    <w:rsid w:val="00F04F24"/>
    <w:rsid w:val="00F063AE"/>
    <w:rsid w:val="00F06919"/>
    <w:rsid w:val="00F06DC0"/>
    <w:rsid w:val="00F078CB"/>
    <w:rsid w:val="00F07EE1"/>
    <w:rsid w:val="00F10411"/>
    <w:rsid w:val="00F104CE"/>
    <w:rsid w:val="00F10D71"/>
    <w:rsid w:val="00F10E43"/>
    <w:rsid w:val="00F11532"/>
    <w:rsid w:val="00F1198E"/>
    <w:rsid w:val="00F122C8"/>
    <w:rsid w:val="00F132DD"/>
    <w:rsid w:val="00F13803"/>
    <w:rsid w:val="00F13C73"/>
    <w:rsid w:val="00F14285"/>
    <w:rsid w:val="00F148CA"/>
    <w:rsid w:val="00F149A6"/>
    <w:rsid w:val="00F14D3F"/>
    <w:rsid w:val="00F14E62"/>
    <w:rsid w:val="00F14F34"/>
    <w:rsid w:val="00F150A6"/>
    <w:rsid w:val="00F150B2"/>
    <w:rsid w:val="00F156C0"/>
    <w:rsid w:val="00F15A20"/>
    <w:rsid w:val="00F15BCE"/>
    <w:rsid w:val="00F15DC9"/>
    <w:rsid w:val="00F15EF8"/>
    <w:rsid w:val="00F1646C"/>
    <w:rsid w:val="00F16899"/>
    <w:rsid w:val="00F21A45"/>
    <w:rsid w:val="00F21A82"/>
    <w:rsid w:val="00F22645"/>
    <w:rsid w:val="00F22943"/>
    <w:rsid w:val="00F22A34"/>
    <w:rsid w:val="00F22F9D"/>
    <w:rsid w:val="00F23591"/>
    <w:rsid w:val="00F23A08"/>
    <w:rsid w:val="00F23DBD"/>
    <w:rsid w:val="00F24A33"/>
    <w:rsid w:val="00F24C27"/>
    <w:rsid w:val="00F25506"/>
    <w:rsid w:val="00F2597E"/>
    <w:rsid w:val="00F259EF"/>
    <w:rsid w:val="00F25A36"/>
    <w:rsid w:val="00F25E7C"/>
    <w:rsid w:val="00F25EE0"/>
    <w:rsid w:val="00F26B43"/>
    <w:rsid w:val="00F2750C"/>
    <w:rsid w:val="00F30FE0"/>
    <w:rsid w:val="00F313ED"/>
    <w:rsid w:val="00F31706"/>
    <w:rsid w:val="00F31A74"/>
    <w:rsid w:val="00F32CBB"/>
    <w:rsid w:val="00F32E41"/>
    <w:rsid w:val="00F3369C"/>
    <w:rsid w:val="00F34BD9"/>
    <w:rsid w:val="00F34E4E"/>
    <w:rsid w:val="00F353E6"/>
    <w:rsid w:val="00F36B71"/>
    <w:rsid w:val="00F36E23"/>
    <w:rsid w:val="00F370C4"/>
    <w:rsid w:val="00F37AA4"/>
    <w:rsid w:val="00F4282E"/>
    <w:rsid w:val="00F42B20"/>
    <w:rsid w:val="00F43F3C"/>
    <w:rsid w:val="00F44636"/>
    <w:rsid w:val="00F44B49"/>
    <w:rsid w:val="00F458D3"/>
    <w:rsid w:val="00F45A03"/>
    <w:rsid w:val="00F45FD9"/>
    <w:rsid w:val="00F4605F"/>
    <w:rsid w:val="00F5002A"/>
    <w:rsid w:val="00F50118"/>
    <w:rsid w:val="00F513C5"/>
    <w:rsid w:val="00F518FD"/>
    <w:rsid w:val="00F51A17"/>
    <w:rsid w:val="00F52648"/>
    <w:rsid w:val="00F52856"/>
    <w:rsid w:val="00F5391C"/>
    <w:rsid w:val="00F54574"/>
    <w:rsid w:val="00F556A7"/>
    <w:rsid w:val="00F56319"/>
    <w:rsid w:val="00F56324"/>
    <w:rsid w:val="00F56B0F"/>
    <w:rsid w:val="00F56DBB"/>
    <w:rsid w:val="00F57619"/>
    <w:rsid w:val="00F606E5"/>
    <w:rsid w:val="00F60A18"/>
    <w:rsid w:val="00F60BAE"/>
    <w:rsid w:val="00F6118B"/>
    <w:rsid w:val="00F6150D"/>
    <w:rsid w:val="00F6151E"/>
    <w:rsid w:val="00F62065"/>
    <w:rsid w:val="00F628B4"/>
    <w:rsid w:val="00F63350"/>
    <w:rsid w:val="00F63493"/>
    <w:rsid w:val="00F653F7"/>
    <w:rsid w:val="00F6589F"/>
    <w:rsid w:val="00F6595E"/>
    <w:rsid w:val="00F66FEB"/>
    <w:rsid w:val="00F671B9"/>
    <w:rsid w:val="00F673EF"/>
    <w:rsid w:val="00F67BFC"/>
    <w:rsid w:val="00F7091B"/>
    <w:rsid w:val="00F70C86"/>
    <w:rsid w:val="00F71474"/>
    <w:rsid w:val="00F71B15"/>
    <w:rsid w:val="00F726E3"/>
    <w:rsid w:val="00F72B31"/>
    <w:rsid w:val="00F7311D"/>
    <w:rsid w:val="00F73B44"/>
    <w:rsid w:val="00F73FB9"/>
    <w:rsid w:val="00F74ABA"/>
    <w:rsid w:val="00F74B69"/>
    <w:rsid w:val="00F75F80"/>
    <w:rsid w:val="00F76945"/>
    <w:rsid w:val="00F76F2C"/>
    <w:rsid w:val="00F76F55"/>
    <w:rsid w:val="00F76F8C"/>
    <w:rsid w:val="00F77B38"/>
    <w:rsid w:val="00F80FB6"/>
    <w:rsid w:val="00F80FCE"/>
    <w:rsid w:val="00F81EFD"/>
    <w:rsid w:val="00F82CF2"/>
    <w:rsid w:val="00F84B87"/>
    <w:rsid w:val="00F85453"/>
    <w:rsid w:val="00F85612"/>
    <w:rsid w:val="00F869B2"/>
    <w:rsid w:val="00F86DDD"/>
    <w:rsid w:val="00F87B57"/>
    <w:rsid w:val="00F87E30"/>
    <w:rsid w:val="00F9050F"/>
    <w:rsid w:val="00F90F1A"/>
    <w:rsid w:val="00F92442"/>
    <w:rsid w:val="00F92DAA"/>
    <w:rsid w:val="00F93B2F"/>
    <w:rsid w:val="00F93DD7"/>
    <w:rsid w:val="00F94638"/>
    <w:rsid w:val="00F959C8"/>
    <w:rsid w:val="00F96956"/>
    <w:rsid w:val="00F97AB4"/>
    <w:rsid w:val="00FA00A3"/>
    <w:rsid w:val="00FA031C"/>
    <w:rsid w:val="00FA0E81"/>
    <w:rsid w:val="00FA331F"/>
    <w:rsid w:val="00FA33D9"/>
    <w:rsid w:val="00FA3BCE"/>
    <w:rsid w:val="00FA3FC8"/>
    <w:rsid w:val="00FA53FF"/>
    <w:rsid w:val="00FA5E39"/>
    <w:rsid w:val="00FA5F6E"/>
    <w:rsid w:val="00FA627E"/>
    <w:rsid w:val="00FA6E8B"/>
    <w:rsid w:val="00FA7976"/>
    <w:rsid w:val="00FA7EB6"/>
    <w:rsid w:val="00FB0B33"/>
    <w:rsid w:val="00FB157D"/>
    <w:rsid w:val="00FB195A"/>
    <w:rsid w:val="00FB1C87"/>
    <w:rsid w:val="00FB2F36"/>
    <w:rsid w:val="00FB37B9"/>
    <w:rsid w:val="00FB3AD9"/>
    <w:rsid w:val="00FB3B72"/>
    <w:rsid w:val="00FB46CF"/>
    <w:rsid w:val="00FB4E8E"/>
    <w:rsid w:val="00FB6443"/>
    <w:rsid w:val="00FB6EF4"/>
    <w:rsid w:val="00FB7A2A"/>
    <w:rsid w:val="00FB7B3C"/>
    <w:rsid w:val="00FB7D67"/>
    <w:rsid w:val="00FC0072"/>
    <w:rsid w:val="00FC0BA8"/>
    <w:rsid w:val="00FC1B55"/>
    <w:rsid w:val="00FC2231"/>
    <w:rsid w:val="00FC2664"/>
    <w:rsid w:val="00FC27AC"/>
    <w:rsid w:val="00FC2FC3"/>
    <w:rsid w:val="00FC34E6"/>
    <w:rsid w:val="00FC3B79"/>
    <w:rsid w:val="00FC3C12"/>
    <w:rsid w:val="00FC4BB7"/>
    <w:rsid w:val="00FC5485"/>
    <w:rsid w:val="00FC580E"/>
    <w:rsid w:val="00FC6450"/>
    <w:rsid w:val="00FC653A"/>
    <w:rsid w:val="00FC7850"/>
    <w:rsid w:val="00FC7E42"/>
    <w:rsid w:val="00FD106B"/>
    <w:rsid w:val="00FD155D"/>
    <w:rsid w:val="00FD1E7D"/>
    <w:rsid w:val="00FD1FAB"/>
    <w:rsid w:val="00FD2603"/>
    <w:rsid w:val="00FD26F4"/>
    <w:rsid w:val="00FD2B26"/>
    <w:rsid w:val="00FD3472"/>
    <w:rsid w:val="00FD39CC"/>
    <w:rsid w:val="00FD3D37"/>
    <w:rsid w:val="00FD3DB2"/>
    <w:rsid w:val="00FD4A17"/>
    <w:rsid w:val="00FD5214"/>
    <w:rsid w:val="00FD576D"/>
    <w:rsid w:val="00FD6927"/>
    <w:rsid w:val="00FD6F72"/>
    <w:rsid w:val="00FD7F67"/>
    <w:rsid w:val="00FE029C"/>
    <w:rsid w:val="00FE038C"/>
    <w:rsid w:val="00FE0C34"/>
    <w:rsid w:val="00FE0F84"/>
    <w:rsid w:val="00FE138C"/>
    <w:rsid w:val="00FE14BD"/>
    <w:rsid w:val="00FE1D7F"/>
    <w:rsid w:val="00FE563F"/>
    <w:rsid w:val="00FE5E69"/>
    <w:rsid w:val="00FE64B0"/>
    <w:rsid w:val="00FE67B6"/>
    <w:rsid w:val="00FE6EC1"/>
    <w:rsid w:val="00FE7B94"/>
    <w:rsid w:val="00FE7E9E"/>
    <w:rsid w:val="00FF02DF"/>
    <w:rsid w:val="00FF0483"/>
    <w:rsid w:val="00FF0540"/>
    <w:rsid w:val="00FF1A36"/>
    <w:rsid w:val="00FF2FC7"/>
    <w:rsid w:val="00FF38AD"/>
    <w:rsid w:val="00FF3E2C"/>
    <w:rsid w:val="00FF48C1"/>
    <w:rsid w:val="00FF4C18"/>
    <w:rsid w:val="00FF534F"/>
    <w:rsid w:val="00FF54B0"/>
    <w:rsid w:val="00FF5D55"/>
    <w:rsid w:val="00FF5ED4"/>
    <w:rsid w:val="00FF60CF"/>
    <w:rsid w:val="00FF6E2B"/>
    <w:rsid w:val="00FF703C"/>
    <w:rsid w:val="01066A48"/>
    <w:rsid w:val="01080A12"/>
    <w:rsid w:val="01094808"/>
    <w:rsid w:val="010A29DC"/>
    <w:rsid w:val="010B2AF9"/>
    <w:rsid w:val="010C07D7"/>
    <w:rsid w:val="010E1780"/>
    <w:rsid w:val="01145609"/>
    <w:rsid w:val="01150CE5"/>
    <w:rsid w:val="011D2710"/>
    <w:rsid w:val="01203FAE"/>
    <w:rsid w:val="0128514C"/>
    <w:rsid w:val="012A2737"/>
    <w:rsid w:val="012B32E7"/>
    <w:rsid w:val="01315448"/>
    <w:rsid w:val="01326F3B"/>
    <w:rsid w:val="01347C2F"/>
    <w:rsid w:val="01394D41"/>
    <w:rsid w:val="01396E1E"/>
    <w:rsid w:val="013B4944"/>
    <w:rsid w:val="013D4B60"/>
    <w:rsid w:val="01437EC0"/>
    <w:rsid w:val="01483184"/>
    <w:rsid w:val="01562915"/>
    <w:rsid w:val="015754F6"/>
    <w:rsid w:val="0159009C"/>
    <w:rsid w:val="0162779C"/>
    <w:rsid w:val="0163262B"/>
    <w:rsid w:val="016814B1"/>
    <w:rsid w:val="016C0FA1"/>
    <w:rsid w:val="0179546C"/>
    <w:rsid w:val="017E784D"/>
    <w:rsid w:val="018468C7"/>
    <w:rsid w:val="018B1C01"/>
    <w:rsid w:val="018E1EA2"/>
    <w:rsid w:val="018E2B85"/>
    <w:rsid w:val="01904A93"/>
    <w:rsid w:val="01933707"/>
    <w:rsid w:val="019613A1"/>
    <w:rsid w:val="01962088"/>
    <w:rsid w:val="0196601E"/>
    <w:rsid w:val="01995B0E"/>
    <w:rsid w:val="019F652F"/>
    <w:rsid w:val="01A26771"/>
    <w:rsid w:val="01AF5332"/>
    <w:rsid w:val="01B110AA"/>
    <w:rsid w:val="01B85F94"/>
    <w:rsid w:val="01BD204C"/>
    <w:rsid w:val="01C16D3B"/>
    <w:rsid w:val="01CC1A40"/>
    <w:rsid w:val="01CD7985"/>
    <w:rsid w:val="01CF1530"/>
    <w:rsid w:val="01CF7782"/>
    <w:rsid w:val="01D011C5"/>
    <w:rsid w:val="01D23F28"/>
    <w:rsid w:val="01DD106E"/>
    <w:rsid w:val="01E0373D"/>
    <w:rsid w:val="01E322EE"/>
    <w:rsid w:val="01E626CD"/>
    <w:rsid w:val="01E925F2"/>
    <w:rsid w:val="01EE19B6"/>
    <w:rsid w:val="01EF572E"/>
    <w:rsid w:val="01F1594A"/>
    <w:rsid w:val="01F30BBC"/>
    <w:rsid w:val="01F36FCC"/>
    <w:rsid w:val="01F66931"/>
    <w:rsid w:val="01FA1688"/>
    <w:rsid w:val="01FF4D18"/>
    <w:rsid w:val="020411DA"/>
    <w:rsid w:val="02092C94"/>
    <w:rsid w:val="020A2692"/>
    <w:rsid w:val="0212505C"/>
    <w:rsid w:val="021667FB"/>
    <w:rsid w:val="021F3C5C"/>
    <w:rsid w:val="021F7DC1"/>
    <w:rsid w:val="02247ACE"/>
    <w:rsid w:val="0227263C"/>
    <w:rsid w:val="02283016"/>
    <w:rsid w:val="022C2C17"/>
    <w:rsid w:val="022E44A8"/>
    <w:rsid w:val="02355837"/>
    <w:rsid w:val="023615AF"/>
    <w:rsid w:val="02363994"/>
    <w:rsid w:val="02385327"/>
    <w:rsid w:val="024164DA"/>
    <w:rsid w:val="024261A6"/>
    <w:rsid w:val="02436F63"/>
    <w:rsid w:val="02443CCC"/>
    <w:rsid w:val="024912E2"/>
    <w:rsid w:val="02493090"/>
    <w:rsid w:val="024B6E08"/>
    <w:rsid w:val="024C492F"/>
    <w:rsid w:val="024F506A"/>
    <w:rsid w:val="02510197"/>
    <w:rsid w:val="0256755B"/>
    <w:rsid w:val="025811AF"/>
    <w:rsid w:val="02587777"/>
    <w:rsid w:val="02590DEF"/>
    <w:rsid w:val="025B006C"/>
    <w:rsid w:val="0261662C"/>
    <w:rsid w:val="0264611C"/>
    <w:rsid w:val="02692041"/>
    <w:rsid w:val="027D2D3A"/>
    <w:rsid w:val="02816CCE"/>
    <w:rsid w:val="02820350"/>
    <w:rsid w:val="028265A2"/>
    <w:rsid w:val="02895B83"/>
    <w:rsid w:val="029600E7"/>
    <w:rsid w:val="0297204E"/>
    <w:rsid w:val="02985DC6"/>
    <w:rsid w:val="029B3ED2"/>
    <w:rsid w:val="02A156BA"/>
    <w:rsid w:val="02A62291"/>
    <w:rsid w:val="02A97FD3"/>
    <w:rsid w:val="02AE327C"/>
    <w:rsid w:val="02AF383B"/>
    <w:rsid w:val="02AF7852"/>
    <w:rsid w:val="02B20C36"/>
    <w:rsid w:val="02B26E88"/>
    <w:rsid w:val="02B56978"/>
    <w:rsid w:val="02B82D67"/>
    <w:rsid w:val="02BE75F0"/>
    <w:rsid w:val="02CB1732"/>
    <w:rsid w:val="02CE3403"/>
    <w:rsid w:val="02D45050"/>
    <w:rsid w:val="02D50DC8"/>
    <w:rsid w:val="02D84414"/>
    <w:rsid w:val="02DA6E33"/>
    <w:rsid w:val="02E01C47"/>
    <w:rsid w:val="02E55A35"/>
    <w:rsid w:val="02EA4873"/>
    <w:rsid w:val="02EB05EB"/>
    <w:rsid w:val="02F0175E"/>
    <w:rsid w:val="02F27FB9"/>
    <w:rsid w:val="03021DBB"/>
    <w:rsid w:val="03045209"/>
    <w:rsid w:val="03077138"/>
    <w:rsid w:val="030A0A72"/>
    <w:rsid w:val="030B2AA8"/>
    <w:rsid w:val="0313180C"/>
    <w:rsid w:val="03152FC7"/>
    <w:rsid w:val="031C62A7"/>
    <w:rsid w:val="032079CC"/>
    <w:rsid w:val="032558AB"/>
    <w:rsid w:val="03261624"/>
    <w:rsid w:val="0328714A"/>
    <w:rsid w:val="032F2286"/>
    <w:rsid w:val="03305FFE"/>
    <w:rsid w:val="033200FC"/>
    <w:rsid w:val="03343D40"/>
    <w:rsid w:val="03422E78"/>
    <w:rsid w:val="034A70C0"/>
    <w:rsid w:val="034C1F10"/>
    <w:rsid w:val="034D5288"/>
    <w:rsid w:val="034D6BB0"/>
    <w:rsid w:val="034F0B7A"/>
    <w:rsid w:val="03511C9F"/>
    <w:rsid w:val="03547F3F"/>
    <w:rsid w:val="03573574"/>
    <w:rsid w:val="0358051C"/>
    <w:rsid w:val="035C4902"/>
    <w:rsid w:val="035E700F"/>
    <w:rsid w:val="03600692"/>
    <w:rsid w:val="0361454E"/>
    <w:rsid w:val="03630182"/>
    <w:rsid w:val="0366488A"/>
    <w:rsid w:val="03690EAC"/>
    <w:rsid w:val="036B7036"/>
    <w:rsid w:val="036C5E11"/>
    <w:rsid w:val="036D7252"/>
    <w:rsid w:val="03731012"/>
    <w:rsid w:val="037660BA"/>
    <w:rsid w:val="03782B4D"/>
    <w:rsid w:val="037B54CB"/>
    <w:rsid w:val="03850225"/>
    <w:rsid w:val="038720C2"/>
    <w:rsid w:val="038B1487"/>
    <w:rsid w:val="03960557"/>
    <w:rsid w:val="0396194E"/>
    <w:rsid w:val="03977E2B"/>
    <w:rsid w:val="039B5B6E"/>
    <w:rsid w:val="039E565E"/>
    <w:rsid w:val="03A04F32"/>
    <w:rsid w:val="03A055CA"/>
    <w:rsid w:val="03A2514E"/>
    <w:rsid w:val="03A323C4"/>
    <w:rsid w:val="03A52548"/>
    <w:rsid w:val="03AD58A1"/>
    <w:rsid w:val="03B24315"/>
    <w:rsid w:val="03BC4BD4"/>
    <w:rsid w:val="03BE360A"/>
    <w:rsid w:val="03C07382"/>
    <w:rsid w:val="03C10429"/>
    <w:rsid w:val="03C129C0"/>
    <w:rsid w:val="03C50843"/>
    <w:rsid w:val="03C74BB5"/>
    <w:rsid w:val="03CD109D"/>
    <w:rsid w:val="03CD1F8C"/>
    <w:rsid w:val="03D35307"/>
    <w:rsid w:val="03D712BE"/>
    <w:rsid w:val="03DA6A2E"/>
    <w:rsid w:val="03E05C76"/>
    <w:rsid w:val="03E26ED3"/>
    <w:rsid w:val="03E42333"/>
    <w:rsid w:val="03E5328D"/>
    <w:rsid w:val="03E7460F"/>
    <w:rsid w:val="03F4527E"/>
    <w:rsid w:val="03F90AE6"/>
    <w:rsid w:val="03FA199A"/>
    <w:rsid w:val="03FB485E"/>
    <w:rsid w:val="04016281"/>
    <w:rsid w:val="04021749"/>
    <w:rsid w:val="040E6340"/>
    <w:rsid w:val="0410290D"/>
    <w:rsid w:val="0411010C"/>
    <w:rsid w:val="04161698"/>
    <w:rsid w:val="041B2BA7"/>
    <w:rsid w:val="04221DEB"/>
    <w:rsid w:val="04226987"/>
    <w:rsid w:val="042A0CA0"/>
    <w:rsid w:val="042C2C6A"/>
    <w:rsid w:val="042E0790"/>
    <w:rsid w:val="043A064F"/>
    <w:rsid w:val="043F0BEF"/>
    <w:rsid w:val="04435A90"/>
    <w:rsid w:val="04446205"/>
    <w:rsid w:val="044A579B"/>
    <w:rsid w:val="04544215"/>
    <w:rsid w:val="04575F38"/>
    <w:rsid w:val="0458580D"/>
    <w:rsid w:val="046B100C"/>
    <w:rsid w:val="046C12B8"/>
    <w:rsid w:val="04700DA8"/>
    <w:rsid w:val="04706FFA"/>
    <w:rsid w:val="04714B20"/>
    <w:rsid w:val="047168CE"/>
    <w:rsid w:val="04796DD1"/>
    <w:rsid w:val="047F723D"/>
    <w:rsid w:val="04815948"/>
    <w:rsid w:val="048B065E"/>
    <w:rsid w:val="048C3708"/>
    <w:rsid w:val="048E5014"/>
    <w:rsid w:val="049614AC"/>
    <w:rsid w:val="049853D9"/>
    <w:rsid w:val="049C150C"/>
    <w:rsid w:val="049D12CA"/>
    <w:rsid w:val="049D3B67"/>
    <w:rsid w:val="049F168E"/>
    <w:rsid w:val="04A46CA4"/>
    <w:rsid w:val="04A86794"/>
    <w:rsid w:val="04A942BA"/>
    <w:rsid w:val="04AE367F"/>
    <w:rsid w:val="04B213C1"/>
    <w:rsid w:val="04B509E1"/>
    <w:rsid w:val="04B769D7"/>
    <w:rsid w:val="04B87D94"/>
    <w:rsid w:val="04BD1B14"/>
    <w:rsid w:val="04BD4FD8"/>
    <w:rsid w:val="04C44C50"/>
    <w:rsid w:val="04CE5ACF"/>
    <w:rsid w:val="04D31337"/>
    <w:rsid w:val="04D54F3B"/>
    <w:rsid w:val="04D94C69"/>
    <w:rsid w:val="04DF5FF1"/>
    <w:rsid w:val="04E377CC"/>
    <w:rsid w:val="04E419B4"/>
    <w:rsid w:val="04E43A59"/>
    <w:rsid w:val="04E452F2"/>
    <w:rsid w:val="04E6106A"/>
    <w:rsid w:val="04E83035"/>
    <w:rsid w:val="04E84DE3"/>
    <w:rsid w:val="04EC3924"/>
    <w:rsid w:val="04EE5708"/>
    <w:rsid w:val="04EF177E"/>
    <w:rsid w:val="04FC263C"/>
    <w:rsid w:val="04FE74A3"/>
    <w:rsid w:val="051058E9"/>
    <w:rsid w:val="05107E95"/>
    <w:rsid w:val="05121E5F"/>
    <w:rsid w:val="05184F9C"/>
    <w:rsid w:val="05191440"/>
    <w:rsid w:val="051E25B2"/>
    <w:rsid w:val="052351C0"/>
    <w:rsid w:val="05241B93"/>
    <w:rsid w:val="0526590B"/>
    <w:rsid w:val="0526646A"/>
    <w:rsid w:val="052829BA"/>
    <w:rsid w:val="053011A4"/>
    <w:rsid w:val="05301830"/>
    <w:rsid w:val="05311CF3"/>
    <w:rsid w:val="05373674"/>
    <w:rsid w:val="05394859"/>
    <w:rsid w:val="053C0C8A"/>
    <w:rsid w:val="054162A1"/>
    <w:rsid w:val="0548177D"/>
    <w:rsid w:val="05533CBE"/>
    <w:rsid w:val="05543E06"/>
    <w:rsid w:val="056015FA"/>
    <w:rsid w:val="0560706F"/>
    <w:rsid w:val="05614B95"/>
    <w:rsid w:val="0561665A"/>
    <w:rsid w:val="05616943"/>
    <w:rsid w:val="05656433"/>
    <w:rsid w:val="05705DB7"/>
    <w:rsid w:val="05726DA2"/>
    <w:rsid w:val="05793C8D"/>
    <w:rsid w:val="05795E98"/>
    <w:rsid w:val="057B176B"/>
    <w:rsid w:val="0588711B"/>
    <w:rsid w:val="0589009F"/>
    <w:rsid w:val="058F34B0"/>
    <w:rsid w:val="05926AFC"/>
    <w:rsid w:val="059C5BCD"/>
    <w:rsid w:val="05A056BD"/>
    <w:rsid w:val="05A625A8"/>
    <w:rsid w:val="05AA02EA"/>
    <w:rsid w:val="05B35E4B"/>
    <w:rsid w:val="05B63373"/>
    <w:rsid w:val="05BB24F7"/>
    <w:rsid w:val="05BB42A5"/>
    <w:rsid w:val="05C56BBF"/>
    <w:rsid w:val="05CB200E"/>
    <w:rsid w:val="05CD5D86"/>
    <w:rsid w:val="05CE0012"/>
    <w:rsid w:val="05D67331"/>
    <w:rsid w:val="05D971E1"/>
    <w:rsid w:val="05DA43D9"/>
    <w:rsid w:val="05DB66F5"/>
    <w:rsid w:val="05E27A84"/>
    <w:rsid w:val="05E732EC"/>
    <w:rsid w:val="05F263F3"/>
    <w:rsid w:val="05F814A1"/>
    <w:rsid w:val="06021ED4"/>
    <w:rsid w:val="060D4472"/>
    <w:rsid w:val="061B33AB"/>
    <w:rsid w:val="061D286A"/>
    <w:rsid w:val="062475CD"/>
    <w:rsid w:val="06287461"/>
    <w:rsid w:val="062E0F1B"/>
    <w:rsid w:val="06304C93"/>
    <w:rsid w:val="06307FED"/>
    <w:rsid w:val="063858F6"/>
    <w:rsid w:val="06420522"/>
    <w:rsid w:val="06420711"/>
    <w:rsid w:val="0645240D"/>
    <w:rsid w:val="0650515A"/>
    <w:rsid w:val="065546FA"/>
    <w:rsid w:val="065E775E"/>
    <w:rsid w:val="0664493D"/>
    <w:rsid w:val="06652463"/>
    <w:rsid w:val="06676029"/>
    <w:rsid w:val="06701B73"/>
    <w:rsid w:val="067539B5"/>
    <w:rsid w:val="067F3525"/>
    <w:rsid w:val="067F72E2"/>
    <w:rsid w:val="06862B05"/>
    <w:rsid w:val="0696086E"/>
    <w:rsid w:val="069A036D"/>
    <w:rsid w:val="069C687F"/>
    <w:rsid w:val="06A173EE"/>
    <w:rsid w:val="06A349F0"/>
    <w:rsid w:val="06AB234E"/>
    <w:rsid w:val="06AB256C"/>
    <w:rsid w:val="06AB431A"/>
    <w:rsid w:val="06AB4E25"/>
    <w:rsid w:val="06AB60C8"/>
    <w:rsid w:val="06AD37E7"/>
    <w:rsid w:val="06AF6DFB"/>
    <w:rsid w:val="06B70F10"/>
    <w:rsid w:val="06B71D57"/>
    <w:rsid w:val="06BA630B"/>
    <w:rsid w:val="06BE5BE4"/>
    <w:rsid w:val="06C851A0"/>
    <w:rsid w:val="06D3561E"/>
    <w:rsid w:val="06D53145"/>
    <w:rsid w:val="06D73361"/>
    <w:rsid w:val="06D76A5A"/>
    <w:rsid w:val="06DE2BA7"/>
    <w:rsid w:val="06DF3FC3"/>
    <w:rsid w:val="06EC048E"/>
    <w:rsid w:val="06F7539A"/>
    <w:rsid w:val="06F85085"/>
    <w:rsid w:val="06FA5CC9"/>
    <w:rsid w:val="07035F73"/>
    <w:rsid w:val="07047ECE"/>
    <w:rsid w:val="07083BAF"/>
    <w:rsid w:val="070954E4"/>
    <w:rsid w:val="070A023E"/>
    <w:rsid w:val="070B0AB9"/>
    <w:rsid w:val="070B125C"/>
    <w:rsid w:val="070B4DB8"/>
    <w:rsid w:val="070E6657"/>
    <w:rsid w:val="07112C5B"/>
    <w:rsid w:val="07117EF5"/>
    <w:rsid w:val="07132FB9"/>
    <w:rsid w:val="07140111"/>
    <w:rsid w:val="07153E89"/>
    <w:rsid w:val="071613D7"/>
    <w:rsid w:val="071D689A"/>
    <w:rsid w:val="071E2D3E"/>
    <w:rsid w:val="07245E7A"/>
    <w:rsid w:val="072F481F"/>
    <w:rsid w:val="0731167A"/>
    <w:rsid w:val="073C0184"/>
    <w:rsid w:val="073C31C4"/>
    <w:rsid w:val="07416A2C"/>
    <w:rsid w:val="074D717F"/>
    <w:rsid w:val="07512DF9"/>
    <w:rsid w:val="07533584"/>
    <w:rsid w:val="075C5614"/>
    <w:rsid w:val="075F5104"/>
    <w:rsid w:val="076072C9"/>
    <w:rsid w:val="07612C2A"/>
    <w:rsid w:val="07630750"/>
    <w:rsid w:val="07770CA3"/>
    <w:rsid w:val="0777244E"/>
    <w:rsid w:val="0778608B"/>
    <w:rsid w:val="077C61EA"/>
    <w:rsid w:val="07830DF3"/>
    <w:rsid w:val="07834DF6"/>
    <w:rsid w:val="07866B35"/>
    <w:rsid w:val="078B414B"/>
    <w:rsid w:val="078B7FF7"/>
    <w:rsid w:val="078D3A1F"/>
    <w:rsid w:val="078E1545"/>
    <w:rsid w:val="0790350F"/>
    <w:rsid w:val="079270B3"/>
    <w:rsid w:val="079A613C"/>
    <w:rsid w:val="079F5C06"/>
    <w:rsid w:val="07AA45D1"/>
    <w:rsid w:val="07AD4364"/>
    <w:rsid w:val="07AF3996"/>
    <w:rsid w:val="07B02D9F"/>
    <w:rsid w:val="07B40395"/>
    <w:rsid w:val="07B40FAC"/>
    <w:rsid w:val="07C75183"/>
    <w:rsid w:val="07CA4C73"/>
    <w:rsid w:val="07CA6A21"/>
    <w:rsid w:val="07CC0951"/>
    <w:rsid w:val="07D01B5E"/>
    <w:rsid w:val="07D6482B"/>
    <w:rsid w:val="07DC0503"/>
    <w:rsid w:val="07E00A0F"/>
    <w:rsid w:val="07E1193E"/>
    <w:rsid w:val="07E21B99"/>
    <w:rsid w:val="07E55609"/>
    <w:rsid w:val="07ED44BE"/>
    <w:rsid w:val="07F25A76"/>
    <w:rsid w:val="07F65A68"/>
    <w:rsid w:val="07F75B71"/>
    <w:rsid w:val="08064057"/>
    <w:rsid w:val="08065580"/>
    <w:rsid w:val="080D2DB2"/>
    <w:rsid w:val="08144D37"/>
    <w:rsid w:val="081E4FBF"/>
    <w:rsid w:val="08236EC5"/>
    <w:rsid w:val="08273E74"/>
    <w:rsid w:val="082962EA"/>
    <w:rsid w:val="082D0D5E"/>
    <w:rsid w:val="08395955"/>
    <w:rsid w:val="083E11BD"/>
    <w:rsid w:val="083F4F74"/>
    <w:rsid w:val="08417D02"/>
    <w:rsid w:val="08431ACB"/>
    <w:rsid w:val="084C5688"/>
    <w:rsid w:val="084E5DED"/>
    <w:rsid w:val="0854278F"/>
    <w:rsid w:val="08566507"/>
    <w:rsid w:val="085A276B"/>
    <w:rsid w:val="086700DB"/>
    <w:rsid w:val="086F3422"/>
    <w:rsid w:val="087066FC"/>
    <w:rsid w:val="08744BDF"/>
    <w:rsid w:val="087F5A5E"/>
    <w:rsid w:val="08803584"/>
    <w:rsid w:val="08805332"/>
    <w:rsid w:val="08857BBC"/>
    <w:rsid w:val="088C017B"/>
    <w:rsid w:val="088D4E43"/>
    <w:rsid w:val="088E3EF3"/>
    <w:rsid w:val="0899227D"/>
    <w:rsid w:val="089B1EC4"/>
    <w:rsid w:val="089E3A0A"/>
    <w:rsid w:val="08AC338A"/>
    <w:rsid w:val="08AF5C17"/>
    <w:rsid w:val="08B446D3"/>
    <w:rsid w:val="08B83EB5"/>
    <w:rsid w:val="08BB45BC"/>
    <w:rsid w:val="08BE081E"/>
    <w:rsid w:val="08C276F9"/>
    <w:rsid w:val="08C461D1"/>
    <w:rsid w:val="08C47661"/>
    <w:rsid w:val="08C93226"/>
    <w:rsid w:val="08CB0CA3"/>
    <w:rsid w:val="08D4043A"/>
    <w:rsid w:val="08D4468A"/>
    <w:rsid w:val="08D85F88"/>
    <w:rsid w:val="08E81855"/>
    <w:rsid w:val="08EC29C7"/>
    <w:rsid w:val="08F024B8"/>
    <w:rsid w:val="08F04266"/>
    <w:rsid w:val="08F17FDE"/>
    <w:rsid w:val="08F33D56"/>
    <w:rsid w:val="08F875BE"/>
    <w:rsid w:val="08F979E1"/>
    <w:rsid w:val="08FD1976"/>
    <w:rsid w:val="08FD4BD5"/>
    <w:rsid w:val="090221EB"/>
    <w:rsid w:val="09027FAC"/>
    <w:rsid w:val="090830A4"/>
    <w:rsid w:val="090C33A6"/>
    <w:rsid w:val="090D62B3"/>
    <w:rsid w:val="090F7036"/>
    <w:rsid w:val="090F782C"/>
    <w:rsid w:val="09121B08"/>
    <w:rsid w:val="09130AD3"/>
    <w:rsid w:val="09153C1F"/>
    <w:rsid w:val="091837BC"/>
    <w:rsid w:val="091D0DD3"/>
    <w:rsid w:val="09271661"/>
    <w:rsid w:val="092E3A4F"/>
    <w:rsid w:val="09381EAE"/>
    <w:rsid w:val="093C031A"/>
    <w:rsid w:val="0940106F"/>
    <w:rsid w:val="09413E70"/>
    <w:rsid w:val="0944289E"/>
    <w:rsid w:val="0946032A"/>
    <w:rsid w:val="09480908"/>
    <w:rsid w:val="094C3466"/>
    <w:rsid w:val="094E7493"/>
    <w:rsid w:val="0951052A"/>
    <w:rsid w:val="095446DE"/>
    <w:rsid w:val="095A5B83"/>
    <w:rsid w:val="095A6844"/>
    <w:rsid w:val="095B0C22"/>
    <w:rsid w:val="09672A54"/>
    <w:rsid w:val="09684744"/>
    <w:rsid w:val="096864F2"/>
    <w:rsid w:val="096B7D90"/>
    <w:rsid w:val="096D1D5A"/>
    <w:rsid w:val="09706D78"/>
    <w:rsid w:val="09795283"/>
    <w:rsid w:val="097E176B"/>
    <w:rsid w:val="09827DCD"/>
    <w:rsid w:val="09842C00"/>
    <w:rsid w:val="098552F6"/>
    <w:rsid w:val="098D7D07"/>
    <w:rsid w:val="0992356F"/>
    <w:rsid w:val="09925A90"/>
    <w:rsid w:val="09926E4D"/>
    <w:rsid w:val="09931095"/>
    <w:rsid w:val="099C7CF2"/>
    <w:rsid w:val="09AB63DF"/>
    <w:rsid w:val="09AB798B"/>
    <w:rsid w:val="09AC135B"/>
    <w:rsid w:val="09AC4634"/>
    <w:rsid w:val="09AF2373"/>
    <w:rsid w:val="09B10119"/>
    <w:rsid w:val="09B53677"/>
    <w:rsid w:val="09B83B0C"/>
    <w:rsid w:val="09BA2AC6"/>
    <w:rsid w:val="09BC4A90"/>
    <w:rsid w:val="09C6146A"/>
    <w:rsid w:val="09D17584"/>
    <w:rsid w:val="09D75426"/>
    <w:rsid w:val="09D85583"/>
    <w:rsid w:val="09D9119E"/>
    <w:rsid w:val="09DB5D48"/>
    <w:rsid w:val="09DC47EA"/>
    <w:rsid w:val="09E240A4"/>
    <w:rsid w:val="09E475D8"/>
    <w:rsid w:val="09EC3A40"/>
    <w:rsid w:val="09EF276F"/>
    <w:rsid w:val="09EF451D"/>
    <w:rsid w:val="09F04D02"/>
    <w:rsid w:val="09F14739"/>
    <w:rsid w:val="09F2225F"/>
    <w:rsid w:val="09FE29B2"/>
    <w:rsid w:val="0A0145E3"/>
    <w:rsid w:val="0A0A57FB"/>
    <w:rsid w:val="0A0B591F"/>
    <w:rsid w:val="0A0D1961"/>
    <w:rsid w:val="0A171CC6"/>
    <w:rsid w:val="0A1D552E"/>
    <w:rsid w:val="0A2A63E7"/>
    <w:rsid w:val="0A2F7010"/>
    <w:rsid w:val="0A3B48B9"/>
    <w:rsid w:val="0A40121D"/>
    <w:rsid w:val="0A40746F"/>
    <w:rsid w:val="0A407D85"/>
    <w:rsid w:val="0A426D43"/>
    <w:rsid w:val="0A472281"/>
    <w:rsid w:val="0A484412"/>
    <w:rsid w:val="0A4C0D82"/>
    <w:rsid w:val="0A4E5ABC"/>
    <w:rsid w:val="0A5F080B"/>
    <w:rsid w:val="0A601D71"/>
    <w:rsid w:val="0A650C83"/>
    <w:rsid w:val="0A652A31"/>
    <w:rsid w:val="0A670558"/>
    <w:rsid w:val="0A6932D7"/>
    <w:rsid w:val="0A6B77C1"/>
    <w:rsid w:val="0A747118"/>
    <w:rsid w:val="0A844475"/>
    <w:rsid w:val="0A8455AD"/>
    <w:rsid w:val="0A863B68"/>
    <w:rsid w:val="0A867BBA"/>
    <w:rsid w:val="0A8D3D36"/>
    <w:rsid w:val="0A8E1890"/>
    <w:rsid w:val="0A900A2D"/>
    <w:rsid w:val="0A911A78"/>
    <w:rsid w:val="0A9926DB"/>
    <w:rsid w:val="0A9F70DB"/>
    <w:rsid w:val="0AA2576C"/>
    <w:rsid w:val="0AA417AC"/>
    <w:rsid w:val="0AA438A7"/>
    <w:rsid w:val="0AA572D2"/>
    <w:rsid w:val="0AA96DC2"/>
    <w:rsid w:val="0AAF1EFF"/>
    <w:rsid w:val="0AB063A2"/>
    <w:rsid w:val="0AB44C7D"/>
    <w:rsid w:val="0AB85257"/>
    <w:rsid w:val="0AB87005"/>
    <w:rsid w:val="0ABB191E"/>
    <w:rsid w:val="0AC05EBA"/>
    <w:rsid w:val="0AC534D0"/>
    <w:rsid w:val="0ACA1B56"/>
    <w:rsid w:val="0ACA6D38"/>
    <w:rsid w:val="0AD07E92"/>
    <w:rsid w:val="0AD67BFB"/>
    <w:rsid w:val="0AD71885"/>
    <w:rsid w:val="0AD90E7C"/>
    <w:rsid w:val="0AE24082"/>
    <w:rsid w:val="0AEA1189"/>
    <w:rsid w:val="0AEC4F01"/>
    <w:rsid w:val="0AED49F2"/>
    <w:rsid w:val="0AF03373"/>
    <w:rsid w:val="0AF65D7F"/>
    <w:rsid w:val="0B0A115E"/>
    <w:rsid w:val="0B0A5387"/>
    <w:rsid w:val="0B0B7473"/>
    <w:rsid w:val="0B0F01F5"/>
    <w:rsid w:val="0B116715"/>
    <w:rsid w:val="0B2428ED"/>
    <w:rsid w:val="0B2529AE"/>
    <w:rsid w:val="0B26038E"/>
    <w:rsid w:val="0B2B3C7B"/>
    <w:rsid w:val="0B310B66"/>
    <w:rsid w:val="0B357B6B"/>
    <w:rsid w:val="0B370759"/>
    <w:rsid w:val="0B3C19E4"/>
    <w:rsid w:val="0B412FE6"/>
    <w:rsid w:val="0B41524D"/>
    <w:rsid w:val="0B444D3D"/>
    <w:rsid w:val="0B464611"/>
    <w:rsid w:val="0B550CF8"/>
    <w:rsid w:val="0B554854"/>
    <w:rsid w:val="0B5605CC"/>
    <w:rsid w:val="0B561090"/>
    <w:rsid w:val="0B5739B0"/>
    <w:rsid w:val="0B6251C3"/>
    <w:rsid w:val="0B63105D"/>
    <w:rsid w:val="0B642CE9"/>
    <w:rsid w:val="0B6B2219"/>
    <w:rsid w:val="0B6C0A84"/>
    <w:rsid w:val="0B705B32"/>
    <w:rsid w:val="0B7078E0"/>
    <w:rsid w:val="0B7471EA"/>
    <w:rsid w:val="0B786794"/>
    <w:rsid w:val="0B7E024F"/>
    <w:rsid w:val="0B7F5D75"/>
    <w:rsid w:val="0B837613"/>
    <w:rsid w:val="0B941820"/>
    <w:rsid w:val="0B955598"/>
    <w:rsid w:val="0B971310"/>
    <w:rsid w:val="0B9730BE"/>
    <w:rsid w:val="0B973792"/>
    <w:rsid w:val="0BAE7951"/>
    <w:rsid w:val="0BB15CFC"/>
    <w:rsid w:val="0BB3615F"/>
    <w:rsid w:val="0BB643CC"/>
    <w:rsid w:val="0BB84DE3"/>
    <w:rsid w:val="0BBC48D3"/>
    <w:rsid w:val="0BC1013B"/>
    <w:rsid w:val="0BC56019"/>
    <w:rsid w:val="0BC639A4"/>
    <w:rsid w:val="0BC83278"/>
    <w:rsid w:val="0BCB0FBA"/>
    <w:rsid w:val="0BCF2CAD"/>
    <w:rsid w:val="0BDC6284"/>
    <w:rsid w:val="0BDF6813"/>
    <w:rsid w:val="0BF027CF"/>
    <w:rsid w:val="0BF70001"/>
    <w:rsid w:val="0BF978D5"/>
    <w:rsid w:val="0BFA514F"/>
    <w:rsid w:val="0BFC73C5"/>
    <w:rsid w:val="0BFF54E7"/>
    <w:rsid w:val="0C083FBC"/>
    <w:rsid w:val="0C097569"/>
    <w:rsid w:val="0C0A1AE2"/>
    <w:rsid w:val="0C1069CD"/>
    <w:rsid w:val="0C126BE9"/>
    <w:rsid w:val="0C152FCB"/>
    <w:rsid w:val="0C160487"/>
    <w:rsid w:val="0C175FAD"/>
    <w:rsid w:val="0C1E2A2D"/>
    <w:rsid w:val="0C1F4E62"/>
    <w:rsid w:val="0C22507E"/>
    <w:rsid w:val="0C34090D"/>
    <w:rsid w:val="0C3703FE"/>
    <w:rsid w:val="0C3D1EB8"/>
    <w:rsid w:val="0C3F0CE9"/>
    <w:rsid w:val="0C3F7CB2"/>
    <w:rsid w:val="0C400913"/>
    <w:rsid w:val="0C427796"/>
    <w:rsid w:val="0C4C1587"/>
    <w:rsid w:val="0C4F3999"/>
    <w:rsid w:val="0C525237"/>
    <w:rsid w:val="0C547201"/>
    <w:rsid w:val="0C550884"/>
    <w:rsid w:val="0C594818"/>
    <w:rsid w:val="0C641D70"/>
    <w:rsid w:val="0C674149"/>
    <w:rsid w:val="0C6E3B82"/>
    <w:rsid w:val="0C6F4DCD"/>
    <w:rsid w:val="0C727A18"/>
    <w:rsid w:val="0C741652"/>
    <w:rsid w:val="0C7D42D8"/>
    <w:rsid w:val="0C853291"/>
    <w:rsid w:val="0C8973F9"/>
    <w:rsid w:val="0C8E0CA1"/>
    <w:rsid w:val="0C931AD8"/>
    <w:rsid w:val="0C97189C"/>
    <w:rsid w:val="0C985340"/>
    <w:rsid w:val="0C994C14"/>
    <w:rsid w:val="0C9B3A4F"/>
    <w:rsid w:val="0C9C4A0A"/>
    <w:rsid w:val="0CA02447"/>
    <w:rsid w:val="0CA21D1B"/>
    <w:rsid w:val="0CA8616C"/>
    <w:rsid w:val="0CAA0BCF"/>
    <w:rsid w:val="0CAE6912"/>
    <w:rsid w:val="0CB63A18"/>
    <w:rsid w:val="0CB90E13"/>
    <w:rsid w:val="0CB97065"/>
    <w:rsid w:val="0CC57E71"/>
    <w:rsid w:val="0CC71781"/>
    <w:rsid w:val="0CC779D3"/>
    <w:rsid w:val="0CCC323C"/>
    <w:rsid w:val="0CD30126"/>
    <w:rsid w:val="0CD81BE1"/>
    <w:rsid w:val="0CDB6FDB"/>
    <w:rsid w:val="0CDD71F7"/>
    <w:rsid w:val="0CE2480D"/>
    <w:rsid w:val="0CE62A84"/>
    <w:rsid w:val="0CE71E24"/>
    <w:rsid w:val="0CE916F8"/>
    <w:rsid w:val="0CF27C1D"/>
    <w:rsid w:val="0CF307C8"/>
    <w:rsid w:val="0CF32576"/>
    <w:rsid w:val="0CF4009D"/>
    <w:rsid w:val="0CFA1B57"/>
    <w:rsid w:val="0CFB142B"/>
    <w:rsid w:val="0D045593"/>
    <w:rsid w:val="0D076022"/>
    <w:rsid w:val="0D0A269D"/>
    <w:rsid w:val="0D0D2CFE"/>
    <w:rsid w:val="0D0F4ED6"/>
    <w:rsid w:val="0D1D75F3"/>
    <w:rsid w:val="0D202E11"/>
    <w:rsid w:val="0D2167C4"/>
    <w:rsid w:val="0D246BD4"/>
    <w:rsid w:val="0D270472"/>
    <w:rsid w:val="0D2B61B4"/>
    <w:rsid w:val="0D335069"/>
    <w:rsid w:val="0D34162B"/>
    <w:rsid w:val="0D35136C"/>
    <w:rsid w:val="0D355B8A"/>
    <w:rsid w:val="0D3A01A5"/>
    <w:rsid w:val="0D3C666E"/>
    <w:rsid w:val="0D3F3A0E"/>
    <w:rsid w:val="0D404FEF"/>
    <w:rsid w:val="0D430128"/>
    <w:rsid w:val="0D474670"/>
    <w:rsid w:val="0D4A4AC2"/>
    <w:rsid w:val="0D4B2102"/>
    <w:rsid w:val="0D4B23B2"/>
    <w:rsid w:val="0D4B29FE"/>
    <w:rsid w:val="0D4E75B4"/>
    <w:rsid w:val="0D502BB6"/>
    <w:rsid w:val="0D562B05"/>
    <w:rsid w:val="0D576FA9"/>
    <w:rsid w:val="0D585E47"/>
    <w:rsid w:val="0D5937C0"/>
    <w:rsid w:val="0D5972D7"/>
    <w:rsid w:val="0D5C45C0"/>
    <w:rsid w:val="0D5F2CC7"/>
    <w:rsid w:val="0D602D17"/>
    <w:rsid w:val="0D605732"/>
    <w:rsid w:val="0D6945E7"/>
    <w:rsid w:val="0D696DCC"/>
    <w:rsid w:val="0D6F7730"/>
    <w:rsid w:val="0D721847"/>
    <w:rsid w:val="0D743CCE"/>
    <w:rsid w:val="0D750857"/>
    <w:rsid w:val="0D830E03"/>
    <w:rsid w:val="0D844F76"/>
    <w:rsid w:val="0D8458C4"/>
    <w:rsid w:val="0D865CFD"/>
    <w:rsid w:val="0D8B7497"/>
    <w:rsid w:val="0D8C6527"/>
    <w:rsid w:val="0D8D4E93"/>
    <w:rsid w:val="0D906017"/>
    <w:rsid w:val="0D9553DC"/>
    <w:rsid w:val="0D992A2B"/>
    <w:rsid w:val="0DA25D4B"/>
    <w:rsid w:val="0DAB2E51"/>
    <w:rsid w:val="0DAE514D"/>
    <w:rsid w:val="0DB066B9"/>
    <w:rsid w:val="0DB75DFF"/>
    <w:rsid w:val="0DB9619A"/>
    <w:rsid w:val="0DBC5D69"/>
    <w:rsid w:val="0DBE65FF"/>
    <w:rsid w:val="0DBF68FD"/>
    <w:rsid w:val="0DC14423"/>
    <w:rsid w:val="0DC42165"/>
    <w:rsid w:val="0DD028B8"/>
    <w:rsid w:val="0DD24882"/>
    <w:rsid w:val="0DEA03BD"/>
    <w:rsid w:val="0DEF3FB0"/>
    <w:rsid w:val="0DF11314"/>
    <w:rsid w:val="0DF50570"/>
    <w:rsid w:val="0E0013EF"/>
    <w:rsid w:val="0E027503"/>
    <w:rsid w:val="0E0A5DCA"/>
    <w:rsid w:val="0E0D1416"/>
    <w:rsid w:val="0E1739B8"/>
    <w:rsid w:val="0E1924B1"/>
    <w:rsid w:val="0E1C3D4F"/>
    <w:rsid w:val="0E266744"/>
    <w:rsid w:val="0E26697C"/>
    <w:rsid w:val="0E2718C1"/>
    <w:rsid w:val="0E286250"/>
    <w:rsid w:val="0E28755C"/>
    <w:rsid w:val="0E2C2B37"/>
    <w:rsid w:val="0E2F5830"/>
    <w:rsid w:val="0E320E7D"/>
    <w:rsid w:val="0E325320"/>
    <w:rsid w:val="0E353577"/>
    <w:rsid w:val="0E3552BE"/>
    <w:rsid w:val="0E3623F7"/>
    <w:rsid w:val="0E370B89"/>
    <w:rsid w:val="0E3B5A87"/>
    <w:rsid w:val="0E425FEA"/>
    <w:rsid w:val="0E4312DC"/>
    <w:rsid w:val="0E464928"/>
    <w:rsid w:val="0E4A4418"/>
    <w:rsid w:val="0E527771"/>
    <w:rsid w:val="0E575EC1"/>
    <w:rsid w:val="0E5A54F6"/>
    <w:rsid w:val="0E5E105B"/>
    <w:rsid w:val="0E601E8E"/>
    <w:rsid w:val="0E686875"/>
    <w:rsid w:val="0E6D2076"/>
    <w:rsid w:val="0E7616B1"/>
    <w:rsid w:val="0E76520D"/>
    <w:rsid w:val="0E770F85"/>
    <w:rsid w:val="0E7D2A40"/>
    <w:rsid w:val="0E8577A9"/>
    <w:rsid w:val="0E8C2C83"/>
    <w:rsid w:val="0E8D2557"/>
    <w:rsid w:val="0EA16002"/>
    <w:rsid w:val="0EA170AA"/>
    <w:rsid w:val="0EA248AC"/>
    <w:rsid w:val="0EA37FCC"/>
    <w:rsid w:val="0EA4010F"/>
    <w:rsid w:val="0EAB7F23"/>
    <w:rsid w:val="0EAD041A"/>
    <w:rsid w:val="0EAE1E76"/>
    <w:rsid w:val="0EAE2BD9"/>
    <w:rsid w:val="0EB61AAE"/>
    <w:rsid w:val="0EB96B98"/>
    <w:rsid w:val="0EBF36D0"/>
    <w:rsid w:val="0EC20452"/>
    <w:rsid w:val="0EC22C38"/>
    <w:rsid w:val="0EC43F85"/>
    <w:rsid w:val="0EC71F0D"/>
    <w:rsid w:val="0ECA37AB"/>
    <w:rsid w:val="0ECC12D1"/>
    <w:rsid w:val="0ED14B39"/>
    <w:rsid w:val="0ED6779A"/>
    <w:rsid w:val="0ED91C40"/>
    <w:rsid w:val="0EDC2BF8"/>
    <w:rsid w:val="0EDD4F42"/>
    <w:rsid w:val="0EDF667F"/>
    <w:rsid w:val="0EDF7256"/>
    <w:rsid w:val="0EE505E5"/>
    <w:rsid w:val="0EE72544"/>
    <w:rsid w:val="0EF2164E"/>
    <w:rsid w:val="0EF80318"/>
    <w:rsid w:val="0EF820C6"/>
    <w:rsid w:val="0EFD592E"/>
    <w:rsid w:val="0EFD746F"/>
    <w:rsid w:val="0F035B83"/>
    <w:rsid w:val="0F052A35"/>
    <w:rsid w:val="0F077A4C"/>
    <w:rsid w:val="0F0A3BA7"/>
    <w:rsid w:val="0F0F7410"/>
    <w:rsid w:val="0F166D2F"/>
    <w:rsid w:val="0F213A77"/>
    <w:rsid w:val="0F2410E0"/>
    <w:rsid w:val="0F2E3D3A"/>
    <w:rsid w:val="0F3A26DF"/>
    <w:rsid w:val="0F437652"/>
    <w:rsid w:val="0F4948EC"/>
    <w:rsid w:val="0F5218DB"/>
    <w:rsid w:val="0F557518"/>
    <w:rsid w:val="0F5F0397"/>
    <w:rsid w:val="0F601A19"/>
    <w:rsid w:val="0F64150A"/>
    <w:rsid w:val="0F681B47"/>
    <w:rsid w:val="0F6972E3"/>
    <w:rsid w:val="0F6C6610"/>
    <w:rsid w:val="0F723082"/>
    <w:rsid w:val="0F735BF1"/>
    <w:rsid w:val="0F751969"/>
    <w:rsid w:val="0F7A2ADB"/>
    <w:rsid w:val="0F80613A"/>
    <w:rsid w:val="0F875BF8"/>
    <w:rsid w:val="0F8A6A96"/>
    <w:rsid w:val="0F8C0A60"/>
    <w:rsid w:val="0F8E57DC"/>
    <w:rsid w:val="0F933B9D"/>
    <w:rsid w:val="0F9E0C0B"/>
    <w:rsid w:val="0FA26822"/>
    <w:rsid w:val="0FA364D6"/>
    <w:rsid w:val="0FA7589A"/>
    <w:rsid w:val="0FAD1102"/>
    <w:rsid w:val="0FB12275"/>
    <w:rsid w:val="0FB6788B"/>
    <w:rsid w:val="0FBC4108"/>
    <w:rsid w:val="0FBD6E6C"/>
    <w:rsid w:val="0FC14BAE"/>
    <w:rsid w:val="0FC236B1"/>
    <w:rsid w:val="0FCB77DB"/>
    <w:rsid w:val="0FD04DF1"/>
    <w:rsid w:val="0FD94B70"/>
    <w:rsid w:val="0FDC3796"/>
    <w:rsid w:val="0FE1227B"/>
    <w:rsid w:val="0FE73EE9"/>
    <w:rsid w:val="0FED14FF"/>
    <w:rsid w:val="0FF24D67"/>
    <w:rsid w:val="0FF46D31"/>
    <w:rsid w:val="0FFA3C1C"/>
    <w:rsid w:val="100200A7"/>
    <w:rsid w:val="100E7925"/>
    <w:rsid w:val="101210C7"/>
    <w:rsid w:val="1016131A"/>
    <w:rsid w:val="101C64FB"/>
    <w:rsid w:val="101F18D4"/>
    <w:rsid w:val="1021389E"/>
    <w:rsid w:val="10305890"/>
    <w:rsid w:val="10321608"/>
    <w:rsid w:val="10376C1E"/>
    <w:rsid w:val="10390BE8"/>
    <w:rsid w:val="104010EA"/>
    <w:rsid w:val="104E26CE"/>
    <w:rsid w:val="104E7D16"/>
    <w:rsid w:val="10540C60"/>
    <w:rsid w:val="10594CCA"/>
    <w:rsid w:val="10594DE6"/>
    <w:rsid w:val="10685029"/>
    <w:rsid w:val="10741C20"/>
    <w:rsid w:val="10765998"/>
    <w:rsid w:val="107B329C"/>
    <w:rsid w:val="107C0AD5"/>
    <w:rsid w:val="107F0312"/>
    <w:rsid w:val="10832C30"/>
    <w:rsid w:val="10832EE3"/>
    <w:rsid w:val="108654B0"/>
    <w:rsid w:val="108C6F6A"/>
    <w:rsid w:val="109059C3"/>
    <w:rsid w:val="10905CD8"/>
    <w:rsid w:val="10953A67"/>
    <w:rsid w:val="109745B6"/>
    <w:rsid w:val="109C2F25"/>
    <w:rsid w:val="10AD7440"/>
    <w:rsid w:val="10B14C22"/>
    <w:rsid w:val="10B27DBC"/>
    <w:rsid w:val="10B4260B"/>
    <w:rsid w:val="10BB33AB"/>
    <w:rsid w:val="10BC7123"/>
    <w:rsid w:val="10C02CE5"/>
    <w:rsid w:val="10C304B2"/>
    <w:rsid w:val="10C67196"/>
    <w:rsid w:val="10C81F6C"/>
    <w:rsid w:val="10CE0ECA"/>
    <w:rsid w:val="10D73F5D"/>
    <w:rsid w:val="10DD4DDE"/>
    <w:rsid w:val="10DD77C5"/>
    <w:rsid w:val="10DF33CB"/>
    <w:rsid w:val="10E50428"/>
    <w:rsid w:val="10EB7E81"/>
    <w:rsid w:val="10ED6EA5"/>
    <w:rsid w:val="10EE003C"/>
    <w:rsid w:val="10F66AD9"/>
    <w:rsid w:val="10F93ED3"/>
    <w:rsid w:val="10FB1780"/>
    <w:rsid w:val="10FB40F0"/>
    <w:rsid w:val="110411F6"/>
    <w:rsid w:val="110416CA"/>
    <w:rsid w:val="11047F89"/>
    <w:rsid w:val="110C29FA"/>
    <w:rsid w:val="110F36F7"/>
    <w:rsid w:val="11114A51"/>
    <w:rsid w:val="1115115A"/>
    <w:rsid w:val="111B02EE"/>
    <w:rsid w:val="111E393A"/>
    <w:rsid w:val="112006F6"/>
    <w:rsid w:val="112518E3"/>
    <w:rsid w:val="11254147"/>
    <w:rsid w:val="11274A63"/>
    <w:rsid w:val="11292A0B"/>
    <w:rsid w:val="112C076E"/>
    <w:rsid w:val="112E6273"/>
    <w:rsid w:val="11325DA5"/>
    <w:rsid w:val="113A2A01"/>
    <w:rsid w:val="113C092E"/>
    <w:rsid w:val="113F5831"/>
    <w:rsid w:val="1143764E"/>
    <w:rsid w:val="114D3F9C"/>
    <w:rsid w:val="114F7F97"/>
    <w:rsid w:val="1154735C"/>
    <w:rsid w:val="11567578"/>
    <w:rsid w:val="11586695"/>
    <w:rsid w:val="115F642C"/>
    <w:rsid w:val="11635DDC"/>
    <w:rsid w:val="11644F67"/>
    <w:rsid w:val="116B3023"/>
    <w:rsid w:val="116D71F8"/>
    <w:rsid w:val="117479FE"/>
    <w:rsid w:val="117F6ACF"/>
    <w:rsid w:val="118C6A91"/>
    <w:rsid w:val="118E286E"/>
    <w:rsid w:val="119423A3"/>
    <w:rsid w:val="119E525C"/>
    <w:rsid w:val="11A402E3"/>
    <w:rsid w:val="11A4040E"/>
    <w:rsid w:val="11A70D04"/>
    <w:rsid w:val="11A77DD3"/>
    <w:rsid w:val="11AD2C95"/>
    <w:rsid w:val="11AE2F10"/>
    <w:rsid w:val="11B36778"/>
    <w:rsid w:val="11BD1052"/>
    <w:rsid w:val="11BD333C"/>
    <w:rsid w:val="11C95F9C"/>
    <w:rsid w:val="11CC6EBD"/>
    <w:rsid w:val="11CE35B2"/>
    <w:rsid w:val="11D16BFE"/>
    <w:rsid w:val="11D73F28"/>
    <w:rsid w:val="11D8503F"/>
    <w:rsid w:val="11DA1F57"/>
    <w:rsid w:val="11DC0CEA"/>
    <w:rsid w:val="11DC5CCF"/>
    <w:rsid w:val="11DD55A3"/>
    <w:rsid w:val="11E2739D"/>
    <w:rsid w:val="11F254F3"/>
    <w:rsid w:val="11F31F18"/>
    <w:rsid w:val="11F528ED"/>
    <w:rsid w:val="11F954F0"/>
    <w:rsid w:val="11FF52A7"/>
    <w:rsid w:val="12024E68"/>
    <w:rsid w:val="120D392E"/>
    <w:rsid w:val="12106DA0"/>
    <w:rsid w:val="121C60CC"/>
    <w:rsid w:val="12307DC9"/>
    <w:rsid w:val="12312063"/>
    <w:rsid w:val="1235718D"/>
    <w:rsid w:val="12376618"/>
    <w:rsid w:val="123C676E"/>
    <w:rsid w:val="123F000C"/>
    <w:rsid w:val="124949E7"/>
    <w:rsid w:val="124D097B"/>
    <w:rsid w:val="1252425B"/>
    <w:rsid w:val="12616CD8"/>
    <w:rsid w:val="12695089"/>
    <w:rsid w:val="12695EC5"/>
    <w:rsid w:val="127D7762"/>
    <w:rsid w:val="127E0B34"/>
    <w:rsid w:val="127E6D86"/>
    <w:rsid w:val="1280154D"/>
    <w:rsid w:val="1283439D"/>
    <w:rsid w:val="1283614B"/>
    <w:rsid w:val="12837EF9"/>
    <w:rsid w:val="128924DC"/>
    <w:rsid w:val="128D4230"/>
    <w:rsid w:val="128E689D"/>
    <w:rsid w:val="12940358"/>
    <w:rsid w:val="129640D0"/>
    <w:rsid w:val="12A21BF2"/>
    <w:rsid w:val="12A70891"/>
    <w:rsid w:val="12AA6585"/>
    <w:rsid w:val="12B44556"/>
    <w:rsid w:val="12BA7692"/>
    <w:rsid w:val="12BE7183"/>
    <w:rsid w:val="12C573FF"/>
    <w:rsid w:val="12C64289"/>
    <w:rsid w:val="12D06EB6"/>
    <w:rsid w:val="12D1335A"/>
    <w:rsid w:val="12D568D7"/>
    <w:rsid w:val="12D9068F"/>
    <w:rsid w:val="12DC3AAD"/>
    <w:rsid w:val="12E0359D"/>
    <w:rsid w:val="12E3142B"/>
    <w:rsid w:val="12E82452"/>
    <w:rsid w:val="12E869AC"/>
    <w:rsid w:val="12EF1A32"/>
    <w:rsid w:val="12F22131"/>
    <w:rsid w:val="12F86B39"/>
    <w:rsid w:val="12FA4174"/>
    <w:rsid w:val="13037AFF"/>
    <w:rsid w:val="13070594"/>
    <w:rsid w:val="13081E9E"/>
    <w:rsid w:val="13082AF4"/>
    <w:rsid w:val="130A23C8"/>
    <w:rsid w:val="130A36C0"/>
    <w:rsid w:val="130C25E4"/>
    <w:rsid w:val="13114A30"/>
    <w:rsid w:val="13171183"/>
    <w:rsid w:val="131C6F65"/>
    <w:rsid w:val="131D659F"/>
    <w:rsid w:val="131E6360"/>
    <w:rsid w:val="13206AA2"/>
    <w:rsid w:val="13272F7A"/>
    <w:rsid w:val="132C233E"/>
    <w:rsid w:val="13330B4B"/>
    <w:rsid w:val="133833D9"/>
    <w:rsid w:val="13440AFE"/>
    <w:rsid w:val="13454A16"/>
    <w:rsid w:val="13491142"/>
    <w:rsid w:val="134933C7"/>
    <w:rsid w:val="13495C7E"/>
    <w:rsid w:val="134C0C32"/>
    <w:rsid w:val="13525B1D"/>
    <w:rsid w:val="13545D39"/>
    <w:rsid w:val="13581385"/>
    <w:rsid w:val="135B0E75"/>
    <w:rsid w:val="135D2E40"/>
    <w:rsid w:val="136202C9"/>
    <w:rsid w:val="13637D2A"/>
    <w:rsid w:val="13655850"/>
    <w:rsid w:val="136C3083"/>
    <w:rsid w:val="136C7AF4"/>
    <w:rsid w:val="136E2957"/>
    <w:rsid w:val="136F66CF"/>
    <w:rsid w:val="13743CE5"/>
    <w:rsid w:val="137837D5"/>
    <w:rsid w:val="137A2642"/>
    <w:rsid w:val="137F4B64"/>
    <w:rsid w:val="13805A3A"/>
    <w:rsid w:val="138165B6"/>
    <w:rsid w:val="13833F28"/>
    <w:rsid w:val="13873911"/>
    <w:rsid w:val="138D5A2F"/>
    <w:rsid w:val="138E2FF9"/>
    <w:rsid w:val="13936861"/>
    <w:rsid w:val="13974D45"/>
    <w:rsid w:val="13A02D05"/>
    <w:rsid w:val="13B00075"/>
    <w:rsid w:val="13B77A3B"/>
    <w:rsid w:val="13B862C8"/>
    <w:rsid w:val="13BB79E5"/>
    <w:rsid w:val="13BF7656"/>
    <w:rsid w:val="13C317B7"/>
    <w:rsid w:val="13C36177"/>
    <w:rsid w:val="13CE7C08"/>
    <w:rsid w:val="13D259D6"/>
    <w:rsid w:val="13D334C9"/>
    <w:rsid w:val="13D36C5E"/>
    <w:rsid w:val="13DD188A"/>
    <w:rsid w:val="13E10270"/>
    <w:rsid w:val="13E20728"/>
    <w:rsid w:val="13E61511"/>
    <w:rsid w:val="13E7305A"/>
    <w:rsid w:val="13EC79B4"/>
    <w:rsid w:val="13EE1CEA"/>
    <w:rsid w:val="13F15336"/>
    <w:rsid w:val="13F155AF"/>
    <w:rsid w:val="13F433FE"/>
    <w:rsid w:val="13F866C4"/>
    <w:rsid w:val="13FD3CDB"/>
    <w:rsid w:val="13FF0056"/>
    <w:rsid w:val="13FF5CA5"/>
    <w:rsid w:val="14025795"/>
    <w:rsid w:val="1404150D"/>
    <w:rsid w:val="140B355C"/>
    <w:rsid w:val="140E09E5"/>
    <w:rsid w:val="14117786"/>
    <w:rsid w:val="14157276"/>
    <w:rsid w:val="141A488D"/>
    <w:rsid w:val="141B24D5"/>
    <w:rsid w:val="141E0211"/>
    <w:rsid w:val="143D3349"/>
    <w:rsid w:val="1440211B"/>
    <w:rsid w:val="14445DAD"/>
    <w:rsid w:val="14447B5C"/>
    <w:rsid w:val="144722AA"/>
    <w:rsid w:val="145204CA"/>
    <w:rsid w:val="14531B4D"/>
    <w:rsid w:val="14551D69"/>
    <w:rsid w:val="14586C61"/>
    <w:rsid w:val="145C60CF"/>
    <w:rsid w:val="1461426A"/>
    <w:rsid w:val="14692F06"/>
    <w:rsid w:val="146975C2"/>
    <w:rsid w:val="146A5814"/>
    <w:rsid w:val="146E09ED"/>
    <w:rsid w:val="146F2E2A"/>
    <w:rsid w:val="147026FF"/>
    <w:rsid w:val="14753CC2"/>
    <w:rsid w:val="14757B22"/>
    <w:rsid w:val="147D6BCA"/>
    <w:rsid w:val="147D7EAE"/>
    <w:rsid w:val="147E4E1C"/>
    <w:rsid w:val="147F6DE6"/>
    <w:rsid w:val="14832432"/>
    <w:rsid w:val="14943E0F"/>
    <w:rsid w:val="1497412F"/>
    <w:rsid w:val="149E54BE"/>
    <w:rsid w:val="14A35840"/>
    <w:rsid w:val="14A377CB"/>
    <w:rsid w:val="14A423A8"/>
    <w:rsid w:val="14BA1BCC"/>
    <w:rsid w:val="14BB6147"/>
    <w:rsid w:val="14BE346A"/>
    <w:rsid w:val="14BF2B96"/>
    <w:rsid w:val="14C111AC"/>
    <w:rsid w:val="14C33176"/>
    <w:rsid w:val="14C36CD2"/>
    <w:rsid w:val="14C45D7E"/>
    <w:rsid w:val="14C52A4A"/>
    <w:rsid w:val="14C54BB4"/>
    <w:rsid w:val="14C81A92"/>
    <w:rsid w:val="14CA037D"/>
    <w:rsid w:val="14CC4B3C"/>
    <w:rsid w:val="14D07641"/>
    <w:rsid w:val="14D1061F"/>
    <w:rsid w:val="14D44347"/>
    <w:rsid w:val="14D507B4"/>
    <w:rsid w:val="14D94748"/>
    <w:rsid w:val="14DC1B42"/>
    <w:rsid w:val="14DE0216"/>
    <w:rsid w:val="14DE58BA"/>
    <w:rsid w:val="14E31122"/>
    <w:rsid w:val="14EB6229"/>
    <w:rsid w:val="14F15EFC"/>
    <w:rsid w:val="14F72E20"/>
    <w:rsid w:val="14FD3553"/>
    <w:rsid w:val="14FE5F5C"/>
    <w:rsid w:val="15000793"/>
    <w:rsid w:val="15001CD4"/>
    <w:rsid w:val="15015A4D"/>
    <w:rsid w:val="15051099"/>
    <w:rsid w:val="150D2643"/>
    <w:rsid w:val="15177431"/>
    <w:rsid w:val="151B539B"/>
    <w:rsid w:val="151E65FF"/>
    <w:rsid w:val="151F51CF"/>
    <w:rsid w:val="15237771"/>
    <w:rsid w:val="1525101E"/>
    <w:rsid w:val="15263A3E"/>
    <w:rsid w:val="15270331"/>
    <w:rsid w:val="152705BC"/>
    <w:rsid w:val="152E1787"/>
    <w:rsid w:val="153100E0"/>
    <w:rsid w:val="1534372C"/>
    <w:rsid w:val="153E45AB"/>
    <w:rsid w:val="153F5340"/>
    <w:rsid w:val="15451DDD"/>
    <w:rsid w:val="1546345F"/>
    <w:rsid w:val="15493F46"/>
    <w:rsid w:val="154A0C40"/>
    <w:rsid w:val="154D47EE"/>
    <w:rsid w:val="155618F4"/>
    <w:rsid w:val="155B46E3"/>
    <w:rsid w:val="155C2C36"/>
    <w:rsid w:val="155D6F13"/>
    <w:rsid w:val="156009C5"/>
    <w:rsid w:val="15605210"/>
    <w:rsid w:val="15613053"/>
    <w:rsid w:val="15655FDB"/>
    <w:rsid w:val="15695ACC"/>
    <w:rsid w:val="156A0E93"/>
    <w:rsid w:val="157224A6"/>
    <w:rsid w:val="15761F97"/>
    <w:rsid w:val="157905F8"/>
    <w:rsid w:val="1582093B"/>
    <w:rsid w:val="15841A39"/>
    <w:rsid w:val="158A77F0"/>
    <w:rsid w:val="15932A1F"/>
    <w:rsid w:val="159F14ED"/>
    <w:rsid w:val="15A11D9D"/>
    <w:rsid w:val="15A17689"/>
    <w:rsid w:val="15A20227"/>
    <w:rsid w:val="15AB60E4"/>
    <w:rsid w:val="15AC7766"/>
    <w:rsid w:val="15B3484C"/>
    <w:rsid w:val="15B718AB"/>
    <w:rsid w:val="15C86CDD"/>
    <w:rsid w:val="15C9656A"/>
    <w:rsid w:val="15CA22E2"/>
    <w:rsid w:val="15E07FAE"/>
    <w:rsid w:val="15E6711C"/>
    <w:rsid w:val="15E855D7"/>
    <w:rsid w:val="15EA64E1"/>
    <w:rsid w:val="15EF3AF7"/>
    <w:rsid w:val="15F86E50"/>
    <w:rsid w:val="15FC2B6A"/>
    <w:rsid w:val="15FD6214"/>
    <w:rsid w:val="15FF1F8C"/>
    <w:rsid w:val="16006C37"/>
    <w:rsid w:val="16073338"/>
    <w:rsid w:val="1609105D"/>
    <w:rsid w:val="16094BB9"/>
    <w:rsid w:val="16136F08"/>
    <w:rsid w:val="161A0B74"/>
    <w:rsid w:val="161D01D5"/>
    <w:rsid w:val="162714E3"/>
    <w:rsid w:val="162D2CD7"/>
    <w:rsid w:val="162D573E"/>
    <w:rsid w:val="162F4336"/>
    <w:rsid w:val="1632088E"/>
    <w:rsid w:val="16353C00"/>
    <w:rsid w:val="16354792"/>
    <w:rsid w:val="163D4862"/>
    <w:rsid w:val="164107F7"/>
    <w:rsid w:val="164125A5"/>
    <w:rsid w:val="16491459"/>
    <w:rsid w:val="164D719B"/>
    <w:rsid w:val="16526560"/>
    <w:rsid w:val="165A3A18"/>
    <w:rsid w:val="166444E5"/>
    <w:rsid w:val="16663DB9"/>
    <w:rsid w:val="16664C4C"/>
    <w:rsid w:val="166A38C9"/>
    <w:rsid w:val="166B13D0"/>
    <w:rsid w:val="166E0EC0"/>
    <w:rsid w:val="166E163C"/>
    <w:rsid w:val="166E331E"/>
    <w:rsid w:val="167026D5"/>
    <w:rsid w:val="16794B55"/>
    <w:rsid w:val="167D6DB2"/>
    <w:rsid w:val="167E01FF"/>
    <w:rsid w:val="167F4057"/>
    <w:rsid w:val="16823791"/>
    <w:rsid w:val="16832BBD"/>
    <w:rsid w:val="16873D30"/>
    <w:rsid w:val="16881402"/>
    <w:rsid w:val="168B3A44"/>
    <w:rsid w:val="168D7598"/>
    <w:rsid w:val="16914446"/>
    <w:rsid w:val="16934DE0"/>
    <w:rsid w:val="169528F0"/>
    <w:rsid w:val="16953304"/>
    <w:rsid w:val="169E17A5"/>
    <w:rsid w:val="169F1079"/>
    <w:rsid w:val="16A15948"/>
    <w:rsid w:val="16A17193"/>
    <w:rsid w:val="16A21074"/>
    <w:rsid w:val="16A24B17"/>
    <w:rsid w:val="16AA2483"/>
    <w:rsid w:val="16AD5139"/>
    <w:rsid w:val="16B32233"/>
    <w:rsid w:val="16BF171B"/>
    <w:rsid w:val="16C64858"/>
    <w:rsid w:val="16CB627D"/>
    <w:rsid w:val="16CB6312"/>
    <w:rsid w:val="16CF0D57"/>
    <w:rsid w:val="16D1425A"/>
    <w:rsid w:val="16D231FD"/>
    <w:rsid w:val="16D30781"/>
    <w:rsid w:val="16D36F75"/>
    <w:rsid w:val="16D97F29"/>
    <w:rsid w:val="16DA6555"/>
    <w:rsid w:val="16DE0A1B"/>
    <w:rsid w:val="16DF591A"/>
    <w:rsid w:val="16E12EBC"/>
    <w:rsid w:val="16E66CA8"/>
    <w:rsid w:val="16EC0753"/>
    <w:rsid w:val="16F65AEF"/>
    <w:rsid w:val="16FD6031"/>
    <w:rsid w:val="16FF7D6A"/>
    <w:rsid w:val="17013326"/>
    <w:rsid w:val="17013AE2"/>
    <w:rsid w:val="17045380"/>
    <w:rsid w:val="1706559C"/>
    <w:rsid w:val="17084E70"/>
    <w:rsid w:val="170878B8"/>
    <w:rsid w:val="170F61FF"/>
    <w:rsid w:val="17111128"/>
    <w:rsid w:val="17127A9D"/>
    <w:rsid w:val="17190E2C"/>
    <w:rsid w:val="171D6872"/>
    <w:rsid w:val="172F68A1"/>
    <w:rsid w:val="17306175"/>
    <w:rsid w:val="17334A86"/>
    <w:rsid w:val="17365BCD"/>
    <w:rsid w:val="17393D38"/>
    <w:rsid w:val="173F12DE"/>
    <w:rsid w:val="174437BC"/>
    <w:rsid w:val="174B0F64"/>
    <w:rsid w:val="17573B63"/>
    <w:rsid w:val="1759391E"/>
    <w:rsid w:val="175B20F3"/>
    <w:rsid w:val="175C2955"/>
    <w:rsid w:val="175D5335"/>
    <w:rsid w:val="17654071"/>
    <w:rsid w:val="176779C5"/>
    <w:rsid w:val="176C7196"/>
    <w:rsid w:val="17744424"/>
    <w:rsid w:val="177469AA"/>
    <w:rsid w:val="17771E61"/>
    <w:rsid w:val="177B5642"/>
    <w:rsid w:val="17846BFD"/>
    <w:rsid w:val="17864105"/>
    <w:rsid w:val="178D35C8"/>
    <w:rsid w:val="178E66A5"/>
    <w:rsid w:val="178F2402"/>
    <w:rsid w:val="178F7340"/>
    <w:rsid w:val="17930FB9"/>
    <w:rsid w:val="179314B4"/>
    <w:rsid w:val="179606CE"/>
    <w:rsid w:val="17965CD5"/>
    <w:rsid w:val="179C102A"/>
    <w:rsid w:val="179D1A5D"/>
    <w:rsid w:val="179D35E7"/>
    <w:rsid w:val="17A513B0"/>
    <w:rsid w:val="17A80401"/>
    <w:rsid w:val="17A821AF"/>
    <w:rsid w:val="17A96653"/>
    <w:rsid w:val="17AD77C6"/>
    <w:rsid w:val="17B6195E"/>
    <w:rsid w:val="17B84AE8"/>
    <w:rsid w:val="17C0574B"/>
    <w:rsid w:val="17C96826"/>
    <w:rsid w:val="17CA0378"/>
    <w:rsid w:val="17CF598E"/>
    <w:rsid w:val="17D2722C"/>
    <w:rsid w:val="17D47448"/>
    <w:rsid w:val="17D631C0"/>
    <w:rsid w:val="17D73367"/>
    <w:rsid w:val="17D77080"/>
    <w:rsid w:val="17E70F2A"/>
    <w:rsid w:val="17EC6CE1"/>
    <w:rsid w:val="17EF7DDE"/>
    <w:rsid w:val="17F13B56"/>
    <w:rsid w:val="17F378CF"/>
    <w:rsid w:val="17FB49D5"/>
    <w:rsid w:val="17FD4E6A"/>
    <w:rsid w:val="17FD699F"/>
    <w:rsid w:val="1809529B"/>
    <w:rsid w:val="180A4C18"/>
    <w:rsid w:val="180E6167"/>
    <w:rsid w:val="18167A61"/>
    <w:rsid w:val="181A30AD"/>
    <w:rsid w:val="181B5077"/>
    <w:rsid w:val="18253800"/>
    <w:rsid w:val="183D4FEE"/>
    <w:rsid w:val="18502F73"/>
    <w:rsid w:val="1850765B"/>
    <w:rsid w:val="18510A99"/>
    <w:rsid w:val="18550589"/>
    <w:rsid w:val="18624A54"/>
    <w:rsid w:val="186802BC"/>
    <w:rsid w:val="1869193F"/>
    <w:rsid w:val="186C142F"/>
    <w:rsid w:val="187230A6"/>
    <w:rsid w:val="18734821"/>
    <w:rsid w:val="1876405C"/>
    <w:rsid w:val="188D1AD1"/>
    <w:rsid w:val="188E687B"/>
    <w:rsid w:val="1890336F"/>
    <w:rsid w:val="1890511D"/>
    <w:rsid w:val="189A41EE"/>
    <w:rsid w:val="189A735D"/>
    <w:rsid w:val="189C7F66"/>
    <w:rsid w:val="18A230A3"/>
    <w:rsid w:val="18A262B3"/>
    <w:rsid w:val="18A62B93"/>
    <w:rsid w:val="18AB79B6"/>
    <w:rsid w:val="18AD3F21"/>
    <w:rsid w:val="18B0756E"/>
    <w:rsid w:val="18B143A6"/>
    <w:rsid w:val="18B54B84"/>
    <w:rsid w:val="18B76CDF"/>
    <w:rsid w:val="18BC3B0A"/>
    <w:rsid w:val="18BE612E"/>
    <w:rsid w:val="18C1177B"/>
    <w:rsid w:val="18C354F3"/>
    <w:rsid w:val="18C36C68"/>
    <w:rsid w:val="18C4126B"/>
    <w:rsid w:val="18C70CEC"/>
    <w:rsid w:val="18C73EE5"/>
    <w:rsid w:val="18CD0120"/>
    <w:rsid w:val="18DE2845"/>
    <w:rsid w:val="18DF7EE0"/>
    <w:rsid w:val="18E13D43"/>
    <w:rsid w:val="18E544DC"/>
    <w:rsid w:val="18E96D3B"/>
    <w:rsid w:val="18EB2C9C"/>
    <w:rsid w:val="18EE7016"/>
    <w:rsid w:val="18F71640"/>
    <w:rsid w:val="18F7519C"/>
    <w:rsid w:val="18FD70D6"/>
    <w:rsid w:val="18FE652B"/>
    <w:rsid w:val="19045B0B"/>
    <w:rsid w:val="190F698A"/>
    <w:rsid w:val="1910625E"/>
    <w:rsid w:val="19145D4E"/>
    <w:rsid w:val="19157D18"/>
    <w:rsid w:val="19164CA2"/>
    <w:rsid w:val="191B3154"/>
    <w:rsid w:val="191F46F3"/>
    <w:rsid w:val="19287A4C"/>
    <w:rsid w:val="19313B8D"/>
    <w:rsid w:val="193208CA"/>
    <w:rsid w:val="193261D5"/>
    <w:rsid w:val="193463F1"/>
    <w:rsid w:val="19397AAF"/>
    <w:rsid w:val="193E7F56"/>
    <w:rsid w:val="19406B43"/>
    <w:rsid w:val="19480D61"/>
    <w:rsid w:val="194975A4"/>
    <w:rsid w:val="19533227"/>
    <w:rsid w:val="19570331"/>
    <w:rsid w:val="19573E8D"/>
    <w:rsid w:val="19581AD5"/>
    <w:rsid w:val="195B19B9"/>
    <w:rsid w:val="19611588"/>
    <w:rsid w:val="196315DB"/>
    <w:rsid w:val="196D1903"/>
    <w:rsid w:val="196D545F"/>
    <w:rsid w:val="197202C2"/>
    <w:rsid w:val="197607B7"/>
    <w:rsid w:val="197B5DCD"/>
    <w:rsid w:val="19876D0F"/>
    <w:rsid w:val="1988673C"/>
    <w:rsid w:val="19940C3D"/>
    <w:rsid w:val="19946E8F"/>
    <w:rsid w:val="1997072D"/>
    <w:rsid w:val="1998697F"/>
    <w:rsid w:val="199944A6"/>
    <w:rsid w:val="199E7931"/>
    <w:rsid w:val="19A31619"/>
    <w:rsid w:val="19A37CFA"/>
    <w:rsid w:val="19A54345"/>
    <w:rsid w:val="19A7540A"/>
    <w:rsid w:val="19A83F01"/>
    <w:rsid w:val="19A8745A"/>
    <w:rsid w:val="19AA220F"/>
    <w:rsid w:val="19B60BB4"/>
    <w:rsid w:val="19BA0C94"/>
    <w:rsid w:val="19BD019E"/>
    <w:rsid w:val="19C14B13"/>
    <w:rsid w:val="19C2199A"/>
    <w:rsid w:val="19C534ED"/>
    <w:rsid w:val="19C90EF2"/>
    <w:rsid w:val="19CC5BD5"/>
    <w:rsid w:val="19D0105F"/>
    <w:rsid w:val="19D11E91"/>
    <w:rsid w:val="19E27BFB"/>
    <w:rsid w:val="19E971DB"/>
    <w:rsid w:val="19FA13E8"/>
    <w:rsid w:val="1A02029D"/>
    <w:rsid w:val="1A077661"/>
    <w:rsid w:val="1A107268"/>
    <w:rsid w:val="1A12351C"/>
    <w:rsid w:val="1A18361C"/>
    <w:rsid w:val="1A1A39CF"/>
    <w:rsid w:val="1A253F8B"/>
    <w:rsid w:val="1A2C188E"/>
    <w:rsid w:val="1A300DC6"/>
    <w:rsid w:val="1A31185F"/>
    <w:rsid w:val="1A351413"/>
    <w:rsid w:val="1A3D7527"/>
    <w:rsid w:val="1A4227F8"/>
    <w:rsid w:val="1A4408B5"/>
    <w:rsid w:val="1A4C6DBB"/>
    <w:rsid w:val="1A4E41D5"/>
    <w:rsid w:val="1A516B2E"/>
    <w:rsid w:val="1A543DEA"/>
    <w:rsid w:val="1A554870"/>
    <w:rsid w:val="1A58610F"/>
    <w:rsid w:val="1A617515"/>
    <w:rsid w:val="1A654388"/>
    <w:rsid w:val="1A68075F"/>
    <w:rsid w:val="1A6C3968"/>
    <w:rsid w:val="1A6E5932"/>
    <w:rsid w:val="1A7174D1"/>
    <w:rsid w:val="1A7D5B75"/>
    <w:rsid w:val="1A7F369B"/>
    <w:rsid w:val="1A850666"/>
    <w:rsid w:val="1A880B5F"/>
    <w:rsid w:val="1A890438"/>
    <w:rsid w:val="1A907657"/>
    <w:rsid w:val="1A990BD3"/>
    <w:rsid w:val="1A9F789A"/>
    <w:rsid w:val="1AA749A0"/>
    <w:rsid w:val="1AAC65AB"/>
    <w:rsid w:val="1AB07444"/>
    <w:rsid w:val="1AB217D3"/>
    <w:rsid w:val="1AB53FA1"/>
    <w:rsid w:val="1AB570BD"/>
    <w:rsid w:val="1ABE298D"/>
    <w:rsid w:val="1ABF7F3C"/>
    <w:rsid w:val="1AC57B19"/>
    <w:rsid w:val="1ACD08AB"/>
    <w:rsid w:val="1ACD5330"/>
    <w:rsid w:val="1ACE017F"/>
    <w:rsid w:val="1ACF1846"/>
    <w:rsid w:val="1AD03EF7"/>
    <w:rsid w:val="1AD334D8"/>
    <w:rsid w:val="1AD43080"/>
    <w:rsid w:val="1ADA6B24"/>
    <w:rsid w:val="1AE45BF4"/>
    <w:rsid w:val="1AED4AA9"/>
    <w:rsid w:val="1AEF59D8"/>
    <w:rsid w:val="1B0167A6"/>
    <w:rsid w:val="1B052639"/>
    <w:rsid w:val="1B0911B7"/>
    <w:rsid w:val="1B1F6592"/>
    <w:rsid w:val="1B256925"/>
    <w:rsid w:val="1B277405"/>
    <w:rsid w:val="1B28788F"/>
    <w:rsid w:val="1B2915DB"/>
    <w:rsid w:val="1B2942A8"/>
    <w:rsid w:val="1B2D785E"/>
    <w:rsid w:val="1B352414"/>
    <w:rsid w:val="1B3A34BE"/>
    <w:rsid w:val="1B3A3A66"/>
    <w:rsid w:val="1B3D6EF4"/>
    <w:rsid w:val="1B3E1D60"/>
    <w:rsid w:val="1B416BA3"/>
    <w:rsid w:val="1B430D6D"/>
    <w:rsid w:val="1B440441"/>
    <w:rsid w:val="1B4B7CF3"/>
    <w:rsid w:val="1B4F6E1F"/>
    <w:rsid w:val="1B5178FA"/>
    <w:rsid w:val="1B522B5E"/>
    <w:rsid w:val="1B5B2BF4"/>
    <w:rsid w:val="1B5B5EB7"/>
    <w:rsid w:val="1B617245"/>
    <w:rsid w:val="1B6A154A"/>
    <w:rsid w:val="1B6B6A6E"/>
    <w:rsid w:val="1B707488"/>
    <w:rsid w:val="1B713F72"/>
    <w:rsid w:val="1B7326B5"/>
    <w:rsid w:val="1B776A68"/>
    <w:rsid w:val="1B7E7DF7"/>
    <w:rsid w:val="1B84582A"/>
    <w:rsid w:val="1B8532AD"/>
    <w:rsid w:val="1B8C17F7"/>
    <w:rsid w:val="1B8D003A"/>
    <w:rsid w:val="1B8D3B96"/>
    <w:rsid w:val="1B8F3DB2"/>
    <w:rsid w:val="1B8F6F82"/>
    <w:rsid w:val="1B903686"/>
    <w:rsid w:val="1BA17641"/>
    <w:rsid w:val="1BA535D6"/>
    <w:rsid w:val="1BBB0703"/>
    <w:rsid w:val="1BBC26CD"/>
    <w:rsid w:val="1BC33A5C"/>
    <w:rsid w:val="1BCC553F"/>
    <w:rsid w:val="1BCF2401"/>
    <w:rsid w:val="1BCF41AF"/>
    <w:rsid w:val="1BDA61C5"/>
    <w:rsid w:val="1BE063BC"/>
    <w:rsid w:val="1BE20386"/>
    <w:rsid w:val="1BE217CF"/>
    <w:rsid w:val="1BF40922"/>
    <w:rsid w:val="1BF50D63"/>
    <w:rsid w:val="1BF63E31"/>
    <w:rsid w:val="1BF754B3"/>
    <w:rsid w:val="1BF7727F"/>
    <w:rsid w:val="1BFB31F6"/>
    <w:rsid w:val="1BFC5870"/>
    <w:rsid w:val="1BFD51C0"/>
    <w:rsid w:val="1BFE2CE6"/>
    <w:rsid w:val="1C006A5E"/>
    <w:rsid w:val="1C0A3439"/>
    <w:rsid w:val="1C0C71B1"/>
    <w:rsid w:val="1C0F0A4F"/>
    <w:rsid w:val="1C113F9D"/>
    <w:rsid w:val="1C1153B4"/>
    <w:rsid w:val="1C16002F"/>
    <w:rsid w:val="1C200EAE"/>
    <w:rsid w:val="1C297D63"/>
    <w:rsid w:val="1C3109C5"/>
    <w:rsid w:val="1C381C79"/>
    <w:rsid w:val="1C3D380E"/>
    <w:rsid w:val="1C3E30E2"/>
    <w:rsid w:val="1C411611"/>
    <w:rsid w:val="1C413C34"/>
    <w:rsid w:val="1C417613"/>
    <w:rsid w:val="1C44694B"/>
    <w:rsid w:val="1C4C75BF"/>
    <w:rsid w:val="1C536B8E"/>
    <w:rsid w:val="1C56667E"/>
    <w:rsid w:val="1C651DCF"/>
    <w:rsid w:val="1C654B13"/>
    <w:rsid w:val="1C694603"/>
    <w:rsid w:val="1C6A3ED7"/>
    <w:rsid w:val="1C6E7E6B"/>
    <w:rsid w:val="1C72228F"/>
    <w:rsid w:val="1C734ABC"/>
    <w:rsid w:val="1C750501"/>
    <w:rsid w:val="1C7558BE"/>
    <w:rsid w:val="1C7D3C04"/>
    <w:rsid w:val="1C7F5342"/>
    <w:rsid w:val="1C7F7983"/>
    <w:rsid w:val="1C831B11"/>
    <w:rsid w:val="1C84143D"/>
    <w:rsid w:val="1C8947CA"/>
    <w:rsid w:val="1C8A6D4D"/>
    <w:rsid w:val="1C8E7BC6"/>
    <w:rsid w:val="1C907DE2"/>
    <w:rsid w:val="1C913B5A"/>
    <w:rsid w:val="1C964CCC"/>
    <w:rsid w:val="1C973E8A"/>
    <w:rsid w:val="1C980A44"/>
    <w:rsid w:val="1C9D605B"/>
    <w:rsid w:val="1C9E2082"/>
    <w:rsid w:val="1C9F1DD3"/>
    <w:rsid w:val="1C9F233B"/>
    <w:rsid w:val="1CA732C5"/>
    <w:rsid w:val="1CAE0268"/>
    <w:rsid w:val="1CB515F6"/>
    <w:rsid w:val="1CB6536F"/>
    <w:rsid w:val="1CB67014"/>
    <w:rsid w:val="1CB810E7"/>
    <w:rsid w:val="1CBB47F8"/>
    <w:rsid w:val="1CC21F65"/>
    <w:rsid w:val="1CC25AC1"/>
    <w:rsid w:val="1CC61A56"/>
    <w:rsid w:val="1CC932F4"/>
    <w:rsid w:val="1CCA761E"/>
    <w:rsid w:val="1CCB49AB"/>
    <w:rsid w:val="1CCE5248"/>
    <w:rsid w:val="1CD239BF"/>
    <w:rsid w:val="1CD557F5"/>
    <w:rsid w:val="1CDD691D"/>
    <w:rsid w:val="1CDD6D9F"/>
    <w:rsid w:val="1CDF0421"/>
    <w:rsid w:val="1CE41EDC"/>
    <w:rsid w:val="1CE67A02"/>
    <w:rsid w:val="1CE912A0"/>
    <w:rsid w:val="1CE95744"/>
    <w:rsid w:val="1CEE6C3F"/>
    <w:rsid w:val="1CF53848"/>
    <w:rsid w:val="1CF90A21"/>
    <w:rsid w:val="1CFA525B"/>
    <w:rsid w:val="1CFD2499"/>
    <w:rsid w:val="1D00027F"/>
    <w:rsid w:val="1D01599A"/>
    <w:rsid w:val="1D1123C2"/>
    <w:rsid w:val="1D1363F5"/>
    <w:rsid w:val="1D183933"/>
    <w:rsid w:val="1D1F3284"/>
    <w:rsid w:val="1D2422D8"/>
    <w:rsid w:val="1D290F49"/>
    <w:rsid w:val="1D2D5631"/>
    <w:rsid w:val="1D2E13A9"/>
    <w:rsid w:val="1D300C7D"/>
    <w:rsid w:val="1D3102EB"/>
    <w:rsid w:val="1D342403"/>
    <w:rsid w:val="1D3544E5"/>
    <w:rsid w:val="1D36542D"/>
    <w:rsid w:val="1D3756C7"/>
    <w:rsid w:val="1D3C3AC6"/>
    <w:rsid w:val="1D3D752B"/>
    <w:rsid w:val="1D3E15EC"/>
    <w:rsid w:val="1D3E6416"/>
    <w:rsid w:val="1D3F5364"/>
    <w:rsid w:val="1D4209B0"/>
    <w:rsid w:val="1D4529C5"/>
    <w:rsid w:val="1D4C459D"/>
    <w:rsid w:val="1D547061"/>
    <w:rsid w:val="1D5C7CC4"/>
    <w:rsid w:val="1D61352C"/>
    <w:rsid w:val="1D65301C"/>
    <w:rsid w:val="1D6D1ED1"/>
    <w:rsid w:val="1D6F3866"/>
    <w:rsid w:val="1D6F5C49"/>
    <w:rsid w:val="1D795028"/>
    <w:rsid w:val="1D807281"/>
    <w:rsid w:val="1D8316F5"/>
    <w:rsid w:val="1D837D50"/>
    <w:rsid w:val="1D864D41"/>
    <w:rsid w:val="1D8D2573"/>
    <w:rsid w:val="1D8F1387"/>
    <w:rsid w:val="1D915330"/>
    <w:rsid w:val="1D921938"/>
    <w:rsid w:val="1D990F18"/>
    <w:rsid w:val="1D9B4C90"/>
    <w:rsid w:val="1D9E066F"/>
    <w:rsid w:val="1DA01BE8"/>
    <w:rsid w:val="1DA22587"/>
    <w:rsid w:val="1DA51521"/>
    <w:rsid w:val="1DAA2EFB"/>
    <w:rsid w:val="1DAA4A53"/>
    <w:rsid w:val="1DAD0520"/>
    <w:rsid w:val="1DAD6772"/>
    <w:rsid w:val="1DB16262"/>
    <w:rsid w:val="1DC35F95"/>
    <w:rsid w:val="1DC45B4A"/>
    <w:rsid w:val="1DC53ABB"/>
    <w:rsid w:val="1DCA2E80"/>
    <w:rsid w:val="1DCC7E0D"/>
    <w:rsid w:val="1DCF493A"/>
    <w:rsid w:val="1DD51824"/>
    <w:rsid w:val="1DDB4F4E"/>
    <w:rsid w:val="1DDF4451"/>
    <w:rsid w:val="1DE008F5"/>
    <w:rsid w:val="1DE30FE9"/>
    <w:rsid w:val="1DE643D4"/>
    <w:rsid w:val="1DE71C83"/>
    <w:rsid w:val="1DE87329"/>
    <w:rsid w:val="1DED4DC0"/>
    <w:rsid w:val="1DEF0B38"/>
    <w:rsid w:val="1DF62637"/>
    <w:rsid w:val="1E0540E7"/>
    <w:rsid w:val="1E0565AE"/>
    <w:rsid w:val="1E0D5462"/>
    <w:rsid w:val="1E0F4D36"/>
    <w:rsid w:val="1E18182C"/>
    <w:rsid w:val="1E197963"/>
    <w:rsid w:val="1E1D56A5"/>
    <w:rsid w:val="1E214A6A"/>
    <w:rsid w:val="1E2556F1"/>
    <w:rsid w:val="1E285DF8"/>
    <w:rsid w:val="1E2C7696"/>
    <w:rsid w:val="1E336318"/>
    <w:rsid w:val="1E34479D"/>
    <w:rsid w:val="1E430E84"/>
    <w:rsid w:val="1E432C32"/>
    <w:rsid w:val="1E561C6C"/>
    <w:rsid w:val="1E5A2ED1"/>
    <w:rsid w:val="1E5B107D"/>
    <w:rsid w:val="1E5E181A"/>
    <w:rsid w:val="1E6524EF"/>
    <w:rsid w:val="1E816369"/>
    <w:rsid w:val="1E821E95"/>
    <w:rsid w:val="1E834905"/>
    <w:rsid w:val="1E85149C"/>
    <w:rsid w:val="1E875215"/>
    <w:rsid w:val="1E8A398C"/>
    <w:rsid w:val="1E8E20FF"/>
    <w:rsid w:val="1E965458"/>
    <w:rsid w:val="1E9853D2"/>
    <w:rsid w:val="1E9D50CA"/>
    <w:rsid w:val="1EAA4A5F"/>
    <w:rsid w:val="1EBA7626"/>
    <w:rsid w:val="1EBB4EBE"/>
    <w:rsid w:val="1EC40696"/>
    <w:rsid w:val="1ECB5F13"/>
    <w:rsid w:val="1ECD73ED"/>
    <w:rsid w:val="1ED038AF"/>
    <w:rsid w:val="1ED55F80"/>
    <w:rsid w:val="1ED710B7"/>
    <w:rsid w:val="1EDE6099"/>
    <w:rsid w:val="1EE6018D"/>
    <w:rsid w:val="1EEB7551"/>
    <w:rsid w:val="1EF74148"/>
    <w:rsid w:val="1EFF2FFD"/>
    <w:rsid w:val="1F044F09"/>
    <w:rsid w:val="1F0979D8"/>
    <w:rsid w:val="1F0A3482"/>
    <w:rsid w:val="1F1328C8"/>
    <w:rsid w:val="1F1D3483"/>
    <w:rsid w:val="1F224924"/>
    <w:rsid w:val="1F244C93"/>
    <w:rsid w:val="1F2A3348"/>
    <w:rsid w:val="1F2B3DF2"/>
    <w:rsid w:val="1F354FC8"/>
    <w:rsid w:val="1F4153C3"/>
    <w:rsid w:val="1F4A1681"/>
    <w:rsid w:val="1F4D6AC3"/>
    <w:rsid w:val="1F4E6B6F"/>
    <w:rsid w:val="1F501AAA"/>
    <w:rsid w:val="1F5350F7"/>
    <w:rsid w:val="1F5C21FD"/>
    <w:rsid w:val="1F62499A"/>
    <w:rsid w:val="1F6B2440"/>
    <w:rsid w:val="1F742856"/>
    <w:rsid w:val="1F7734DC"/>
    <w:rsid w:val="1F92003C"/>
    <w:rsid w:val="1F923E71"/>
    <w:rsid w:val="1F947BE9"/>
    <w:rsid w:val="1F9E1131"/>
    <w:rsid w:val="1F9F7744"/>
    <w:rsid w:val="1FA44684"/>
    <w:rsid w:val="1FA63478"/>
    <w:rsid w:val="1FAA3E6E"/>
    <w:rsid w:val="1FAB0A8F"/>
    <w:rsid w:val="1FAD7C6E"/>
    <w:rsid w:val="1FB52ACC"/>
    <w:rsid w:val="1FBC0EEE"/>
    <w:rsid w:val="1FBE07C2"/>
    <w:rsid w:val="1FC841E4"/>
    <w:rsid w:val="1FCD6D3A"/>
    <w:rsid w:val="1FCE2232"/>
    <w:rsid w:val="1FCF29CF"/>
    <w:rsid w:val="1FD3016F"/>
    <w:rsid w:val="1FD61FB0"/>
    <w:rsid w:val="1FE60600"/>
    <w:rsid w:val="1FE65F6B"/>
    <w:rsid w:val="1FEA15B7"/>
    <w:rsid w:val="1FEB3581"/>
    <w:rsid w:val="1FF70178"/>
    <w:rsid w:val="1FFF67A6"/>
    <w:rsid w:val="2000702C"/>
    <w:rsid w:val="200E1065"/>
    <w:rsid w:val="20140D2A"/>
    <w:rsid w:val="201523AC"/>
    <w:rsid w:val="2016181B"/>
    <w:rsid w:val="20197E7E"/>
    <w:rsid w:val="20234AC9"/>
    <w:rsid w:val="202645B9"/>
    <w:rsid w:val="202972A7"/>
    <w:rsid w:val="203E5DA7"/>
    <w:rsid w:val="203E7B55"/>
    <w:rsid w:val="20427645"/>
    <w:rsid w:val="20482782"/>
    <w:rsid w:val="204A64FA"/>
    <w:rsid w:val="204C55B9"/>
    <w:rsid w:val="204F3B10"/>
    <w:rsid w:val="205F6F32"/>
    <w:rsid w:val="20642787"/>
    <w:rsid w:val="206477DC"/>
    <w:rsid w:val="20684BD2"/>
    <w:rsid w:val="206F7871"/>
    <w:rsid w:val="207356D7"/>
    <w:rsid w:val="20784E15"/>
    <w:rsid w:val="207E5261"/>
    <w:rsid w:val="20847C5E"/>
    <w:rsid w:val="208E145F"/>
    <w:rsid w:val="20947775"/>
    <w:rsid w:val="209634ED"/>
    <w:rsid w:val="20990E39"/>
    <w:rsid w:val="209D060D"/>
    <w:rsid w:val="209D7A66"/>
    <w:rsid w:val="20A27B39"/>
    <w:rsid w:val="20B47156"/>
    <w:rsid w:val="20B63B8F"/>
    <w:rsid w:val="20B931EF"/>
    <w:rsid w:val="20BB4C23"/>
    <w:rsid w:val="20BC4845"/>
    <w:rsid w:val="20BD3FB9"/>
    <w:rsid w:val="20C01C32"/>
    <w:rsid w:val="20C305B3"/>
    <w:rsid w:val="20C462AC"/>
    <w:rsid w:val="20C64363"/>
    <w:rsid w:val="20C95670"/>
    <w:rsid w:val="20CF4C51"/>
    <w:rsid w:val="20CF69FF"/>
    <w:rsid w:val="20DD3944"/>
    <w:rsid w:val="20DF30E6"/>
    <w:rsid w:val="20DF4E94"/>
    <w:rsid w:val="20E06E5E"/>
    <w:rsid w:val="20EC5803"/>
    <w:rsid w:val="20EC75B1"/>
    <w:rsid w:val="20F21E83"/>
    <w:rsid w:val="21010448"/>
    <w:rsid w:val="21026DD4"/>
    <w:rsid w:val="210448FA"/>
    <w:rsid w:val="21091F11"/>
    <w:rsid w:val="210A7A37"/>
    <w:rsid w:val="210B3EDB"/>
    <w:rsid w:val="211508B6"/>
    <w:rsid w:val="21265E6C"/>
    <w:rsid w:val="21292543"/>
    <w:rsid w:val="21303941"/>
    <w:rsid w:val="2130749E"/>
    <w:rsid w:val="2133507B"/>
    <w:rsid w:val="213351E0"/>
    <w:rsid w:val="213571AA"/>
    <w:rsid w:val="213C22E6"/>
    <w:rsid w:val="213D2E28"/>
    <w:rsid w:val="214B4867"/>
    <w:rsid w:val="21543E5D"/>
    <w:rsid w:val="215603E5"/>
    <w:rsid w:val="21635AC5"/>
    <w:rsid w:val="21661111"/>
    <w:rsid w:val="216B497A"/>
    <w:rsid w:val="216D6F62"/>
    <w:rsid w:val="217001E2"/>
    <w:rsid w:val="2175073E"/>
    <w:rsid w:val="217F0425"/>
    <w:rsid w:val="21814378"/>
    <w:rsid w:val="21884F0C"/>
    <w:rsid w:val="218872DA"/>
    <w:rsid w:val="218D2B42"/>
    <w:rsid w:val="21957AA6"/>
    <w:rsid w:val="21A34113"/>
    <w:rsid w:val="21AB2FC8"/>
    <w:rsid w:val="21AC71BA"/>
    <w:rsid w:val="21AD7E1D"/>
    <w:rsid w:val="21B55BF5"/>
    <w:rsid w:val="21B61AB9"/>
    <w:rsid w:val="21B940E6"/>
    <w:rsid w:val="21BA145D"/>
    <w:rsid w:val="21C66F9D"/>
    <w:rsid w:val="21CB366A"/>
    <w:rsid w:val="21D249F9"/>
    <w:rsid w:val="21D27CB9"/>
    <w:rsid w:val="21D30B38"/>
    <w:rsid w:val="21D7200F"/>
    <w:rsid w:val="21D82BF7"/>
    <w:rsid w:val="21DA565B"/>
    <w:rsid w:val="21DE339D"/>
    <w:rsid w:val="21E464DA"/>
    <w:rsid w:val="21E53AB3"/>
    <w:rsid w:val="21EE1107"/>
    <w:rsid w:val="21F229A5"/>
    <w:rsid w:val="21F91927"/>
    <w:rsid w:val="21FD45E7"/>
    <w:rsid w:val="22077ED1"/>
    <w:rsid w:val="220F4878"/>
    <w:rsid w:val="2210278E"/>
    <w:rsid w:val="22105521"/>
    <w:rsid w:val="221072CF"/>
    <w:rsid w:val="22197450"/>
    <w:rsid w:val="221A3813"/>
    <w:rsid w:val="2223019A"/>
    <w:rsid w:val="22250FCC"/>
    <w:rsid w:val="22266AF2"/>
    <w:rsid w:val="222A49B8"/>
    <w:rsid w:val="222A65E3"/>
    <w:rsid w:val="222B328F"/>
    <w:rsid w:val="222E307C"/>
    <w:rsid w:val="222F1B96"/>
    <w:rsid w:val="22347461"/>
    <w:rsid w:val="223905D4"/>
    <w:rsid w:val="223B259E"/>
    <w:rsid w:val="22401962"/>
    <w:rsid w:val="224129EF"/>
    <w:rsid w:val="2246751B"/>
    <w:rsid w:val="22535B89"/>
    <w:rsid w:val="22576CAC"/>
    <w:rsid w:val="2259234A"/>
    <w:rsid w:val="22596EC8"/>
    <w:rsid w:val="22661F39"/>
    <w:rsid w:val="22665141"/>
    <w:rsid w:val="22671DC5"/>
    <w:rsid w:val="227105D1"/>
    <w:rsid w:val="227609CD"/>
    <w:rsid w:val="227A3848"/>
    <w:rsid w:val="2281305A"/>
    <w:rsid w:val="22832569"/>
    <w:rsid w:val="22853819"/>
    <w:rsid w:val="22873A35"/>
    <w:rsid w:val="228850B7"/>
    <w:rsid w:val="22886039"/>
    <w:rsid w:val="22925F36"/>
    <w:rsid w:val="229A5B98"/>
    <w:rsid w:val="229B128E"/>
    <w:rsid w:val="229B303C"/>
    <w:rsid w:val="22A243CB"/>
    <w:rsid w:val="22A75E85"/>
    <w:rsid w:val="22A92FC0"/>
    <w:rsid w:val="22A9658B"/>
    <w:rsid w:val="22AC6FF8"/>
    <w:rsid w:val="22B1460E"/>
    <w:rsid w:val="22B440FE"/>
    <w:rsid w:val="22B45EAC"/>
    <w:rsid w:val="22BA5BB9"/>
    <w:rsid w:val="22BC7FA6"/>
    <w:rsid w:val="22C04851"/>
    <w:rsid w:val="22C205C9"/>
    <w:rsid w:val="22C500B9"/>
    <w:rsid w:val="22D30A28"/>
    <w:rsid w:val="22D4654E"/>
    <w:rsid w:val="22DF561F"/>
    <w:rsid w:val="22DF7FE5"/>
    <w:rsid w:val="22E06DFF"/>
    <w:rsid w:val="22E13401"/>
    <w:rsid w:val="22E91FFA"/>
    <w:rsid w:val="22F17100"/>
    <w:rsid w:val="22F4099F"/>
    <w:rsid w:val="22F6354E"/>
    <w:rsid w:val="22F8048F"/>
    <w:rsid w:val="22F91025"/>
    <w:rsid w:val="23024E6A"/>
    <w:rsid w:val="23101ECA"/>
    <w:rsid w:val="231150AD"/>
    <w:rsid w:val="23164DB9"/>
    <w:rsid w:val="231A178A"/>
    <w:rsid w:val="232A43C0"/>
    <w:rsid w:val="232C1EE7"/>
    <w:rsid w:val="232C62EE"/>
    <w:rsid w:val="2331285C"/>
    <w:rsid w:val="23363D9D"/>
    <w:rsid w:val="23365EEC"/>
    <w:rsid w:val="233A4603"/>
    <w:rsid w:val="233D40F4"/>
    <w:rsid w:val="234436D4"/>
    <w:rsid w:val="234A579B"/>
    <w:rsid w:val="235651B5"/>
    <w:rsid w:val="235F20CF"/>
    <w:rsid w:val="23627FFE"/>
    <w:rsid w:val="23641680"/>
    <w:rsid w:val="236478D2"/>
    <w:rsid w:val="23675987"/>
    <w:rsid w:val="23755012"/>
    <w:rsid w:val="23790901"/>
    <w:rsid w:val="237A0EA4"/>
    <w:rsid w:val="238166D6"/>
    <w:rsid w:val="2389558B"/>
    <w:rsid w:val="238A2AE9"/>
    <w:rsid w:val="238D4C56"/>
    <w:rsid w:val="238E7A12"/>
    <w:rsid w:val="23971A56"/>
    <w:rsid w:val="239C081F"/>
    <w:rsid w:val="23B51EDC"/>
    <w:rsid w:val="23B7190B"/>
    <w:rsid w:val="23B9512F"/>
    <w:rsid w:val="23C03637"/>
    <w:rsid w:val="23C17855"/>
    <w:rsid w:val="23C465C3"/>
    <w:rsid w:val="23C547B3"/>
    <w:rsid w:val="23CC162C"/>
    <w:rsid w:val="23D21FE8"/>
    <w:rsid w:val="23D507D0"/>
    <w:rsid w:val="23D5257E"/>
    <w:rsid w:val="23D86E95"/>
    <w:rsid w:val="23D9206E"/>
    <w:rsid w:val="23DC56BB"/>
    <w:rsid w:val="23DE5354"/>
    <w:rsid w:val="23DF51AB"/>
    <w:rsid w:val="23E10F23"/>
    <w:rsid w:val="23F13E30"/>
    <w:rsid w:val="23F75026"/>
    <w:rsid w:val="23F878E6"/>
    <w:rsid w:val="23FD319B"/>
    <w:rsid w:val="24015121"/>
    <w:rsid w:val="24050FBD"/>
    <w:rsid w:val="24084702"/>
    <w:rsid w:val="240A291F"/>
    <w:rsid w:val="240D3AC6"/>
    <w:rsid w:val="241269A8"/>
    <w:rsid w:val="24172B97"/>
    <w:rsid w:val="24194B61"/>
    <w:rsid w:val="241D0172"/>
    <w:rsid w:val="24241890"/>
    <w:rsid w:val="242A28CA"/>
    <w:rsid w:val="242C1665"/>
    <w:rsid w:val="24342F2B"/>
    <w:rsid w:val="243510D4"/>
    <w:rsid w:val="2441442C"/>
    <w:rsid w:val="24476D6C"/>
    <w:rsid w:val="244A2F6C"/>
    <w:rsid w:val="244D0366"/>
    <w:rsid w:val="244E1896"/>
    <w:rsid w:val="244F06AA"/>
    <w:rsid w:val="24545B99"/>
    <w:rsid w:val="2466767A"/>
    <w:rsid w:val="24772EAA"/>
    <w:rsid w:val="247B3D0C"/>
    <w:rsid w:val="247C0C4C"/>
    <w:rsid w:val="2482431B"/>
    <w:rsid w:val="24857B00"/>
    <w:rsid w:val="24881AF0"/>
    <w:rsid w:val="248C70E1"/>
    <w:rsid w:val="249064A5"/>
    <w:rsid w:val="24944C54"/>
    <w:rsid w:val="24945F95"/>
    <w:rsid w:val="24961512"/>
    <w:rsid w:val="249A2142"/>
    <w:rsid w:val="249B1395"/>
    <w:rsid w:val="249B5E51"/>
    <w:rsid w:val="24B30B11"/>
    <w:rsid w:val="24B5794C"/>
    <w:rsid w:val="24BB5C18"/>
    <w:rsid w:val="24BF302A"/>
    <w:rsid w:val="24C20D54"/>
    <w:rsid w:val="24CB36D9"/>
    <w:rsid w:val="24CC0649"/>
    <w:rsid w:val="24CF68EF"/>
    <w:rsid w:val="24D03CD9"/>
    <w:rsid w:val="24D40A88"/>
    <w:rsid w:val="24D64800"/>
    <w:rsid w:val="24DE2C05"/>
    <w:rsid w:val="24EA6EC3"/>
    <w:rsid w:val="24EC4023"/>
    <w:rsid w:val="24EE1B49"/>
    <w:rsid w:val="24F829C8"/>
    <w:rsid w:val="24F8762D"/>
    <w:rsid w:val="24FF43E0"/>
    <w:rsid w:val="25050C41"/>
    <w:rsid w:val="25061AD0"/>
    <w:rsid w:val="25070E5D"/>
    <w:rsid w:val="250A6257"/>
    <w:rsid w:val="250E5D48"/>
    <w:rsid w:val="25140E84"/>
    <w:rsid w:val="251610A0"/>
    <w:rsid w:val="251D5F8B"/>
    <w:rsid w:val="252061BE"/>
    <w:rsid w:val="2527683A"/>
    <w:rsid w:val="25292B82"/>
    <w:rsid w:val="25411063"/>
    <w:rsid w:val="25423941"/>
    <w:rsid w:val="254519CA"/>
    <w:rsid w:val="254841E7"/>
    <w:rsid w:val="254A2AF8"/>
    <w:rsid w:val="25501C64"/>
    <w:rsid w:val="25535E50"/>
    <w:rsid w:val="25540AF3"/>
    <w:rsid w:val="25545725"/>
    <w:rsid w:val="2556149D"/>
    <w:rsid w:val="255A1523"/>
    <w:rsid w:val="255C1195"/>
    <w:rsid w:val="2561612C"/>
    <w:rsid w:val="25626093"/>
    <w:rsid w:val="25665B84"/>
    <w:rsid w:val="256C5DEF"/>
    <w:rsid w:val="256F098B"/>
    <w:rsid w:val="256F64B0"/>
    <w:rsid w:val="2572277A"/>
    <w:rsid w:val="257E1BB8"/>
    <w:rsid w:val="25847DEE"/>
    <w:rsid w:val="258A1977"/>
    <w:rsid w:val="258E0C37"/>
    <w:rsid w:val="25AE6518"/>
    <w:rsid w:val="25B34B41"/>
    <w:rsid w:val="25C428AA"/>
    <w:rsid w:val="25CB1E8B"/>
    <w:rsid w:val="25CB3688"/>
    <w:rsid w:val="25CE3729"/>
    <w:rsid w:val="25D725DE"/>
    <w:rsid w:val="25DE670F"/>
    <w:rsid w:val="25E1072B"/>
    <w:rsid w:val="25E604AB"/>
    <w:rsid w:val="25E847EB"/>
    <w:rsid w:val="25EF3DCB"/>
    <w:rsid w:val="25F26EAC"/>
    <w:rsid w:val="25F5515A"/>
    <w:rsid w:val="25F62593"/>
    <w:rsid w:val="25F74A2E"/>
    <w:rsid w:val="25F82554"/>
    <w:rsid w:val="25FC3DF2"/>
    <w:rsid w:val="25FD73F4"/>
    <w:rsid w:val="260016A2"/>
    <w:rsid w:val="260E7FC9"/>
    <w:rsid w:val="261234E5"/>
    <w:rsid w:val="261633B2"/>
    <w:rsid w:val="26192901"/>
    <w:rsid w:val="26263565"/>
    <w:rsid w:val="2629095F"/>
    <w:rsid w:val="262C63D9"/>
    <w:rsid w:val="26327CD9"/>
    <w:rsid w:val="2637307C"/>
    <w:rsid w:val="263E15FB"/>
    <w:rsid w:val="264439EB"/>
    <w:rsid w:val="2644442D"/>
    <w:rsid w:val="264C1AB1"/>
    <w:rsid w:val="264F486A"/>
    <w:rsid w:val="26526108"/>
    <w:rsid w:val="26635C93"/>
    <w:rsid w:val="266879AE"/>
    <w:rsid w:val="266C119C"/>
    <w:rsid w:val="2671601B"/>
    <w:rsid w:val="267442D0"/>
    <w:rsid w:val="26760048"/>
    <w:rsid w:val="2677349D"/>
    <w:rsid w:val="26793695"/>
    <w:rsid w:val="26795820"/>
    <w:rsid w:val="267C4ECF"/>
    <w:rsid w:val="267D214E"/>
    <w:rsid w:val="26843CED"/>
    <w:rsid w:val="268A75BF"/>
    <w:rsid w:val="268B161A"/>
    <w:rsid w:val="268C03BB"/>
    <w:rsid w:val="269404CF"/>
    <w:rsid w:val="26962499"/>
    <w:rsid w:val="269E759F"/>
    <w:rsid w:val="26A050C5"/>
    <w:rsid w:val="26AA7CF2"/>
    <w:rsid w:val="26AF70B6"/>
    <w:rsid w:val="26B11081"/>
    <w:rsid w:val="26B7240F"/>
    <w:rsid w:val="26C16DEA"/>
    <w:rsid w:val="26D30D1A"/>
    <w:rsid w:val="26D353B8"/>
    <w:rsid w:val="26D42FC1"/>
    <w:rsid w:val="26D66C62"/>
    <w:rsid w:val="26D703BB"/>
    <w:rsid w:val="26DC3C24"/>
    <w:rsid w:val="26DE174A"/>
    <w:rsid w:val="26DE6A53"/>
    <w:rsid w:val="26DE799C"/>
    <w:rsid w:val="26E50C5D"/>
    <w:rsid w:val="26E620ED"/>
    <w:rsid w:val="26E73118"/>
    <w:rsid w:val="26E75774"/>
    <w:rsid w:val="26ED5E31"/>
    <w:rsid w:val="26F96F67"/>
    <w:rsid w:val="26FB3D55"/>
    <w:rsid w:val="26FC4C3D"/>
    <w:rsid w:val="26FE3B9A"/>
    <w:rsid w:val="27076EF2"/>
    <w:rsid w:val="270A69E3"/>
    <w:rsid w:val="270D0765"/>
    <w:rsid w:val="270E279A"/>
    <w:rsid w:val="270F7B55"/>
    <w:rsid w:val="27127645"/>
    <w:rsid w:val="27133AE9"/>
    <w:rsid w:val="271433BD"/>
    <w:rsid w:val="27182EAE"/>
    <w:rsid w:val="271913D4"/>
    <w:rsid w:val="271E795E"/>
    <w:rsid w:val="272432F0"/>
    <w:rsid w:val="27280C17"/>
    <w:rsid w:val="27292135"/>
    <w:rsid w:val="2729330D"/>
    <w:rsid w:val="272A498F"/>
    <w:rsid w:val="272C4BAB"/>
    <w:rsid w:val="27321A96"/>
    <w:rsid w:val="2734580E"/>
    <w:rsid w:val="27351CB2"/>
    <w:rsid w:val="2738099E"/>
    <w:rsid w:val="27392746"/>
    <w:rsid w:val="273A72C8"/>
    <w:rsid w:val="273B094A"/>
    <w:rsid w:val="273B3040"/>
    <w:rsid w:val="273E65AE"/>
    <w:rsid w:val="274912B9"/>
    <w:rsid w:val="27492919"/>
    <w:rsid w:val="27497710"/>
    <w:rsid w:val="275472F8"/>
    <w:rsid w:val="27561ACE"/>
    <w:rsid w:val="2762237B"/>
    <w:rsid w:val="276C4FA7"/>
    <w:rsid w:val="276E1EB7"/>
    <w:rsid w:val="277B51EB"/>
    <w:rsid w:val="27802801"/>
    <w:rsid w:val="27806CA5"/>
    <w:rsid w:val="278074CE"/>
    <w:rsid w:val="2781275E"/>
    <w:rsid w:val="27840BC4"/>
    <w:rsid w:val="2784149E"/>
    <w:rsid w:val="27872E2F"/>
    <w:rsid w:val="278913EE"/>
    <w:rsid w:val="278E2729"/>
    <w:rsid w:val="278E628D"/>
    <w:rsid w:val="278F0C96"/>
    <w:rsid w:val="278F1023"/>
    <w:rsid w:val="278F7016"/>
    <w:rsid w:val="27930786"/>
    <w:rsid w:val="279369D8"/>
    <w:rsid w:val="279A2668"/>
    <w:rsid w:val="279B763B"/>
    <w:rsid w:val="279D1605"/>
    <w:rsid w:val="279D33B3"/>
    <w:rsid w:val="27A31142"/>
    <w:rsid w:val="27A60C72"/>
    <w:rsid w:val="27A72484"/>
    <w:rsid w:val="27AE4EB0"/>
    <w:rsid w:val="27AF0600"/>
    <w:rsid w:val="27B01338"/>
    <w:rsid w:val="27B91C39"/>
    <w:rsid w:val="27BB248B"/>
    <w:rsid w:val="27BF014F"/>
    <w:rsid w:val="27C2106B"/>
    <w:rsid w:val="27C6290A"/>
    <w:rsid w:val="27CB6172"/>
    <w:rsid w:val="27D75BAD"/>
    <w:rsid w:val="27E4065B"/>
    <w:rsid w:val="27E47736"/>
    <w:rsid w:val="27E502D5"/>
    <w:rsid w:val="27E869AE"/>
    <w:rsid w:val="27E92A9C"/>
    <w:rsid w:val="27EE3C0E"/>
    <w:rsid w:val="27F51F70"/>
    <w:rsid w:val="27F60D15"/>
    <w:rsid w:val="28011B94"/>
    <w:rsid w:val="280255D6"/>
    <w:rsid w:val="28033B5E"/>
    <w:rsid w:val="2810627B"/>
    <w:rsid w:val="281222F4"/>
    <w:rsid w:val="28175EDD"/>
    <w:rsid w:val="281C0B48"/>
    <w:rsid w:val="281E4BA9"/>
    <w:rsid w:val="28201335"/>
    <w:rsid w:val="28210CC5"/>
    <w:rsid w:val="28270DE3"/>
    <w:rsid w:val="28272274"/>
    <w:rsid w:val="282A728C"/>
    <w:rsid w:val="282B3706"/>
    <w:rsid w:val="28302479"/>
    <w:rsid w:val="283755B5"/>
    <w:rsid w:val="283D6944"/>
    <w:rsid w:val="28425D08"/>
    <w:rsid w:val="28435545"/>
    <w:rsid w:val="284B1061"/>
    <w:rsid w:val="284C5056"/>
    <w:rsid w:val="284D7843"/>
    <w:rsid w:val="285048C9"/>
    <w:rsid w:val="28556C0F"/>
    <w:rsid w:val="28577A06"/>
    <w:rsid w:val="28597BFD"/>
    <w:rsid w:val="285B1B22"/>
    <w:rsid w:val="285C501C"/>
    <w:rsid w:val="286B2CA4"/>
    <w:rsid w:val="286D6F60"/>
    <w:rsid w:val="286E4D4F"/>
    <w:rsid w:val="287A00D4"/>
    <w:rsid w:val="287A1946"/>
    <w:rsid w:val="287E31E4"/>
    <w:rsid w:val="28812228"/>
    <w:rsid w:val="28846321"/>
    <w:rsid w:val="288F5AD7"/>
    <w:rsid w:val="289742A6"/>
    <w:rsid w:val="28975559"/>
    <w:rsid w:val="289C366A"/>
    <w:rsid w:val="289E73E3"/>
    <w:rsid w:val="28A95D87"/>
    <w:rsid w:val="28AB7D51"/>
    <w:rsid w:val="28B05368"/>
    <w:rsid w:val="28B44E58"/>
    <w:rsid w:val="28BE5CD7"/>
    <w:rsid w:val="28C40C3C"/>
    <w:rsid w:val="28C50E13"/>
    <w:rsid w:val="28CC03F4"/>
    <w:rsid w:val="28D21782"/>
    <w:rsid w:val="28D667EF"/>
    <w:rsid w:val="28D74A8E"/>
    <w:rsid w:val="28E27D0E"/>
    <w:rsid w:val="28E82D54"/>
    <w:rsid w:val="28EA087A"/>
    <w:rsid w:val="28EC16F7"/>
    <w:rsid w:val="28F33BD2"/>
    <w:rsid w:val="28F60FCD"/>
    <w:rsid w:val="28F75508"/>
    <w:rsid w:val="28FB471E"/>
    <w:rsid w:val="28FE4325"/>
    <w:rsid w:val="28FE5F4E"/>
    <w:rsid w:val="2902118B"/>
    <w:rsid w:val="29022CE8"/>
    <w:rsid w:val="29064F88"/>
    <w:rsid w:val="29135A19"/>
    <w:rsid w:val="29143B49"/>
    <w:rsid w:val="29156E44"/>
    <w:rsid w:val="291750BF"/>
    <w:rsid w:val="29192F0D"/>
    <w:rsid w:val="291E6775"/>
    <w:rsid w:val="291F738B"/>
    <w:rsid w:val="29211BC6"/>
    <w:rsid w:val="29220014"/>
    <w:rsid w:val="292253FF"/>
    <w:rsid w:val="29231FDE"/>
    <w:rsid w:val="2924597A"/>
    <w:rsid w:val="29254436"/>
    <w:rsid w:val="2929735B"/>
    <w:rsid w:val="292B46E4"/>
    <w:rsid w:val="292E24A0"/>
    <w:rsid w:val="292F45A1"/>
    <w:rsid w:val="293146FB"/>
    <w:rsid w:val="29387837"/>
    <w:rsid w:val="29393012"/>
    <w:rsid w:val="293E2974"/>
    <w:rsid w:val="293F28E1"/>
    <w:rsid w:val="2940049A"/>
    <w:rsid w:val="29474CAF"/>
    <w:rsid w:val="294F692F"/>
    <w:rsid w:val="29606D8E"/>
    <w:rsid w:val="29632B06"/>
    <w:rsid w:val="2964687E"/>
    <w:rsid w:val="2968180F"/>
    <w:rsid w:val="29683511"/>
    <w:rsid w:val="296A5517"/>
    <w:rsid w:val="296C6D10"/>
    <w:rsid w:val="2973086F"/>
    <w:rsid w:val="297939AC"/>
    <w:rsid w:val="297C55D3"/>
    <w:rsid w:val="297F03AC"/>
    <w:rsid w:val="29830BB3"/>
    <w:rsid w:val="2987256D"/>
    <w:rsid w:val="2987431B"/>
    <w:rsid w:val="298962E5"/>
    <w:rsid w:val="29963BF5"/>
    <w:rsid w:val="299B255D"/>
    <w:rsid w:val="299D24FB"/>
    <w:rsid w:val="29A24CB1"/>
    <w:rsid w:val="29A7676B"/>
    <w:rsid w:val="29AE2ACE"/>
    <w:rsid w:val="29B136AE"/>
    <w:rsid w:val="29B449E4"/>
    <w:rsid w:val="29BA46F0"/>
    <w:rsid w:val="29BF2491"/>
    <w:rsid w:val="29C668A7"/>
    <w:rsid w:val="29C71FE2"/>
    <w:rsid w:val="29C92888"/>
    <w:rsid w:val="29CF1967"/>
    <w:rsid w:val="29D02829"/>
    <w:rsid w:val="29D33A72"/>
    <w:rsid w:val="29D43C46"/>
    <w:rsid w:val="29D44611"/>
    <w:rsid w:val="29D55640"/>
    <w:rsid w:val="29D67050"/>
    <w:rsid w:val="29D97ADD"/>
    <w:rsid w:val="29E05822"/>
    <w:rsid w:val="29E96D83"/>
    <w:rsid w:val="29EB2AFB"/>
    <w:rsid w:val="29F15D5A"/>
    <w:rsid w:val="29F36820"/>
    <w:rsid w:val="29FA2D3E"/>
    <w:rsid w:val="29FD638B"/>
    <w:rsid w:val="29FF6F50"/>
    <w:rsid w:val="2A027E45"/>
    <w:rsid w:val="2A070FB7"/>
    <w:rsid w:val="2A0B2D62"/>
    <w:rsid w:val="2A104310"/>
    <w:rsid w:val="2A10729A"/>
    <w:rsid w:val="2A110088"/>
    <w:rsid w:val="2A1831C5"/>
    <w:rsid w:val="2A21651D"/>
    <w:rsid w:val="2A222295"/>
    <w:rsid w:val="2A273408"/>
    <w:rsid w:val="2A34534C"/>
    <w:rsid w:val="2A383867"/>
    <w:rsid w:val="2A3909A4"/>
    <w:rsid w:val="2A3F69A3"/>
    <w:rsid w:val="2A470638"/>
    <w:rsid w:val="2A4E4E38"/>
    <w:rsid w:val="2A510485"/>
    <w:rsid w:val="2A522B7B"/>
    <w:rsid w:val="2A595F18"/>
    <w:rsid w:val="2A5A03AF"/>
    <w:rsid w:val="2A5A1A2F"/>
    <w:rsid w:val="2A5C4C93"/>
    <w:rsid w:val="2A5F2BA2"/>
    <w:rsid w:val="2A650251"/>
    <w:rsid w:val="2A67567F"/>
    <w:rsid w:val="2A6E7289"/>
    <w:rsid w:val="2A6F0E8C"/>
    <w:rsid w:val="2A6F4BB0"/>
    <w:rsid w:val="2A714A70"/>
    <w:rsid w:val="2A732242"/>
    <w:rsid w:val="2A7F3244"/>
    <w:rsid w:val="2A81355A"/>
    <w:rsid w:val="2A88659C"/>
    <w:rsid w:val="2A8E3487"/>
    <w:rsid w:val="2A9A007E"/>
    <w:rsid w:val="2A9E191C"/>
    <w:rsid w:val="2A9F0A77"/>
    <w:rsid w:val="2AA03ACF"/>
    <w:rsid w:val="2AA131BA"/>
    <w:rsid w:val="2AA607D0"/>
    <w:rsid w:val="2AAB4039"/>
    <w:rsid w:val="2AAB5DE7"/>
    <w:rsid w:val="2AB16E31"/>
    <w:rsid w:val="2AB32EED"/>
    <w:rsid w:val="2ABC1DA2"/>
    <w:rsid w:val="2AC800C8"/>
    <w:rsid w:val="2AC944BF"/>
    <w:rsid w:val="2ACB77CC"/>
    <w:rsid w:val="2ACC6349"/>
    <w:rsid w:val="2ACD3FAF"/>
    <w:rsid w:val="2ACE1AD5"/>
    <w:rsid w:val="2ACF41CB"/>
    <w:rsid w:val="2ADC41F2"/>
    <w:rsid w:val="2AE412F9"/>
    <w:rsid w:val="2AF552B4"/>
    <w:rsid w:val="2AF7102C"/>
    <w:rsid w:val="2AF8696A"/>
    <w:rsid w:val="2AF92FF6"/>
    <w:rsid w:val="2B011EAB"/>
    <w:rsid w:val="2B084FE7"/>
    <w:rsid w:val="2B0C727D"/>
    <w:rsid w:val="2B110340"/>
    <w:rsid w:val="2B147E30"/>
    <w:rsid w:val="2B151156"/>
    <w:rsid w:val="2B16032B"/>
    <w:rsid w:val="2B17347C"/>
    <w:rsid w:val="2B1B11BE"/>
    <w:rsid w:val="2B2362C5"/>
    <w:rsid w:val="2B326508"/>
    <w:rsid w:val="2B345DDC"/>
    <w:rsid w:val="2B371DFC"/>
    <w:rsid w:val="2B3E0135"/>
    <w:rsid w:val="2B404781"/>
    <w:rsid w:val="2B430715"/>
    <w:rsid w:val="2B45623B"/>
    <w:rsid w:val="2B457FE9"/>
    <w:rsid w:val="2B57010A"/>
    <w:rsid w:val="2B591CE7"/>
    <w:rsid w:val="2B5B15BB"/>
    <w:rsid w:val="2B5B5A5F"/>
    <w:rsid w:val="2B5D5D70"/>
    <w:rsid w:val="2B632B65"/>
    <w:rsid w:val="2B675630"/>
    <w:rsid w:val="2B76018C"/>
    <w:rsid w:val="2B776FAF"/>
    <w:rsid w:val="2B7D3C27"/>
    <w:rsid w:val="2B8D4A10"/>
    <w:rsid w:val="2B9A264F"/>
    <w:rsid w:val="2B9B40AD"/>
    <w:rsid w:val="2BA22119"/>
    <w:rsid w:val="2BA2543C"/>
    <w:rsid w:val="2BAD5B8F"/>
    <w:rsid w:val="2BAE3DE1"/>
    <w:rsid w:val="2BB41D4D"/>
    <w:rsid w:val="2BB92785"/>
    <w:rsid w:val="2BBC3D43"/>
    <w:rsid w:val="2BC17995"/>
    <w:rsid w:val="2BD52167"/>
    <w:rsid w:val="2BD575BF"/>
    <w:rsid w:val="2BD66E93"/>
    <w:rsid w:val="2BE05E12"/>
    <w:rsid w:val="2BE9496F"/>
    <w:rsid w:val="2BF0264B"/>
    <w:rsid w:val="2BFC0FF0"/>
    <w:rsid w:val="2BFD2B77"/>
    <w:rsid w:val="2C055ADF"/>
    <w:rsid w:val="2C097269"/>
    <w:rsid w:val="2C0B4178"/>
    <w:rsid w:val="2C134802"/>
    <w:rsid w:val="2C1B221C"/>
    <w:rsid w:val="2C1E72AD"/>
    <w:rsid w:val="2C2220D9"/>
    <w:rsid w:val="2C2E3173"/>
    <w:rsid w:val="2C2E6664"/>
    <w:rsid w:val="2C3056EC"/>
    <w:rsid w:val="2C31056E"/>
    <w:rsid w:val="2C366877"/>
    <w:rsid w:val="2C380089"/>
    <w:rsid w:val="2C386E53"/>
    <w:rsid w:val="2C3B13EC"/>
    <w:rsid w:val="2C3D26A8"/>
    <w:rsid w:val="2C414C55"/>
    <w:rsid w:val="2C4330AB"/>
    <w:rsid w:val="2C460F8E"/>
    <w:rsid w:val="2C466C2E"/>
    <w:rsid w:val="2C5046F1"/>
    <w:rsid w:val="2C5A5D16"/>
    <w:rsid w:val="2C5B55EB"/>
    <w:rsid w:val="2C610E53"/>
    <w:rsid w:val="2C646B95"/>
    <w:rsid w:val="2C69329C"/>
    <w:rsid w:val="2C6B7F24"/>
    <w:rsid w:val="2C70553A"/>
    <w:rsid w:val="2C721548"/>
    <w:rsid w:val="2C7768C8"/>
    <w:rsid w:val="2C792640"/>
    <w:rsid w:val="2C7A1F15"/>
    <w:rsid w:val="2C7C109E"/>
    <w:rsid w:val="2C7F4FF3"/>
    <w:rsid w:val="2C82701B"/>
    <w:rsid w:val="2C892158"/>
    <w:rsid w:val="2C8D1C48"/>
    <w:rsid w:val="2C932FD6"/>
    <w:rsid w:val="2C950AFD"/>
    <w:rsid w:val="2C985B8A"/>
    <w:rsid w:val="2C9C1E8B"/>
    <w:rsid w:val="2C9D3A89"/>
    <w:rsid w:val="2C9E20A7"/>
    <w:rsid w:val="2CA50ADA"/>
    <w:rsid w:val="2CA654B9"/>
    <w:rsid w:val="2CAD370D"/>
    <w:rsid w:val="2CB82A3D"/>
    <w:rsid w:val="2CC338BC"/>
    <w:rsid w:val="2CC338CA"/>
    <w:rsid w:val="2CC82C80"/>
    <w:rsid w:val="2CD07D87"/>
    <w:rsid w:val="2CD40DDD"/>
    <w:rsid w:val="2CD72A9E"/>
    <w:rsid w:val="2CD86C3B"/>
    <w:rsid w:val="2CE201B3"/>
    <w:rsid w:val="2CE2708D"/>
    <w:rsid w:val="2CE808B5"/>
    <w:rsid w:val="2CE81574"/>
    <w:rsid w:val="2CEF4985"/>
    <w:rsid w:val="2CFA3055"/>
    <w:rsid w:val="2CFE66A2"/>
    <w:rsid w:val="2D047A30"/>
    <w:rsid w:val="2D095368"/>
    <w:rsid w:val="2D0D2D89"/>
    <w:rsid w:val="2D1477FF"/>
    <w:rsid w:val="2D1714F9"/>
    <w:rsid w:val="2D1C121E"/>
    <w:rsid w:val="2D202ABC"/>
    <w:rsid w:val="2D2E0A6A"/>
    <w:rsid w:val="2D302395"/>
    <w:rsid w:val="2D320A41"/>
    <w:rsid w:val="2D3E73E6"/>
    <w:rsid w:val="2D400BED"/>
    <w:rsid w:val="2D405B59"/>
    <w:rsid w:val="2D430559"/>
    <w:rsid w:val="2D482013"/>
    <w:rsid w:val="2D4B38B1"/>
    <w:rsid w:val="2D60603A"/>
    <w:rsid w:val="2D6152BB"/>
    <w:rsid w:val="2D6329A9"/>
    <w:rsid w:val="2D662499"/>
    <w:rsid w:val="2D6A01DB"/>
    <w:rsid w:val="2D6C5D01"/>
    <w:rsid w:val="2D742E08"/>
    <w:rsid w:val="2D7A65A6"/>
    <w:rsid w:val="2D8A43D9"/>
    <w:rsid w:val="2D8B1BD0"/>
    <w:rsid w:val="2D944C91"/>
    <w:rsid w:val="2D945258"/>
    <w:rsid w:val="2D957987"/>
    <w:rsid w:val="2D9675C3"/>
    <w:rsid w:val="2D972170"/>
    <w:rsid w:val="2DA01B9A"/>
    <w:rsid w:val="2DA15F14"/>
    <w:rsid w:val="2DA57465"/>
    <w:rsid w:val="2DAE631A"/>
    <w:rsid w:val="2DB24B20"/>
    <w:rsid w:val="2DB2501B"/>
    <w:rsid w:val="2DB41456"/>
    <w:rsid w:val="2DB56DA0"/>
    <w:rsid w:val="2DB9081B"/>
    <w:rsid w:val="2DBD50E7"/>
    <w:rsid w:val="2DCF0981"/>
    <w:rsid w:val="2DD2348B"/>
    <w:rsid w:val="2DD24E04"/>
    <w:rsid w:val="2DD45655"/>
    <w:rsid w:val="2DE0049D"/>
    <w:rsid w:val="2DE57862"/>
    <w:rsid w:val="2DE709D9"/>
    <w:rsid w:val="2DE75388"/>
    <w:rsid w:val="2DE81100"/>
    <w:rsid w:val="2DEA0EE7"/>
    <w:rsid w:val="2DEA30CA"/>
    <w:rsid w:val="2DF02AE0"/>
    <w:rsid w:val="2DF90FEB"/>
    <w:rsid w:val="2DFB0E33"/>
    <w:rsid w:val="2DFD467B"/>
    <w:rsid w:val="2E020414"/>
    <w:rsid w:val="2E04418C"/>
    <w:rsid w:val="2E0779E5"/>
    <w:rsid w:val="2E0A52EF"/>
    <w:rsid w:val="2E112C5C"/>
    <w:rsid w:val="2E187486"/>
    <w:rsid w:val="2E187865"/>
    <w:rsid w:val="2E1D349F"/>
    <w:rsid w:val="2E206AEC"/>
    <w:rsid w:val="2E24038A"/>
    <w:rsid w:val="2E2C5491"/>
    <w:rsid w:val="2E2D7583"/>
    <w:rsid w:val="2E390E72"/>
    <w:rsid w:val="2E401296"/>
    <w:rsid w:val="2E45028C"/>
    <w:rsid w:val="2E474078"/>
    <w:rsid w:val="2E4A4A48"/>
    <w:rsid w:val="2E4E18AB"/>
    <w:rsid w:val="2E50117F"/>
    <w:rsid w:val="2E5C55A3"/>
    <w:rsid w:val="2E5F45A1"/>
    <w:rsid w:val="2E626BAD"/>
    <w:rsid w:val="2E6764C9"/>
    <w:rsid w:val="2E6B353D"/>
    <w:rsid w:val="2E6E5AA9"/>
    <w:rsid w:val="2E6E7857"/>
    <w:rsid w:val="2E7F3812"/>
    <w:rsid w:val="2E8026E6"/>
    <w:rsid w:val="2E860DB8"/>
    <w:rsid w:val="2E89343E"/>
    <w:rsid w:val="2E91366A"/>
    <w:rsid w:val="2E921798"/>
    <w:rsid w:val="2E9272E9"/>
    <w:rsid w:val="2E9279E9"/>
    <w:rsid w:val="2E9A19B2"/>
    <w:rsid w:val="2E9A4AF0"/>
    <w:rsid w:val="2EA046D5"/>
    <w:rsid w:val="2EA80FBB"/>
    <w:rsid w:val="2EAE5763"/>
    <w:rsid w:val="2EB56A4E"/>
    <w:rsid w:val="2EB77450"/>
    <w:rsid w:val="2EB84F76"/>
    <w:rsid w:val="2EB95ED6"/>
    <w:rsid w:val="2EBA6F40"/>
    <w:rsid w:val="2EBF4557"/>
    <w:rsid w:val="2EC102CF"/>
    <w:rsid w:val="2EC1468C"/>
    <w:rsid w:val="2EC41B6D"/>
    <w:rsid w:val="2EC57342"/>
    <w:rsid w:val="2EC9236B"/>
    <w:rsid w:val="2ECA6155"/>
    <w:rsid w:val="2ED00512"/>
    <w:rsid w:val="2ED26038"/>
    <w:rsid w:val="2ED52C6D"/>
    <w:rsid w:val="2ED718A0"/>
    <w:rsid w:val="2ED80935"/>
    <w:rsid w:val="2EDA6C9B"/>
    <w:rsid w:val="2EDB68BF"/>
    <w:rsid w:val="2EDD531E"/>
    <w:rsid w:val="2EE351E2"/>
    <w:rsid w:val="2EE373C9"/>
    <w:rsid w:val="2EE807A1"/>
    <w:rsid w:val="2EE81411"/>
    <w:rsid w:val="2EEB70FA"/>
    <w:rsid w:val="2EED4C20"/>
    <w:rsid w:val="2EF835C5"/>
    <w:rsid w:val="2EFA558F"/>
    <w:rsid w:val="2EFB6E53"/>
    <w:rsid w:val="2F0401BB"/>
    <w:rsid w:val="2F050B5D"/>
    <w:rsid w:val="2F05640D"/>
    <w:rsid w:val="2F07276A"/>
    <w:rsid w:val="2F146650"/>
    <w:rsid w:val="2F1D4533"/>
    <w:rsid w:val="2F2148C9"/>
    <w:rsid w:val="2F2209FD"/>
    <w:rsid w:val="2F236DF9"/>
    <w:rsid w:val="2F2666CA"/>
    <w:rsid w:val="2F2A5E74"/>
    <w:rsid w:val="2F364819"/>
    <w:rsid w:val="2F370591"/>
    <w:rsid w:val="2F39519C"/>
    <w:rsid w:val="2F3C6DC2"/>
    <w:rsid w:val="2F3E7229"/>
    <w:rsid w:val="2F416D1A"/>
    <w:rsid w:val="2F432A92"/>
    <w:rsid w:val="2F4607D4"/>
    <w:rsid w:val="2F544C9F"/>
    <w:rsid w:val="2F562335"/>
    <w:rsid w:val="2F566C69"/>
    <w:rsid w:val="2F5C6564"/>
    <w:rsid w:val="2F5E3531"/>
    <w:rsid w:val="2F5E78CC"/>
    <w:rsid w:val="2F5F53F2"/>
    <w:rsid w:val="2F61116A"/>
    <w:rsid w:val="2F61560E"/>
    <w:rsid w:val="2F6E407E"/>
    <w:rsid w:val="2F720B3D"/>
    <w:rsid w:val="2F7215C9"/>
    <w:rsid w:val="2F725125"/>
    <w:rsid w:val="2F745341"/>
    <w:rsid w:val="2F8337D6"/>
    <w:rsid w:val="2F866E22"/>
    <w:rsid w:val="2F876B93"/>
    <w:rsid w:val="2F91569A"/>
    <w:rsid w:val="2F923247"/>
    <w:rsid w:val="2F930945"/>
    <w:rsid w:val="2F94153F"/>
    <w:rsid w:val="2FA038EE"/>
    <w:rsid w:val="2FA31782"/>
    <w:rsid w:val="2FAB0637"/>
    <w:rsid w:val="2FB13E9F"/>
    <w:rsid w:val="2FB77A00"/>
    <w:rsid w:val="2FBB2F70"/>
    <w:rsid w:val="2FC33BD3"/>
    <w:rsid w:val="2FC516F9"/>
    <w:rsid w:val="2FC7130B"/>
    <w:rsid w:val="2FC82F97"/>
    <w:rsid w:val="2FE37DD1"/>
    <w:rsid w:val="2FEA5603"/>
    <w:rsid w:val="2FF124EE"/>
    <w:rsid w:val="2FF14047"/>
    <w:rsid w:val="2FF21536"/>
    <w:rsid w:val="2FF975F4"/>
    <w:rsid w:val="3002294D"/>
    <w:rsid w:val="300466C5"/>
    <w:rsid w:val="300512D8"/>
    <w:rsid w:val="30131553"/>
    <w:rsid w:val="30182170"/>
    <w:rsid w:val="3019196D"/>
    <w:rsid w:val="301D4299"/>
    <w:rsid w:val="30224D9D"/>
    <w:rsid w:val="302E5FD6"/>
    <w:rsid w:val="30330D58"/>
    <w:rsid w:val="303B22FD"/>
    <w:rsid w:val="303F76FD"/>
    <w:rsid w:val="30466CDD"/>
    <w:rsid w:val="304E5B92"/>
    <w:rsid w:val="30503131"/>
    <w:rsid w:val="3053665F"/>
    <w:rsid w:val="305667F5"/>
    <w:rsid w:val="3058256D"/>
    <w:rsid w:val="30586A11"/>
    <w:rsid w:val="30590093"/>
    <w:rsid w:val="305A62E5"/>
    <w:rsid w:val="305C19ED"/>
    <w:rsid w:val="306058C5"/>
    <w:rsid w:val="306166C8"/>
    <w:rsid w:val="306221CA"/>
    <w:rsid w:val="3062519A"/>
    <w:rsid w:val="30650FD5"/>
    <w:rsid w:val="306C426A"/>
    <w:rsid w:val="30754BE9"/>
    <w:rsid w:val="30782C0F"/>
    <w:rsid w:val="307D6477"/>
    <w:rsid w:val="307F3392"/>
    <w:rsid w:val="308050E6"/>
    <w:rsid w:val="30811EAD"/>
    <w:rsid w:val="308471EB"/>
    <w:rsid w:val="3085597E"/>
    <w:rsid w:val="30865E1D"/>
    <w:rsid w:val="30893E07"/>
    <w:rsid w:val="308A000C"/>
    <w:rsid w:val="308A51CE"/>
    <w:rsid w:val="309344A6"/>
    <w:rsid w:val="30975DB3"/>
    <w:rsid w:val="309A2B85"/>
    <w:rsid w:val="309E1302"/>
    <w:rsid w:val="309E55BB"/>
    <w:rsid w:val="30AC63F7"/>
    <w:rsid w:val="30B336F9"/>
    <w:rsid w:val="30B50BEA"/>
    <w:rsid w:val="30B8125D"/>
    <w:rsid w:val="30B860DB"/>
    <w:rsid w:val="30BE6E6E"/>
    <w:rsid w:val="30C40619"/>
    <w:rsid w:val="30C8401E"/>
    <w:rsid w:val="30D37E45"/>
    <w:rsid w:val="30D51E0F"/>
    <w:rsid w:val="30D61664"/>
    <w:rsid w:val="30DF2C8E"/>
    <w:rsid w:val="30E42053"/>
    <w:rsid w:val="30EB3EF2"/>
    <w:rsid w:val="30EE230F"/>
    <w:rsid w:val="30EE2ED1"/>
    <w:rsid w:val="30F100C1"/>
    <w:rsid w:val="30F45B4E"/>
    <w:rsid w:val="30F754F2"/>
    <w:rsid w:val="310444A3"/>
    <w:rsid w:val="31085D41"/>
    <w:rsid w:val="31101099"/>
    <w:rsid w:val="311566B0"/>
    <w:rsid w:val="311C2969"/>
    <w:rsid w:val="311C47EA"/>
    <w:rsid w:val="311D02DC"/>
    <w:rsid w:val="31213C0A"/>
    <w:rsid w:val="31224929"/>
    <w:rsid w:val="312406A1"/>
    <w:rsid w:val="312863E3"/>
    <w:rsid w:val="312C6DAE"/>
    <w:rsid w:val="31342FDA"/>
    <w:rsid w:val="313520C0"/>
    <w:rsid w:val="3138019B"/>
    <w:rsid w:val="313A5EF2"/>
    <w:rsid w:val="313B4368"/>
    <w:rsid w:val="313C1E8F"/>
    <w:rsid w:val="313E79B5"/>
    <w:rsid w:val="3140197F"/>
    <w:rsid w:val="31496359"/>
    <w:rsid w:val="314B6E77"/>
    <w:rsid w:val="31501496"/>
    <w:rsid w:val="315A562B"/>
    <w:rsid w:val="315E3BB3"/>
    <w:rsid w:val="316311C9"/>
    <w:rsid w:val="3163373C"/>
    <w:rsid w:val="31692558"/>
    <w:rsid w:val="31741628"/>
    <w:rsid w:val="31750FF9"/>
    <w:rsid w:val="31774C75"/>
    <w:rsid w:val="317E6003"/>
    <w:rsid w:val="31857392"/>
    <w:rsid w:val="318E7F7B"/>
    <w:rsid w:val="3199108F"/>
    <w:rsid w:val="319C0A92"/>
    <w:rsid w:val="31AD68E8"/>
    <w:rsid w:val="31AF440F"/>
    <w:rsid w:val="31B82C24"/>
    <w:rsid w:val="31C83722"/>
    <w:rsid w:val="31CA749A"/>
    <w:rsid w:val="31CC4FC0"/>
    <w:rsid w:val="31DA034E"/>
    <w:rsid w:val="31E71DFA"/>
    <w:rsid w:val="31E77BD1"/>
    <w:rsid w:val="31EC7411"/>
    <w:rsid w:val="31ED1D5A"/>
    <w:rsid w:val="31F67EDC"/>
    <w:rsid w:val="31F97D80"/>
    <w:rsid w:val="31FC56E9"/>
    <w:rsid w:val="32044D41"/>
    <w:rsid w:val="32052280"/>
    <w:rsid w:val="3209173E"/>
    <w:rsid w:val="32190E38"/>
    <w:rsid w:val="321D2371"/>
    <w:rsid w:val="321D7001"/>
    <w:rsid w:val="321F50CD"/>
    <w:rsid w:val="32252923"/>
    <w:rsid w:val="322850C0"/>
    <w:rsid w:val="322A7F39"/>
    <w:rsid w:val="32355B8A"/>
    <w:rsid w:val="323A4620"/>
    <w:rsid w:val="323D7C6C"/>
    <w:rsid w:val="3244724D"/>
    <w:rsid w:val="3251196A"/>
    <w:rsid w:val="32537490"/>
    <w:rsid w:val="325F4087"/>
    <w:rsid w:val="326276D3"/>
    <w:rsid w:val="32660A15"/>
    <w:rsid w:val="326C0551"/>
    <w:rsid w:val="3271566B"/>
    <w:rsid w:val="327A0EC0"/>
    <w:rsid w:val="327B07A0"/>
    <w:rsid w:val="327C2D3F"/>
    <w:rsid w:val="3282783E"/>
    <w:rsid w:val="32894C60"/>
    <w:rsid w:val="329B0E37"/>
    <w:rsid w:val="32A2618D"/>
    <w:rsid w:val="32A31CA7"/>
    <w:rsid w:val="32A4229E"/>
    <w:rsid w:val="32AB5C4B"/>
    <w:rsid w:val="32B12408"/>
    <w:rsid w:val="32BA306B"/>
    <w:rsid w:val="32BC3287"/>
    <w:rsid w:val="32BE4778"/>
    <w:rsid w:val="32BE5A88"/>
    <w:rsid w:val="32C60DF9"/>
    <w:rsid w:val="32C821EA"/>
    <w:rsid w:val="32C97DB6"/>
    <w:rsid w:val="32CE4D68"/>
    <w:rsid w:val="32D3412D"/>
    <w:rsid w:val="32D81743"/>
    <w:rsid w:val="32DD0626"/>
    <w:rsid w:val="32E36C47"/>
    <w:rsid w:val="32EB76C8"/>
    <w:rsid w:val="32ED664A"/>
    <w:rsid w:val="32F01183"/>
    <w:rsid w:val="32F3060F"/>
    <w:rsid w:val="32F50547"/>
    <w:rsid w:val="32FC7B27"/>
    <w:rsid w:val="33004414"/>
    <w:rsid w:val="330C5891"/>
    <w:rsid w:val="33107F03"/>
    <w:rsid w:val="33182487"/>
    <w:rsid w:val="331A6169"/>
    <w:rsid w:val="332364DB"/>
    <w:rsid w:val="33240007"/>
    <w:rsid w:val="33264BA4"/>
    <w:rsid w:val="33294694"/>
    <w:rsid w:val="33346D74"/>
    <w:rsid w:val="33423060"/>
    <w:rsid w:val="33434DAF"/>
    <w:rsid w:val="33484B1B"/>
    <w:rsid w:val="33560D41"/>
    <w:rsid w:val="33573EDC"/>
    <w:rsid w:val="33707BCD"/>
    <w:rsid w:val="33770F47"/>
    <w:rsid w:val="337A6C9E"/>
    <w:rsid w:val="337E0C62"/>
    <w:rsid w:val="33810DDC"/>
    <w:rsid w:val="33890C8F"/>
    <w:rsid w:val="338B4A07"/>
    <w:rsid w:val="3390201E"/>
    <w:rsid w:val="339715FE"/>
    <w:rsid w:val="33A1247D"/>
    <w:rsid w:val="33A53D1B"/>
    <w:rsid w:val="33B0446E"/>
    <w:rsid w:val="33B418B0"/>
    <w:rsid w:val="33C00CE4"/>
    <w:rsid w:val="33C817B8"/>
    <w:rsid w:val="33D2267E"/>
    <w:rsid w:val="33DC6096"/>
    <w:rsid w:val="33E22740"/>
    <w:rsid w:val="33E5680D"/>
    <w:rsid w:val="33E70E9C"/>
    <w:rsid w:val="33EB658A"/>
    <w:rsid w:val="33ED56C2"/>
    <w:rsid w:val="33EE0608"/>
    <w:rsid w:val="33F4583C"/>
    <w:rsid w:val="33F508A6"/>
    <w:rsid w:val="33FB1B8D"/>
    <w:rsid w:val="33FF59DC"/>
    <w:rsid w:val="34140EA1"/>
    <w:rsid w:val="3416085D"/>
    <w:rsid w:val="34192013"/>
    <w:rsid w:val="341B4A8C"/>
    <w:rsid w:val="341B5D8B"/>
    <w:rsid w:val="342407F3"/>
    <w:rsid w:val="34270BD4"/>
    <w:rsid w:val="342A06C4"/>
    <w:rsid w:val="342B1D46"/>
    <w:rsid w:val="342E0004"/>
    <w:rsid w:val="342F15DE"/>
    <w:rsid w:val="3437693D"/>
    <w:rsid w:val="34384B8F"/>
    <w:rsid w:val="34427191"/>
    <w:rsid w:val="344352E2"/>
    <w:rsid w:val="34477053"/>
    <w:rsid w:val="344E0AA2"/>
    <w:rsid w:val="34545741"/>
    <w:rsid w:val="34557417"/>
    <w:rsid w:val="345614B9"/>
    <w:rsid w:val="34657CEE"/>
    <w:rsid w:val="346A0AC1"/>
    <w:rsid w:val="346D06AE"/>
    <w:rsid w:val="346D235F"/>
    <w:rsid w:val="346F257B"/>
    <w:rsid w:val="34761214"/>
    <w:rsid w:val="3479352B"/>
    <w:rsid w:val="34806536"/>
    <w:rsid w:val="348222AE"/>
    <w:rsid w:val="34875EF1"/>
    <w:rsid w:val="34934894"/>
    <w:rsid w:val="34975F75"/>
    <w:rsid w:val="349D3D0C"/>
    <w:rsid w:val="34A35D81"/>
    <w:rsid w:val="34A63235"/>
    <w:rsid w:val="34AC10D9"/>
    <w:rsid w:val="34AF205A"/>
    <w:rsid w:val="34B128F9"/>
    <w:rsid w:val="34B63B69"/>
    <w:rsid w:val="34BB30CA"/>
    <w:rsid w:val="34C401D1"/>
    <w:rsid w:val="34CC3AA0"/>
    <w:rsid w:val="34D83C7C"/>
    <w:rsid w:val="34DA5C46"/>
    <w:rsid w:val="34E40873"/>
    <w:rsid w:val="34E97C37"/>
    <w:rsid w:val="34EE16F2"/>
    <w:rsid w:val="34EE6562"/>
    <w:rsid w:val="3502519D"/>
    <w:rsid w:val="35044A71"/>
    <w:rsid w:val="3509652C"/>
    <w:rsid w:val="350A21BF"/>
    <w:rsid w:val="350D7760"/>
    <w:rsid w:val="350E58F0"/>
    <w:rsid w:val="35100B7F"/>
    <w:rsid w:val="351D3D85"/>
    <w:rsid w:val="351F3659"/>
    <w:rsid w:val="35241716"/>
    <w:rsid w:val="352549E8"/>
    <w:rsid w:val="35326A11"/>
    <w:rsid w:val="35330690"/>
    <w:rsid w:val="35335357"/>
    <w:rsid w:val="353510CF"/>
    <w:rsid w:val="35386E11"/>
    <w:rsid w:val="353C06AF"/>
    <w:rsid w:val="353C245D"/>
    <w:rsid w:val="35415CC5"/>
    <w:rsid w:val="354237EC"/>
    <w:rsid w:val="354B6B44"/>
    <w:rsid w:val="354D0723"/>
    <w:rsid w:val="354E2190"/>
    <w:rsid w:val="354E3F3E"/>
    <w:rsid w:val="35597400"/>
    <w:rsid w:val="356329FE"/>
    <w:rsid w:val="3566572C"/>
    <w:rsid w:val="356A7BE4"/>
    <w:rsid w:val="356B1732"/>
    <w:rsid w:val="35706F8D"/>
    <w:rsid w:val="357A11D7"/>
    <w:rsid w:val="357B28D6"/>
    <w:rsid w:val="357F234A"/>
    <w:rsid w:val="357F5555"/>
    <w:rsid w:val="35812566"/>
    <w:rsid w:val="35864161"/>
    <w:rsid w:val="358F4C83"/>
    <w:rsid w:val="35906305"/>
    <w:rsid w:val="3591400F"/>
    <w:rsid w:val="359364EB"/>
    <w:rsid w:val="359466B9"/>
    <w:rsid w:val="359C114E"/>
    <w:rsid w:val="35A45653"/>
    <w:rsid w:val="35A45811"/>
    <w:rsid w:val="35A712C1"/>
    <w:rsid w:val="35A9270C"/>
    <w:rsid w:val="35AA6C03"/>
    <w:rsid w:val="35AB313F"/>
    <w:rsid w:val="35AE2C2F"/>
    <w:rsid w:val="35B17B3F"/>
    <w:rsid w:val="35B52116"/>
    <w:rsid w:val="35C10509"/>
    <w:rsid w:val="35C75AAD"/>
    <w:rsid w:val="35C97A69"/>
    <w:rsid w:val="35D271A0"/>
    <w:rsid w:val="35D46B3A"/>
    <w:rsid w:val="35D5691F"/>
    <w:rsid w:val="35DC59EE"/>
    <w:rsid w:val="35E120F0"/>
    <w:rsid w:val="35EB36EB"/>
    <w:rsid w:val="35ED3FA7"/>
    <w:rsid w:val="35EE3AC7"/>
    <w:rsid w:val="35EE5151"/>
    <w:rsid w:val="35F00679"/>
    <w:rsid w:val="35F20D6E"/>
    <w:rsid w:val="35F23C4F"/>
    <w:rsid w:val="36003296"/>
    <w:rsid w:val="360137B6"/>
    <w:rsid w:val="360142B5"/>
    <w:rsid w:val="360311CD"/>
    <w:rsid w:val="36062C73"/>
    <w:rsid w:val="36097A13"/>
    <w:rsid w:val="360A3C9A"/>
    <w:rsid w:val="360B0081"/>
    <w:rsid w:val="360B1E2F"/>
    <w:rsid w:val="36154A5C"/>
    <w:rsid w:val="36180457"/>
    <w:rsid w:val="361C228F"/>
    <w:rsid w:val="362353CB"/>
    <w:rsid w:val="36237179"/>
    <w:rsid w:val="36260A17"/>
    <w:rsid w:val="3628478F"/>
    <w:rsid w:val="3633238A"/>
    <w:rsid w:val="3639699D"/>
    <w:rsid w:val="36446750"/>
    <w:rsid w:val="36453593"/>
    <w:rsid w:val="364610BA"/>
    <w:rsid w:val="3647730B"/>
    <w:rsid w:val="36496327"/>
    <w:rsid w:val="36527627"/>
    <w:rsid w:val="3655404E"/>
    <w:rsid w:val="365E6403"/>
    <w:rsid w:val="36616A90"/>
    <w:rsid w:val="36617CA1"/>
    <w:rsid w:val="366652B8"/>
    <w:rsid w:val="36697E5E"/>
    <w:rsid w:val="366F0610"/>
    <w:rsid w:val="366F6862"/>
    <w:rsid w:val="367B6FB5"/>
    <w:rsid w:val="36820BD0"/>
    <w:rsid w:val="36835E6A"/>
    <w:rsid w:val="36851BE2"/>
    <w:rsid w:val="36864425"/>
    <w:rsid w:val="36874505"/>
    <w:rsid w:val="36877708"/>
    <w:rsid w:val="368A369C"/>
    <w:rsid w:val="368F480F"/>
    <w:rsid w:val="369260AD"/>
    <w:rsid w:val="36941E25"/>
    <w:rsid w:val="36965B9D"/>
    <w:rsid w:val="3699568D"/>
    <w:rsid w:val="369E0EF6"/>
    <w:rsid w:val="36A06C35"/>
    <w:rsid w:val="36A22794"/>
    <w:rsid w:val="36B14785"/>
    <w:rsid w:val="36B55058"/>
    <w:rsid w:val="36B96E85"/>
    <w:rsid w:val="36C35E04"/>
    <w:rsid w:val="36C418A2"/>
    <w:rsid w:val="36C46BAE"/>
    <w:rsid w:val="36CA4B2C"/>
    <w:rsid w:val="36CA64AC"/>
    <w:rsid w:val="36D27FF3"/>
    <w:rsid w:val="36D93CDC"/>
    <w:rsid w:val="36DB7A54"/>
    <w:rsid w:val="36DC3513"/>
    <w:rsid w:val="36DD3259"/>
    <w:rsid w:val="36E04176"/>
    <w:rsid w:val="36E763F9"/>
    <w:rsid w:val="36EC3A0F"/>
    <w:rsid w:val="36ED2DF8"/>
    <w:rsid w:val="36EF46EB"/>
    <w:rsid w:val="36EF52AD"/>
    <w:rsid w:val="36F020EC"/>
    <w:rsid w:val="36F31241"/>
    <w:rsid w:val="36F34D9D"/>
    <w:rsid w:val="36F650CC"/>
    <w:rsid w:val="36FD3E6E"/>
    <w:rsid w:val="370276D6"/>
    <w:rsid w:val="37040D59"/>
    <w:rsid w:val="370A20E7"/>
    <w:rsid w:val="370C5FA1"/>
    <w:rsid w:val="370E7E29"/>
    <w:rsid w:val="3710594F"/>
    <w:rsid w:val="37127519"/>
    <w:rsid w:val="37135440"/>
    <w:rsid w:val="371D3482"/>
    <w:rsid w:val="371F3DE4"/>
    <w:rsid w:val="37256F21"/>
    <w:rsid w:val="37335046"/>
    <w:rsid w:val="373B04F2"/>
    <w:rsid w:val="373D1110"/>
    <w:rsid w:val="373E3439"/>
    <w:rsid w:val="373F0131"/>
    <w:rsid w:val="37425D25"/>
    <w:rsid w:val="3748158D"/>
    <w:rsid w:val="374A7542"/>
    <w:rsid w:val="37561DAD"/>
    <w:rsid w:val="37575EA3"/>
    <w:rsid w:val="375C6DE7"/>
    <w:rsid w:val="37611953"/>
    <w:rsid w:val="376344FA"/>
    <w:rsid w:val="37667339"/>
    <w:rsid w:val="376721C7"/>
    <w:rsid w:val="376D5D49"/>
    <w:rsid w:val="37706C04"/>
    <w:rsid w:val="37715970"/>
    <w:rsid w:val="37773C20"/>
    <w:rsid w:val="377A101B"/>
    <w:rsid w:val="377B4C90"/>
    <w:rsid w:val="378123A9"/>
    <w:rsid w:val="37863E63"/>
    <w:rsid w:val="37865C12"/>
    <w:rsid w:val="37866B0A"/>
    <w:rsid w:val="378E4AC6"/>
    <w:rsid w:val="37960545"/>
    <w:rsid w:val="37976071"/>
    <w:rsid w:val="37A04D9E"/>
    <w:rsid w:val="37A140C3"/>
    <w:rsid w:val="37A33238"/>
    <w:rsid w:val="37A33A67"/>
    <w:rsid w:val="37A367C3"/>
    <w:rsid w:val="37A85305"/>
    <w:rsid w:val="37AD7162"/>
    <w:rsid w:val="37B07132"/>
    <w:rsid w:val="37B3277F"/>
    <w:rsid w:val="37B3452D"/>
    <w:rsid w:val="37B502A5"/>
    <w:rsid w:val="37B747BB"/>
    <w:rsid w:val="37BF08C9"/>
    <w:rsid w:val="37D07D4D"/>
    <w:rsid w:val="37D13DEF"/>
    <w:rsid w:val="37D50947"/>
    <w:rsid w:val="37D67D60"/>
    <w:rsid w:val="37D75AE6"/>
    <w:rsid w:val="37DA7D0B"/>
    <w:rsid w:val="37DC3A83"/>
    <w:rsid w:val="37DF4D0F"/>
    <w:rsid w:val="37E868CC"/>
    <w:rsid w:val="37EA1AFB"/>
    <w:rsid w:val="37F02FD0"/>
    <w:rsid w:val="37F1371E"/>
    <w:rsid w:val="37FA5E67"/>
    <w:rsid w:val="37FC20C3"/>
    <w:rsid w:val="37FC2378"/>
    <w:rsid w:val="37FF59C4"/>
    <w:rsid w:val="38044D88"/>
    <w:rsid w:val="380A4AD0"/>
    <w:rsid w:val="380B3F3F"/>
    <w:rsid w:val="381750B3"/>
    <w:rsid w:val="38175C7C"/>
    <w:rsid w:val="381A1D26"/>
    <w:rsid w:val="3825367C"/>
    <w:rsid w:val="382947EF"/>
    <w:rsid w:val="38295FF1"/>
    <w:rsid w:val="382A0958"/>
    <w:rsid w:val="383E029A"/>
    <w:rsid w:val="38481F45"/>
    <w:rsid w:val="384D1667"/>
    <w:rsid w:val="384F60E1"/>
    <w:rsid w:val="38547ABE"/>
    <w:rsid w:val="38561A88"/>
    <w:rsid w:val="385B53B3"/>
    <w:rsid w:val="385F50AD"/>
    <w:rsid w:val="386046B4"/>
    <w:rsid w:val="38675D29"/>
    <w:rsid w:val="38726196"/>
    <w:rsid w:val="38741F0E"/>
    <w:rsid w:val="387C3645"/>
    <w:rsid w:val="3885732E"/>
    <w:rsid w:val="388D6EB1"/>
    <w:rsid w:val="38987C13"/>
    <w:rsid w:val="38995E18"/>
    <w:rsid w:val="389C3903"/>
    <w:rsid w:val="389D1465"/>
    <w:rsid w:val="389D7539"/>
    <w:rsid w:val="389E51DD"/>
    <w:rsid w:val="389F7D6B"/>
    <w:rsid w:val="38A4740C"/>
    <w:rsid w:val="38A61819"/>
    <w:rsid w:val="38AF4455"/>
    <w:rsid w:val="38B36EDA"/>
    <w:rsid w:val="38B62526"/>
    <w:rsid w:val="38B92017"/>
    <w:rsid w:val="38BF587F"/>
    <w:rsid w:val="38C27DC4"/>
    <w:rsid w:val="38C34C43"/>
    <w:rsid w:val="38C421B3"/>
    <w:rsid w:val="38C509BB"/>
    <w:rsid w:val="38C904AC"/>
    <w:rsid w:val="38DA7A62"/>
    <w:rsid w:val="38E4205E"/>
    <w:rsid w:val="38F44DFD"/>
    <w:rsid w:val="38FB43DD"/>
    <w:rsid w:val="38FC23A0"/>
    <w:rsid w:val="39017524"/>
    <w:rsid w:val="390239BE"/>
    <w:rsid w:val="390E4110"/>
    <w:rsid w:val="391664DF"/>
    <w:rsid w:val="39186D3D"/>
    <w:rsid w:val="391B345F"/>
    <w:rsid w:val="391E1E7A"/>
    <w:rsid w:val="391F734F"/>
    <w:rsid w:val="39237490"/>
    <w:rsid w:val="392515F3"/>
    <w:rsid w:val="39286885"/>
    <w:rsid w:val="392E04D8"/>
    <w:rsid w:val="393F076E"/>
    <w:rsid w:val="39400042"/>
    <w:rsid w:val="394702FC"/>
    <w:rsid w:val="394915ED"/>
    <w:rsid w:val="394D6D52"/>
    <w:rsid w:val="395172BF"/>
    <w:rsid w:val="395A08EE"/>
    <w:rsid w:val="395A1104"/>
    <w:rsid w:val="395C61FB"/>
    <w:rsid w:val="39602492"/>
    <w:rsid w:val="396D541B"/>
    <w:rsid w:val="397A13EA"/>
    <w:rsid w:val="397B287A"/>
    <w:rsid w:val="397E60B8"/>
    <w:rsid w:val="397F3F36"/>
    <w:rsid w:val="397F500E"/>
    <w:rsid w:val="39873EC3"/>
    <w:rsid w:val="39875C71"/>
    <w:rsid w:val="39916AF0"/>
    <w:rsid w:val="39932095"/>
    <w:rsid w:val="39972358"/>
    <w:rsid w:val="399B7293"/>
    <w:rsid w:val="399C796E"/>
    <w:rsid w:val="39A01C75"/>
    <w:rsid w:val="39A22E12"/>
    <w:rsid w:val="39A71E6F"/>
    <w:rsid w:val="39A86313"/>
    <w:rsid w:val="39B051C8"/>
    <w:rsid w:val="39B34B58"/>
    <w:rsid w:val="39B60304"/>
    <w:rsid w:val="39BE047A"/>
    <w:rsid w:val="39C42A21"/>
    <w:rsid w:val="39C86C21"/>
    <w:rsid w:val="39CB3B98"/>
    <w:rsid w:val="39CB3DB0"/>
    <w:rsid w:val="39CD3FCC"/>
    <w:rsid w:val="39CD7B28"/>
    <w:rsid w:val="39CE564E"/>
    <w:rsid w:val="39D23390"/>
    <w:rsid w:val="39D906C5"/>
    <w:rsid w:val="39D92270"/>
    <w:rsid w:val="39DB72F7"/>
    <w:rsid w:val="39E26862"/>
    <w:rsid w:val="39E8122B"/>
    <w:rsid w:val="39EC3D26"/>
    <w:rsid w:val="39EF2DC2"/>
    <w:rsid w:val="39F01A68"/>
    <w:rsid w:val="39F23A32"/>
    <w:rsid w:val="39F50E2C"/>
    <w:rsid w:val="39F7538F"/>
    <w:rsid w:val="39FA4CD4"/>
    <w:rsid w:val="39FD5F33"/>
    <w:rsid w:val="39FE3916"/>
    <w:rsid w:val="3A0D2261"/>
    <w:rsid w:val="3A155D47"/>
    <w:rsid w:val="3A1A4D37"/>
    <w:rsid w:val="3A1E12D9"/>
    <w:rsid w:val="3A222913"/>
    <w:rsid w:val="3A295D61"/>
    <w:rsid w:val="3A2D4A6A"/>
    <w:rsid w:val="3A2E433E"/>
    <w:rsid w:val="3A2F07E2"/>
    <w:rsid w:val="3A312F8B"/>
    <w:rsid w:val="3A35391F"/>
    <w:rsid w:val="3A355331"/>
    <w:rsid w:val="3A441C7A"/>
    <w:rsid w:val="3A4B2127"/>
    <w:rsid w:val="3A4F49E1"/>
    <w:rsid w:val="3A4F678F"/>
    <w:rsid w:val="3A555D6F"/>
    <w:rsid w:val="3A59585F"/>
    <w:rsid w:val="3A663AD8"/>
    <w:rsid w:val="3A667F7C"/>
    <w:rsid w:val="3A683CF4"/>
    <w:rsid w:val="3A685AA2"/>
    <w:rsid w:val="3A6C2245"/>
    <w:rsid w:val="3A7379ED"/>
    <w:rsid w:val="3A7461F5"/>
    <w:rsid w:val="3A777A93"/>
    <w:rsid w:val="3A7B57D6"/>
    <w:rsid w:val="3A830B2E"/>
    <w:rsid w:val="3A8F1281"/>
    <w:rsid w:val="3A970136"/>
    <w:rsid w:val="3A9839D5"/>
    <w:rsid w:val="3A9E400B"/>
    <w:rsid w:val="3AA0348E"/>
    <w:rsid w:val="3AA86AE2"/>
    <w:rsid w:val="3AAC3929"/>
    <w:rsid w:val="3AAD5BAB"/>
    <w:rsid w:val="3AB26D1E"/>
    <w:rsid w:val="3AB40CE8"/>
    <w:rsid w:val="3AB85FC8"/>
    <w:rsid w:val="3ABE1B66"/>
    <w:rsid w:val="3ABE56C2"/>
    <w:rsid w:val="3AC07851"/>
    <w:rsid w:val="3AC07DBA"/>
    <w:rsid w:val="3AC20E4B"/>
    <w:rsid w:val="3AC24284"/>
    <w:rsid w:val="3ACB5E8E"/>
    <w:rsid w:val="3ACF5B21"/>
    <w:rsid w:val="3AD1189A"/>
    <w:rsid w:val="3AD403BB"/>
    <w:rsid w:val="3AD43138"/>
    <w:rsid w:val="3AD72725"/>
    <w:rsid w:val="3AD9074E"/>
    <w:rsid w:val="3AD924FC"/>
    <w:rsid w:val="3AD969A0"/>
    <w:rsid w:val="3ADB0022"/>
    <w:rsid w:val="3ADE0A7C"/>
    <w:rsid w:val="3AE26C73"/>
    <w:rsid w:val="3AE74292"/>
    <w:rsid w:val="3AEB1466"/>
    <w:rsid w:val="3AED190D"/>
    <w:rsid w:val="3AF15A98"/>
    <w:rsid w:val="3AF47336"/>
    <w:rsid w:val="3AF70BD4"/>
    <w:rsid w:val="3AF9494C"/>
    <w:rsid w:val="3AFB06C4"/>
    <w:rsid w:val="3B074AF8"/>
    <w:rsid w:val="3B0D6C0B"/>
    <w:rsid w:val="3B133C60"/>
    <w:rsid w:val="3B181276"/>
    <w:rsid w:val="3B1D688D"/>
    <w:rsid w:val="3B20637D"/>
    <w:rsid w:val="3B2A2D58"/>
    <w:rsid w:val="3B2A71FC"/>
    <w:rsid w:val="3B2C6AD0"/>
    <w:rsid w:val="3B2D53D0"/>
    <w:rsid w:val="3B3D2A8B"/>
    <w:rsid w:val="3B3F5E7C"/>
    <w:rsid w:val="3B457B92"/>
    <w:rsid w:val="3B464036"/>
    <w:rsid w:val="3B4756B8"/>
    <w:rsid w:val="3B477494"/>
    <w:rsid w:val="3B516ED3"/>
    <w:rsid w:val="3B554279"/>
    <w:rsid w:val="3B587322"/>
    <w:rsid w:val="3B5878C5"/>
    <w:rsid w:val="3B6E533A"/>
    <w:rsid w:val="3B6E70E8"/>
    <w:rsid w:val="3B72766D"/>
    <w:rsid w:val="3B7641EF"/>
    <w:rsid w:val="3B7A5A8D"/>
    <w:rsid w:val="3B7D557D"/>
    <w:rsid w:val="3B806E1C"/>
    <w:rsid w:val="3B810333"/>
    <w:rsid w:val="3B8202E9"/>
    <w:rsid w:val="3B83130C"/>
    <w:rsid w:val="3B8F34C7"/>
    <w:rsid w:val="3B984165"/>
    <w:rsid w:val="3B985F13"/>
    <w:rsid w:val="3BA0301A"/>
    <w:rsid w:val="3BA05290"/>
    <w:rsid w:val="3BAC5E63"/>
    <w:rsid w:val="3BB22C32"/>
    <w:rsid w:val="3BB50897"/>
    <w:rsid w:val="3BB80364"/>
    <w:rsid w:val="3BBA23D3"/>
    <w:rsid w:val="3BC41D5D"/>
    <w:rsid w:val="3BC767F9"/>
    <w:rsid w:val="3BCC40EF"/>
    <w:rsid w:val="3BD333EF"/>
    <w:rsid w:val="3BD72EE0"/>
    <w:rsid w:val="3BE60C08"/>
    <w:rsid w:val="3BEC625F"/>
    <w:rsid w:val="3BF07AFD"/>
    <w:rsid w:val="3BF84C04"/>
    <w:rsid w:val="3BFA6BCE"/>
    <w:rsid w:val="3BFC5EF5"/>
    <w:rsid w:val="3C0435A9"/>
    <w:rsid w:val="3C076C8A"/>
    <w:rsid w:val="3C0D0902"/>
    <w:rsid w:val="3C0D57D9"/>
    <w:rsid w:val="3C0E2EA8"/>
    <w:rsid w:val="3C1001A0"/>
    <w:rsid w:val="3C131A08"/>
    <w:rsid w:val="3C1B08BC"/>
    <w:rsid w:val="3C202B7C"/>
    <w:rsid w:val="3C2F371D"/>
    <w:rsid w:val="3C3025F0"/>
    <w:rsid w:val="3C3245BA"/>
    <w:rsid w:val="3C332D6A"/>
    <w:rsid w:val="3C351FEC"/>
    <w:rsid w:val="3C357C06"/>
    <w:rsid w:val="3C3E629F"/>
    <w:rsid w:val="3C4147FD"/>
    <w:rsid w:val="3C467402"/>
    <w:rsid w:val="3C490231"/>
    <w:rsid w:val="3C4D41CF"/>
    <w:rsid w:val="3C4D430D"/>
    <w:rsid w:val="3C500585"/>
    <w:rsid w:val="3C506122"/>
    <w:rsid w:val="3C544530"/>
    <w:rsid w:val="3C575DCE"/>
    <w:rsid w:val="3C587F8B"/>
    <w:rsid w:val="3C5A141B"/>
    <w:rsid w:val="3C5A58BF"/>
    <w:rsid w:val="3C5C33E5"/>
    <w:rsid w:val="3C611042"/>
    <w:rsid w:val="3C6436E5"/>
    <w:rsid w:val="3C67733A"/>
    <w:rsid w:val="3C6779A4"/>
    <w:rsid w:val="3C687FDC"/>
    <w:rsid w:val="3C6A3D54"/>
    <w:rsid w:val="3C706E90"/>
    <w:rsid w:val="3C723457"/>
    <w:rsid w:val="3C792C55"/>
    <w:rsid w:val="3C7E335B"/>
    <w:rsid w:val="3C7F0E81"/>
    <w:rsid w:val="3C8666B4"/>
    <w:rsid w:val="3C8B5A78"/>
    <w:rsid w:val="3C8D2F8F"/>
    <w:rsid w:val="3C94492D"/>
    <w:rsid w:val="3C9708C1"/>
    <w:rsid w:val="3C97584D"/>
    <w:rsid w:val="3C9A402F"/>
    <w:rsid w:val="3C9C5ED7"/>
    <w:rsid w:val="3CA1529C"/>
    <w:rsid w:val="3CA54D8C"/>
    <w:rsid w:val="3CA64660"/>
    <w:rsid w:val="3CAA0C2A"/>
    <w:rsid w:val="3CB9732D"/>
    <w:rsid w:val="3CBC5CEC"/>
    <w:rsid w:val="3CC2593E"/>
    <w:rsid w:val="3CCB2319"/>
    <w:rsid w:val="3CCF005B"/>
    <w:rsid w:val="3CD016DD"/>
    <w:rsid w:val="3CD47902"/>
    <w:rsid w:val="3CE66669"/>
    <w:rsid w:val="3CEE3D26"/>
    <w:rsid w:val="3CF47AC1"/>
    <w:rsid w:val="3CFD4617"/>
    <w:rsid w:val="3CFD6976"/>
    <w:rsid w:val="3D0D16EF"/>
    <w:rsid w:val="3D0F2AA3"/>
    <w:rsid w:val="3D127F47"/>
    <w:rsid w:val="3D1E5BB7"/>
    <w:rsid w:val="3D2C2DB7"/>
    <w:rsid w:val="3D2E14E1"/>
    <w:rsid w:val="3D320DE7"/>
    <w:rsid w:val="3D347EBE"/>
    <w:rsid w:val="3D3748E1"/>
    <w:rsid w:val="3D3B60B6"/>
    <w:rsid w:val="3D3C45F6"/>
    <w:rsid w:val="3D3D1714"/>
    <w:rsid w:val="3D430101"/>
    <w:rsid w:val="3D436353"/>
    <w:rsid w:val="3D465137"/>
    <w:rsid w:val="3D583BAC"/>
    <w:rsid w:val="3D5A2496"/>
    <w:rsid w:val="3D5F13DF"/>
    <w:rsid w:val="3D5F637E"/>
    <w:rsid w:val="3D614D46"/>
    <w:rsid w:val="3D687B67"/>
    <w:rsid w:val="3D6F7A43"/>
    <w:rsid w:val="3D736C38"/>
    <w:rsid w:val="3D77544A"/>
    <w:rsid w:val="3D7B244D"/>
    <w:rsid w:val="3D7C3A0F"/>
    <w:rsid w:val="3D827BF5"/>
    <w:rsid w:val="3D840E45"/>
    <w:rsid w:val="3D8B4B2B"/>
    <w:rsid w:val="3D8D5233"/>
    <w:rsid w:val="3D9C7FA8"/>
    <w:rsid w:val="3DA61E89"/>
    <w:rsid w:val="3DA74B34"/>
    <w:rsid w:val="3DA9265A"/>
    <w:rsid w:val="3DB1668F"/>
    <w:rsid w:val="3DB57251"/>
    <w:rsid w:val="3DBB4F53"/>
    <w:rsid w:val="3DC71657"/>
    <w:rsid w:val="3DCC459A"/>
    <w:rsid w:val="3DCC6348"/>
    <w:rsid w:val="3DD3413D"/>
    <w:rsid w:val="3DD441E1"/>
    <w:rsid w:val="3DDA6CB7"/>
    <w:rsid w:val="3DDC47DD"/>
    <w:rsid w:val="3DDD2303"/>
    <w:rsid w:val="3DE32640"/>
    <w:rsid w:val="3DF07707"/>
    <w:rsid w:val="3DF541A9"/>
    <w:rsid w:val="3DF80EEB"/>
    <w:rsid w:val="3DF8713D"/>
    <w:rsid w:val="3E045AE2"/>
    <w:rsid w:val="3E076897"/>
    <w:rsid w:val="3E0B4A65"/>
    <w:rsid w:val="3E0C4997"/>
    <w:rsid w:val="3E0D732A"/>
    <w:rsid w:val="3E12290A"/>
    <w:rsid w:val="3E1321C9"/>
    <w:rsid w:val="3E173A3F"/>
    <w:rsid w:val="3E1D461D"/>
    <w:rsid w:val="3E261EFC"/>
    <w:rsid w:val="3E29379B"/>
    <w:rsid w:val="3E2B306F"/>
    <w:rsid w:val="3E2E7003"/>
    <w:rsid w:val="3E32264F"/>
    <w:rsid w:val="3E3C1720"/>
    <w:rsid w:val="3E3D4C7C"/>
    <w:rsid w:val="3E413B9C"/>
    <w:rsid w:val="3E4260D9"/>
    <w:rsid w:val="3E490F6A"/>
    <w:rsid w:val="3E4A5C95"/>
    <w:rsid w:val="3E5C76CC"/>
    <w:rsid w:val="3E5F3B03"/>
    <w:rsid w:val="3E66679D"/>
    <w:rsid w:val="3E70582C"/>
    <w:rsid w:val="3E726EF0"/>
    <w:rsid w:val="3E781F98"/>
    <w:rsid w:val="3E7D047A"/>
    <w:rsid w:val="3E80616E"/>
    <w:rsid w:val="3E8310FD"/>
    <w:rsid w:val="3E85758F"/>
    <w:rsid w:val="3E860BED"/>
    <w:rsid w:val="3E9E2257"/>
    <w:rsid w:val="3EA26F9B"/>
    <w:rsid w:val="3EA64DEB"/>
    <w:rsid w:val="3EA8415A"/>
    <w:rsid w:val="3EAD1CD6"/>
    <w:rsid w:val="3EAD6F0F"/>
    <w:rsid w:val="3EB07A18"/>
    <w:rsid w:val="3EB23790"/>
    <w:rsid w:val="3EB516C8"/>
    <w:rsid w:val="3EB56DDC"/>
    <w:rsid w:val="3EB72B91"/>
    <w:rsid w:val="3EB85378"/>
    <w:rsid w:val="3EBC6496"/>
    <w:rsid w:val="3EC03E4A"/>
    <w:rsid w:val="3EC51715"/>
    <w:rsid w:val="3EC551B7"/>
    <w:rsid w:val="3ECA0847"/>
    <w:rsid w:val="3ECA15DC"/>
    <w:rsid w:val="3ECF5173"/>
    <w:rsid w:val="3ED04E79"/>
    <w:rsid w:val="3ED100BA"/>
    <w:rsid w:val="3ED25BE0"/>
    <w:rsid w:val="3ED402CB"/>
    <w:rsid w:val="3ED454B4"/>
    <w:rsid w:val="3EE002FD"/>
    <w:rsid w:val="3EE21CBD"/>
    <w:rsid w:val="3EEA117C"/>
    <w:rsid w:val="3EEB0A50"/>
    <w:rsid w:val="3EEB27FE"/>
    <w:rsid w:val="3EF21DDE"/>
    <w:rsid w:val="3EF67B21"/>
    <w:rsid w:val="3EF73899"/>
    <w:rsid w:val="3F051B12"/>
    <w:rsid w:val="3F075CC4"/>
    <w:rsid w:val="3F081602"/>
    <w:rsid w:val="3F0A09BA"/>
    <w:rsid w:val="3F0B5DBE"/>
    <w:rsid w:val="3F0C197D"/>
    <w:rsid w:val="3F0E5AA7"/>
    <w:rsid w:val="3F11495A"/>
    <w:rsid w:val="3F122481"/>
    <w:rsid w:val="3F1E1E3B"/>
    <w:rsid w:val="3F1F0CBC"/>
    <w:rsid w:val="3F220916"/>
    <w:rsid w:val="3F267DFC"/>
    <w:rsid w:val="3F275F2C"/>
    <w:rsid w:val="3F2D72BA"/>
    <w:rsid w:val="3F2F4DE1"/>
    <w:rsid w:val="3F3E5024"/>
    <w:rsid w:val="3F450160"/>
    <w:rsid w:val="3F47037C"/>
    <w:rsid w:val="3F485EA2"/>
    <w:rsid w:val="3F4E170B"/>
    <w:rsid w:val="3F584974"/>
    <w:rsid w:val="3F5922C0"/>
    <w:rsid w:val="3F5C54AA"/>
    <w:rsid w:val="3F5D36FC"/>
    <w:rsid w:val="3F606EC9"/>
    <w:rsid w:val="3F626F64"/>
    <w:rsid w:val="3F63109E"/>
    <w:rsid w:val="3F6B1D26"/>
    <w:rsid w:val="3F6C7EC6"/>
    <w:rsid w:val="3F6F029F"/>
    <w:rsid w:val="3F830C89"/>
    <w:rsid w:val="3F922A7B"/>
    <w:rsid w:val="3F9B2DCE"/>
    <w:rsid w:val="3FAE21A9"/>
    <w:rsid w:val="3FAF1572"/>
    <w:rsid w:val="3FB13B5B"/>
    <w:rsid w:val="3FB2282A"/>
    <w:rsid w:val="3FB850D9"/>
    <w:rsid w:val="3FBB501D"/>
    <w:rsid w:val="3FBD5D22"/>
    <w:rsid w:val="3FBF17B6"/>
    <w:rsid w:val="3FC01EDD"/>
    <w:rsid w:val="3FC45529"/>
    <w:rsid w:val="3FC47EEF"/>
    <w:rsid w:val="3FC507FC"/>
    <w:rsid w:val="3FCB2D5B"/>
    <w:rsid w:val="3FCE715D"/>
    <w:rsid w:val="3FCF4923"/>
    <w:rsid w:val="3FD87871"/>
    <w:rsid w:val="3FDD2A8F"/>
    <w:rsid w:val="3FE0432D"/>
    <w:rsid w:val="3FE24F15"/>
    <w:rsid w:val="3FED763F"/>
    <w:rsid w:val="3FF51B10"/>
    <w:rsid w:val="3FF9512D"/>
    <w:rsid w:val="40027710"/>
    <w:rsid w:val="401144E6"/>
    <w:rsid w:val="401D10DD"/>
    <w:rsid w:val="401F149E"/>
    <w:rsid w:val="402204A1"/>
    <w:rsid w:val="40335771"/>
    <w:rsid w:val="40353AD0"/>
    <w:rsid w:val="4035593D"/>
    <w:rsid w:val="403928F5"/>
    <w:rsid w:val="403B1563"/>
    <w:rsid w:val="403C5A07"/>
    <w:rsid w:val="403C77B5"/>
    <w:rsid w:val="403E4E33"/>
    <w:rsid w:val="40402324"/>
    <w:rsid w:val="40412A14"/>
    <w:rsid w:val="40452FF6"/>
    <w:rsid w:val="4047615A"/>
    <w:rsid w:val="40493C80"/>
    <w:rsid w:val="40503261"/>
    <w:rsid w:val="40534AFF"/>
    <w:rsid w:val="40555BB9"/>
    <w:rsid w:val="40596D74"/>
    <w:rsid w:val="405A5E8D"/>
    <w:rsid w:val="4061721C"/>
    <w:rsid w:val="40624D42"/>
    <w:rsid w:val="406256D2"/>
    <w:rsid w:val="406867FC"/>
    <w:rsid w:val="4070364E"/>
    <w:rsid w:val="40754A75"/>
    <w:rsid w:val="407E345D"/>
    <w:rsid w:val="407E6EA9"/>
    <w:rsid w:val="408973D9"/>
    <w:rsid w:val="408D1DBF"/>
    <w:rsid w:val="409163A5"/>
    <w:rsid w:val="40953369"/>
    <w:rsid w:val="409D230A"/>
    <w:rsid w:val="40A37834"/>
    <w:rsid w:val="40A4535A"/>
    <w:rsid w:val="40A806BA"/>
    <w:rsid w:val="40A93B94"/>
    <w:rsid w:val="40AB4931"/>
    <w:rsid w:val="40AD06B3"/>
    <w:rsid w:val="40AD5E62"/>
    <w:rsid w:val="40B414F2"/>
    <w:rsid w:val="40B437EF"/>
    <w:rsid w:val="40B732E0"/>
    <w:rsid w:val="40BA6207"/>
    <w:rsid w:val="40BC08F6"/>
    <w:rsid w:val="40BE466E"/>
    <w:rsid w:val="40D73786"/>
    <w:rsid w:val="40D82A90"/>
    <w:rsid w:val="40DC4AF4"/>
    <w:rsid w:val="40EB11DB"/>
    <w:rsid w:val="40EE33B8"/>
    <w:rsid w:val="40F7192E"/>
    <w:rsid w:val="40FF607C"/>
    <w:rsid w:val="410140EC"/>
    <w:rsid w:val="41055114"/>
    <w:rsid w:val="410A340F"/>
    <w:rsid w:val="410D3296"/>
    <w:rsid w:val="411249BA"/>
    <w:rsid w:val="411424E0"/>
    <w:rsid w:val="41167060"/>
    <w:rsid w:val="411B561D"/>
    <w:rsid w:val="411F0144"/>
    <w:rsid w:val="412070D7"/>
    <w:rsid w:val="4121441D"/>
    <w:rsid w:val="41234F05"/>
    <w:rsid w:val="412546ED"/>
    <w:rsid w:val="4125649B"/>
    <w:rsid w:val="412B15D8"/>
    <w:rsid w:val="412E1110"/>
    <w:rsid w:val="41306BEE"/>
    <w:rsid w:val="41384420"/>
    <w:rsid w:val="414172BF"/>
    <w:rsid w:val="41432F6C"/>
    <w:rsid w:val="414867C0"/>
    <w:rsid w:val="41514760"/>
    <w:rsid w:val="415428DD"/>
    <w:rsid w:val="415C79E3"/>
    <w:rsid w:val="415D4149"/>
    <w:rsid w:val="415E2146"/>
    <w:rsid w:val="41604BB3"/>
    <w:rsid w:val="41653B58"/>
    <w:rsid w:val="41656898"/>
    <w:rsid w:val="41691C24"/>
    <w:rsid w:val="416D399E"/>
    <w:rsid w:val="416F4571"/>
    <w:rsid w:val="41717932"/>
    <w:rsid w:val="41722DE2"/>
    <w:rsid w:val="41723D8B"/>
    <w:rsid w:val="41764F49"/>
    <w:rsid w:val="41792E05"/>
    <w:rsid w:val="417D6740"/>
    <w:rsid w:val="417E5BAB"/>
    <w:rsid w:val="417E7959"/>
    <w:rsid w:val="418036D2"/>
    <w:rsid w:val="41897B48"/>
    <w:rsid w:val="418A72CE"/>
    <w:rsid w:val="419671AB"/>
    <w:rsid w:val="419D4FA4"/>
    <w:rsid w:val="41A47AEC"/>
    <w:rsid w:val="41A575DC"/>
    <w:rsid w:val="41A61D11"/>
    <w:rsid w:val="41AB2699"/>
    <w:rsid w:val="41AD023F"/>
    <w:rsid w:val="41B26AC3"/>
    <w:rsid w:val="41B34DFF"/>
    <w:rsid w:val="41B370C8"/>
    <w:rsid w:val="41BD31AE"/>
    <w:rsid w:val="41BF35E3"/>
    <w:rsid w:val="41C007E7"/>
    <w:rsid w:val="41CA0DF1"/>
    <w:rsid w:val="41CB63AB"/>
    <w:rsid w:val="41CC210B"/>
    <w:rsid w:val="41D27DC7"/>
    <w:rsid w:val="41D3540E"/>
    <w:rsid w:val="41D7614E"/>
    <w:rsid w:val="41D81760"/>
    <w:rsid w:val="41E77BF5"/>
    <w:rsid w:val="41EE076D"/>
    <w:rsid w:val="41F145CF"/>
    <w:rsid w:val="41FD36BD"/>
    <w:rsid w:val="41FF0A9A"/>
    <w:rsid w:val="42075BA1"/>
    <w:rsid w:val="421107CE"/>
    <w:rsid w:val="42134546"/>
    <w:rsid w:val="421A1D78"/>
    <w:rsid w:val="42213A90"/>
    <w:rsid w:val="422601F6"/>
    <w:rsid w:val="42276243"/>
    <w:rsid w:val="422A4836"/>
    <w:rsid w:val="422C6F42"/>
    <w:rsid w:val="423A2FA5"/>
    <w:rsid w:val="424566C9"/>
    <w:rsid w:val="424741EF"/>
    <w:rsid w:val="424B3CDF"/>
    <w:rsid w:val="424B65A6"/>
    <w:rsid w:val="4250579A"/>
    <w:rsid w:val="42552DB0"/>
    <w:rsid w:val="425608D6"/>
    <w:rsid w:val="426052B1"/>
    <w:rsid w:val="42613503"/>
    <w:rsid w:val="42624C6C"/>
    <w:rsid w:val="42666D6B"/>
    <w:rsid w:val="426B4382"/>
    <w:rsid w:val="426E4C3B"/>
    <w:rsid w:val="42823A7B"/>
    <w:rsid w:val="42836415"/>
    <w:rsid w:val="4284339E"/>
    <w:rsid w:val="429749F6"/>
    <w:rsid w:val="429C453B"/>
    <w:rsid w:val="429F70B1"/>
    <w:rsid w:val="42A12833"/>
    <w:rsid w:val="42A42166"/>
    <w:rsid w:val="42A86388"/>
    <w:rsid w:val="42A94EAA"/>
    <w:rsid w:val="42AC1E04"/>
    <w:rsid w:val="42AD499A"/>
    <w:rsid w:val="42B31885"/>
    <w:rsid w:val="42B75819"/>
    <w:rsid w:val="42BC698B"/>
    <w:rsid w:val="42DA32B5"/>
    <w:rsid w:val="42DA6266"/>
    <w:rsid w:val="42E669D9"/>
    <w:rsid w:val="42EE0B0F"/>
    <w:rsid w:val="42F02AD9"/>
    <w:rsid w:val="42F97BDF"/>
    <w:rsid w:val="42FC28A5"/>
    <w:rsid w:val="42FF1DAA"/>
    <w:rsid w:val="43050073"/>
    <w:rsid w:val="43056584"/>
    <w:rsid w:val="430B7913"/>
    <w:rsid w:val="43140575"/>
    <w:rsid w:val="431E13F4"/>
    <w:rsid w:val="432147AF"/>
    <w:rsid w:val="43234C5C"/>
    <w:rsid w:val="433168CD"/>
    <w:rsid w:val="433230F1"/>
    <w:rsid w:val="4350530C"/>
    <w:rsid w:val="435117C9"/>
    <w:rsid w:val="43566DE0"/>
    <w:rsid w:val="435B4BB3"/>
    <w:rsid w:val="435C016E"/>
    <w:rsid w:val="4363278D"/>
    <w:rsid w:val="436A63E7"/>
    <w:rsid w:val="436E01E0"/>
    <w:rsid w:val="437101AA"/>
    <w:rsid w:val="43747FB6"/>
    <w:rsid w:val="437A6D15"/>
    <w:rsid w:val="437E1E93"/>
    <w:rsid w:val="43866F99"/>
    <w:rsid w:val="438D25BA"/>
    <w:rsid w:val="439114E7"/>
    <w:rsid w:val="439671DC"/>
    <w:rsid w:val="439A35C1"/>
    <w:rsid w:val="439C4E1F"/>
    <w:rsid w:val="439E6277"/>
    <w:rsid w:val="43AA0EDA"/>
    <w:rsid w:val="43B04679"/>
    <w:rsid w:val="43B119B5"/>
    <w:rsid w:val="43B342D5"/>
    <w:rsid w:val="43B43B06"/>
    <w:rsid w:val="43B65AD0"/>
    <w:rsid w:val="43B81625"/>
    <w:rsid w:val="43B92ECB"/>
    <w:rsid w:val="43BE2285"/>
    <w:rsid w:val="43BE6733"/>
    <w:rsid w:val="43C130A8"/>
    <w:rsid w:val="43C55D14"/>
    <w:rsid w:val="43C933F7"/>
    <w:rsid w:val="43CD2740"/>
    <w:rsid w:val="43D9356D"/>
    <w:rsid w:val="43DA1313"/>
    <w:rsid w:val="43DA1CD3"/>
    <w:rsid w:val="43DD305D"/>
    <w:rsid w:val="43DE2931"/>
    <w:rsid w:val="43E02B4D"/>
    <w:rsid w:val="43EA7528"/>
    <w:rsid w:val="43EF2D90"/>
    <w:rsid w:val="43F02DE7"/>
    <w:rsid w:val="44032861"/>
    <w:rsid w:val="44074ECA"/>
    <w:rsid w:val="44077671"/>
    <w:rsid w:val="440A5C22"/>
    <w:rsid w:val="441617F1"/>
    <w:rsid w:val="441A1710"/>
    <w:rsid w:val="441A605F"/>
    <w:rsid w:val="441D78FE"/>
    <w:rsid w:val="44201EC6"/>
    <w:rsid w:val="44224F14"/>
    <w:rsid w:val="44241192"/>
    <w:rsid w:val="44262384"/>
    <w:rsid w:val="442A5A15"/>
    <w:rsid w:val="442A7E48"/>
    <w:rsid w:val="442B00EF"/>
    <w:rsid w:val="442E5667"/>
    <w:rsid w:val="443C1D29"/>
    <w:rsid w:val="443F548F"/>
    <w:rsid w:val="44440DC3"/>
    <w:rsid w:val="444663A5"/>
    <w:rsid w:val="444906F3"/>
    <w:rsid w:val="444924A1"/>
    <w:rsid w:val="444C2AFD"/>
    <w:rsid w:val="445350CD"/>
    <w:rsid w:val="44564AB1"/>
    <w:rsid w:val="445A18D8"/>
    <w:rsid w:val="44623562"/>
    <w:rsid w:val="44650F3F"/>
    <w:rsid w:val="44695FB6"/>
    <w:rsid w:val="446B5CB5"/>
    <w:rsid w:val="44703F6B"/>
    <w:rsid w:val="447119F7"/>
    <w:rsid w:val="4475773A"/>
    <w:rsid w:val="44764F0E"/>
    <w:rsid w:val="447A7A51"/>
    <w:rsid w:val="447B0A98"/>
    <w:rsid w:val="447D039C"/>
    <w:rsid w:val="44860EF6"/>
    <w:rsid w:val="44896207"/>
    <w:rsid w:val="448E082A"/>
    <w:rsid w:val="449776B0"/>
    <w:rsid w:val="449C4CC6"/>
    <w:rsid w:val="449D218D"/>
    <w:rsid w:val="44B10046"/>
    <w:rsid w:val="44B17755"/>
    <w:rsid w:val="44B244EA"/>
    <w:rsid w:val="44B6565C"/>
    <w:rsid w:val="44BD10DE"/>
    <w:rsid w:val="44BE2E8F"/>
    <w:rsid w:val="44C22253"/>
    <w:rsid w:val="44C36444"/>
    <w:rsid w:val="44C71617"/>
    <w:rsid w:val="44C935E1"/>
    <w:rsid w:val="44CB735A"/>
    <w:rsid w:val="44CD1324"/>
    <w:rsid w:val="44D05C34"/>
    <w:rsid w:val="44D51F86"/>
    <w:rsid w:val="44DC4F8D"/>
    <w:rsid w:val="44DF07C2"/>
    <w:rsid w:val="44DF4BB3"/>
    <w:rsid w:val="44E1092B"/>
    <w:rsid w:val="44E26451"/>
    <w:rsid w:val="44E279FD"/>
    <w:rsid w:val="44E92D8F"/>
    <w:rsid w:val="44E97623"/>
    <w:rsid w:val="44EE673F"/>
    <w:rsid w:val="44F81395"/>
    <w:rsid w:val="44F93EC7"/>
    <w:rsid w:val="44FB69A3"/>
    <w:rsid w:val="44FF2277"/>
    <w:rsid w:val="4510288D"/>
    <w:rsid w:val="451231DA"/>
    <w:rsid w:val="45141DD1"/>
    <w:rsid w:val="45252F0E"/>
    <w:rsid w:val="452F78E8"/>
    <w:rsid w:val="453158B9"/>
    <w:rsid w:val="453B3D19"/>
    <w:rsid w:val="453C3A68"/>
    <w:rsid w:val="453E7B2C"/>
    <w:rsid w:val="454113CA"/>
    <w:rsid w:val="454315E6"/>
    <w:rsid w:val="454F3AE7"/>
    <w:rsid w:val="45596713"/>
    <w:rsid w:val="455A67AE"/>
    <w:rsid w:val="455A6FF1"/>
    <w:rsid w:val="45603F46"/>
    <w:rsid w:val="456450B8"/>
    <w:rsid w:val="456A6B72"/>
    <w:rsid w:val="456F23DB"/>
    <w:rsid w:val="456F454F"/>
    <w:rsid w:val="45700666"/>
    <w:rsid w:val="45763769"/>
    <w:rsid w:val="457E261E"/>
    <w:rsid w:val="45833DF4"/>
    <w:rsid w:val="458B6AE9"/>
    <w:rsid w:val="458C0F08"/>
    <w:rsid w:val="459B31D0"/>
    <w:rsid w:val="459C4852"/>
    <w:rsid w:val="459E43BC"/>
    <w:rsid w:val="459F53C0"/>
    <w:rsid w:val="45A01123"/>
    <w:rsid w:val="45A07276"/>
    <w:rsid w:val="45AA0617"/>
    <w:rsid w:val="45AC718B"/>
    <w:rsid w:val="45B002FD"/>
    <w:rsid w:val="45BD230A"/>
    <w:rsid w:val="45BF1E04"/>
    <w:rsid w:val="45BF468E"/>
    <w:rsid w:val="45C10D0F"/>
    <w:rsid w:val="45C2075D"/>
    <w:rsid w:val="45CB480C"/>
    <w:rsid w:val="45D1274E"/>
    <w:rsid w:val="45D16FCC"/>
    <w:rsid w:val="45D64208"/>
    <w:rsid w:val="45D805C0"/>
    <w:rsid w:val="45D95AA6"/>
    <w:rsid w:val="45DB07B7"/>
    <w:rsid w:val="45DD7344"/>
    <w:rsid w:val="45E5444B"/>
    <w:rsid w:val="45EC57D9"/>
    <w:rsid w:val="45EE1552"/>
    <w:rsid w:val="45F87C65"/>
    <w:rsid w:val="45FF375F"/>
    <w:rsid w:val="46016CFB"/>
    <w:rsid w:val="46080139"/>
    <w:rsid w:val="460842CE"/>
    <w:rsid w:val="46092F80"/>
    <w:rsid w:val="460F7F83"/>
    <w:rsid w:val="461D429A"/>
    <w:rsid w:val="461E7EC5"/>
    <w:rsid w:val="4623391D"/>
    <w:rsid w:val="46252D4D"/>
    <w:rsid w:val="462A00B0"/>
    <w:rsid w:val="462A4554"/>
    <w:rsid w:val="462A540E"/>
    <w:rsid w:val="462E04FD"/>
    <w:rsid w:val="463F07B3"/>
    <w:rsid w:val="463F0A04"/>
    <w:rsid w:val="464078D3"/>
    <w:rsid w:val="46445615"/>
    <w:rsid w:val="46495640"/>
    <w:rsid w:val="464E3D9E"/>
    <w:rsid w:val="464F5D68"/>
    <w:rsid w:val="46510FF3"/>
    <w:rsid w:val="465D0485"/>
    <w:rsid w:val="465E4B3A"/>
    <w:rsid w:val="46625A9C"/>
    <w:rsid w:val="466310B6"/>
    <w:rsid w:val="46691EBB"/>
    <w:rsid w:val="4669507C"/>
    <w:rsid w:val="466D5890"/>
    <w:rsid w:val="467001B9"/>
    <w:rsid w:val="46727D2F"/>
    <w:rsid w:val="467557CF"/>
    <w:rsid w:val="46767799"/>
    <w:rsid w:val="467A0C55"/>
    <w:rsid w:val="467B090B"/>
    <w:rsid w:val="467E3F53"/>
    <w:rsid w:val="46873754"/>
    <w:rsid w:val="468A0B4E"/>
    <w:rsid w:val="468C7E24"/>
    <w:rsid w:val="46957C1F"/>
    <w:rsid w:val="4699566E"/>
    <w:rsid w:val="469A5235"/>
    <w:rsid w:val="469D6AD4"/>
    <w:rsid w:val="46A47E62"/>
    <w:rsid w:val="46AB11F1"/>
    <w:rsid w:val="46AB7443"/>
    <w:rsid w:val="46B03787"/>
    <w:rsid w:val="46B207D1"/>
    <w:rsid w:val="46B661B6"/>
    <w:rsid w:val="46BA58D8"/>
    <w:rsid w:val="46BB51AC"/>
    <w:rsid w:val="46BD7176"/>
    <w:rsid w:val="46BF588E"/>
    <w:rsid w:val="46C7182E"/>
    <w:rsid w:val="46CA3B6E"/>
    <w:rsid w:val="46CC73B9"/>
    <w:rsid w:val="46D041DE"/>
    <w:rsid w:val="46DA1AD6"/>
    <w:rsid w:val="46E2098A"/>
    <w:rsid w:val="46E22739"/>
    <w:rsid w:val="46E75FA1"/>
    <w:rsid w:val="46E856AA"/>
    <w:rsid w:val="46E97F6B"/>
    <w:rsid w:val="46F55770"/>
    <w:rsid w:val="46F801AE"/>
    <w:rsid w:val="46FA5CD4"/>
    <w:rsid w:val="46FC1A4C"/>
    <w:rsid w:val="4703102D"/>
    <w:rsid w:val="470D3C59"/>
    <w:rsid w:val="470D5A07"/>
    <w:rsid w:val="470E1780"/>
    <w:rsid w:val="470E352E"/>
    <w:rsid w:val="471054F8"/>
    <w:rsid w:val="471A0124"/>
    <w:rsid w:val="471C5C4A"/>
    <w:rsid w:val="471D11EB"/>
    <w:rsid w:val="4723076A"/>
    <w:rsid w:val="4723347D"/>
    <w:rsid w:val="47242D51"/>
    <w:rsid w:val="472471F5"/>
    <w:rsid w:val="47262F6D"/>
    <w:rsid w:val="47270F9A"/>
    <w:rsid w:val="472F1E22"/>
    <w:rsid w:val="473016F6"/>
    <w:rsid w:val="47394A4E"/>
    <w:rsid w:val="473C009B"/>
    <w:rsid w:val="47414C6F"/>
    <w:rsid w:val="47424128"/>
    <w:rsid w:val="47462CC7"/>
    <w:rsid w:val="474B29D4"/>
    <w:rsid w:val="474D04FA"/>
    <w:rsid w:val="474D343F"/>
    <w:rsid w:val="47524FBD"/>
    <w:rsid w:val="47542A45"/>
    <w:rsid w:val="475C073D"/>
    <w:rsid w:val="475E6263"/>
    <w:rsid w:val="47626EEB"/>
    <w:rsid w:val="47690CE9"/>
    <w:rsid w:val="476A10AC"/>
    <w:rsid w:val="476F0470"/>
    <w:rsid w:val="476F66C2"/>
    <w:rsid w:val="477041E8"/>
    <w:rsid w:val="47855610"/>
    <w:rsid w:val="478C2DB8"/>
    <w:rsid w:val="4799373F"/>
    <w:rsid w:val="47A60664"/>
    <w:rsid w:val="47A81BD4"/>
    <w:rsid w:val="47A85730"/>
    <w:rsid w:val="47AA47C4"/>
    <w:rsid w:val="47AB6FCE"/>
    <w:rsid w:val="47AC1243"/>
    <w:rsid w:val="47AF0D07"/>
    <w:rsid w:val="47B42327"/>
    <w:rsid w:val="47B53C67"/>
    <w:rsid w:val="47BA2ED2"/>
    <w:rsid w:val="47C36A0E"/>
    <w:rsid w:val="47C443E5"/>
    <w:rsid w:val="47D14C87"/>
    <w:rsid w:val="47D26C51"/>
    <w:rsid w:val="47D74267"/>
    <w:rsid w:val="47E32DD0"/>
    <w:rsid w:val="47E50732"/>
    <w:rsid w:val="47F24BFD"/>
    <w:rsid w:val="47F866B8"/>
    <w:rsid w:val="47FC782A"/>
    <w:rsid w:val="47FF0DBD"/>
    <w:rsid w:val="480A1F47"/>
    <w:rsid w:val="480C3F11"/>
    <w:rsid w:val="480E2C76"/>
    <w:rsid w:val="481132D5"/>
    <w:rsid w:val="481954E2"/>
    <w:rsid w:val="48332D81"/>
    <w:rsid w:val="48335942"/>
    <w:rsid w:val="483416BA"/>
    <w:rsid w:val="48345216"/>
    <w:rsid w:val="4838131C"/>
    <w:rsid w:val="4839282C"/>
    <w:rsid w:val="483B2A48"/>
    <w:rsid w:val="483E6094"/>
    <w:rsid w:val="483F6137"/>
    <w:rsid w:val="48427933"/>
    <w:rsid w:val="4843558C"/>
    <w:rsid w:val="48446D0B"/>
    <w:rsid w:val="484A4A39"/>
    <w:rsid w:val="484D62D8"/>
    <w:rsid w:val="485031E7"/>
    <w:rsid w:val="4851401A"/>
    <w:rsid w:val="48580F04"/>
    <w:rsid w:val="48582728"/>
    <w:rsid w:val="485E04E5"/>
    <w:rsid w:val="48644D0C"/>
    <w:rsid w:val="48741AB6"/>
    <w:rsid w:val="488066AD"/>
    <w:rsid w:val="48822425"/>
    <w:rsid w:val="488453B8"/>
    <w:rsid w:val="48897310"/>
    <w:rsid w:val="48900224"/>
    <w:rsid w:val="48911660"/>
    <w:rsid w:val="48A44149"/>
    <w:rsid w:val="48A54FAE"/>
    <w:rsid w:val="48A57EC2"/>
    <w:rsid w:val="48AF2AEE"/>
    <w:rsid w:val="48B00D40"/>
    <w:rsid w:val="48B15D8C"/>
    <w:rsid w:val="48B56357"/>
    <w:rsid w:val="48BD16AF"/>
    <w:rsid w:val="48BF0F83"/>
    <w:rsid w:val="48C0704F"/>
    <w:rsid w:val="48C269A2"/>
    <w:rsid w:val="48C441D5"/>
    <w:rsid w:val="48C7608A"/>
    <w:rsid w:val="48C978A6"/>
    <w:rsid w:val="48CA7928"/>
    <w:rsid w:val="48CB3DCC"/>
    <w:rsid w:val="48CE11C6"/>
    <w:rsid w:val="48DF3E68"/>
    <w:rsid w:val="48E7759C"/>
    <w:rsid w:val="48EE3617"/>
    <w:rsid w:val="48EE7ABB"/>
    <w:rsid w:val="48F35097"/>
    <w:rsid w:val="48F54560"/>
    <w:rsid w:val="48F771DF"/>
    <w:rsid w:val="48FB6EA2"/>
    <w:rsid w:val="48FF5824"/>
    <w:rsid w:val="490C57F6"/>
    <w:rsid w:val="490E5A67"/>
    <w:rsid w:val="4913307D"/>
    <w:rsid w:val="491A3922"/>
    <w:rsid w:val="491C63D6"/>
    <w:rsid w:val="492D2391"/>
    <w:rsid w:val="49310DE8"/>
    <w:rsid w:val="49366D6C"/>
    <w:rsid w:val="493A2D00"/>
    <w:rsid w:val="493A4AAE"/>
    <w:rsid w:val="49470F79"/>
    <w:rsid w:val="494B0A69"/>
    <w:rsid w:val="494D3B95"/>
    <w:rsid w:val="494D67E4"/>
    <w:rsid w:val="494F07EC"/>
    <w:rsid w:val="49507A41"/>
    <w:rsid w:val="49514813"/>
    <w:rsid w:val="49555444"/>
    <w:rsid w:val="49584F34"/>
    <w:rsid w:val="49587485"/>
    <w:rsid w:val="495969F9"/>
    <w:rsid w:val="49647D7D"/>
    <w:rsid w:val="496D4D42"/>
    <w:rsid w:val="496F0BFB"/>
    <w:rsid w:val="4970227E"/>
    <w:rsid w:val="497556A7"/>
    <w:rsid w:val="497955D6"/>
    <w:rsid w:val="497B1F6A"/>
    <w:rsid w:val="498015D8"/>
    <w:rsid w:val="498126DD"/>
    <w:rsid w:val="4981448B"/>
    <w:rsid w:val="4985306E"/>
    <w:rsid w:val="49902920"/>
    <w:rsid w:val="49942410"/>
    <w:rsid w:val="49995BE7"/>
    <w:rsid w:val="499C7517"/>
    <w:rsid w:val="499F5FF1"/>
    <w:rsid w:val="49A10689"/>
    <w:rsid w:val="49A346C1"/>
    <w:rsid w:val="49A50534"/>
    <w:rsid w:val="49AB59AC"/>
    <w:rsid w:val="49B91E77"/>
    <w:rsid w:val="49BA14B8"/>
    <w:rsid w:val="49C1176A"/>
    <w:rsid w:val="49C15F04"/>
    <w:rsid w:val="49C8030C"/>
    <w:rsid w:val="49CF51F6"/>
    <w:rsid w:val="49D11C8D"/>
    <w:rsid w:val="49D74165"/>
    <w:rsid w:val="49D95B7D"/>
    <w:rsid w:val="49DC3DB7"/>
    <w:rsid w:val="49E14F29"/>
    <w:rsid w:val="49E50EBD"/>
    <w:rsid w:val="49E97107"/>
    <w:rsid w:val="49EF1838"/>
    <w:rsid w:val="49F03898"/>
    <w:rsid w:val="49F0530F"/>
    <w:rsid w:val="49F92273"/>
    <w:rsid w:val="49FC5FD5"/>
    <w:rsid w:val="4A113A61"/>
    <w:rsid w:val="4A154C8D"/>
    <w:rsid w:val="4A1E1CDA"/>
    <w:rsid w:val="4A1F7CEC"/>
    <w:rsid w:val="4A232912"/>
    <w:rsid w:val="4A253068"/>
    <w:rsid w:val="4A2A2D74"/>
    <w:rsid w:val="4A2D2426"/>
    <w:rsid w:val="4A3630B8"/>
    <w:rsid w:val="4A372D9B"/>
    <w:rsid w:val="4A392FB7"/>
    <w:rsid w:val="4A396B13"/>
    <w:rsid w:val="4A3B0ADD"/>
    <w:rsid w:val="4A435BE4"/>
    <w:rsid w:val="4A49144C"/>
    <w:rsid w:val="4A4D183F"/>
    <w:rsid w:val="4A5120AF"/>
    <w:rsid w:val="4A537B51"/>
    <w:rsid w:val="4A576500"/>
    <w:rsid w:val="4A581AD8"/>
    <w:rsid w:val="4A593C31"/>
    <w:rsid w:val="4A5C2802"/>
    <w:rsid w:val="4A5E31D9"/>
    <w:rsid w:val="4A6F69D9"/>
    <w:rsid w:val="4A702D6F"/>
    <w:rsid w:val="4A71390E"/>
    <w:rsid w:val="4A722563"/>
    <w:rsid w:val="4A77763C"/>
    <w:rsid w:val="4A782A86"/>
    <w:rsid w:val="4A834233"/>
    <w:rsid w:val="4A865E56"/>
    <w:rsid w:val="4A883648"/>
    <w:rsid w:val="4A8F0E29"/>
    <w:rsid w:val="4A902D26"/>
    <w:rsid w:val="4A9A1CA8"/>
    <w:rsid w:val="4AA046CC"/>
    <w:rsid w:val="4AA246B9"/>
    <w:rsid w:val="4AA93C99"/>
    <w:rsid w:val="4AAA17BF"/>
    <w:rsid w:val="4AAB72BB"/>
    <w:rsid w:val="4AB91025"/>
    <w:rsid w:val="4AC24D5B"/>
    <w:rsid w:val="4AC7342A"/>
    <w:rsid w:val="4AC9433B"/>
    <w:rsid w:val="4ACB3CA9"/>
    <w:rsid w:val="4ACF7478"/>
    <w:rsid w:val="4AD11442"/>
    <w:rsid w:val="4AD131F0"/>
    <w:rsid w:val="4AD41D96"/>
    <w:rsid w:val="4AD60806"/>
    <w:rsid w:val="4ADA45AC"/>
    <w:rsid w:val="4ADD414B"/>
    <w:rsid w:val="4AE271AB"/>
    <w:rsid w:val="4AE42F23"/>
    <w:rsid w:val="4AE66C9B"/>
    <w:rsid w:val="4AE9678B"/>
    <w:rsid w:val="4AF018C8"/>
    <w:rsid w:val="4AF313B8"/>
    <w:rsid w:val="4AF33166"/>
    <w:rsid w:val="4AF33CC3"/>
    <w:rsid w:val="4AF34F14"/>
    <w:rsid w:val="4AF56EDE"/>
    <w:rsid w:val="4AF869CF"/>
    <w:rsid w:val="4B005C4C"/>
    <w:rsid w:val="4B035EA1"/>
    <w:rsid w:val="4B0502F8"/>
    <w:rsid w:val="4B093C4E"/>
    <w:rsid w:val="4B0E61F2"/>
    <w:rsid w:val="4B1F21AD"/>
    <w:rsid w:val="4B29302C"/>
    <w:rsid w:val="4B313C8F"/>
    <w:rsid w:val="4B35377F"/>
    <w:rsid w:val="4B3A2B43"/>
    <w:rsid w:val="4B4D6D1A"/>
    <w:rsid w:val="4B4E4840"/>
    <w:rsid w:val="4B5272B0"/>
    <w:rsid w:val="4B533C05"/>
    <w:rsid w:val="4B553E21"/>
    <w:rsid w:val="4B5D6832"/>
    <w:rsid w:val="4B65446D"/>
    <w:rsid w:val="4B6E6C91"/>
    <w:rsid w:val="4B705F07"/>
    <w:rsid w:val="4B771FE9"/>
    <w:rsid w:val="4B7823A7"/>
    <w:rsid w:val="4B7A3887"/>
    <w:rsid w:val="4B7B323B"/>
    <w:rsid w:val="4B7C315C"/>
    <w:rsid w:val="4B8270B7"/>
    <w:rsid w:val="4B8531D2"/>
    <w:rsid w:val="4B85737C"/>
    <w:rsid w:val="4B865D88"/>
    <w:rsid w:val="4B867F1B"/>
    <w:rsid w:val="4B8833B1"/>
    <w:rsid w:val="4B887D52"/>
    <w:rsid w:val="4B8B7843"/>
    <w:rsid w:val="4B8C1435"/>
    <w:rsid w:val="4B906C07"/>
    <w:rsid w:val="4BAE52DF"/>
    <w:rsid w:val="4BB01057"/>
    <w:rsid w:val="4BB24DCF"/>
    <w:rsid w:val="4BB30ECF"/>
    <w:rsid w:val="4BB723E6"/>
    <w:rsid w:val="4BBA5AD8"/>
    <w:rsid w:val="4BBF1EF3"/>
    <w:rsid w:val="4BC15012"/>
    <w:rsid w:val="4BC468B1"/>
    <w:rsid w:val="4BC55300"/>
    <w:rsid w:val="4BC87E8A"/>
    <w:rsid w:val="4BCA7D61"/>
    <w:rsid w:val="4BCB23E6"/>
    <w:rsid w:val="4BD046E5"/>
    <w:rsid w:val="4BD41DF8"/>
    <w:rsid w:val="4BD7664E"/>
    <w:rsid w:val="4BE11A5A"/>
    <w:rsid w:val="4BE156B5"/>
    <w:rsid w:val="4BE807F1"/>
    <w:rsid w:val="4BEA4569"/>
    <w:rsid w:val="4BEB0472"/>
    <w:rsid w:val="4BFE7D23"/>
    <w:rsid w:val="4BFF1046"/>
    <w:rsid w:val="4C0513A3"/>
    <w:rsid w:val="4C0B1536"/>
    <w:rsid w:val="4C123AC0"/>
    <w:rsid w:val="4C13156B"/>
    <w:rsid w:val="4C1415E6"/>
    <w:rsid w:val="4C1C0FFB"/>
    <w:rsid w:val="4C1E06B7"/>
    <w:rsid w:val="4C1E09D8"/>
    <w:rsid w:val="4C2C64CE"/>
    <w:rsid w:val="4C325848"/>
    <w:rsid w:val="4C325F10"/>
    <w:rsid w:val="4C3457E4"/>
    <w:rsid w:val="4C3F73EA"/>
    <w:rsid w:val="4C4A7B25"/>
    <w:rsid w:val="4C4C1669"/>
    <w:rsid w:val="4C514CFA"/>
    <w:rsid w:val="4C5440D8"/>
    <w:rsid w:val="4C545E87"/>
    <w:rsid w:val="4C5502AB"/>
    <w:rsid w:val="4C577725"/>
    <w:rsid w:val="4C5B411D"/>
    <w:rsid w:val="4C5C30AF"/>
    <w:rsid w:val="4C6C1422"/>
    <w:rsid w:val="4C7D66DE"/>
    <w:rsid w:val="4C7F7F52"/>
    <w:rsid w:val="4C800A2A"/>
    <w:rsid w:val="4C8147A2"/>
    <w:rsid w:val="4C864CC2"/>
    <w:rsid w:val="4C8F0766"/>
    <w:rsid w:val="4C923F9B"/>
    <w:rsid w:val="4C9269AF"/>
    <w:rsid w:val="4C9D782D"/>
    <w:rsid w:val="4CA010CC"/>
    <w:rsid w:val="4CA87F80"/>
    <w:rsid w:val="4CAA3CF8"/>
    <w:rsid w:val="4CAE0519"/>
    <w:rsid w:val="4CB9218D"/>
    <w:rsid w:val="4CBA02AB"/>
    <w:rsid w:val="4CBB5F06"/>
    <w:rsid w:val="4CBC34BA"/>
    <w:rsid w:val="4CBF09AB"/>
    <w:rsid w:val="4CC052CA"/>
    <w:rsid w:val="4CC15F62"/>
    <w:rsid w:val="4CC56D84"/>
    <w:rsid w:val="4CC6456C"/>
    <w:rsid w:val="4CC96874"/>
    <w:rsid w:val="4CCD571C"/>
    <w:rsid w:val="4CCE2373"/>
    <w:rsid w:val="4CDD6B26"/>
    <w:rsid w:val="4CE27936"/>
    <w:rsid w:val="4CE96015"/>
    <w:rsid w:val="4CFB27A6"/>
    <w:rsid w:val="4CFD207A"/>
    <w:rsid w:val="4D094EC3"/>
    <w:rsid w:val="4D0B0C3B"/>
    <w:rsid w:val="4D0E24D9"/>
    <w:rsid w:val="4D0E3A1F"/>
    <w:rsid w:val="4D13022B"/>
    <w:rsid w:val="4D150064"/>
    <w:rsid w:val="4D151ABA"/>
    <w:rsid w:val="4D1554C9"/>
    <w:rsid w:val="4D18461C"/>
    <w:rsid w:val="4D1A2C2C"/>
    <w:rsid w:val="4D1D44CA"/>
    <w:rsid w:val="4D2168A6"/>
    <w:rsid w:val="4D244677"/>
    <w:rsid w:val="4D245859"/>
    <w:rsid w:val="4D267823"/>
    <w:rsid w:val="4D2910C1"/>
    <w:rsid w:val="4D2C0BB1"/>
    <w:rsid w:val="4D330192"/>
    <w:rsid w:val="4D397978"/>
    <w:rsid w:val="4D467EC5"/>
    <w:rsid w:val="4D4C15C3"/>
    <w:rsid w:val="4D4E7696"/>
    <w:rsid w:val="4D544F79"/>
    <w:rsid w:val="4D5B7C28"/>
    <w:rsid w:val="4D63672B"/>
    <w:rsid w:val="4D6B3488"/>
    <w:rsid w:val="4D6D67A3"/>
    <w:rsid w:val="4D727009"/>
    <w:rsid w:val="4D812CAB"/>
    <w:rsid w:val="4D8409ED"/>
    <w:rsid w:val="4D854BE0"/>
    <w:rsid w:val="4D8D56B2"/>
    <w:rsid w:val="4D924EB8"/>
    <w:rsid w:val="4D956757"/>
    <w:rsid w:val="4D970721"/>
    <w:rsid w:val="4D9C7AE5"/>
    <w:rsid w:val="4D9E1AAF"/>
    <w:rsid w:val="4DA644C0"/>
    <w:rsid w:val="4DAB1AD6"/>
    <w:rsid w:val="4DB766CD"/>
    <w:rsid w:val="4DBA7F6B"/>
    <w:rsid w:val="4DC808DA"/>
    <w:rsid w:val="4DC813F1"/>
    <w:rsid w:val="4DCB03CA"/>
    <w:rsid w:val="4DCD5EF0"/>
    <w:rsid w:val="4DDD0F6C"/>
    <w:rsid w:val="4DE921BD"/>
    <w:rsid w:val="4E004F4F"/>
    <w:rsid w:val="4E127DA7"/>
    <w:rsid w:val="4E1458CD"/>
    <w:rsid w:val="4E163BB7"/>
    <w:rsid w:val="4E231FB4"/>
    <w:rsid w:val="4E2B0E69"/>
    <w:rsid w:val="4E2B207B"/>
    <w:rsid w:val="4E2D2D71"/>
    <w:rsid w:val="4E2E2DF4"/>
    <w:rsid w:val="4E30570B"/>
    <w:rsid w:val="4E3115A2"/>
    <w:rsid w:val="4E312919"/>
    <w:rsid w:val="4E33304B"/>
    <w:rsid w:val="4E3917D8"/>
    <w:rsid w:val="4E3E1D34"/>
    <w:rsid w:val="4E422B8B"/>
    <w:rsid w:val="4E465DE4"/>
    <w:rsid w:val="4E465F97"/>
    <w:rsid w:val="4E4F4B57"/>
    <w:rsid w:val="4E543767"/>
    <w:rsid w:val="4E5550C4"/>
    <w:rsid w:val="4E5B6AA5"/>
    <w:rsid w:val="4E616639"/>
    <w:rsid w:val="4E6A5267"/>
    <w:rsid w:val="4E7067BB"/>
    <w:rsid w:val="4E764F37"/>
    <w:rsid w:val="4E7939C1"/>
    <w:rsid w:val="4E7C16C5"/>
    <w:rsid w:val="4E807407"/>
    <w:rsid w:val="4E824F2D"/>
    <w:rsid w:val="4E8643DB"/>
    <w:rsid w:val="4E8D38D2"/>
    <w:rsid w:val="4E915170"/>
    <w:rsid w:val="4E916F1E"/>
    <w:rsid w:val="4E9468D6"/>
    <w:rsid w:val="4E9E492E"/>
    <w:rsid w:val="4EA26DE2"/>
    <w:rsid w:val="4EA43238"/>
    <w:rsid w:val="4EAC33D1"/>
    <w:rsid w:val="4EAE5BAB"/>
    <w:rsid w:val="4EAF3848"/>
    <w:rsid w:val="4EB250E6"/>
    <w:rsid w:val="4EB25D56"/>
    <w:rsid w:val="4EC866B8"/>
    <w:rsid w:val="4ED10F45"/>
    <w:rsid w:val="4EDF52B0"/>
    <w:rsid w:val="4EE07EA5"/>
    <w:rsid w:val="4EE17BF7"/>
    <w:rsid w:val="4EE3536F"/>
    <w:rsid w:val="4EF61477"/>
    <w:rsid w:val="4EFD0A57"/>
    <w:rsid w:val="4F1008A7"/>
    <w:rsid w:val="4F101158"/>
    <w:rsid w:val="4F135B85"/>
    <w:rsid w:val="4F192763"/>
    <w:rsid w:val="4F1D4C56"/>
    <w:rsid w:val="4F25590B"/>
    <w:rsid w:val="4F26120E"/>
    <w:rsid w:val="4F282278"/>
    <w:rsid w:val="4F343D4D"/>
    <w:rsid w:val="4F361873"/>
    <w:rsid w:val="4F443F90"/>
    <w:rsid w:val="4F486090"/>
    <w:rsid w:val="4F4C3B6B"/>
    <w:rsid w:val="4F53428E"/>
    <w:rsid w:val="4F6271DE"/>
    <w:rsid w:val="4F6463E1"/>
    <w:rsid w:val="4F6E54B1"/>
    <w:rsid w:val="4F726A59"/>
    <w:rsid w:val="4F781E8C"/>
    <w:rsid w:val="4F7D769B"/>
    <w:rsid w:val="4F820F5D"/>
    <w:rsid w:val="4F876573"/>
    <w:rsid w:val="4F905428"/>
    <w:rsid w:val="4F9F0661"/>
    <w:rsid w:val="4FA17635"/>
    <w:rsid w:val="4FA56423"/>
    <w:rsid w:val="4FBB7FCB"/>
    <w:rsid w:val="4FBD3D43"/>
    <w:rsid w:val="4FBF3F5F"/>
    <w:rsid w:val="4FC74BC1"/>
    <w:rsid w:val="4FC86025"/>
    <w:rsid w:val="4FC9093A"/>
    <w:rsid w:val="4FC92795"/>
    <w:rsid w:val="4FD277EE"/>
    <w:rsid w:val="4FD74E04"/>
    <w:rsid w:val="4FDA5E96"/>
    <w:rsid w:val="4FDA66A3"/>
    <w:rsid w:val="4FDE24B2"/>
    <w:rsid w:val="4FDF1F0B"/>
    <w:rsid w:val="4FE15C83"/>
    <w:rsid w:val="4FE66957"/>
    <w:rsid w:val="4FE85264"/>
    <w:rsid w:val="4FF43C08"/>
    <w:rsid w:val="4FF95CC2"/>
    <w:rsid w:val="4FFC0517"/>
    <w:rsid w:val="4FFF6109"/>
    <w:rsid w:val="50027558"/>
    <w:rsid w:val="50047BC4"/>
    <w:rsid w:val="50055E16"/>
    <w:rsid w:val="500D6A78"/>
    <w:rsid w:val="50155D1F"/>
    <w:rsid w:val="5015622E"/>
    <w:rsid w:val="50246DD1"/>
    <w:rsid w:val="502F60D4"/>
    <w:rsid w:val="502F6BAC"/>
    <w:rsid w:val="5032028D"/>
    <w:rsid w:val="50357D7D"/>
    <w:rsid w:val="50373596"/>
    <w:rsid w:val="503B242E"/>
    <w:rsid w:val="50412BC6"/>
    <w:rsid w:val="50416722"/>
    <w:rsid w:val="5042436A"/>
    <w:rsid w:val="504338E1"/>
    <w:rsid w:val="5043693E"/>
    <w:rsid w:val="50493828"/>
    <w:rsid w:val="504D156B"/>
    <w:rsid w:val="50502E09"/>
    <w:rsid w:val="505521CD"/>
    <w:rsid w:val="50575F45"/>
    <w:rsid w:val="50577CF3"/>
    <w:rsid w:val="506019B6"/>
    <w:rsid w:val="50612E3B"/>
    <w:rsid w:val="50666188"/>
    <w:rsid w:val="506D5769"/>
    <w:rsid w:val="50724B2D"/>
    <w:rsid w:val="50764706"/>
    <w:rsid w:val="507765E7"/>
    <w:rsid w:val="507E34D2"/>
    <w:rsid w:val="507F05B9"/>
    <w:rsid w:val="50811214"/>
    <w:rsid w:val="50850D04"/>
    <w:rsid w:val="509176A9"/>
    <w:rsid w:val="50955AC4"/>
    <w:rsid w:val="509F16A2"/>
    <w:rsid w:val="50A06ADB"/>
    <w:rsid w:val="50A078EC"/>
    <w:rsid w:val="50A54F03"/>
    <w:rsid w:val="50B07D6D"/>
    <w:rsid w:val="50B513C9"/>
    <w:rsid w:val="50C14F10"/>
    <w:rsid w:val="50C80BF1"/>
    <w:rsid w:val="50CA2BBB"/>
    <w:rsid w:val="50DB6B76"/>
    <w:rsid w:val="50DE21C3"/>
    <w:rsid w:val="50E06EE6"/>
    <w:rsid w:val="50E53551"/>
    <w:rsid w:val="50E84DEF"/>
    <w:rsid w:val="50EC0779"/>
    <w:rsid w:val="50EF2622"/>
    <w:rsid w:val="50F3081A"/>
    <w:rsid w:val="50FB0FC7"/>
    <w:rsid w:val="50FD3830"/>
    <w:rsid w:val="50FD6AED"/>
    <w:rsid w:val="50FE4613"/>
    <w:rsid w:val="5100038B"/>
    <w:rsid w:val="5100482F"/>
    <w:rsid w:val="51037E7B"/>
    <w:rsid w:val="51085492"/>
    <w:rsid w:val="510A2FB8"/>
    <w:rsid w:val="510C2AA6"/>
    <w:rsid w:val="510C32BB"/>
    <w:rsid w:val="510C6D30"/>
    <w:rsid w:val="510D731C"/>
    <w:rsid w:val="5114771B"/>
    <w:rsid w:val="512E4EF8"/>
    <w:rsid w:val="51303F7A"/>
    <w:rsid w:val="51340C0D"/>
    <w:rsid w:val="51404C2B"/>
    <w:rsid w:val="5144471C"/>
    <w:rsid w:val="5146601D"/>
    <w:rsid w:val="51475FBA"/>
    <w:rsid w:val="51491D32"/>
    <w:rsid w:val="514A408D"/>
    <w:rsid w:val="514C5F8F"/>
    <w:rsid w:val="514E559A"/>
    <w:rsid w:val="5150297B"/>
    <w:rsid w:val="51505381"/>
    <w:rsid w:val="51510260"/>
    <w:rsid w:val="51570B89"/>
    <w:rsid w:val="5160707C"/>
    <w:rsid w:val="516A1CA8"/>
    <w:rsid w:val="51736DAF"/>
    <w:rsid w:val="51743BD7"/>
    <w:rsid w:val="51752B27"/>
    <w:rsid w:val="5176689F"/>
    <w:rsid w:val="517E1B1A"/>
    <w:rsid w:val="51850890"/>
    <w:rsid w:val="5186594A"/>
    <w:rsid w:val="519805C3"/>
    <w:rsid w:val="5198235F"/>
    <w:rsid w:val="51984A67"/>
    <w:rsid w:val="519A07DF"/>
    <w:rsid w:val="51A406B5"/>
    <w:rsid w:val="51A451BA"/>
    <w:rsid w:val="51A45313"/>
    <w:rsid w:val="51A60F32"/>
    <w:rsid w:val="51A927D1"/>
    <w:rsid w:val="51AC558B"/>
    <w:rsid w:val="51B01DB1"/>
    <w:rsid w:val="51B66C9C"/>
    <w:rsid w:val="51B6770D"/>
    <w:rsid w:val="51B86EB8"/>
    <w:rsid w:val="51BB4DAA"/>
    <w:rsid w:val="51BB633A"/>
    <w:rsid w:val="51BD627C"/>
    <w:rsid w:val="51BE637E"/>
    <w:rsid w:val="51CE66DB"/>
    <w:rsid w:val="51DB7F97"/>
    <w:rsid w:val="51DF4444"/>
    <w:rsid w:val="51E1640E"/>
    <w:rsid w:val="51E3392B"/>
    <w:rsid w:val="51E378E0"/>
    <w:rsid w:val="51E43ECB"/>
    <w:rsid w:val="51E467D1"/>
    <w:rsid w:val="51E710E2"/>
    <w:rsid w:val="51E74AAC"/>
    <w:rsid w:val="51EC53F1"/>
    <w:rsid w:val="51EE28D9"/>
    <w:rsid w:val="51FD0674"/>
    <w:rsid w:val="51FF6232"/>
    <w:rsid w:val="52081ACF"/>
    <w:rsid w:val="52081B54"/>
    <w:rsid w:val="520926F2"/>
    <w:rsid w:val="520D5BFF"/>
    <w:rsid w:val="521F0C93"/>
    <w:rsid w:val="52233B78"/>
    <w:rsid w:val="5224647B"/>
    <w:rsid w:val="52263E21"/>
    <w:rsid w:val="52304CA0"/>
    <w:rsid w:val="5233653E"/>
    <w:rsid w:val="52374AE6"/>
    <w:rsid w:val="523F1387"/>
    <w:rsid w:val="52416EAD"/>
    <w:rsid w:val="52481FEA"/>
    <w:rsid w:val="52483D98"/>
    <w:rsid w:val="524E2D63"/>
    <w:rsid w:val="5256349A"/>
    <w:rsid w:val="52592449"/>
    <w:rsid w:val="525C3282"/>
    <w:rsid w:val="526037D7"/>
    <w:rsid w:val="526130AB"/>
    <w:rsid w:val="52734B8D"/>
    <w:rsid w:val="5275209D"/>
    <w:rsid w:val="52754DA9"/>
    <w:rsid w:val="527F6A72"/>
    <w:rsid w:val="52803148"/>
    <w:rsid w:val="528943B0"/>
    <w:rsid w:val="52900EEF"/>
    <w:rsid w:val="5292193B"/>
    <w:rsid w:val="52946FDD"/>
    <w:rsid w:val="529E60AD"/>
    <w:rsid w:val="52A01E26"/>
    <w:rsid w:val="52AB7845"/>
    <w:rsid w:val="52AF02BB"/>
    <w:rsid w:val="52B15DE1"/>
    <w:rsid w:val="52B23907"/>
    <w:rsid w:val="52B50A93"/>
    <w:rsid w:val="52B61649"/>
    <w:rsid w:val="52C06024"/>
    <w:rsid w:val="52C378C2"/>
    <w:rsid w:val="52C8312A"/>
    <w:rsid w:val="52CA6EA2"/>
    <w:rsid w:val="52CD0741"/>
    <w:rsid w:val="52D3381C"/>
    <w:rsid w:val="52DC2732"/>
    <w:rsid w:val="52DE339A"/>
    <w:rsid w:val="52E55A8A"/>
    <w:rsid w:val="52E95362"/>
    <w:rsid w:val="52EC1CE1"/>
    <w:rsid w:val="52ED0DE3"/>
    <w:rsid w:val="52F8748E"/>
    <w:rsid w:val="52FB47CD"/>
    <w:rsid w:val="52FC4B82"/>
    <w:rsid w:val="52FE6B4C"/>
    <w:rsid w:val="52FF78E7"/>
    <w:rsid w:val="530219FE"/>
    <w:rsid w:val="5302488E"/>
    <w:rsid w:val="530879CB"/>
    <w:rsid w:val="530E2C43"/>
    <w:rsid w:val="530F0D59"/>
    <w:rsid w:val="531445C2"/>
    <w:rsid w:val="531E4224"/>
    <w:rsid w:val="532A5B93"/>
    <w:rsid w:val="532E4342"/>
    <w:rsid w:val="5330338D"/>
    <w:rsid w:val="53310CD0"/>
    <w:rsid w:val="5333117E"/>
    <w:rsid w:val="533322BB"/>
    <w:rsid w:val="533455D0"/>
    <w:rsid w:val="53346A1D"/>
    <w:rsid w:val="53395DD6"/>
    <w:rsid w:val="533F74A8"/>
    <w:rsid w:val="534053B7"/>
    <w:rsid w:val="53446C55"/>
    <w:rsid w:val="534530AA"/>
    <w:rsid w:val="5346403C"/>
    <w:rsid w:val="534851C2"/>
    <w:rsid w:val="53536E98"/>
    <w:rsid w:val="53590226"/>
    <w:rsid w:val="535D7D17"/>
    <w:rsid w:val="53605111"/>
    <w:rsid w:val="53620E89"/>
    <w:rsid w:val="5367649F"/>
    <w:rsid w:val="536C1381"/>
    <w:rsid w:val="536E5A80"/>
    <w:rsid w:val="536F35A6"/>
    <w:rsid w:val="53791642"/>
    <w:rsid w:val="537A4340"/>
    <w:rsid w:val="537C2705"/>
    <w:rsid w:val="538708F0"/>
    <w:rsid w:val="538B6CC9"/>
    <w:rsid w:val="538D5CAC"/>
    <w:rsid w:val="539179C0"/>
    <w:rsid w:val="53933738"/>
    <w:rsid w:val="539354E6"/>
    <w:rsid w:val="539620A7"/>
    <w:rsid w:val="539A4E95"/>
    <w:rsid w:val="539D170A"/>
    <w:rsid w:val="53A05007"/>
    <w:rsid w:val="53A41103"/>
    <w:rsid w:val="53A64ACB"/>
    <w:rsid w:val="53A771E4"/>
    <w:rsid w:val="53AC47FA"/>
    <w:rsid w:val="53B06098"/>
    <w:rsid w:val="53B21D92"/>
    <w:rsid w:val="53B67427"/>
    <w:rsid w:val="53B73702"/>
    <w:rsid w:val="53B92A73"/>
    <w:rsid w:val="53BD388D"/>
    <w:rsid w:val="53C27B7A"/>
    <w:rsid w:val="53C90F08"/>
    <w:rsid w:val="53CC09F8"/>
    <w:rsid w:val="53D0673A"/>
    <w:rsid w:val="53DA4EC3"/>
    <w:rsid w:val="53DB4A65"/>
    <w:rsid w:val="53F40419"/>
    <w:rsid w:val="53F9565D"/>
    <w:rsid w:val="53FF492A"/>
    <w:rsid w:val="5401586D"/>
    <w:rsid w:val="541B3E3E"/>
    <w:rsid w:val="54227392"/>
    <w:rsid w:val="54263533"/>
    <w:rsid w:val="542B571F"/>
    <w:rsid w:val="54316BCF"/>
    <w:rsid w:val="54322F51"/>
    <w:rsid w:val="54324CFF"/>
    <w:rsid w:val="54331D94"/>
    <w:rsid w:val="54387AD3"/>
    <w:rsid w:val="543F520E"/>
    <w:rsid w:val="54401D64"/>
    <w:rsid w:val="544463AA"/>
    <w:rsid w:val="54455E66"/>
    <w:rsid w:val="544A056F"/>
    <w:rsid w:val="544B5DC1"/>
    <w:rsid w:val="54596730"/>
    <w:rsid w:val="545C7FCE"/>
    <w:rsid w:val="54680721"/>
    <w:rsid w:val="546D255B"/>
    <w:rsid w:val="546D5D37"/>
    <w:rsid w:val="54717DB0"/>
    <w:rsid w:val="54856390"/>
    <w:rsid w:val="54985392"/>
    <w:rsid w:val="549C486F"/>
    <w:rsid w:val="549E2395"/>
    <w:rsid w:val="54A656ED"/>
    <w:rsid w:val="54AA699E"/>
    <w:rsid w:val="54AD1A2B"/>
    <w:rsid w:val="54AD25D8"/>
    <w:rsid w:val="54AD63C4"/>
    <w:rsid w:val="54AE00FE"/>
    <w:rsid w:val="54B35714"/>
    <w:rsid w:val="54BB5FC1"/>
    <w:rsid w:val="54BC0A6D"/>
    <w:rsid w:val="54BF230B"/>
    <w:rsid w:val="54C12C6E"/>
    <w:rsid w:val="54C36370"/>
    <w:rsid w:val="54C625D1"/>
    <w:rsid w:val="54CE480A"/>
    <w:rsid w:val="54E12281"/>
    <w:rsid w:val="54E577FA"/>
    <w:rsid w:val="54E65AEA"/>
    <w:rsid w:val="54E80B69"/>
    <w:rsid w:val="54E90592"/>
    <w:rsid w:val="54E9520D"/>
    <w:rsid w:val="54F63F7F"/>
    <w:rsid w:val="54F9581D"/>
    <w:rsid w:val="54FB7388"/>
    <w:rsid w:val="54FE72D7"/>
    <w:rsid w:val="55032FC6"/>
    <w:rsid w:val="550B5550"/>
    <w:rsid w:val="550D751A"/>
    <w:rsid w:val="550F7D3E"/>
    <w:rsid w:val="55121D24"/>
    <w:rsid w:val="55144405"/>
    <w:rsid w:val="551509A8"/>
    <w:rsid w:val="551663CF"/>
    <w:rsid w:val="55167559"/>
    <w:rsid w:val="551A7247"/>
    <w:rsid w:val="5521161C"/>
    <w:rsid w:val="55216B22"/>
    <w:rsid w:val="552705DC"/>
    <w:rsid w:val="55410783"/>
    <w:rsid w:val="554D7917"/>
    <w:rsid w:val="5552317F"/>
    <w:rsid w:val="555C4981"/>
    <w:rsid w:val="555E7D76"/>
    <w:rsid w:val="55605ECC"/>
    <w:rsid w:val="55656264"/>
    <w:rsid w:val="556E620B"/>
    <w:rsid w:val="55711223"/>
    <w:rsid w:val="557425B0"/>
    <w:rsid w:val="557430F6"/>
    <w:rsid w:val="55745922"/>
    <w:rsid w:val="55765E1D"/>
    <w:rsid w:val="55775F34"/>
    <w:rsid w:val="557C1FAA"/>
    <w:rsid w:val="557C733A"/>
    <w:rsid w:val="558477DD"/>
    <w:rsid w:val="55850EFA"/>
    <w:rsid w:val="558A46C7"/>
    <w:rsid w:val="558C6691"/>
    <w:rsid w:val="558F7F2F"/>
    <w:rsid w:val="55915A56"/>
    <w:rsid w:val="55937A20"/>
    <w:rsid w:val="55990DAE"/>
    <w:rsid w:val="559A1FC3"/>
    <w:rsid w:val="559F4616"/>
    <w:rsid w:val="559F587C"/>
    <w:rsid w:val="55A35789"/>
    <w:rsid w:val="55A51501"/>
    <w:rsid w:val="55A72102"/>
    <w:rsid w:val="55AC6D33"/>
    <w:rsid w:val="55AE1142"/>
    <w:rsid w:val="55AF1CE0"/>
    <w:rsid w:val="55BB2B19"/>
    <w:rsid w:val="55BD4A9D"/>
    <w:rsid w:val="55C0633B"/>
    <w:rsid w:val="55C53951"/>
    <w:rsid w:val="55C82586"/>
    <w:rsid w:val="55C94D0E"/>
    <w:rsid w:val="55DB13C7"/>
    <w:rsid w:val="55DE1FA2"/>
    <w:rsid w:val="55E66848"/>
    <w:rsid w:val="55E71B19"/>
    <w:rsid w:val="55E84623"/>
    <w:rsid w:val="55EB7CE0"/>
    <w:rsid w:val="55EC35D4"/>
    <w:rsid w:val="55F02A8A"/>
    <w:rsid w:val="55F04E72"/>
    <w:rsid w:val="55F34962"/>
    <w:rsid w:val="55F44741"/>
    <w:rsid w:val="55F56BBD"/>
    <w:rsid w:val="55F634AE"/>
    <w:rsid w:val="55F75928"/>
    <w:rsid w:val="55F873F7"/>
    <w:rsid w:val="55F92B6C"/>
    <w:rsid w:val="560E354A"/>
    <w:rsid w:val="5610105A"/>
    <w:rsid w:val="56121DC3"/>
    <w:rsid w:val="561778BD"/>
    <w:rsid w:val="56206DD9"/>
    <w:rsid w:val="56242D6E"/>
    <w:rsid w:val="562437A8"/>
    <w:rsid w:val="5628370D"/>
    <w:rsid w:val="56311020"/>
    <w:rsid w:val="563352B9"/>
    <w:rsid w:val="563F39B0"/>
    <w:rsid w:val="5642624B"/>
    <w:rsid w:val="56476F17"/>
    <w:rsid w:val="56532714"/>
    <w:rsid w:val="565412E1"/>
    <w:rsid w:val="56556957"/>
    <w:rsid w:val="56570A4D"/>
    <w:rsid w:val="565D1435"/>
    <w:rsid w:val="56636253"/>
    <w:rsid w:val="566413BC"/>
    <w:rsid w:val="56690780"/>
    <w:rsid w:val="566C0958"/>
    <w:rsid w:val="566C201F"/>
    <w:rsid w:val="56701B0F"/>
    <w:rsid w:val="56705FB3"/>
    <w:rsid w:val="56707D61"/>
    <w:rsid w:val="56715BA7"/>
    <w:rsid w:val="567747E3"/>
    <w:rsid w:val="567C0587"/>
    <w:rsid w:val="568420E4"/>
    <w:rsid w:val="56881A0F"/>
    <w:rsid w:val="56892496"/>
    <w:rsid w:val="56933C6D"/>
    <w:rsid w:val="5694674A"/>
    <w:rsid w:val="56995D14"/>
    <w:rsid w:val="569A3030"/>
    <w:rsid w:val="569A4DDE"/>
    <w:rsid w:val="569D042A"/>
    <w:rsid w:val="569F23F4"/>
    <w:rsid w:val="56A1421F"/>
    <w:rsid w:val="56A41A0A"/>
    <w:rsid w:val="56AB0D99"/>
    <w:rsid w:val="56AD68BF"/>
    <w:rsid w:val="56B57E6A"/>
    <w:rsid w:val="56BF4844"/>
    <w:rsid w:val="56CA0609"/>
    <w:rsid w:val="56D35BDC"/>
    <w:rsid w:val="56D402F0"/>
    <w:rsid w:val="56DA342C"/>
    <w:rsid w:val="56DA4B2C"/>
    <w:rsid w:val="56DC71A4"/>
    <w:rsid w:val="56DE2F1C"/>
    <w:rsid w:val="56E235EF"/>
    <w:rsid w:val="56E32B00"/>
    <w:rsid w:val="56E36785"/>
    <w:rsid w:val="56ED315F"/>
    <w:rsid w:val="56EE0C86"/>
    <w:rsid w:val="56F00EA2"/>
    <w:rsid w:val="56F7346E"/>
    <w:rsid w:val="56F95FA8"/>
    <w:rsid w:val="570404A9"/>
    <w:rsid w:val="570566FB"/>
    <w:rsid w:val="57064221"/>
    <w:rsid w:val="57087F99"/>
    <w:rsid w:val="570B7E19"/>
    <w:rsid w:val="570F1328"/>
    <w:rsid w:val="57144B90"/>
    <w:rsid w:val="57231423"/>
    <w:rsid w:val="57234B4C"/>
    <w:rsid w:val="57234DD3"/>
    <w:rsid w:val="572900A3"/>
    <w:rsid w:val="572D2E1D"/>
    <w:rsid w:val="5730373C"/>
    <w:rsid w:val="57315742"/>
    <w:rsid w:val="573568B4"/>
    <w:rsid w:val="5738327B"/>
    <w:rsid w:val="573866BC"/>
    <w:rsid w:val="573B5557"/>
    <w:rsid w:val="57482A8C"/>
    <w:rsid w:val="574D00A2"/>
    <w:rsid w:val="57543D6E"/>
    <w:rsid w:val="575643C0"/>
    <w:rsid w:val="575651A9"/>
    <w:rsid w:val="575B631B"/>
    <w:rsid w:val="575D338C"/>
    <w:rsid w:val="57621579"/>
    <w:rsid w:val="57630431"/>
    <w:rsid w:val="576C677A"/>
    <w:rsid w:val="577C59AD"/>
    <w:rsid w:val="577E6A3F"/>
    <w:rsid w:val="57827D4C"/>
    <w:rsid w:val="578A30A4"/>
    <w:rsid w:val="578A6FAF"/>
    <w:rsid w:val="57A71560"/>
    <w:rsid w:val="57AE6D93"/>
    <w:rsid w:val="57B65C47"/>
    <w:rsid w:val="57BA277F"/>
    <w:rsid w:val="57BB325E"/>
    <w:rsid w:val="57BD7E75"/>
    <w:rsid w:val="57C100EB"/>
    <w:rsid w:val="57C27E48"/>
    <w:rsid w:val="57C33EC0"/>
    <w:rsid w:val="57C95893"/>
    <w:rsid w:val="57CB0FBC"/>
    <w:rsid w:val="57D22F31"/>
    <w:rsid w:val="57D52571"/>
    <w:rsid w:val="57D83E10"/>
    <w:rsid w:val="57D94165"/>
    <w:rsid w:val="57DA3E17"/>
    <w:rsid w:val="57E502DB"/>
    <w:rsid w:val="57EF1159"/>
    <w:rsid w:val="57F02454"/>
    <w:rsid w:val="57F14ED1"/>
    <w:rsid w:val="57F549C2"/>
    <w:rsid w:val="57F57B97"/>
    <w:rsid w:val="57F77222"/>
    <w:rsid w:val="57FA3D86"/>
    <w:rsid w:val="58033C6B"/>
    <w:rsid w:val="58062172"/>
    <w:rsid w:val="580B79BC"/>
    <w:rsid w:val="580D3D8A"/>
    <w:rsid w:val="580E59F2"/>
    <w:rsid w:val="580F3445"/>
    <w:rsid w:val="580F5357"/>
    <w:rsid w:val="58131482"/>
    <w:rsid w:val="5814375B"/>
    <w:rsid w:val="5818245E"/>
    <w:rsid w:val="581B5AAA"/>
    <w:rsid w:val="58251F6B"/>
    <w:rsid w:val="582E3A30"/>
    <w:rsid w:val="58382B00"/>
    <w:rsid w:val="583B7EFB"/>
    <w:rsid w:val="583F79EB"/>
    <w:rsid w:val="5840525D"/>
    <w:rsid w:val="58417C07"/>
    <w:rsid w:val="58445001"/>
    <w:rsid w:val="58490869"/>
    <w:rsid w:val="58496ABB"/>
    <w:rsid w:val="584E7C2E"/>
    <w:rsid w:val="58501BF8"/>
    <w:rsid w:val="58507E4A"/>
    <w:rsid w:val="58564D34"/>
    <w:rsid w:val="585711D8"/>
    <w:rsid w:val="585C67EF"/>
    <w:rsid w:val="585D4315"/>
    <w:rsid w:val="585F1E3B"/>
    <w:rsid w:val="58642D3C"/>
    <w:rsid w:val="58644BBE"/>
    <w:rsid w:val="586A683B"/>
    <w:rsid w:val="586B4C84"/>
    <w:rsid w:val="587217B3"/>
    <w:rsid w:val="58790D08"/>
    <w:rsid w:val="587A4EC7"/>
    <w:rsid w:val="587A542D"/>
    <w:rsid w:val="587D6765"/>
    <w:rsid w:val="587F6039"/>
    <w:rsid w:val="58810003"/>
    <w:rsid w:val="5881560A"/>
    <w:rsid w:val="58831FCD"/>
    <w:rsid w:val="58922210"/>
    <w:rsid w:val="58951D01"/>
    <w:rsid w:val="589917F1"/>
    <w:rsid w:val="58A91308"/>
    <w:rsid w:val="58C249DB"/>
    <w:rsid w:val="58E40592"/>
    <w:rsid w:val="58EB36CF"/>
    <w:rsid w:val="58EC267D"/>
    <w:rsid w:val="58EE24A8"/>
    <w:rsid w:val="58F856B0"/>
    <w:rsid w:val="58F9403E"/>
    <w:rsid w:val="58FA7DB6"/>
    <w:rsid w:val="59050C34"/>
    <w:rsid w:val="59060509"/>
    <w:rsid w:val="590B1FC3"/>
    <w:rsid w:val="590D1897"/>
    <w:rsid w:val="59160638"/>
    <w:rsid w:val="591E5852"/>
    <w:rsid w:val="591F793E"/>
    <w:rsid w:val="59205A6E"/>
    <w:rsid w:val="59215342"/>
    <w:rsid w:val="59243563"/>
    <w:rsid w:val="592559D3"/>
    <w:rsid w:val="592B61C1"/>
    <w:rsid w:val="592F3F03"/>
    <w:rsid w:val="592F5CB1"/>
    <w:rsid w:val="59367040"/>
    <w:rsid w:val="593A6404"/>
    <w:rsid w:val="593C03CE"/>
    <w:rsid w:val="593E4146"/>
    <w:rsid w:val="59411541"/>
    <w:rsid w:val="59417793"/>
    <w:rsid w:val="5943574A"/>
    <w:rsid w:val="594360A4"/>
    <w:rsid w:val="59437447"/>
    <w:rsid w:val="5946202D"/>
    <w:rsid w:val="59480B21"/>
    <w:rsid w:val="59484FC5"/>
    <w:rsid w:val="594A2AEB"/>
    <w:rsid w:val="594D25DB"/>
    <w:rsid w:val="59500B7F"/>
    <w:rsid w:val="59505A7A"/>
    <w:rsid w:val="5954396A"/>
    <w:rsid w:val="595440D5"/>
    <w:rsid w:val="59570D64"/>
    <w:rsid w:val="59593BFC"/>
    <w:rsid w:val="596A6CE9"/>
    <w:rsid w:val="596F4065"/>
    <w:rsid w:val="596F4300"/>
    <w:rsid w:val="59723DF0"/>
    <w:rsid w:val="5975743C"/>
    <w:rsid w:val="597C07CB"/>
    <w:rsid w:val="59814033"/>
    <w:rsid w:val="598D656A"/>
    <w:rsid w:val="598D6817"/>
    <w:rsid w:val="599152EF"/>
    <w:rsid w:val="59941FB8"/>
    <w:rsid w:val="599C373B"/>
    <w:rsid w:val="59A0270B"/>
    <w:rsid w:val="59AB2CF6"/>
    <w:rsid w:val="59AC5554"/>
    <w:rsid w:val="59B241EC"/>
    <w:rsid w:val="59B30690"/>
    <w:rsid w:val="59B368E2"/>
    <w:rsid w:val="59B40CC3"/>
    <w:rsid w:val="59B77A55"/>
    <w:rsid w:val="59B9487E"/>
    <w:rsid w:val="59B960C5"/>
    <w:rsid w:val="59C127A3"/>
    <w:rsid w:val="59C3464B"/>
    <w:rsid w:val="59C57C77"/>
    <w:rsid w:val="59C83A10"/>
    <w:rsid w:val="59D6612D"/>
    <w:rsid w:val="59DB3743"/>
    <w:rsid w:val="59DD74BB"/>
    <w:rsid w:val="59DE4FE1"/>
    <w:rsid w:val="59E206B9"/>
    <w:rsid w:val="59E3084A"/>
    <w:rsid w:val="59E44015"/>
    <w:rsid w:val="59E629DE"/>
    <w:rsid w:val="59EC0FAB"/>
    <w:rsid w:val="59EC30C7"/>
    <w:rsid w:val="59EE16C8"/>
    <w:rsid w:val="59F04784"/>
    <w:rsid w:val="59F20521"/>
    <w:rsid w:val="59F20A8D"/>
    <w:rsid w:val="59F51775"/>
    <w:rsid w:val="59F537D5"/>
    <w:rsid w:val="59F80EAD"/>
    <w:rsid w:val="59FB4427"/>
    <w:rsid w:val="59FE2B46"/>
    <w:rsid w:val="5A07715A"/>
    <w:rsid w:val="5A085398"/>
    <w:rsid w:val="5A156465"/>
    <w:rsid w:val="5A1A070F"/>
    <w:rsid w:val="5A1A5B33"/>
    <w:rsid w:val="5A303108"/>
    <w:rsid w:val="5A3A490E"/>
    <w:rsid w:val="5A437DF3"/>
    <w:rsid w:val="5A4A2677"/>
    <w:rsid w:val="5A56101C"/>
    <w:rsid w:val="5A576F72"/>
    <w:rsid w:val="5A582FE6"/>
    <w:rsid w:val="5A59031C"/>
    <w:rsid w:val="5A5A108A"/>
    <w:rsid w:val="5A5F25C6"/>
    <w:rsid w:val="5A673229"/>
    <w:rsid w:val="5A6C4CE3"/>
    <w:rsid w:val="5A6E04DA"/>
    <w:rsid w:val="5A700DA8"/>
    <w:rsid w:val="5A7E0F29"/>
    <w:rsid w:val="5A7F4A16"/>
    <w:rsid w:val="5A8A5E5E"/>
    <w:rsid w:val="5A8D7133"/>
    <w:rsid w:val="5A920839"/>
    <w:rsid w:val="5A99635D"/>
    <w:rsid w:val="5AAC50E0"/>
    <w:rsid w:val="5AB26B9A"/>
    <w:rsid w:val="5AB53F94"/>
    <w:rsid w:val="5ABC142C"/>
    <w:rsid w:val="5AC474BB"/>
    <w:rsid w:val="5AC92526"/>
    <w:rsid w:val="5AC93EE4"/>
    <w:rsid w:val="5ADC3431"/>
    <w:rsid w:val="5ADE798F"/>
    <w:rsid w:val="5AE20018"/>
    <w:rsid w:val="5AE42ACB"/>
    <w:rsid w:val="5AE71CE6"/>
    <w:rsid w:val="5AE973A2"/>
    <w:rsid w:val="5AEB18AD"/>
    <w:rsid w:val="5AF076C2"/>
    <w:rsid w:val="5AF26F96"/>
    <w:rsid w:val="5AF727FF"/>
    <w:rsid w:val="5AF95341"/>
    <w:rsid w:val="5AF97ECB"/>
    <w:rsid w:val="5AFF2821"/>
    <w:rsid w:val="5AFF2AAF"/>
    <w:rsid w:val="5B01473C"/>
    <w:rsid w:val="5B022F52"/>
    <w:rsid w:val="5B0311A3"/>
    <w:rsid w:val="5B0B1E06"/>
    <w:rsid w:val="5B0F5D9A"/>
    <w:rsid w:val="5B1135DA"/>
    <w:rsid w:val="5B195BCF"/>
    <w:rsid w:val="5B1D0885"/>
    <w:rsid w:val="5B1D1854"/>
    <w:rsid w:val="5B1F1D55"/>
    <w:rsid w:val="5B224AB4"/>
    <w:rsid w:val="5B2452CA"/>
    <w:rsid w:val="5B280C0A"/>
    <w:rsid w:val="5B28522E"/>
    <w:rsid w:val="5B2C0601"/>
    <w:rsid w:val="5B323837"/>
    <w:rsid w:val="5B351579"/>
    <w:rsid w:val="5B417F1E"/>
    <w:rsid w:val="5B4B61BB"/>
    <w:rsid w:val="5B524ABC"/>
    <w:rsid w:val="5B61236E"/>
    <w:rsid w:val="5B6410C3"/>
    <w:rsid w:val="5B652F32"/>
    <w:rsid w:val="5B661732"/>
    <w:rsid w:val="5B6854AA"/>
    <w:rsid w:val="5B6A2FD1"/>
    <w:rsid w:val="5B6A7475"/>
    <w:rsid w:val="5B6D2930"/>
    <w:rsid w:val="5B6E1818"/>
    <w:rsid w:val="5B6E70F9"/>
    <w:rsid w:val="5B70610D"/>
    <w:rsid w:val="5B726F99"/>
    <w:rsid w:val="5B751975"/>
    <w:rsid w:val="5B8322E4"/>
    <w:rsid w:val="5B8A5E16"/>
    <w:rsid w:val="5B8E653B"/>
    <w:rsid w:val="5B9B5880"/>
    <w:rsid w:val="5B9C5154"/>
    <w:rsid w:val="5BA30291"/>
    <w:rsid w:val="5BA77D72"/>
    <w:rsid w:val="5BAF30D9"/>
    <w:rsid w:val="5BB1199B"/>
    <w:rsid w:val="5BB95D06"/>
    <w:rsid w:val="5BC22E0D"/>
    <w:rsid w:val="5BC316CD"/>
    <w:rsid w:val="5BC47671"/>
    <w:rsid w:val="5BC8419B"/>
    <w:rsid w:val="5BCD7046"/>
    <w:rsid w:val="5BD14DA8"/>
    <w:rsid w:val="5BDE39BF"/>
    <w:rsid w:val="5BE30FD5"/>
    <w:rsid w:val="5BE50B29"/>
    <w:rsid w:val="5BE54D4D"/>
    <w:rsid w:val="5BEA42C5"/>
    <w:rsid w:val="5BEC7E8A"/>
    <w:rsid w:val="5BEE6D28"/>
    <w:rsid w:val="5BEF1799"/>
    <w:rsid w:val="5BF10FE5"/>
    <w:rsid w:val="5BF705DC"/>
    <w:rsid w:val="5BF831AF"/>
    <w:rsid w:val="5C007110"/>
    <w:rsid w:val="5C007491"/>
    <w:rsid w:val="5C0A6562"/>
    <w:rsid w:val="5C0C4088"/>
    <w:rsid w:val="5C0F3B78"/>
    <w:rsid w:val="5C115B42"/>
    <w:rsid w:val="5C1178F0"/>
    <w:rsid w:val="5C1C63A8"/>
    <w:rsid w:val="5C1C6445"/>
    <w:rsid w:val="5C334CCE"/>
    <w:rsid w:val="5C367357"/>
    <w:rsid w:val="5C3D6937"/>
    <w:rsid w:val="5C3E7830"/>
    <w:rsid w:val="5C427AAA"/>
    <w:rsid w:val="5C4307BC"/>
    <w:rsid w:val="5C433822"/>
    <w:rsid w:val="5C5A1297"/>
    <w:rsid w:val="5C5B6DBD"/>
    <w:rsid w:val="5C5E0257"/>
    <w:rsid w:val="5C641313"/>
    <w:rsid w:val="5C6739B4"/>
    <w:rsid w:val="5C6A5252"/>
    <w:rsid w:val="5C6E6AF1"/>
    <w:rsid w:val="5C7165E1"/>
    <w:rsid w:val="5C846314"/>
    <w:rsid w:val="5C853E3A"/>
    <w:rsid w:val="5C8A6E3D"/>
    <w:rsid w:val="5C8C341B"/>
    <w:rsid w:val="5C8E7193"/>
    <w:rsid w:val="5C936557"/>
    <w:rsid w:val="5C950521"/>
    <w:rsid w:val="5C9C3DA9"/>
    <w:rsid w:val="5C9E402C"/>
    <w:rsid w:val="5CA02A22"/>
    <w:rsid w:val="5CB62246"/>
    <w:rsid w:val="5CB63FF4"/>
    <w:rsid w:val="5CB84210"/>
    <w:rsid w:val="5CBA1D36"/>
    <w:rsid w:val="5CBC3D00"/>
    <w:rsid w:val="5CBF734C"/>
    <w:rsid w:val="5CC04E72"/>
    <w:rsid w:val="5CC26E3C"/>
    <w:rsid w:val="5CD54DC2"/>
    <w:rsid w:val="5CD97003"/>
    <w:rsid w:val="5CDA307C"/>
    <w:rsid w:val="5CDF043C"/>
    <w:rsid w:val="5CE52B5E"/>
    <w:rsid w:val="5CE82302"/>
    <w:rsid w:val="5CEA65A2"/>
    <w:rsid w:val="5CED3864"/>
    <w:rsid w:val="5CF3349A"/>
    <w:rsid w:val="5CFA65D6"/>
    <w:rsid w:val="5CFE757D"/>
    <w:rsid w:val="5D0928E5"/>
    <w:rsid w:val="5D0A1FB7"/>
    <w:rsid w:val="5D0A3484"/>
    <w:rsid w:val="5D1551BE"/>
    <w:rsid w:val="5D1C654D"/>
    <w:rsid w:val="5D1D4073"/>
    <w:rsid w:val="5D211424"/>
    <w:rsid w:val="5D211DB5"/>
    <w:rsid w:val="5D24567A"/>
    <w:rsid w:val="5D2B49E2"/>
    <w:rsid w:val="5D3521BC"/>
    <w:rsid w:val="5D355860"/>
    <w:rsid w:val="5D373386"/>
    <w:rsid w:val="5D407AD5"/>
    <w:rsid w:val="5D49149F"/>
    <w:rsid w:val="5D4E6EAC"/>
    <w:rsid w:val="5D4F6922"/>
    <w:rsid w:val="5D582BC2"/>
    <w:rsid w:val="5D5F28DD"/>
    <w:rsid w:val="5D635777"/>
    <w:rsid w:val="5D6879E4"/>
    <w:rsid w:val="5D69550A"/>
    <w:rsid w:val="5D6E1669"/>
    <w:rsid w:val="5D7345C9"/>
    <w:rsid w:val="5D740137"/>
    <w:rsid w:val="5D775E79"/>
    <w:rsid w:val="5D79399F"/>
    <w:rsid w:val="5D7B64BE"/>
    <w:rsid w:val="5D7C348F"/>
    <w:rsid w:val="5D8665D0"/>
    <w:rsid w:val="5D8B722E"/>
    <w:rsid w:val="5D932B97"/>
    <w:rsid w:val="5D961E66"/>
    <w:rsid w:val="5D9A7FA7"/>
    <w:rsid w:val="5D9B340E"/>
    <w:rsid w:val="5DA0717E"/>
    <w:rsid w:val="5DA551E3"/>
    <w:rsid w:val="5DA56542"/>
    <w:rsid w:val="5DA927BE"/>
    <w:rsid w:val="5DAD53F7"/>
    <w:rsid w:val="5DB83D3A"/>
    <w:rsid w:val="5DB91FED"/>
    <w:rsid w:val="5DC664B8"/>
    <w:rsid w:val="5DCF53BC"/>
    <w:rsid w:val="5DD140D6"/>
    <w:rsid w:val="5DD24E5D"/>
    <w:rsid w:val="5DD6549B"/>
    <w:rsid w:val="5DD92690"/>
    <w:rsid w:val="5DDC79F3"/>
    <w:rsid w:val="5DE51034"/>
    <w:rsid w:val="5DEA664B"/>
    <w:rsid w:val="5DED216E"/>
    <w:rsid w:val="5DED2C36"/>
    <w:rsid w:val="5DEE4B0E"/>
    <w:rsid w:val="5DF50B4C"/>
    <w:rsid w:val="5DF71793"/>
    <w:rsid w:val="5DFA47E8"/>
    <w:rsid w:val="5E021A74"/>
    <w:rsid w:val="5E084D23"/>
    <w:rsid w:val="5E0C65C1"/>
    <w:rsid w:val="5E130070"/>
    <w:rsid w:val="5E174F66"/>
    <w:rsid w:val="5E2356B9"/>
    <w:rsid w:val="5E2531C8"/>
    <w:rsid w:val="5E27164D"/>
    <w:rsid w:val="5E2A2EEB"/>
    <w:rsid w:val="5E2A50FE"/>
    <w:rsid w:val="5E2F29E1"/>
    <w:rsid w:val="5E442F41"/>
    <w:rsid w:val="5E453AFA"/>
    <w:rsid w:val="5E474E1E"/>
    <w:rsid w:val="5E47584B"/>
    <w:rsid w:val="5E4C10B3"/>
    <w:rsid w:val="5E5540AA"/>
    <w:rsid w:val="5E571D72"/>
    <w:rsid w:val="5E5A354E"/>
    <w:rsid w:val="5E5D0BCB"/>
    <w:rsid w:val="5E5D50D2"/>
    <w:rsid w:val="5E6463FD"/>
    <w:rsid w:val="5E652175"/>
    <w:rsid w:val="5E6A4F50"/>
    <w:rsid w:val="5E6C7060"/>
    <w:rsid w:val="5E6E2DD8"/>
    <w:rsid w:val="5E714676"/>
    <w:rsid w:val="5E72408D"/>
    <w:rsid w:val="5E7E13F0"/>
    <w:rsid w:val="5E7F3237"/>
    <w:rsid w:val="5E800D5D"/>
    <w:rsid w:val="5E802B0B"/>
    <w:rsid w:val="5E816807"/>
    <w:rsid w:val="5E924B5E"/>
    <w:rsid w:val="5E960581"/>
    <w:rsid w:val="5E9A6A47"/>
    <w:rsid w:val="5EA33C5C"/>
    <w:rsid w:val="5EA92D98"/>
    <w:rsid w:val="5EA95F33"/>
    <w:rsid w:val="5EB36C6F"/>
    <w:rsid w:val="5EB629D1"/>
    <w:rsid w:val="5EB6477A"/>
    <w:rsid w:val="5EBF3D90"/>
    <w:rsid w:val="5EC57A84"/>
    <w:rsid w:val="5EC83355"/>
    <w:rsid w:val="5ED8696C"/>
    <w:rsid w:val="5ED86C69"/>
    <w:rsid w:val="5EDA0F44"/>
    <w:rsid w:val="5EDA66BF"/>
    <w:rsid w:val="5EDD7F5D"/>
    <w:rsid w:val="5EEA4A34"/>
    <w:rsid w:val="5EEB4428"/>
    <w:rsid w:val="5EEC1F4F"/>
    <w:rsid w:val="5EEF3481"/>
    <w:rsid w:val="5EF3152F"/>
    <w:rsid w:val="5EF36EFA"/>
    <w:rsid w:val="5EF64B7B"/>
    <w:rsid w:val="5EF67D82"/>
    <w:rsid w:val="5EFA466C"/>
    <w:rsid w:val="5F031561"/>
    <w:rsid w:val="5F0F1997"/>
    <w:rsid w:val="5F1514A5"/>
    <w:rsid w:val="5F1F2324"/>
    <w:rsid w:val="5F217E4A"/>
    <w:rsid w:val="5F2636B2"/>
    <w:rsid w:val="5F2913F5"/>
    <w:rsid w:val="5F2D3AFE"/>
    <w:rsid w:val="5F2D4A41"/>
    <w:rsid w:val="5F2D60DB"/>
    <w:rsid w:val="5F2F70BE"/>
    <w:rsid w:val="5F3062DF"/>
    <w:rsid w:val="5F33214B"/>
    <w:rsid w:val="5F3439F6"/>
    <w:rsid w:val="5F394535"/>
    <w:rsid w:val="5F3F4774"/>
    <w:rsid w:val="5F443B39"/>
    <w:rsid w:val="5F4B0517"/>
    <w:rsid w:val="5F4D55A4"/>
    <w:rsid w:val="5F531FCE"/>
    <w:rsid w:val="5F553073"/>
    <w:rsid w:val="5F5B4CF9"/>
    <w:rsid w:val="5F6110F5"/>
    <w:rsid w:val="5F683CCB"/>
    <w:rsid w:val="5F6E0BB6"/>
    <w:rsid w:val="5F70492E"/>
    <w:rsid w:val="5F711D11"/>
    <w:rsid w:val="5F7170F2"/>
    <w:rsid w:val="5F720B41"/>
    <w:rsid w:val="5F73151B"/>
    <w:rsid w:val="5F7A57AC"/>
    <w:rsid w:val="5F7D704B"/>
    <w:rsid w:val="5F8030B6"/>
    <w:rsid w:val="5F8561DD"/>
    <w:rsid w:val="5F8672E6"/>
    <w:rsid w:val="5F8959EF"/>
    <w:rsid w:val="5F920D48"/>
    <w:rsid w:val="5F93686E"/>
    <w:rsid w:val="5F944E8A"/>
    <w:rsid w:val="5F970192"/>
    <w:rsid w:val="5F974F29"/>
    <w:rsid w:val="5F9B4D36"/>
    <w:rsid w:val="5F9C3975"/>
    <w:rsid w:val="5F9E593F"/>
    <w:rsid w:val="5FA10F8B"/>
    <w:rsid w:val="5FA34D03"/>
    <w:rsid w:val="5FA55B60"/>
    <w:rsid w:val="5FB109C6"/>
    <w:rsid w:val="5FB276FB"/>
    <w:rsid w:val="5FBA29C5"/>
    <w:rsid w:val="5FC40933"/>
    <w:rsid w:val="5FC52ECB"/>
    <w:rsid w:val="5FC914BD"/>
    <w:rsid w:val="5FCB6008"/>
    <w:rsid w:val="5FCD1D80"/>
    <w:rsid w:val="5FCD5059"/>
    <w:rsid w:val="5FD21144"/>
    <w:rsid w:val="5FD24E2C"/>
    <w:rsid w:val="5FD27396"/>
    <w:rsid w:val="5FD50BDC"/>
    <w:rsid w:val="5FD72BFF"/>
    <w:rsid w:val="5FDF6749"/>
    <w:rsid w:val="5FE42D08"/>
    <w:rsid w:val="5FE65A99"/>
    <w:rsid w:val="5FF05552"/>
    <w:rsid w:val="5FF11F12"/>
    <w:rsid w:val="5FF30027"/>
    <w:rsid w:val="5FF53C79"/>
    <w:rsid w:val="5FF812FF"/>
    <w:rsid w:val="5FF94923"/>
    <w:rsid w:val="5FFB4038"/>
    <w:rsid w:val="5FFB68ED"/>
    <w:rsid w:val="5FFD6D65"/>
    <w:rsid w:val="600A0F5C"/>
    <w:rsid w:val="600A4D82"/>
    <w:rsid w:val="600E24BB"/>
    <w:rsid w:val="60114363"/>
    <w:rsid w:val="60121E89"/>
    <w:rsid w:val="601259E5"/>
    <w:rsid w:val="60131535"/>
    <w:rsid w:val="601B2AEB"/>
    <w:rsid w:val="601E25DC"/>
    <w:rsid w:val="60261490"/>
    <w:rsid w:val="60275934"/>
    <w:rsid w:val="60285208"/>
    <w:rsid w:val="602B45A7"/>
    <w:rsid w:val="60335DCE"/>
    <w:rsid w:val="60341DFF"/>
    <w:rsid w:val="604069F6"/>
    <w:rsid w:val="60433D04"/>
    <w:rsid w:val="605211F5"/>
    <w:rsid w:val="605279EE"/>
    <w:rsid w:val="605B3830"/>
    <w:rsid w:val="60651FB9"/>
    <w:rsid w:val="606721D5"/>
    <w:rsid w:val="607A54CE"/>
    <w:rsid w:val="607E72AC"/>
    <w:rsid w:val="60805044"/>
    <w:rsid w:val="608A2B2C"/>
    <w:rsid w:val="608E7761"/>
    <w:rsid w:val="609D1752"/>
    <w:rsid w:val="60A50489"/>
    <w:rsid w:val="60A9459B"/>
    <w:rsid w:val="60AB42FB"/>
    <w:rsid w:val="60AC7DBB"/>
    <w:rsid w:val="60B127C2"/>
    <w:rsid w:val="60B13450"/>
    <w:rsid w:val="60B46BCD"/>
    <w:rsid w:val="60B60A66"/>
    <w:rsid w:val="60B66CB8"/>
    <w:rsid w:val="60BA6B9C"/>
    <w:rsid w:val="60C174AC"/>
    <w:rsid w:val="60CA62C0"/>
    <w:rsid w:val="60CC028A"/>
    <w:rsid w:val="60D056C5"/>
    <w:rsid w:val="60D33E59"/>
    <w:rsid w:val="60D3786A"/>
    <w:rsid w:val="60D40EEC"/>
    <w:rsid w:val="60DF1EC0"/>
    <w:rsid w:val="60E14A9E"/>
    <w:rsid w:val="60E3062F"/>
    <w:rsid w:val="60E90E3C"/>
    <w:rsid w:val="60E92BEA"/>
    <w:rsid w:val="60EE0200"/>
    <w:rsid w:val="60F07E4B"/>
    <w:rsid w:val="60F11A9E"/>
    <w:rsid w:val="60F8107F"/>
    <w:rsid w:val="61045C75"/>
    <w:rsid w:val="610B7004"/>
    <w:rsid w:val="61137C66"/>
    <w:rsid w:val="61161505"/>
    <w:rsid w:val="6118702B"/>
    <w:rsid w:val="611D0AE5"/>
    <w:rsid w:val="611D311E"/>
    <w:rsid w:val="61243C22"/>
    <w:rsid w:val="613A51F3"/>
    <w:rsid w:val="61490A69"/>
    <w:rsid w:val="614C627C"/>
    <w:rsid w:val="6151253D"/>
    <w:rsid w:val="615434A5"/>
    <w:rsid w:val="6155027F"/>
    <w:rsid w:val="61563D8A"/>
    <w:rsid w:val="61572249"/>
    <w:rsid w:val="615960D8"/>
    <w:rsid w:val="615A3AE7"/>
    <w:rsid w:val="6166423A"/>
    <w:rsid w:val="61677179"/>
    <w:rsid w:val="61677FB2"/>
    <w:rsid w:val="61692624"/>
    <w:rsid w:val="616B7AA3"/>
    <w:rsid w:val="6171096B"/>
    <w:rsid w:val="61785D1C"/>
    <w:rsid w:val="617A01F6"/>
    <w:rsid w:val="617A2CD8"/>
    <w:rsid w:val="617D1584"/>
    <w:rsid w:val="617E77D6"/>
    <w:rsid w:val="617F4748"/>
    <w:rsid w:val="61822775"/>
    <w:rsid w:val="61874C61"/>
    <w:rsid w:val="618E5E31"/>
    <w:rsid w:val="618F606A"/>
    <w:rsid w:val="619743F4"/>
    <w:rsid w:val="61994610"/>
    <w:rsid w:val="619E03D3"/>
    <w:rsid w:val="61A62889"/>
    <w:rsid w:val="61A82AA5"/>
    <w:rsid w:val="61AD3C17"/>
    <w:rsid w:val="61AF2FBB"/>
    <w:rsid w:val="61B92F4D"/>
    <w:rsid w:val="61BC489F"/>
    <w:rsid w:val="61BE4076"/>
    <w:rsid w:val="61BF322D"/>
    <w:rsid w:val="61C50446"/>
    <w:rsid w:val="61C528BF"/>
    <w:rsid w:val="61CA443A"/>
    <w:rsid w:val="61CD318A"/>
    <w:rsid w:val="61D70C94"/>
    <w:rsid w:val="61DC44FC"/>
    <w:rsid w:val="61E11B13"/>
    <w:rsid w:val="61E34380"/>
    <w:rsid w:val="61EF3628"/>
    <w:rsid w:val="61F168F6"/>
    <w:rsid w:val="61F40BD2"/>
    <w:rsid w:val="61F62B25"/>
    <w:rsid w:val="61FA1ED2"/>
    <w:rsid w:val="62013F63"/>
    <w:rsid w:val="6208709F"/>
    <w:rsid w:val="620A72BB"/>
    <w:rsid w:val="620B2756"/>
    <w:rsid w:val="620C2843"/>
    <w:rsid w:val="620D0B5A"/>
    <w:rsid w:val="620D6DAC"/>
    <w:rsid w:val="62175534"/>
    <w:rsid w:val="62270FEB"/>
    <w:rsid w:val="62276F7E"/>
    <w:rsid w:val="622C5484"/>
    <w:rsid w:val="622D2E67"/>
    <w:rsid w:val="622E7C1C"/>
    <w:rsid w:val="623B0A2F"/>
    <w:rsid w:val="623B61A3"/>
    <w:rsid w:val="623E5FD0"/>
    <w:rsid w:val="623F023C"/>
    <w:rsid w:val="62426A55"/>
    <w:rsid w:val="62465009"/>
    <w:rsid w:val="62471346"/>
    <w:rsid w:val="62481B92"/>
    <w:rsid w:val="625044AF"/>
    <w:rsid w:val="62593D9F"/>
    <w:rsid w:val="625978FB"/>
    <w:rsid w:val="625B2554"/>
    <w:rsid w:val="625B3673"/>
    <w:rsid w:val="625C5463"/>
    <w:rsid w:val="625F284D"/>
    <w:rsid w:val="62606EDB"/>
    <w:rsid w:val="62650E22"/>
    <w:rsid w:val="62690112"/>
    <w:rsid w:val="62712E97"/>
    <w:rsid w:val="6271733B"/>
    <w:rsid w:val="62722E3F"/>
    <w:rsid w:val="62740F21"/>
    <w:rsid w:val="62760774"/>
    <w:rsid w:val="627806C9"/>
    <w:rsid w:val="627E7362"/>
    <w:rsid w:val="62853E70"/>
    <w:rsid w:val="62854331"/>
    <w:rsid w:val="62886432"/>
    <w:rsid w:val="62913539"/>
    <w:rsid w:val="62924E4C"/>
    <w:rsid w:val="62966DA1"/>
    <w:rsid w:val="629917AC"/>
    <w:rsid w:val="629D5670"/>
    <w:rsid w:val="629E17B2"/>
    <w:rsid w:val="629E7A04"/>
    <w:rsid w:val="629F5931"/>
    <w:rsid w:val="62A05DDD"/>
    <w:rsid w:val="62A3326C"/>
    <w:rsid w:val="62A74555"/>
    <w:rsid w:val="62A80882"/>
    <w:rsid w:val="62A866EA"/>
    <w:rsid w:val="62AD2A94"/>
    <w:rsid w:val="62AE40EB"/>
    <w:rsid w:val="62B40FD5"/>
    <w:rsid w:val="62B47227"/>
    <w:rsid w:val="62B965EC"/>
    <w:rsid w:val="62BB05B6"/>
    <w:rsid w:val="62BB4CEC"/>
    <w:rsid w:val="62C162E2"/>
    <w:rsid w:val="62C258A1"/>
    <w:rsid w:val="62C4299B"/>
    <w:rsid w:val="62C63B33"/>
    <w:rsid w:val="62C6478A"/>
    <w:rsid w:val="62C9714A"/>
    <w:rsid w:val="62CB463B"/>
    <w:rsid w:val="62CF7BBD"/>
    <w:rsid w:val="62D43425"/>
    <w:rsid w:val="62D66B7D"/>
    <w:rsid w:val="62D8728A"/>
    <w:rsid w:val="62DC7DAC"/>
    <w:rsid w:val="62DE7670"/>
    <w:rsid w:val="62E073CC"/>
    <w:rsid w:val="62E475E0"/>
    <w:rsid w:val="62E47B0C"/>
    <w:rsid w:val="62E567C3"/>
    <w:rsid w:val="62EA2C49"/>
    <w:rsid w:val="62EF025F"/>
    <w:rsid w:val="62F029CF"/>
    <w:rsid w:val="62F15D85"/>
    <w:rsid w:val="62F92E8C"/>
    <w:rsid w:val="62FC72F8"/>
    <w:rsid w:val="63006EF1"/>
    <w:rsid w:val="63043D0B"/>
    <w:rsid w:val="63076790"/>
    <w:rsid w:val="630B7B87"/>
    <w:rsid w:val="630C7320"/>
    <w:rsid w:val="630F420A"/>
    <w:rsid w:val="63123361"/>
    <w:rsid w:val="631B72A6"/>
    <w:rsid w:val="63202793"/>
    <w:rsid w:val="63216475"/>
    <w:rsid w:val="63220635"/>
    <w:rsid w:val="632A2222"/>
    <w:rsid w:val="632B5D35"/>
    <w:rsid w:val="63301201"/>
    <w:rsid w:val="63381C06"/>
    <w:rsid w:val="633A3BD0"/>
    <w:rsid w:val="63442359"/>
    <w:rsid w:val="63443BFB"/>
    <w:rsid w:val="634440F0"/>
    <w:rsid w:val="634560D1"/>
    <w:rsid w:val="63495BC1"/>
    <w:rsid w:val="634D590E"/>
    <w:rsid w:val="63511D57"/>
    <w:rsid w:val="63534F55"/>
    <w:rsid w:val="63536A40"/>
    <w:rsid w:val="63584057"/>
    <w:rsid w:val="635F3637"/>
    <w:rsid w:val="635F53E5"/>
    <w:rsid w:val="63600BB5"/>
    <w:rsid w:val="636649C5"/>
    <w:rsid w:val="636A79A0"/>
    <w:rsid w:val="636C5ADF"/>
    <w:rsid w:val="63711F46"/>
    <w:rsid w:val="63860BC4"/>
    <w:rsid w:val="638B442C"/>
    <w:rsid w:val="638B4C60"/>
    <w:rsid w:val="638E1826"/>
    <w:rsid w:val="63927FB4"/>
    <w:rsid w:val="639A01CB"/>
    <w:rsid w:val="639B1BC7"/>
    <w:rsid w:val="639F1C85"/>
    <w:rsid w:val="63A23524"/>
    <w:rsid w:val="63A31776"/>
    <w:rsid w:val="63A36353"/>
    <w:rsid w:val="63A64CE9"/>
    <w:rsid w:val="63AD6150"/>
    <w:rsid w:val="63B219B9"/>
    <w:rsid w:val="63B514A9"/>
    <w:rsid w:val="63BF7C32"/>
    <w:rsid w:val="63C51281"/>
    <w:rsid w:val="63C96D02"/>
    <w:rsid w:val="63CB6680"/>
    <w:rsid w:val="63D91B8F"/>
    <w:rsid w:val="63E004CB"/>
    <w:rsid w:val="63E241AA"/>
    <w:rsid w:val="63FA510E"/>
    <w:rsid w:val="64013788"/>
    <w:rsid w:val="64025D70"/>
    <w:rsid w:val="640D24E1"/>
    <w:rsid w:val="640D3093"/>
    <w:rsid w:val="640E2A6C"/>
    <w:rsid w:val="641066DF"/>
    <w:rsid w:val="64151F48"/>
    <w:rsid w:val="64175CC0"/>
    <w:rsid w:val="641A3F4D"/>
    <w:rsid w:val="641A755E"/>
    <w:rsid w:val="642C0046"/>
    <w:rsid w:val="64334BF8"/>
    <w:rsid w:val="64373BB8"/>
    <w:rsid w:val="643F0D73"/>
    <w:rsid w:val="64432611"/>
    <w:rsid w:val="64485E79"/>
    <w:rsid w:val="645A6478"/>
    <w:rsid w:val="645A795A"/>
    <w:rsid w:val="645B3DFE"/>
    <w:rsid w:val="645C36D2"/>
    <w:rsid w:val="645C7B76"/>
    <w:rsid w:val="645D36BC"/>
    <w:rsid w:val="645D39F0"/>
    <w:rsid w:val="64630F05"/>
    <w:rsid w:val="64680B03"/>
    <w:rsid w:val="64691F93"/>
    <w:rsid w:val="646A48CB"/>
    <w:rsid w:val="6472739A"/>
    <w:rsid w:val="647742A4"/>
    <w:rsid w:val="647924D6"/>
    <w:rsid w:val="647E189B"/>
    <w:rsid w:val="64864E63"/>
    <w:rsid w:val="64872EA9"/>
    <w:rsid w:val="648F1CFA"/>
    <w:rsid w:val="64917197"/>
    <w:rsid w:val="649563FC"/>
    <w:rsid w:val="649A0DC1"/>
    <w:rsid w:val="649D0FED"/>
    <w:rsid w:val="64A10158"/>
    <w:rsid w:val="64A615E1"/>
    <w:rsid w:val="64AE06C7"/>
    <w:rsid w:val="64B36731"/>
    <w:rsid w:val="64B452BD"/>
    <w:rsid w:val="64B702F7"/>
    <w:rsid w:val="64B96D77"/>
    <w:rsid w:val="64BB0F97"/>
    <w:rsid w:val="64C30C07"/>
    <w:rsid w:val="64C319A4"/>
    <w:rsid w:val="64C544E1"/>
    <w:rsid w:val="64CA08E4"/>
    <w:rsid w:val="64CD512C"/>
    <w:rsid w:val="64D21BE7"/>
    <w:rsid w:val="64D4595F"/>
    <w:rsid w:val="64D8544F"/>
    <w:rsid w:val="64D91BF4"/>
    <w:rsid w:val="64DC36BB"/>
    <w:rsid w:val="64DE67DD"/>
    <w:rsid w:val="64E262CE"/>
    <w:rsid w:val="64E91A09"/>
    <w:rsid w:val="64EA33D4"/>
    <w:rsid w:val="64ED1BD9"/>
    <w:rsid w:val="64F34037"/>
    <w:rsid w:val="64F46001"/>
    <w:rsid w:val="64F7034C"/>
    <w:rsid w:val="64FC2FFA"/>
    <w:rsid w:val="64FD5243"/>
    <w:rsid w:val="65071890"/>
    <w:rsid w:val="65092761"/>
    <w:rsid w:val="650D2572"/>
    <w:rsid w:val="65143FAD"/>
    <w:rsid w:val="65181CEF"/>
    <w:rsid w:val="651C28C1"/>
    <w:rsid w:val="651D10B4"/>
    <w:rsid w:val="651D2E62"/>
    <w:rsid w:val="651F307E"/>
    <w:rsid w:val="65273F84"/>
    <w:rsid w:val="652A1650"/>
    <w:rsid w:val="652D6F8B"/>
    <w:rsid w:val="652E22C5"/>
    <w:rsid w:val="65321B9C"/>
    <w:rsid w:val="65366619"/>
    <w:rsid w:val="65510D5D"/>
    <w:rsid w:val="65534AD5"/>
    <w:rsid w:val="655645C6"/>
    <w:rsid w:val="655B1BDC"/>
    <w:rsid w:val="65634102"/>
    <w:rsid w:val="656C3DE9"/>
    <w:rsid w:val="656E190F"/>
    <w:rsid w:val="657038D9"/>
    <w:rsid w:val="65720290"/>
    <w:rsid w:val="65735178"/>
    <w:rsid w:val="657607C4"/>
    <w:rsid w:val="657B5DD8"/>
    <w:rsid w:val="657D5FF6"/>
    <w:rsid w:val="658175C2"/>
    <w:rsid w:val="65820EBC"/>
    <w:rsid w:val="65842EE1"/>
    <w:rsid w:val="658A426F"/>
    <w:rsid w:val="658E1206"/>
    <w:rsid w:val="658E1FB1"/>
    <w:rsid w:val="659A7FFB"/>
    <w:rsid w:val="659E7288"/>
    <w:rsid w:val="65A131B1"/>
    <w:rsid w:val="65A672FB"/>
    <w:rsid w:val="65A7180E"/>
    <w:rsid w:val="65A74E21"/>
    <w:rsid w:val="65A76BCF"/>
    <w:rsid w:val="65A82571"/>
    <w:rsid w:val="65A93AEA"/>
    <w:rsid w:val="65AA44C4"/>
    <w:rsid w:val="65AE7F5E"/>
    <w:rsid w:val="65B40043"/>
    <w:rsid w:val="65BB6E26"/>
    <w:rsid w:val="65BF41FF"/>
    <w:rsid w:val="65C23A09"/>
    <w:rsid w:val="65C31720"/>
    <w:rsid w:val="65C945E0"/>
    <w:rsid w:val="65CA32A0"/>
    <w:rsid w:val="65D025CA"/>
    <w:rsid w:val="65D04378"/>
    <w:rsid w:val="65D06126"/>
    <w:rsid w:val="65D27C82"/>
    <w:rsid w:val="65D63E44"/>
    <w:rsid w:val="65D73958"/>
    <w:rsid w:val="65D73C4D"/>
    <w:rsid w:val="65DB3A39"/>
    <w:rsid w:val="65DC4ACB"/>
    <w:rsid w:val="65E240AB"/>
    <w:rsid w:val="65E24F49"/>
    <w:rsid w:val="65E362B1"/>
    <w:rsid w:val="65E4207E"/>
    <w:rsid w:val="65E9095E"/>
    <w:rsid w:val="65EC1E02"/>
    <w:rsid w:val="65EE0CA2"/>
    <w:rsid w:val="65FA13F5"/>
    <w:rsid w:val="65FB7383"/>
    <w:rsid w:val="65FE21FE"/>
    <w:rsid w:val="66012783"/>
    <w:rsid w:val="660202AA"/>
    <w:rsid w:val="6608196B"/>
    <w:rsid w:val="66083B12"/>
    <w:rsid w:val="6608651D"/>
    <w:rsid w:val="660C4294"/>
    <w:rsid w:val="66173E6E"/>
    <w:rsid w:val="66195D1F"/>
    <w:rsid w:val="66240220"/>
    <w:rsid w:val="662621EA"/>
    <w:rsid w:val="66263F98"/>
    <w:rsid w:val="66285F62"/>
    <w:rsid w:val="66293A88"/>
    <w:rsid w:val="6635242D"/>
    <w:rsid w:val="66372649"/>
    <w:rsid w:val="66377F53"/>
    <w:rsid w:val="663D7E90"/>
    <w:rsid w:val="6640264D"/>
    <w:rsid w:val="66480DDF"/>
    <w:rsid w:val="66495ED8"/>
    <w:rsid w:val="664C6A07"/>
    <w:rsid w:val="66560F3A"/>
    <w:rsid w:val="665A00E6"/>
    <w:rsid w:val="665E3732"/>
    <w:rsid w:val="665F56FC"/>
    <w:rsid w:val="6663343E"/>
    <w:rsid w:val="66633E9A"/>
    <w:rsid w:val="666A0329"/>
    <w:rsid w:val="66723681"/>
    <w:rsid w:val="6673555F"/>
    <w:rsid w:val="668120DB"/>
    <w:rsid w:val="668533B4"/>
    <w:rsid w:val="668B029F"/>
    <w:rsid w:val="668B64F1"/>
    <w:rsid w:val="668F4651"/>
    <w:rsid w:val="66952ECC"/>
    <w:rsid w:val="669E7FD2"/>
    <w:rsid w:val="66A316A7"/>
    <w:rsid w:val="66A546E1"/>
    <w:rsid w:val="66A658E8"/>
    <w:rsid w:val="66A852F5"/>
    <w:rsid w:val="66AB26EF"/>
    <w:rsid w:val="66AF21DF"/>
    <w:rsid w:val="66B141AA"/>
    <w:rsid w:val="66B21CD0"/>
    <w:rsid w:val="66B3122D"/>
    <w:rsid w:val="66B617C0"/>
    <w:rsid w:val="66B650CD"/>
    <w:rsid w:val="66B91677"/>
    <w:rsid w:val="66CA0DC7"/>
    <w:rsid w:val="66CC0FE3"/>
    <w:rsid w:val="66CD24A8"/>
    <w:rsid w:val="66CD2666"/>
    <w:rsid w:val="66CF2882"/>
    <w:rsid w:val="66CF4630"/>
    <w:rsid w:val="66D25ECE"/>
    <w:rsid w:val="66D44284"/>
    <w:rsid w:val="66D460EA"/>
    <w:rsid w:val="66D57819"/>
    <w:rsid w:val="66DA7F60"/>
    <w:rsid w:val="66DE0D17"/>
    <w:rsid w:val="66DF198B"/>
    <w:rsid w:val="66E27B57"/>
    <w:rsid w:val="66E42582"/>
    <w:rsid w:val="66E7523A"/>
    <w:rsid w:val="66ED0F5A"/>
    <w:rsid w:val="66F2031E"/>
    <w:rsid w:val="66F27332"/>
    <w:rsid w:val="66F40E32"/>
    <w:rsid w:val="67002A3B"/>
    <w:rsid w:val="67010561"/>
    <w:rsid w:val="67015A66"/>
    <w:rsid w:val="67087B42"/>
    <w:rsid w:val="670A1B0C"/>
    <w:rsid w:val="67111C49"/>
    <w:rsid w:val="67112E9A"/>
    <w:rsid w:val="67136C12"/>
    <w:rsid w:val="671604B0"/>
    <w:rsid w:val="67193AFD"/>
    <w:rsid w:val="6719473D"/>
    <w:rsid w:val="67286BF9"/>
    <w:rsid w:val="672A5CB4"/>
    <w:rsid w:val="673367B6"/>
    <w:rsid w:val="6735231C"/>
    <w:rsid w:val="673B7F17"/>
    <w:rsid w:val="674C3ED2"/>
    <w:rsid w:val="674D0F0F"/>
    <w:rsid w:val="674F64FA"/>
    <w:rsid w:val="674F751F"/>
    <w:rsid w:val="6755062E"/>
    <w:rsid w:val="67576539"/>
    <w:rsid w:val="67630B2B"/>
    <w:rsid w:val="67644D61"/>
    <w:rsid w:val="676A6106"/>
    <w:rsid w:val="6772120D"/>
    <w:rsid w:val="67794F9C"/>
    <w:rsid w:val="677D0530"/>
    <w:rsid w:val="677D5CC2"/>
    <w:rsid w:val="678C0838"/>
    <w:rsid w:val="678E4891"/>
    <w:rsid w:val="67915CB0"/>
    <w:rsid w:val="679715F1"/>
    <w:rsid w:val="679B2764"/>
    <w:rsid w:val="67A23AF2"/>
    <w:rsid w:val="67A55390"/>
    <w:rsid w:val="67A61834"/>
    <w:rsid w:val="67A7735B"/>
    <w:rsid w:val="67B83316"/>
    <w:rsid w:val="67BA708E"/>
    <w:rsid w:val="67BC0DA3"/>
    <w:rsid w:val="67BC2E06"/>
    <w:rsid w:val="67BF1DE9"/>
    <w:rsid w:val="67BF28F6"/>
    <w:rsid w:val="67C223E6"/>
    <w:rsid w:val="67D245D3"/>
    <w:rsid w:val="67D43893"/>
    <w:rsid w:val="67DC0BE3"/>
    <w:rsid w:val="67DD018E"/>
    <w:rsid w:val="67DF4D46"/>
    <w:rsid w:val="67E5002E"/>
    <w:rsid w:val="67EB181E"/>
    <w:rsid w:val="67EB25A8"/>
    <w:rsid w:val="67EB7247"/>
    <w:rsid w:val="67EE31DB"/>
    <w:rsid w:val="67F02AB0"/>
    <w:rsid w:val="67F325A4"/>
    <w:rsid w:val="67F72090"/>
    <w:rsid w:val="67F81964"/>
    <w:rsid w:val="67FF7197"/>
    <w:rsid w:val="68037C35"/>
    <w:rsid w:val="680402E9"/>
    <w:rsid w:val="68046C31"/>
    <w:rsid w:val="680622D3"/>
    <w:rsid w:val="680B6825"/>
    <w:rsid w:val="680E73DA"/>
    <w:rsid w:val="68183DB4"/>
    <w:rsid w:val="681A7B2C"/>
    <w:rsid w:val="681D13CB"/>
    <w:rsid w:val="68274789"/>
    <w:rsid w:val="682E35D8"/>
    <w:rsid w:val="68354966"/>
    <w:rsid w:val="68386205"/>
    <w:rsid w:val="683A01CF"/>
    <w:rsid w:val="683A7D85"/>
    <w:rsid w:val="683D381B"/>
    <w:rsid w:val="683F7593"/>
    <w:rsid w:val="684626D0"/>
    <w:rsid w:val="684C450D"/>
    <w:rsid w:val="684F09F9"/>
    <w:rsid w:val="684F4328"/>
    <w:rsid w:val="68541CB5"/>
    <w:rsid w:val="68550B65"/>
    <w:rsid w:val="68564114"/>
    <w:rsid w:val="68573C08"/>
    <w:rsid w:val="68594AF9"/>
    <w:rsid w:val="686139AD"/>
    <w:rsid w:val="686A0AB4"/>
    <w:rsid w:val="686D5EAE"/>
    <w:rsid w:val="687070D6"/>
    <w:rsid w:val="68727968"/>
    <w:rsid w:val="68752FB5"/>
    <w:rsid w:val="687710A0"/>
    <w:rsid w:val="687C554B"/>
    <w:rsid w:val="688D47A2"/>
    <w:rsid w:val="688E25CD"/>
    <w:rsid w:val="689773CF"/>
    <w:rsid w:val="68A662B1"/>
    <w:rsid w:val="68A85138"/>
    <w:rsid w:val="68B41D2F"/>
    <w:rsid w:val="68B72045"/>
    <w:rsid w:val="68B7537B"/>
    <w:rsid w:val="68BB130F"/>
    <w:rsid w:val="68BE2BAE"/>
    <w:rsid w:val="68BE670A"/>
    <w:rsid w:val="68C80219"/>
    <w:rsid w:val="68CD6A7F"/>
    <w:rsid w:val="68D20407"/>
    <w:rsid w:val="68DA4848"/>
    <w:rsid w:val="68DB3760"/>
    <w:rsid w:val="68DC3034"/>
    <w:rsid w:val="68E1064A"/>
    <w:rsid w:val="68E329CB"/>
    <w:rsid w:val="68E343C2"/>
    <w:rsid w:val="68EC523E"/>
    <w:rsid w:val="68ED228A"/>
    <w:rsid w:val="68ED3493"/>
    <w:rsid w:val="68EF720B"/>
    <w:rsid w:val="68F0088D"/>
    <w:rsid w:val="68F465CF"/>
    <w:rsid w:val="68F6059A"/>
    <w:rsid w:val="68F62242"/>
    <w:rsid w:val="68F7513B"/>
    <w:rsid w:val="69012A9A"/>
    <w:rsid w:val="69044CCB"/>
    <w:rsid w:val="69192A8B"/>
    <w:rsid w:val="691D5B26"/>
    <w:rsid w:val="692D7FD0"/>
    <w:rsid w:val="69313380"/>
    <w:rsid w:val="694035C3"/>
    <w:rsid w:val="69474951"/>
    <w:rsid w:val="694766FF"/>
    <w:rsid w:val="69482477"/>
    <w:rsid w:val="6952774D"/>
    <w:rsid w:val="695C2BBB"/>
    <w:rsid w:val="695D48EB"/>
    <w:rsid w:val="6962178B"/>
    <w:rsid w:val="69653029"/>
    <w:rsid w:val="696B6C9C"/>
    <w:rsid w:val="696C43B8"/>
    <w:rsid w:val="696F0EDC"/>
    <w:rsid w:val="697119CE"/>
    <w:rsid w:val="697274F4"/>
    <w:rsid w:val="697D1115"/>
    <w:rsid w:val="698931BC"/>
    <w:rsid w:val="699A1CA8"/>
    <w:rsid w:val="69A578CA"/>
    <w:rsid w:val="69AA4EE0"/>
    <w:rsid w:val="69B31FE7"/>
    <w:rsid w:val="69B33D95"/>
    <w:rsid w:val="69B67D29"/>
    <w:rsid w:val="69B74C52"/>
    <w:rsid w:val="69BA3375"/>
    <w:rsid w:val="69BE3E37"/>
    <w:rsid w:val="69C40C04"/>
    <w:rsid w:val="69C836F6"/>
    <w:rsid w:val="69D057DD"/>
    <w:rsid w:val="69D63F27"/>
    <w:rsid w:val="69DF6462"/>
    <w:rsid w:val="69E135EF"/>
    <w:rsid w:val="69E14DA6"/>
    <w:rsid w:val="69E55F18"/>
    <w:rsid w:val="69EC374B"/>
    <w:rsid w:val="69F63CF7"/>
    <w:rsid w:val="69FA19C4"/>
    <w:rsid w:val="69FF6FDA"/>
    <w:rsid w:val="6A06480C"/>
    <w:rsid w:val="6A072332"/>
    <w:rsid w:val="6A1B7B8C"/>
    <w:rsid w:val="6A1F58CE"/>
    <w:rsid w:val="6A234CFD"/>
    <w:rsid w:val="6A237CAB"/>
    <w:rsid w:val="6A2E3D63"/>
    <w:rsid w:val="6A350C4E"/>
    <w:rsid w:val="6A3602D2"/>
    <w:rsid w:val="6A373F31"/>
    <w:rsid w:val="6A39509C"/>
    <w:rsid w:val="6A3A44B6"/>
    <w:rsid w:val="6A42067F"/>
    <w:rsid w:val="6A475399"/>
    <w:rsid w:val="6A4D41E9"/>
    <w:rsid w:val="6A5079C7"/>
    <w:rsid w:val="6A6020A4"/>
    <w:rsid w:val="6A644E18"/>
    <w:rsid w:val="6A647785"/>
    <w:rsid w:val="6A707ED8"/>
    <w:rsid w:val="6A752115"/>
    <w:rsid w:val="6A75729C"/>
    <w:rsid w:val="6A7618A7"/>
    <w:rsid w:val="6A7C1170"/>
    <w:rsid w:val="6A7D43A3"/>
    <w:rsid w:val="6A9040D6"/>
    <w:rsid w:val="6A962ABA"/>
    <w:rsid w:val="6A9736B6"/>
    <w:rsid w:val="6A9950DE"/>
    <w:rsid w:val="6A9E0243"/>
    <w:rsid w:val="6A9F256B"/>
    <w:rsid w:val="6AA07B9D"/>
    <w:rsid w:val="6AA302AD"/>
    <w:rsid w:val="6AA33E09"/>
    <w:rsid w:val="6AA45378"/>
    <w:rsid w:val="6AA560DB"/>
    <w:rsid w:val="6AB2229E"/>
    <w:rsid w:val="6AB543B2"/>
    <w:rsid w:val="6AB919E4"/>
    <w:rsid w:val="6ABB06D5"/>
    <w:rsid w:val="6AC23C0C"/>
    <w:rsid w:val="6AC51241"/>
    <w:rsid w:val="6AC7148A"/>
    <w:rsid w:val="6AC87D14"/>
    <w:rsid w:val="6AE13436"/>
    <w:rsid w:val="6AE15E05"/>
    <w:rsid w:val="6AEB755E"/>
    <w:rsid w:val="6AED6120"/>
    <w:rsid w:val="6AEF29EE"/>
    <w:rsid w:val="6AF64881"/>
    <w:rsid w:val="6AF705F9"/>
    <w:rsid w:val="6AFB5005"/>
    <w:rsid w:val="6B0013F8"/>
    <w:rsid w:val="6B076BC2"/>
    <w:rsid w:val="6B080110"/>
    <w:rsid w:val="6B092642"/>
    <w:rsid w:val="6B105217"/>
    <w:rsid w:val="6B182A49"/>
    <w:rsid w:val="6B256F14"/>
    <w:rsid w:val="6B2D7B77"/>
    <w:rsid w:val="6B3074B7"/>
    <w:rsid w:val="6B340F05"/>
    <w:rsid w:val="6B3709F5"/>
    <w:rsid w:val="6B3B2900"/>
    <w:rsid w:val="6B3E1D84"/>
    <w:rsid w:val="6B533A81"/>
    <w:rsid w:val="6B5B2936"/>
    <w:rsid w:val="6B5C220A"/>
    <w:rsid w:val="6B5F78E1"/>
    <w:rsid w:val="6B601CFA"/>
    <w:rsid w:val="6B655F65"/>
    <w:rsid w:val="6B6C4B43"/>
    <w:rsid w:val="6B715CB5"/>
    <w:rsid w:val="6B721A2E"/>
    <w:rsid w:val="6B7B2FD8"/>
    <w:rsid w:val="6B7C2964"/>
    <w:rsid w:val="6B7D28AC"/>
    <w:rsid w:val="6B7E4876"/>
    <w:rsid w:val="6B8175B6"/>
    <w:rsid w:val="6B8C2AEF"/>
    <w:rsid w:val="6BA047ED"/>
    <w:rsid w:val="6BA0659B"/>
    <w:rsid w:val="6BA208B3"/>
    <w:rsid w:val="6BA51E03"/>
    <w:rsid w:val="6BAC4F3F"/>
    <w:rsid w:val="6BB107A8"/>
    <w:rsid w:val="6BB32772"/>
    <w:rsid w:val="6BB42046"/>
    <w:rsid w:val="6BB67B6C"/>
    <w:rsid w:val="6BBA1B4A"/>
    <w:rsid w:val="6BBA6CD6"/>
    <w:rsid w:val="6BC06917"/>
    <w:rsid w:val="6BC26511"/>
    <w:rsid w:val="6BC404DB"/>
    <w:rsid w:val="6BD4750E"/>
    <w:rsid w:val="6BD86584"/>
    <w:rsid w:val="6BD93ECE"/>
    <w:rsid w:val="6BDA1B01"/>
    <w:rsid w:val="6BDA1C3F"/>
    <w:rsid w:val="6BDA6879"/>
    <w:rsid w:val="6BE446D9"/>
    <w:rsid w:val="6BE566A3"/>
    <w:rsid w:val="6BEA5A68"/>
    <w:rsid w:val="6BED1D9C"/>
    <w:rsid w:val="6BEE7306"/>
    <w:rsid w:val="6BF32B6E"/>
    <w:rsid w:val="6BF54B38"/>
    <w:rsid w:val="6BF863D7"/>
    <w:rsid w:val="6BFF7765"/>
    <w:rsid w:val="6C0905E4"/>
    <w:rsid w:val="6C0F54CE"/>
    <w:rsid w:val="6C101972"/>
    <w:rsid w:val="6C144961"/>
    <w:rsid w:val="6C16685D"/>
    <w:rsid w:val="6C1D7BEB"/>
    <w:rsid w:val="6C2159A8"/>
    <w:rsid w:val="6C254654"/>
    <w:rsid w:val="6C2E004A"/>
    <w:rsid w:val="6C2E10E7"/>
    <w:rsid w:val="6C305B70"/>
    <w:rsid w:val="6C30791F"/>
    <w:rsid w:val="6C3438A5"/>
    <w:rsid w:val="6C384A25"/>
    <w:rsid w:val="6C3A079D"/>
    <w:rsid w:val="6C431D41"/>
    <w:rsid w:val="6C450EF0"/>
    <w:rsid w:val="6C5038A5"/>
    <w:rsid w:val="6C5775A1"/>
    <w:rsid w:val="6C5A20E2"/>
    <w:rsid w:val="6C5C0714"/>
    <w:rsid w:val="6C5D26DE"/>
    <w:rsid w:val="6C5F6456"/>
    <w:rsid w:val="6C677D87"/>
    <w:rsid w:val="6C6B0957"/>
    <w:rsid w:val="6C6B6BA9"/>
    <w:rsid w:val="6C6D2921"/>
    <w:rsid w:val="6C757CDC"/>
    <w:rsid w:val="6C784200"/>
    <w:rsid w:val="6C7863E6"/>
    <w:rsid w:val="6C7B7A43"/>
    <w:rsid w:val="6C907761"/>
    <w:rsid w:val="6C9102FF"/>
    <w:rsid w:val="6C920037"/>
    <w:rsid w:val="6C937EAD"/>
    <w:rsid w:val="6C95092E"/>
    <w:rsid w:val="6CA64085"/>
    <w:rsid w:val="6CA87DFD"/>
    <w:rsid w:val="6CB247D7"/>
    <w:rsid w:val="6CBF282C"/>
    <w:rsid w:val="6CBF6EF4"/>
    <w:rsid w:val="6CC10EBE"/>
    <w:rsid w:val="6CC2604B"/>
    <w:rsid w:val="6CC26721"/>
    <w:rsid w:val="6CC62031"/>
    <w:rsid w:val="6CC87B57"/>
    <w:rsid w:val="6CCB1F66"/>
    <w:rsid w:val="6CD209D6"/>
    <w:rsid w:val="6CD97FB6"/>
    <w:rsid w:val="6CDC7B2E"/>
    <w:rsid w:val="6CDE3891"/>
    <w:rsid w:val="6CE07597"/>
    <w:rsid w:val="6CE55CB0"/>
    <w:rsid w:val="6CEF1588"/>
    <w:rsid w:val="6CF05300"/>
    <w:rsid w:val="6CF30226"/>
    <w:rsid w:val="6CF41317"/>
    <w:rsid w:val="6CFA5B92"/>
    <w:rsid w:val="6CFA7F2C"/>
    <w:rsid w:val="6CFD43B2"/>
    <w:rsid w:val="6D013069"/>
    <w:rsid w:val="6D0446EE"/>
    <w:rsid w:val="6D06067F"/>
    <w:rsid w:val="6D065FB4"/>
    <w:rsid w:val="6D0B4828"/>
    <w:rsid w:val="6D116E29"/>
    <w:rsid w:val="6D150599"/>
    <w:rsid w:val="6D1E00BF"/>
    <w:rsid w:val="6D201D79"/>
    <w:rsid w:val="6D255245"/>
    <w:rsid w:val="6D284A9A"/>
    <w:rsid w:val="6D2A0A99"/>
    <w:rsid w:val="6D2F5E28"/>
    <w:rsid w:val="6D323B6A"/>
    <w:rsid w:val="6D341C97"/>
    <w:rsid w:val="6D392803"/>
    <w:rsid w:val="6D45564C"/>
    <w:rsid w:val="6D521646"/>
    <w:rsid w:val="6D5533B5"/>
    <w:rsid w:val="6D567859"/>
    <w:rsid w:val="6D592EA5"/>
    <w:rsid w:val="6D5C77C5"/>
    <w:rsid w:val="6D5E428B"/>
    <w:rsid w:val="6D5E495F"/>
    <w:rsid w:val="6D610C89"/>
    <w:rsid w:val="6D6A6E60"/>
    <w:rsid w:val="6D7719B7"/>
    <w:rsid w:val="6D7777CF"/>
    <w:rsid w:val="6D81609C"/>
    <w:rsid w:val="6D834669"/>
    <w:rsid w:val="6D851EEC"/>
    <w:rsid w:val="6D860ECF"/>
    <w:rsid w:val="6D86476C"/>
    <w:rsid w:val="6D8D02B7"/>
    <w:rsid w:val="6D934609"/>
    <w:rsid w:val="6D96122A"/>
    <w:rsid w:val="6D967C55"/>
    <w:rsid w:val="6D9C0FE4"/>
    <w:rsid w:val="6DA17DA4"/>
    <w:rsid w:val="6DA560EA"/>
    <w:rsid w:val="6DA9433F"/>
    <w:rsid w:val="6DAE1443"/>
    <w:rsid w:val="6DB77BCC"/>
    <w:rsid w:val="6DC742B3"/>
    <w:rsid w:val="6DD15131"/>
    <w:rsid w:val="6DD30EA9"/>
    <w:rsid w:val="6DD53DC5"/>
    <w:rsid w:val="6DDB53FC"/>
    <w:rsid w:val="6DDB7D5E"/>
    <w:rsid w:val="6DDE6233"/>
    <w:rsid w:val="6DE07122"/>
    <w:rsid w:val="6DE74955"/>
    <w:rsid w:val="6DEA61F3"/>
    <w:rsid w:val="6DF130DE"/>
    <w:rsid w:val="6DFB5D0A"/>
    <w:rsid w:val="6DFE5138"/>
    <w:rsid w:val="6E0077C5"/>
    <w:rsid w:val="6E070B53"/>
    <w:rsid w:val="6E0A419F"/>
    <w:rsid w:val="6E0E5D4D"/>
    <w:rsid w:val="6E0F7A08"/>
    <w:rsid w:val="6E1814A6"/>
    <w:rsid w:val="6E1D2124"/>
    <w:rsid w:val="6E201C15"/>
    <w:rsid w:val="6E227207"/>
    <w:rsid w:val="6E272FA3"/>
    <w:rsid w:val="6E337B9A"/>
    <w:rsid w:val="6E3B6A4F"/>
    <w:rsid w:val="6E4050A7"/>
    <w:rsid w:val="6E453094"/>
    <w:rsid w:val="6E4C47B8"/>
    <w:rsid w:val="6E4C5AC5"/>
    <w:rsid w:val="6E4E0530"/>
    <w:rsid w:val="6E533D98"/>
    <w:rsid w:val="6E5A37B3"/>
    <w:rsid w:val="6E5A5127"/>
    <w:rsid w:val="6E5F273D"/>
    <w:rsid w:val="6E632386"/>
    <w:rsid w:val="6E6C47A7"/>
    <w:rsid w:val="6E6C4E5A"/>
    <w:rsid w:val="6E6E472E"/>
    <w:rsid w:val="6E7B6FCC"/>
    <w:rsid w:val="6E7D457F"/>
    <w:rsid w:val="6E7F06E9"/>
    <w:rsid w:val="6E7F2DDF"/>
    <w:rsid w:val="6E8126B3"/>
    <w:rsid w:val="6E8757F0"/>
    <w:rsid w:val="6E920836"/>
    <w:rsid w:val="6E9248C1"/>
    <w:rsid w:val="6E971ED7"/>
    <w:rsid w:val="6E97450D"/>
    <w:rsid w:val="6E9C129B"/>
    <w:rsid w:val="6E9E14B7"/>
    <w:rsid w:val="6EA2087C"/>
    <w:rsid w:val="6EA32620"/>
    <w:rsid w:val="6EAD34A8"/>
    <w:rsid w:val="6EAF3CA9"/>
    <w:rsid w:val="6EB760D5"/>
    <w:rsid w:val="6EB8009F"/>
    <w:rsid w:val="6EC05BC6"/>
    <w:rsid w:val="6EC83AD9"/>
    <w:rsid w:val="6EC87CF1"/>
    <w:rsid w:val="6ECC3702"/>
    <w:rsid w:val="6ECE1688"/>
    <w:rsid w:val="6ED03E33"/>
    <w:rsid w:val="6ED21161"/>
    <w:rsid w:val="6ED6693F"/>
    <w:rsid w:val="6ED93E30"/>
    <w:rsid w:val="6EDB4747"/>
    <w:rsid w:val="6EDD18B4"/>
    <w:rsid w:val="6EE07791"/>
    <w:rsid w:val="6EEA2FD9"/>
    <w:rsid w:val="6EEF1D13"/>
    <w:rsid w:val="6EF015E7"/>
    <w:rsid w:val="6EF020B7"/>
    <w:rsid w:val="6EF07839"/>
    <w:rsid w:val="6EF13547"/>
    <w:rsid w:val="6EF21761"/>
    <w:rsid w:val="6EF530A1"/>
    <w:rsid w:val="6EF60FE1"/>
    <w:rsid w:val="6EFE4A7F"/>
    <w:rsid w:val="6EFF5CCE"/>
    <w:rsid w:val="6F086931"/>
    <w:rsid w:val="6F0F4163"/>
    <w:rsid w:val="6F130D6B"/>
    <w:rsid w:val="6F1622E9"/>
    <w:rsid w:val="6F1C7A8B"/>
    <w:rsid w:val="6F1E0EB4"/>
    <w:rsid w:val="6F2221EC"/>
    <w:rsid w:val="6F2252F6"/>
    <w:rsid w:val="6F282B2F"/>
    <w:rsid w:val="6F2A2D4B"/>
    <w:rsid w:val="6F2D3F54"/>
    <w:rsid w:val="6F2F210F"/>
    <w:rsid w:val="6F327E52"/>
    <w:rsid w:val="6F3620D6"/>
    <w:rsid w:val="6F3649DD"/>
    <w:rsid w:val="6F3A775C"/>
    <w:rsid w:val="6F3C65DA"/>
    <w:rsid w:val="6F3D1B79"/>
    <w:rsid w:val="6F3D46B1"/>
    <w:rsid w:val="6F4F2CEC"/>
    <w:rsid w:val="6F5161F4"/>
    <w:rsid w:val="6F546810"/>
    <w:rsid w:val="6F547DC8"/>
    <w:rsid w:val="6F5E29F5"/>
    <w:rsid w:val="6F607B94"/>
    <w:rsid w:val="6F613C0F"/>
    <w:rsid w:val="6F622FE0"/>
    <w:rsid w:val="6F6873CF"/>
    <w:rsid w:val="6F6B5112"/>
    <w:rsid w:val="6F6D70DC"/>
    <w:rsid w:val="6F6E4088"/>
    <w:rsid w:val="6F6F69B0"/>
    <w:rsid w:val="6F7C2E7B"/>
    <w:rsid w:val="6F7F4719"/>
    <w:rsid w:val="6F83245B"/>
    <w:rsid w:val="6F8A5598"/>
    <w:rsid w:val="6F8F2BAE"/>
    <w:rsid w:val="6F99231F"/>
    <w:rsid w:val="6FA85431"/>
    <w:rsid w:val="6FAF3250"/>
    <w:rsid w:val="6FB344DE"/>
    <w:rsid w:val="6FB35C1F"/>
    <w:rsid w:val="6FB40867"/>
    <w:rsid w:val="6FB95E7D"/>
    <w:rsid w:val="6FC10684"/>
    <w:rsid w:val="6FC82564"/>
    <w:rsid w:val="6FCE1E96"/>
    <w:rsid w:val="6FD26F3F"/>
    <w:rsid w:val="6FD575E5"/>
    <w:rsid w:val="6FD76303"/>
    <w:rsid w:val="6FD922F4"/>
    <w:rsid w:val="6FDC1B6B"/>
    <w:rsid w:val="6FE25C14"/>
    <w:rsid w:val="6FE32EFA"/>
    <w:rsid w:val="6FE34924"/>
    <w:rsid w:val="6FF00911"/>
    <w:rsid w:val="6FF15617"/>
    <w:rsid w:val="6FF45107"/>
    <w:rsid w:val="6FF60E7F"/>
    <w:rsid w:val="70003AAC"/>
    <w:rsid w:val="70063C83"/>
    <w:rsid w:val="700A179B"/>
    <w:rsid w:val="700E515A"/>
    <w:rsid w:val="700F0193"/>
    <w:rsid w:val="70105909"/>
    <w:rsid w:val="7012558D"/>
    <w:rsid w:val="70194B6E"/>
    <w:rsid w:val="701B3833"/>
    <w:rsid w:val="701E2184"/>
    <w:rsid w:val="70223A22"/>
    <w:rsid w:val="702754DC"/>
    <w:rsid w:val="70292F11"/>
    <w:rsid w:val="702A1CDD"/>
    <w:rsid w:val="702E686B"/>
    <w:rsid w:val="70335C2F"/>
    <w:rsid w:val="70390D6C"/>
    <w:rsid w:val="703D5733"/>
    <w:rsid w:val="703F45D4"/>
    <w:rsid w:val="704C7C5C"/>
    <w:rsid w:val="704E2A69"/>
    <w:rsid w:val="70505DA3"/>
    <w:rsid w:val="70512559"/>
    <w:rsid w:val="705160B5"/>
    <w:rsid w:val="70563AA7"/>
    <w:rsid w:val="705D4A5A"/>
    <w:rsid w:val="705E42EA"/>
    <w:rsid w:val="70671D7D"/>
    <w:rsid w:val="706C4498"/>
    <w:rsid w:val="706E310B"/>
    <w:rsid w:val="70722A8E"/>
    <w:rsid w:val="70757FF6"/>
    <w:rsid w:val="707A385E"/>
    <w:rsid w:val="707F2C23"/>
    <w:rsid w:val="7080699B"/>
    <w:rsid w:val="70887F27"/>
    <w:rsid w:val="70893AA1"/>
    <w:rsid w:val="709B5583"/>
    <w:rsid w:val="709D7BC6"/>
    <w:rsid w:val="70A02B99"/>
    <w:rsid w:val="70A6170B"/>
    <w:rsid w:val="70A66401"/>
    <w:rsid w:val="70A7523C"/>
    <w:rsid w:val="70AA3CDC"/>
    <w:rsid w:val="70AC7790"/>
    <w:rsid w:val="70B07AD0"/>
    <w:rsid w:val="70B30B1E"/>
    <w:rsid w:val="70B825D8"/>
    <w:rsid w:val="70BF22E0"/>
    <w:rsid w:val="70C25205"/>
    <w:rsid w:val="70C64CF5"/>
    <w:rsid w:val="70CC0E40"/>
    <w:rsid w:val="70CD1AF2"/>
    <w:rsid w:val="70CD6084"/>
    <w:rsid w:val="70D07EC3"/>
    <w:rsid w:val="70D529D0"/>
    <w:rsid w:val="70D63EAE"/>
    <w:rsid w:val="70DC1E23"/>
    <w:rsid w:val="70E07B0A"/>
    <w:rsid w:val="70E11BA5"/>
    <w:rsid w:val="70ED2282"/>
    <w:rsid w:val="70EE7DA8"/>
    <w:rsid w:val="70EF6AC6"/>
    <w:rsid w:val="70F85A4F"/>
    <w:rsid w:val="70FB78FE"/>
    <w:rsid w:val="7104137A"/>
    <w:rsid w:val="710D6480"/>
    <w:rsid w:val="711041C2"/>
    <w:rsid w:val="71123A97"/>
    <w:rsid w:val="71125845"/>
    <w:rsid w:val="71152879"/>
    <w:rsid w:val="71172DED"/>
    <w:rsid w:val="711C0290"/>
    <w:rsid w:val="711C290B"/>
    <w:rsid w:val="71214C14"/>
    <w:rsid w:val="71290FAE"/>
    <w:rsid w:val="712A5284"/>
    <w:rsid w:val="712D267F"/>
    <w:rsid w:val="71327C95"/>
    <w:rsid w:val="71353C29"/>
    <w:rsid w:val="71367DFF"/>
    <w:rsid w:val="713C0B14"/>
    <w:rsid w:val="713C7877"/>
    <w:rsid w:val="7143626B"/>
    <w:rsid w:val="71461035"/>
    <w:rsid w:val="71492D20"/>
    <w:rsid w:val="71493301"/>
    <w:rsid w:val="714D0F73"/>
    <w:rsid w:val="71502811"/>
    <w:rsid w:val="71535E5D"/>
    <w:rsid w:val="715416A2"/>
    <w:rsid w:val="71555D96"/>
    <w:rsid w:val="71577FCB"/>
    <w:rsid w:val="715916C6"/>
    <w:rsid w:val="715B1DCB"/>
    <w:rsid w:val="71616DEA"/>
    <w:rsid w:val="716630C1"/>
    <w:rsid w:val="716D6F1F"/>
    <w:rsid w:val="716E3276"/>
    <w:rsid w:val="716F0EE9"/>
    <w:rsid w:val="716F713B"/>
    <w:rsid w:val="717165A8"/>
    <w:rsid w:val="717D2EEE"/>
    <w:rsid w:val="717E112C"/>
    <w:rsid w:val="71813AE6"/>
    <w:rsid w:val="71836742"/>
    <w:rsid w:val="718A5D23"/>
    <w:rsid w:val="71940950"/>
    <w:rsid w:val="71950224"/>
    <w:rsid w:val="719D1882"/>
    <w:rsid w:val="719D6DB9"/>
    <w:rsid w:val="719F59D6"/>
    <w:rsid w:val="71A1306D"/>
    <w:rsid w:val="71A16BC9"/>
    <w:rsid w:val="71AB6039"/>
    <w:rsid w:val="71AF7537"/>
    <w:rsid w:val="71B20DD6"/>
    <w:rsid w:val="71BC7EA6"/>
    <w:rsid w:val="71C11B34"/>
    <w:rsid w:val="71C15F2D"/>
    <w:rsid w:val="71C66A32"/>
    <w:rsid w:val="71CA611F"/>
    <w:rsid w:val="71D15516"/>
    <w:rsid w:val="71D21478"/>
    <w:rsid w:val="71DB032D"/>
    <w:rsid w:val="71DB20DB"/>
    <w:rsid w:val="71ED0060"/>
    <w:rsid w:val="71EE29DB"/>
    <w:rsid w:val="71F47640"/>
    <w:rsid w:val="71FA2EA7"/>
    <w:rsid w:val="71FB09CF"/>
    <w:rsid w:val="71FD533F"/>
    <w:rsid w:val="720619B8"/>
    <w:rsid w:val="720C2BD8"/>
    <w:rsid w:val="72124F97"/>
    <w:rsid w:val="721970A7"/>
    <w:rsid w:val="721D26F3"/>
    <w:rsid w:val="721E646B"/>
    <w:rsid w:val="721F351E"/>
    <w:rsid w:val="72216DA9"/>
    <w:rsid w:val="72263C29"/>
    <w:rsid w:val="722717C4"/>
    <w:rsid w:val="72276DFC"/>
    <w:rsid w:val="722872EA"/>
    <w:rsid w:val="722D66AE"/>
    <w:rsid w:val="722F0678"/>
    <w:rsid w:val="7238752D"/>
    <w:rsid w:val="723B5757"/>
    <w:rsid w:val="72421670"/>
    <w:rsid w:val="72424D2E"/>
    <w:rsid w:val="72444124"/>
    <w:rsid w:val="724A7260"/>
    <w:rsid w:val="724C4D86"/>
    <w:rsid w:val="726845A0"/>
    <w:rsid w:val="72691DDC"/>
    <w:rsid w:val="72715DBD"/>
    <w:rsid w:val="7273794E"/>
    <w:rsid w:val="72760055"/>
    <w:rsid w:val="727A02F8"/>
    <w:rsid w:val="727E0840"/>
    <w:rsid w:val="727F33AE"/>
    <w:rsid w:val="72807126"/>
    <w:rsid w:val="728346D7"/>
    <w:rsid w:val="728C4DF1"/>
    <w:rsid w:val="728E35F1"/>
    <w:rsid w:val="7298446F"/>
    <w:rsid w:val="729E4247"/>
    <w:rsid w:val="72A16523"/>
    <w:rsid w:val="72A52F2B"/>
    <w:rsid w:val="72A615BC"/>
    <w:rsid w:val="72AE5A41"/>
    <w:rsid w:val="72B312A9"/>
    <w:rsid w:val="72B4556C"/>
    <w:rsid w:val="72B56DCF"/>
    <w:rsid w:val="72B71B6E"/>
    <w:rsid w:val="72BF19FC"/>
    <w:rsid w:val="72C24A83"/>
    <w:rsid w:val="72C54B39"/>
    <w:rsid w:val="72C65E03"/>
    <w:rsid w:val="72C9287B"/>
    <w:rsid w:val="72CB03A1"/>
    <w:rsid w:val="72D13FE9"/>
    <w:rsid w:val="72D354A8"/>
    <w:rsid w:val="72D37256"/>
    <w:rsid w:val="72D655BC"/>
    <w:rsid w:val="72DD1E82"/>
    <w:rsid w:val="72DF6B7C"/>
    <w:rsid w:val="72E2393D"/>
    <w:rsid w:val="72FB055A"/>
    <w:rsid w:val="72FD3C68"/>
    <w:rsid w:val="72FD7770"/>
    <w:rsid w:val="730438B3"/>
    <w:rsid w:val="73045661"/>
    <w:rsid w:val="73085AC2"/>
    <w:rsid w:val="730B4C41"/>
    <w:rsid w:val="73102514"/>
    <w:rsid w:val="7311057B"/>
    <w:rsid w:val="73125FD0"/>
    <w:rsid w:val="73154050"/>
    <w:rsid w:val="731755C9"/>
    <w:rsid w:val="731955B0"/>
    <w:rsid w:val="73297441"/>
    <w:rsid w:val="73317FF3"/>
    <w:rsid w:val="733A25D9"/>
    <w:rsid w:val="73470549"/>
    <w:rsid w:val="734C0DB6"/>
    <w:rsid w:val="73522870"/>
    <w:rsid w:val="73555DBE"/>
    <w:rsid w:val="73614861"/>
    <w:rsid w:val="736765F0"/>
    <w:rsid w:val="73683E42"/>
    <w:rsid w:val="736B748E"/>
    <w:rsid w:val="736D76AA"/>
    <w:rsid w:val="73700F48"/>
    <w:rsid w:val="737427E7"/>
    <w:rsid w:val="737E18B7"/>
    <w:rsid w:val="73807ED8"/>
    <w:rsid w:val="73814F04"/>
    <w:rsid w:val="738507A7"/>
    <w:rsid w:val="738B18DE"/>
    <w:rsid w:val="738E13CF"/>
    <w:rsid w:val="7395275D"/>
    <w:rsid w:val="73973AB6"/>
    <w:rsid w:val="73A3131E"/>
    <w:rsid w:val="73AD30AD"/>
    <w:rsid w:val="73B1673D"/>
    <w:rsid w:val="73C05A2C"/>
    <w:rsid w:val="73C31854"/>
    <w:rsid w:val="73C44DF0"/>
    <w:rsid w:val="73C82B32"/>
    <w:rsid w:val="73C84A37"/>
    <w:rsid w:val="73C8553F"/>
    <w:rsid w:val="73C85C05"/>
    <w:rsid w:val="73CD0E46"/>
    <w:rsid w:val="73D529F8"/>
    <w:rsid w:val="73EA2AA9"/>
    <w:rsid w:val="73EA3C0A"/>
    <w:rsid w:val="73EC4A73"/>
    <w:rsid w:val="73EE31E0"/>
    <w:rsid w:val="73EF0F6F"/>
    <w:rsid w:val="73F12089"/>
    <w:rsid w:val="73F27BAF"/>
    <w:rsid w:val="73F71F01"/>
    <w:rsid w:val="73FC5756"/>
    <w:rsid w:val="73FD3F2B"/>
    <w:rsid w:val="74055B35"/>
    <w:rsid w:val="74100036"/>
    <w:rsid w:val="74102486"/>
    <w:rsid w:val="741369EC"/>
    <w:rsid w:val="74143FCA"/>
    <w:rsid w:val="74251D33"/>
    <w:rsid w:val="742835D1"/>
    <w:rsid w:val="74285D81"/>
    <w:rsid w:val="7429230C"/>
    <w:rsid w:val="743B50B2"/>
    <w:rsid w:val="74416441"/>
    <w:rsid w:val="74485A21"/>
    <w:rsid w:val="744877CF"/>
    <w:rsid w:val="744D4CD1"/>
    <w:rsid w:val="74534AF2"/>
    <w:rsid w:val="745C0078"/>
    <w:rsid w:val="74604B19"/>
    <w:rsid w:val="7460720F"/>
    <w:rsid w:val="74624D35"/>
    <w:rsid w:val="74640AAD"/>
    <w:rsid w:val="746639EF"/>
    <w:rsid w:val="746C1710"/>
    <w:rsid w:val="746F2FAE"/>
    <w:rsid w:val="7472484C"/>
    <w:rsid w:val="74784559"/>
    <w:rsid w:val="747A4151"/>
    <w:rsid w:val="747E1443"/>
    <w:rsid w:val="747F19C5"/>
    <w:rsid w:val="74820F33"/>
    <w:rsid w:val="74872DFD"/>
    <w:rsid w:val="748801A2"/>
    <w:rsid w:val="748A428C"/>
    <w:rsid w:val="748A4B39"/>
    <w:rsid w:val="748A7DE8"/>
    <w:rsid w:val="7492080D"/>
    <w:rsid w:val="74987F0D"/>
    <w:rsid w:val="7499627D"/>
    <w:rsid w:val="74996569"/>
    <w:rsid w:val="749D5276"/>
    <w:rsid w:val="74A138CF"/>
    <w:rsid w:val="74A54C22"/>
    <w:rsid w:val="74A569D0"/>
    <w:rsid w:val="74AA5A49"/>
    <w:rsid w:val="74AC6FC2"/>
    <w:rsid w:val="74AD50E1"/>
    <w:rsid w:val="74B01C78"/>
    <w:rsid w:val="74B66E2F"/>
    <w:rsid w:val="74BD640F"/>
    <w:rsid w:val="74BF4F10"/>
    <w:rsid w:val="74C374EF"/>
    <w:rsid w:val="74C72DEA"/>
    <w:rsid w:val="74CA774B"/>
    <w:rsid w:val="74D06143"/>
    <w:rsid w:val="74D13C69"/>
    <w:rsid w:val="74D166EC"/>
    <w:rsid w:val="74DE41A5"/>
    <w:rsid w:val="74E21D58"/>
    <w:rsid w:val="74E36C10"/>
    <w:rsid w:val="74E7523A"/>
    <w:rsid w:val="74E92D60"/>
    <w:rsid w:val="74F6145F"/>
    <w:rsid w:val="74FA6D1C"/>
    <w:rsid w:val="7508356C"/>
    <w:rsid w:val="75091655"/>
    <w:rsid w:val="750D2EF3"/>
    <w:rsid w:val="750E6C6B"/>
    <w:rsid w:val="75181898"/>
    <w:rsid w:val="7518696C"/>
    <w:rsid w:val="751A5610"/>
    <w:rsid w:val="75263FB5"/>
    <w:rsid w:val="7530098F"/>
    <w:rsid w:val="7537110F"/>
    <w:rsid w:val="75397C98"/>
    <w:rsid w:val="753F233A"/>
    <w:rsid w:val="75461650"/>
    <w:rsid w:val="75466405"/>
    <w:rsid w:val="75483F2B"/>
    <w:rsid w:val="75501031"/>
    <w:rsid w:val="75524DAA"/>
    <w:rsid w:val="75530B22"/>
    <w:rsid w:val="7557416E"/>
    <w:rsid w:val="755D1591"/>
    <w:rsid w:val="75654BD9"/>
    <w:rsid w:val="75664F33"/>
    <w:rsid w:val="756B1E19"/>
    <w:rsid w:val="757271FA"/>
    <w:rsid w:val="757406F8"/>
    <w:rsid w:val="75750A98"/>
    <w:rsid w:val="757A60AE"/>
    <w:rsid w:val="757C5983"/>
    <w:rsid w:val="758111EB"/>
    <w:rsid w:val="75882579"/>
    <w:rsid w:val="759251A6"/>
    <w:rsid w:val="75970A0E"/>
    <w:rsid w:val="759929D8"/>
    <w:rsid w:val="759B5A39"/>
    <w:rsid w:val="759D2199"/>
    <w:rsid w:val="759E7FEF"/>
    <w:rsid w:val="75A1363B"/>
    <w:rsid w:val="75B55338"/>
    <w:rsid w:val="75BA4681"/>
    <w:rsid w:val="75BF167C"/>
    <w:rsid w:val="75C34064"/>
    <w:rsid w:val="75C43561"/>
    <w:rsid w:val="75C5557C"/>
    <w:rsid w:val="75C57F15"/>
    <w:rsid w:val="75D91027"/>
    <w:rsid w:val="75E34125"/>
    <w:rsid w:val="75E579CC"/>
    <w:rsid w:val="75E81A45"/>
    <w:rsid w:val="75EF25F8"/>
    <w:rsid w:val="75F61BD9"/>
    <w:rsid w:val="75FD3F7C"/>
    <w:rsid w:val="75FE0072"/>
    <w:rsid w:val="76037E52"/>
    <w:rsid w:val="76040032"/>
    <w:rsid w:val="760A11E0"/>
    <w:rsid w:val="760A7432"/>
    <w:rsid w:val="7614205F"/>
    <w:rsid w:val="76193200"/>
    <w:rsid w:val="76197675"/>
    <w:rsid w:val="76213440"/>
    <w:rsid w:val="76271965"/>
    <w:rsid w:val="7629154C"/>
    <w:rsid w:val="762A0487"/>
    <w:rsid w:val="762D32C2"/>
    <w:rsid w:val="762E15AE"/>
    <w:rsid w:val="76360227"/>
    <w:rsid w:val="763812D5"/>
    <w:rsid w:val="763B2045"/>
    <w:rsid w:val="764566BC"/>
    <w:rsid w:val="76497A7B"/>
    <w:rsid w:val="76524935"/>
    <w:rsid w:val="765F1905"/>
    <w:rsid w:val="76654669"/>
    <w:rsid w:val="766D176F"/>
    <w:rsid w:val="76793371"/>
    <w:rsid w:val="768076F4"/>
    <w:rsid w:val="76810A30"/>
    <w:rsid w:val="768658F2"/>
    <w:rsid w:val="76870A83"/>
    <w:rsid w:val="768B4521"/>
    <w:rsid w:val="76911902"/>
    <w:rsid w:val="76935BC5"/>
    <w:rsid w:val="76962A74"/>
    <w:rsid w:val="769A0A64"/>
    <w:rsid w:val="769C4FF4"/>
    <w:rsid w:val="76A5715B"/>
    <w:rsid w:val="76A96C4B"/>
    <w:rsid w:val="76AC04E9"/>
    <w:rsid w:val="76AC2297"/>
    <w:rsid w:val="76AE6010"/>
    <w:rsid w:val="76B2549B"/>
    <w:rsid w:val="76B92C06"/>
    <w:rsid w:val="76BF021D"/>
    <w:rsid w:val="76BF5F6B"/>
    <w:rsid w:val="76C23869"/>
    <w:rsid w:val="76C9109B"/>
    <w:rsid w:val="76CA6BC2"/>
    <w:rsid w:val="76CE66B2"/>
    <w:rsid w:val="76D11CFE"/>
    <w:rsid w:val="76D23D36"/>
    <w:rsid w:val="76D53B6A"/>
    <w:rsid w:val="76DC106D"/>
    <w:rsid w:val="76DD59DF"/>
    <w:rsid w:val="76E124DD"/>
    <w:rsid w:val="76E52316"/>
    <w:rsid w:val="76E557A9"/>
    <w:rsid w:val="76E71522"/>
    <w:rsid w:val="76EE0B02"/>
    <w:rsid w:val="76F81981"/>
    <w:rsid w:val="76FB321F"/>
    <w:rsid w:val="76FB76A4"/>
    <w:rsid w:val="76FD6F97"/>
    <w:rsid w:val="77007696"/>
    <w:rsid w:val="770C71DA"/>
    <w:rsid w:val="77163BB5"/>
    <w:rsid w:val="771B2183"/>
    <w:rsid w:val="772267CF"/>
    <w:rsid w:val="77272A31"/>
    <w:rsid w:val="77275DC2"/>
    <w:rsid w:val="77277F01"/>
    <w:rsid w:val="77315935"/>
    <w:rsid w:val="7734305A"/>
    <w:rsid w:val="7735228D"/>
    <w:rsid w:val="77366005"/>
    <w:rsid w:val="77371170"/>
    <w:rsid w:val="773A3D47"/>
    <w:rsid w:val="773B361B"/>
    <w:rsid w:val="77401327"/>
    <w:rsid w:val="77422BFC"/>
    <w:rsid w:val="774677D5"/>
    <w:rsid w:val="774C5621"/>
    <w:rsid w:val="774D54F1"/>
    <w:rsid w:val="774F41E6"/>
    <w:rsid w:val="77530965"/>
    <w:rsid w:val="775C1580"/>
    <w:rsid w:val="775C5C89"/>
    <w:rsid w:val="775D3592"/>
    <w:rsid w:val="775E505C"/>
    <w:rsid w:val="77690189"/>
    <w:rsid w:val="776C7C79"/>
    <w:rsid w:val="776E39F1"/>
    <w:rsid w:val="77732DB5"/>
    <w:rsid w:val="77754D7F"/>
    <w:rsid w:val="77770AF7"/>
    <w:rsid w:val="77775308"/>
    <w:rsid w:val="777C610E"/>
    <w:rsid w:val="777D1E86"/>
    <w:rsid w:val="7785787E"/>
    <w:rsid w:val="77933897"/>
    <w:rsid w:val="77935205"/>
    <w:rsid w:val="779D3EE1"/>
    <w:rsid w:val="77A03442"/>
    <w:rsid w:val="77A25449"/>
    <w:rsid w:val="77A81788"/>
    <w:rsid w:val="77BE436E"/>
    <w:rsid w:val="77C0324D"/>
    <w:rsid w:val="77C16217"/>
    <w:rsid w:val="77C17FC5"/>
    <w:rsid w:val="77C47AB5"/>
    <w:rsid w:val="77C57280"/>
    <w:rsid w:val="77C67389"/>
    <w:rsid w:val="77D00208"/>
    <w:rsid w:val="77D07A2E"/>
    <w:rsid w:val="77D53A70"/>
    <w:rsid w:val="77D60760"/>
    <w:rsid w:val="77D71596"/>
    <w:rsid w:val="77DE0B76"/>
    <w:rsid w:val="77E85551"/>
    <w:rsid w:val="77F42148"/>
    <w:rsid w:val="77F43EF6"/>
    <w:rsid w:val="77F63E34"/>
    <w:rsid w:val="77FE4D75"/>
    <w:rsid w:val="77FE622B"/>
    <w:rsid w:val="7803238B"/>
    <w:rsid w:val="780725D0"/>
    <w:rsid w:val="78085BF3"/>
    <w:rsid w:val="780D2E6F"/>
    <w:rsid w:val="78126A72"/>
    <w:rsid w:val="78130758"/>
    <w:rsid w:val="78141133"/>
    <w:rsid w:val="78147104"/>
    <w:rsid w:val="781C4C68"/>
    <w:rsid w:val="782617EC"/>
    <w:rsid w:val="782D11B6"/>
    <w:rsid w:val="782F3180"/>
    <w:rsid w:val="78326DA8"/>
    <w:rsid w:val="78327197"/>
    <w:rsid w:val="78362761"/>
    <w:rsid w:val="7836450F"/>
    <w:rsid w:val="783B7D77"/>
    <w:rsid w:val="783C623F"/>
    <w:rsid w:val="78407425"/>
    <w:rsid w:val="78412EB3"/>
    <w:rsid w:val="78434E7D"/>
    <w:rsid w:val="7847671C"/>
    <w:rsid w:val="78485FF0"/>
    <w:rsid w:val="784D7AAA"/>
    <w:rsid w:val="78511348"/>
    <w:rsid w:val="785D1817"/>
    <w:rsid w:val="78670B6C"/>
    <w:rsid w:val="7872306D"/>
    <w:rsid w:val="78743346"/>
    <w:rsid w:val="78784170"/>
    <w:rsid w:val="787E1A12"/>
    <w:rsid w:val="788039DC"/>
    <w:rsid w:val="7882305C"/>
    <w:rsid w:val="78857244"/>
    <w:rsid w:val="78871EB3"/>
    <w:rsid w:val="788F2E8E"/>
    <w:rsid w:val="789143F5"/>
    <w:rsid w:val="78A1455F"/>
    <w:rsid w:val="78A65502"/>
    <w:rsid w:val="78A80B75"/>
    <w:rsid w:val="78AD0549"/>
    <w:rsid w:val="78AE44D4"/>
    <w:rsid w:val="78B10039"/>
    <w:rsid w:val="78B35B5F"/>
    <w:rsid w:val="78B418D7"/>
    <w:rsid w:val="78B476B2"/>
    <w:rsid w:val="78B537F0"/>
    <w:rsid w:val="78B74F24"/>
    <w:rsid w:val="78B97DC3"/>
    <w:rsid w:val="78BB2C66"/>
    <w:rsid w:val="78C75C05"/>
    <w:rsid w:val="78C961F4"/>
    <w:rsid w:val="78CC4E73"/>
    <w:rsid w:val="78CC5F0B"/>
    <w:rsid w:val="78D43D28"/>
    <w:rsid w:val="78DE0702"/>
    <w:rsid w:val="78E026CC"/>
    <w:rsid w:val="78E35D19"/>
    <w:rsid w:val="78E8332F"/>
    <w:rsid w:val="78EE4DE9"/>
    <w:rsid w:val="78F63C9E"/>
    <w:rsid w:val="78F87A16"/>
    <w:rsid w:val="78FA0D3D"/>
    <w:rsid w:val="79027FE0"/>
    <w:rsid w:val="79052133"/>
    <w:rsid w:val="79073F5C"/>
    <w:rsid w:val="790A7749"/>
    <w:rsid w:val="790B5DF8"/>
    <w:rsid w:val="790F6B0E"/>
    <w:rsid w:val="791C6187"/>
    <w:rsid w:val="791E1794"/>
    <w:rsid w:val="791E4FA3"/>
    <w:rsid w:val="7924080B"/>
    <w:rsid w:val="792425B9"/>
    <w:rsid w:val="793A002E"/>
    <w:rsid w:val="793B3DA7"/>
    <w:rsid w:val="79432277"/>
    <w:rsid w:val="79450781"/>
    <w:rsid w:val="794C38BE"/>
    <w:rsid w:val="795409C4"/>
    <w:rsid w:val="795A422D"/>
    <w:rsid w:val="795A69A1"/>
    <w:rsid w:val="796450AB"/>
    <w:rsid w:val="79652BD2"/>
    <w:rsid w:val="79701CA2"/>
    <w:rsid w:val="797323C9"/>
    <w:rsid w:val="79733540"/>
    <w:rsid w:val="797572B9"/>
    <w:rsid w:val="79773031"/>
    <w:rsid w:val="797A042B"/>
    <w:rsid w:val="797C69C1"/>
    <w:rsid w:val="797E43FB"/>
    <w:rsid w:val="798017B9"/>
    <w:rsid w:val="79870BE5"/>
    <w:rsid w:val="799040F2"/>
    <w:rsid w:val="79946B31"/>
    <w:rsid w:val="79951709"/>
    <w:rsid w:val="799F7F8D"/>
    <w:rsid w:val="79A27982"/>
    <w:rsid w:val="79A66D50"/>
    <w:rsid w:val="79AD5238"/>
    <w:rsid w:val="79AF59FC"/>
    <w:rsid w:val="79B31B8F"/>
    <w:rsid w:val="79B67668"/>
    <w:rsid w:val="79B871A5"/>
    <w:rsid w:val="79BA41E2"/>
    <w:rsid w:val="79BC6C95"/>
    <w:rsid w:val="79C36276"/>
    <w:rsid w:val="79C478F8"/>
    <w:rsid w:val="79C70B90"/>
    <w:rsid w:val="79C842E0"/>
    <w:rsid w:val="79C97604"/>
    <w:rsid w:val="79D02741"/>
    <w:rsid w:val="79D0629D"/>
    <w:rsid w:val="79D7587D"/>
    <w:rsid w:val="79D917F7"/>
    <w:rsid w:val="79E166FC"/>
    <w:rsid w:val="79E81839"/>
    <w:rsid w:val="79FC3536"/>
    <w:rsid w:val="79FC7092"/>
    <w:rsid w:val="79FF3026"/>
    <w:rsid w:val="79FF6B82"/>
    <w:rsid w:val="7A000594"/>
    <w:rsid w:val="7A0423EA"/>
    <w:rsid w:val="7A066163"/>
    <w:rsid w:val="7A0903A2"/>
    <w:rsid w:val="7A0B5527"/>
    <w:rsid w:val="7A0E5017"/>
    <w:rsid w:val="7A15614A"/>
    <w:rsid w:val="7A212F9C"/>
    <w:rsid w:val="7A226742"/>
    <w:rsid w:val="7A2544C3"/>
    <w:rsid w:val="7A28497B"/>
    <w:rsid w:val="7A293A71"/>
    <w:rsid w:val="7A2A2B0F"/>
    <w:rsid w:val="7A300704"/>
    <w:rsid w:val="7A3731F1"/>
    <w:rsid w:val="7A38496C"/>
    <w:rsid w:val="7A3A5E0C"/>
    <w:rsid w:val="7A3B6745"/>
    <w:rsid w:val="7A3C3932"/>
    <w:rsid w:val="7A47496C"/>
    <w:rsid w:val="7A480529"/>
    <w:rsid w:val="7A4B1DC7"/>
    <w:rsid w:val="7A4D5B40"/>
    <w:rsid w:val="7A540C7C"/>
    <w:rsid w:val="7A57575A"/>
    <w:rsid w:val="7A6757B5"/>
    <w:rsid w:val="7A6D61E2"/>
    <w:rsid w:val="7A7A445B"/>
    <w:rsid w:val="7A7D5EE5"/>
    <w:rsid w:val="7A82285A"/>
    <w:rsid w:val="7A8552D9"/>
    <w:rsid w:val="7A9132B9"/>
    <w:rsid w:val="7A97500D"/>
    <w:rsid w:val="7A9776A1"/>
    <w:rsid w:val="7A9D6321"/>
    <w:rsid w:val="7AA84319"/>
    <w:rsid w:val="7AAA4D40"/>
    <w:rsid w:val="7AAD2A82"/>
    <w:rsid w:val="7AB23BF5"/>
    <w:rsid w:val="7AB51C74"/>
    <w:rsid w:val="7AB71B55"/>
    <w:rsid w:val="7AB76CBC"/>
    <w:rsid w:val="7AC31DEF"/>
    <w:rsid w:val="7AC57DCC"/>
    <w:rsid w:val="7ACB4CB6"/>
    <w:rsid w:val="7ACD133D"/>
    <w:rsid w:val="7AD24297"/>
    <w:rsid w:val="7ADB139D"/>
    <w:rsid w:val="7ADE7065"/>
    <w:rsid w:val="7AE734B5"/>
    <w:rsid w:val="7AE91D0C"/>
    <w:rsid w:val="7AEA338E"/>
    <w:rsid w:val="7AEA7832"/>
    <w:rsid w:val="7AEC0C8C"/>
    <w:rsid w:val="7AEC35AA"/>
    <w:rsid w:val="7AEC4F8C"/>
    <w:rsid w:val="7AED10D1"/>
    <w:rsid w:val="7AEE0D27"/>
    <w:rsid w:val="7AEE45AD"/>
    <w:rsid w:val="7AEF4E49"/>
    <w:rsid w:val="7AF62AFF"/>
    <w:rsid w:val="7AF92E52"/>
    <w:rsid w:val="7AFB1A3F"/>
    <w:rsid w:val="7B0E7C5F"/>
    <w:rsid w:val="7B0F54EB"/>
    <w:rsid w:val="7B106432"/>
    <w:rsid w:val="7B113011"/>
    <w:rsid w:val="7B1228E5"/>
    <w:rsid w:val="7B1238FE"/>
    <w:rsid w:val="7B1448AF"/>
    <w:rsid w:val="7B14665D"/>
    <w:rsid w:val="7B187EFC"/>
    <w:rsid w:val="7B273FF1"/>
    <w:rsid w:val="7B2A5E81"/>
    <w:rsid w:val="7B2C69E0"/>
    <w:rsid w:val="7B31720F"/>
    <w:rsid w:val="7B34197A"/>
    <w:rsid w:val="7B3665D4"/>
    <w:rsid w:val="7B3D10BE"/>
    <w:rsid w:val="7B3E48AE"/>
    <w:rsid w:val="7B4C1BE3"/>
    <w:rsid w:val="7B590088"/>
    <w:rsid w:val="7B5F1FCE"/>
    <w:rsid w:val="7B6234C6"/>
    <w:rsid w:val="7B690757"/>
    <w:rsid w:val="7B6C6499"/>
    <w:rsid w:val="7B722E45"/>
    <w:rsid w:val="7B777075"/>
    <w:rsid w:val="7B7F7F7B"/>
    <w:rsid w:val="7B8763AA"/>
    <w:rsid w:val="7B9003DA"/>
    <w:rsid w:val="7B9559F0"/>
    <w:rsid w:val="7B9F499A"/>
    <w:rsid w:val="7BA14395"/>
    <w:rsid w:val="7BA2453E"/>
    <w:rsid w:val="7BB120FE"/>
    <w:rsid w:val="7BB73BB8"/>
    <w:rsid w:val="7BB87930"/>
    <w:rsid w:val="7BBB4173"/>
    <w:rsid w:val="7BC71922"/>
    <w:rsid w:val="7BC740D0"/>
    <w:rsid w:val="7BD017E9"/>
    <w:rsid w:val="7BD644A9"/>
    <w:rsid w:val="7BD66B94"/>
    <w:rsid w:val="7BD702F2"/>
    <w:rsid w:val="7BD81D81"/>
    <w:rsid w:val="7BDF0A6A"/>
    <w:rsid w:val="7BDF65A1"/>
    <w:rsid w:val="7BEB5610"/>
    <w:rsid w:val="7BEC5CCB"/>
    <w:rsid w:val="7BED75DA"/>
    <w:rsid w:val="7BF95585"/>
    <w:rsid w:val="7BFC5A6F"/>
    <w:rsid w:val="7C02295A"/>
    <w:rsid w:val="7C064FD8"/>
    <w:rsid w:val="7C077950"/>
    <w:rsid w:val="7C0B6F82"/>
    <w:rsid w:val="7C102E50"/>
    <w:rsid w:val="7C114ABE"/>
    <w:rsid w:val="7C173577"/>
    <w:rsid w:val="7C1F175E"/>
    <w:rsid w:val="7C262AEC"/>
    <w:rsid w:val="7C26471C"/>
    <w:rsid w:val="7C26489A"/>
    <w:rsid w:val="7C29201E"/>
    <w:rsid w:val="7C2B7A97"/>
    <w:rsid w:val="7C330D65"/>
    <w:rsid w:val="7C350056"/>
    <w:rsid w:val="7C370855"/>
    <w:rsid w:val="7C39281F"/>
    <w:rsid w:val="7C3B5358"/>
    <w:rsid w:val="7C3D07C3"/>
    <w:rsid w:val="7C3D7C78"/>
    <w:rsid w:val="7C4028DA"/>
    <w:rsid w:val="7C466CEA"/>
    <w:rsid w:val="7C480CB4"/>
    <w:rsid w:val="7C492337"/>
    <w:rsid w:val="7C5A2796"/>
    <w:rsid w:val="7C5A4544"/>
    <w:rsid w:val="7C5B389B"/>
    <w:rsid w:val="7C6158D2"/>
    <w:rsid w:val="7C635AEE"/>
    <w:rsid w:val="7C640485"/>
    <w:rsid w:val="7C66113B"/>
    <w:rsid w:val="7C772F8A"/>
    <w:rsid w:val="7C782553"/>
    <w:rsid w:val="7C8021FC"/>
    <w:rsid w:val="7C8141C6"/>
    <w:rsid w:val="7C855A65"/>
    <w:rsid w:val="7C870175"/>
    <w:rsid w:val="7C885555"/>
    <w:rsid w:val="7C9712F4"/>
    <w:rsid w:val="7C977546"/>
    <w:rsid w:val="7C9B5288"/>
    <w:rsid w:val="7CA103C5"/>
    <w:rsid w:val="7CA52E86"/>
    <w:rsid w:val="7CA90868"/>
    <w:rsid w:val="7CAB16E6"/>
    <w:rsid w:val="7CAB2FF1"/>
    <w:rsid w:val="7CB2612E"/>
    <w:rsid w:val="7CB32E44"/>
    <w:rsid w:val="7CB400F8"/>
    <w:rsid w:val="7CB65C1E"/>
    <w:rsid w:val="7CBC51FE"/>
    <w:rsid w:val="7CBD6F32"/>
    <w:rsid w:val="7CC06A9D"/>
    <w:rsid w:val="7CD04806"/>
    <w:rsid w:val="7CD12A58"/>
    <w:rsid w:val="7CDE2422"/>
    <w:rsid w:val="7CE34539"/>
    <w:rsid w:val="7CE7291B"/>
    <w:rsid w:val="7CEA58C8"/>
    <w:rsid w:val="7CED5D83"/>
    <w:rsid w:val="7CF46C0F"/>
    <w:rsid w:val="7CFC4F7F"/>
    <w:rsid w:val="7D0338A2"/>
    <w:rsid w:val="7D052701"/>
    <w:rsid w:val="7D056BA5"/>
    <w:rsid w:val="7D0F532E"/>
    <w:rsid w:val="7D17799B"/>
    <w:rsid w:val="7D192609"/>
    <w:rsid w:val="7D20578D"/>
    <w:rsid w:val="7D20753B"/>
    <w:rsid w:val="7D2863F0"/>
    <w:rsid w:val="7D2F3C22"/>
    <w:rsid w:val="7D330406"/>
    <w:rsid w:val="7D39684F"/>
    <w:rsid w:val="7D3A5E62"/>
    <w:rsid w:val="7D4476CE"/>
    <w:rsid w:val="7D453655"/>
    <w:rsid w:val="7D4A122F"/>
    <w:rsid w:val="7D4C6582"/>
    <w:rsid w:val="7D4D5E56"/>
    <w:rsid w:val="7D52739A"/>
    <w:rsid w:val="7D55314A"/>
    <w:rsid w:val="7D553C43"/>
    <w:rsid w:val="7D625DA6"/>
    <w:rsid w:val="7D637428"/>
    <w:rsid w:val="7D6F52AD"/>
    <w:rsid w:val="7D702BBE"/>
    <w:rsid w:val="7D723828"/>
    <w:rsid w:val="7D734D87"/>
    <w:rsid w:val="7D745926"/>
    <w:rsid w:val="7D7635FF"/>
    <w:rsid w:val="7D795E8A"/>
    <w:rsid w:val="7D7F24B4"/>
    <w:rsid w:val="7D806106"/>
    <w:rsid w:val="7D821FA4"/>
    <w:rsid w:val="7D8860CE"/>
    <w:rsid w:val="7D8F021D"/>
    <w:rsid w:val="7D8F0E4A"/>
    <w:rsid w:val="7D902913"/>
    <w:rsid w:val="7D951CD7"/>
    <w:rsid w:val="7D9E45FE"/>
    <w:rsid w:val="7DA37C8F"/>
    <w:rsid w:val="7DA71A0B"/>
    <w:rsid w:val="7DAB14FB"/>
    <w:rsid w:val="7DB12889"/>
    <w:rsid w:val="7DB67EA0"/>
    <w:rsid w:val="7DB95F31"/>
    <w:rsid w:val="7DBA0E68"/>
    <w:rsid w:val="7DC236B5"/>
    <w:rsid w:val="7DC425BD"/>
    <w:rsid w:val="7DC63D42"/>
    <w:rsid w:val="7DD0308E"/>
    <w:rsid w:val="7DD26996"/>
    <w:rsid w:val="7DD345AE"/>
    <w:rsid w:val="7DD554E6"/>
    <w:rsid w:val="7DD56578"/>
    <w:rsid w:val="7DD6409E"/>
    <w:rsid w:val="7DDB10A1"/>
    <w:rsid w:val="7DDC2D72"/>
    <w:rsid w:val="7DDC7906"/>
    <w:rsid w:val="7DDD71DA"/>
    <w:rsid w:val="7DDF11A4"/>
    <w:rsid w:val="7DDF2F52"/>
    <w:rsid w:val="7DE052D0"/>
    <w:rsid w:val="7DE467BB"/>
    <w:rsid w:val="7DE5079C"/>
    <w:rsid w:val="7DE71E07"/>
    <w:rsid w:val="7DE93DD1"/>
    <w:rsid w:val="7DFA05A1"/>
    <w:rsid w:val="7DFD5ACF"/>
    <w:rsid w:val="7E12157A"/>
    <w:rsid w:val="7E161FF2"/>
    <w:rsid w:val="7E17093E"/>
    <w:rsid w:val="7E192908"/>
    <w:rsid w:val="7E196EF9"/>
    <w:rsid w:val="7E1B5644"/>
    <w:rsid w:val="7E1F6E6C"/>
    <w:rsid w:val="7E27146E"/>
    <w:rsid w:val="7E292420"/>
    <w:rsid w:val="7E2C0FFD"/>
    <w:rsid w:val="7E3D4054"/>
    <w:rsid w:val="7E3E236F"/>
    <w:rsid w:val="7E4D69E8"/>
    <w:rsid w:val="7E5955D5"/>
    <w:rsid w:val="7E5A1B3F"/>
    <w:rsid w:val="7E5F3E64"/>
    <w:rsid w:val="7E60325B"/>
    <w:rsid w:val="7E6478FC"/>
    <w:rsid w:val="7E6C1B17"/>
    <w:rsid w:val="7E6D055E"/>
    <w:rsid w:val="7E6D4A02"/>
    <w:rsid w:val="7E725B75"/>
    <w:rsid w:val="7E8458A8"/>
    <w:rsid w:val="7E86727D"/>
    <w:rsid w:val="7E9006F1"/>
    <w:rsid w:val="7E9567B2"/>
    <w:rsid w:val="7E971A7F"/>
    <w:rsid w:val="7E9E2E0E"/>
    <w:rsid w:val="7EAB7D84"/>
    <w:rsid w:val="7EAD3628"/>
    <w:rsid w:val="7EAF0B77"/>
    <w:rsid w:val="7EAF501B"/>
    <w:rsid w:val="7EAF6FB3"/>
    <w:rsid w:val="7EBA751C"/>
    <w:rsid w:val="7EBF75C0"/>
    <w:rsid w:val="7EC23104"/>
    <w:rsid w:val="7EC30AC6"/>
    <w:rsid w:val="7EC363D0"/>
    <w:rsid w:val="7EC87E8B"/>
    <w:rsid w:val="7ECD49A6"/>
    <w:rsid w:val="7ECF2AA6"/>
    <w:rsid w:val="7ED401E9"/>
    <w:rsid w:val="7ED50BC3"/>
    <w:rsid w:val="7ED52CBB"/>
    <w:rsid w:val="7ED66114"/>
    <w:rsid w:val="7EE051FD"/>
    <w:rsid w:val="7EE6106F"/>
    <w:rsid w:val="7EE71BED"/>
    <w:rsid w:val="7EE822DB"/>
    <w:rsid w:val="7EEB5927"/>
    <w:rsid w:val="7EF40C80"/>
    <w:rsid w:val="7EF42A2E"/>
    <w:rsid w:val="7EF46ED2"/>
    <w:rsid w:val="7EF702C0"/>
    <w:rsid w:val="7EF70770"/>
    <w:rsid w:val="7EFB200E"/>
    <w:rsid w:val="7F01339C"/>
    <w:rsid w:val="7F0B728E"/>
    <w:rsid w:val="7F0E027B"/>
    <w:rsid w:val="7F1255AA"/>
    <w:rsid w:val="7F166E48"/>
    <w:rsid w:val="7F171895"/>
    <w:rsid w:val="7F17496E"/>
    <w:rsid w:val="7F207CC7"/>
    <w:rsid w:val="7F231565"/>
    <w:rsid w:val="7F233313"/>
    <w:rsid w:val="7F264BB1"/>
    <w:rsid w:val="7F2C0419"/>
    <w:rsid w:val="7F2C0C33"/>
    <w:rsid w:val="7F2C7BF1"/>
    <w:rsid w:val="7F30742E"/>
    <w:rsid w:val="7F315A30"/>
    <w:rsid w:val="7F3379FA"/>
    <w:rsid w:val="7F3472CE"/>
    <w:rsid w:val="7F3C6183"/>
    <w:rsid w:val="7F42758F"/>
    <w:rsid w:val="7F480FCB"/>
    <w:rsid w:val="7F4B416B"/>
    <w:rsid w:val="7F4D017F"/>
    <w:rsid w:val="7F547970"/>
    <w:rsid w:val="7F570FE0"/>
    <w:rsid w:val="7F580682"/>
    <w:rsid w:val="7F594F87"/>
    <w:rsid w:val="7F5C44BA"/>
    <w:rsid w:val="7F62208D"/>
    <w:rsid w:val="7F6851CA"/>
    <w:rsid w:val="7F6A2CF0"/>
    <w:rsid w:val="7F6B576D"/>
    <w:rsid w:val="7F6D0F46"/>
    <w:rsid w:val="7F6F6558"/>
    <w:rsid w:val="7F722EB9"/>
    <w:rsid w:val="7F7A73A0"/>
    <w:rsid w:val="7F7B314F"/>
    <w:rsid w:val="7F802513"/>
    <w:rsid w:val="7F8E7373"/>
    <w:rsid w:val="7F8F2078"/>
    <w:rsid w:val="7F932247"/>
    <w:rsid w:val="7FA2692E"/>
    <w:rsid w:val="7FA676E6"/>
    <w:rsid w:val="7FAC155A"/>
    <w:rsid w:val="7FAE0A49"/>
    <w:rsid w:val="7FB34697"/>
    <w:rsid w:val="7FB66CB2"/>
    <w:rsid w:val="7FBB248D"/>
    <w:rsid w:val="7FBE43E0"/>
    <w:rsid w:val="7FC00B62"/>
    <w:rsid w:val="7FCA05C5"/>
    <w:rsid w:val="7FCC2528"/>
    <w:rsid w:val="7FCE14D1"/>
    <w:rsid w:val="7FD10FC1"/>
    <w:rsid w:val="7FD129C1"/>
    <w:rsid w:val="7FD34D39"/>
    <w:rsid w:val="7FE922CA"/>
    <w:rsid w:val="7FE9630A"/>
    <w:rsid w:val="7FEC1451"/>
    <w:rsid w:val="7FEE3921"/>
    <w:rsid w:val="7FF37189"/>
    <w:rsid w:val="7FF43CBB"/>
    <w:rsid w:val="7FF802FC"/>
    <w:rsid w:val="DFDFAF2D"/>
    <w:rsid w:val="EBBF7CAE"/>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qFormat="1" w:unhideWhenUsed="0" w:uiPriority="0" w:semiHidden="0" w:name="index 8"/>
    <w:lsdException w:uiPriority="99" w:name="index 9"/>
    <w:lsdException w:qFormat="1" w:uiPriority="39" w:semiHidden="0" w:name="toc 1"/>
    <w:lsdException w:qFormat="1" w:uiPriority="39" w:semiHidden="0" w:name="toc 2"/>
    <w:lsdException w:uiPriority="39" w:name="toc 3"/>
    <w:lsdException w:uiPriority="39" w:name="toc 4"/>
    <w:lsdException w:qFormat="1" w:unhideWhenUsed="0" w:uiPriority="39" w:semiHidden="0"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uiPriority="99" w:name="List"/>
    <w:lsdException w:uiPriority="99" w:name="List Bullet"/>
    <w:lsdException w:qFormat="1"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99"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99" w:semiHidden="0" w:name="Body Text 2"/>
    <w:lsdException w:uiPriority="99" w:name="Body Text 3"/>
    <w:lsdException w:uiPriority="99" w:name="Body Text Indent 2"/>
    <w:lsdException w:uiPriority="99" w:name="Body Text Indent 3"/>
    <w:lsdException w:uiPriority="99" w:name="Block Text"/>
    <w:lsdException w:qFormat="1" w:uiPriority="99" w:name="Hyperlink"/>
    <w:lsdException w:qFormat="1" w:uiPriority="99" w:name="FollowedHyperlink"/>
    <w:lsdException w:qFormat="1" w:unhideWhenUsed="0" w:uiPriority="0" w:semiHidden="0" w:name="Strong"/>
    <w:lsdException w:qFormat="1" w:unhideWhenUsed="0" w:uiPriority="20" w:semiHidden="0" w:name="Emphasis"/>
    <w:lsdException w:qFormat="1" w:unhideWhenUsed="0" w:uiPriority="99" w:semiHidden="0" w:name="Document Map"/>
    <w:lsdException w:qFormat="1" w:unhideWhenUsed="0"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47"/>
    <w:qFormat/>
    <w:uiPriority w:val="0"/>
    <w:pPr>
      <w:keepNext/>
      <w:autoSpaceDE w:val="0"/>
      <w:autoSpaceDN w:val="0"/>
      <w:adjustRightInd w:val="0"/>
      <w:jc w:val="left"/>
      <w:outlineLvl w:val="0"/>
    </w:pPr>
    <w:rPr>
      <w:rFonts w:ascii="仿宋_GB2312" w:hAnsi="Times New Roman" w:eastAsia="仿宋_GB2312" w:cs="仿宋_GB2312"/>
      <w:b/>
      <w:bCs/>
      <w:color w:val="000000"/>
      <w:kern w:val="0"/>
      <w:sz w:val="20"/>
      <w:szCs w:val="20"/>
    </w:rPr>
  </w:style>
  <w:style w:type="paragraph" w:styleId="3">
    <w:name w:val="heading 2"/>
    <w:basedOn w:val="1"/>
    <w:next w:val="4"/>
    <w:link w:val="98"/>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5">
    <w:name w:val="heading 3"/>
    <w:basedOn w:val="1"/>
    <w:next w:val="1"/>
    <w:link w:val="51"/>
    <w:unhideWhenUsed/>
    <w:qFormat/>
    <w:uiPriority w:val="9"/>
    <w:pPr>
      <w:keepNext/>
      <w:keepLines/>
      <w:spacing w:before="260" w:after="260" w:line="416" w:lineRule="auto"/>
      <w:outlineLvl w:val="2"/>
    </w:pPr>
    <w:rPr>
      <w:b/>
      <w:bCs/>
      <w:sz w:val="32"/>
      <w:szCs w:val="32"/>
    </w:rPr>
  </w:style>
  <w:style w:type="paragraph" w:styleId="6">
    <w:name w:val="heading 4"/>
    <w:basedOn w:val="1"/>
    <w:next w:val="1"/>
    <w:semiHidden/>
    <w:unhideWhenUsed/>
    <w:qFormat/>
    <w:uiPriority w:val="9"/>
    <w:pPr>
      <w:spacing w:beforeAutospacing="1" w:afterAutospacing="1"/>
      <w:jc w:val="left"/>
      <w:outlineLvl w:val="3"/>
    </w:pPr>
    <w:rPr>
      <w:rFonts w:hint="eastAsia" w:ascii="宋体" w:hAnsi="宋体" w:eastAsia="宋体" w:cs="Times New Roman"/>
      <w:b/>
      <w:bCs/>
      <w:kern w:val="0"/>
      <w:sz w:val="24"/>
      <w:szCs w:val="24"/>
    </w:rPr>
  </w:style>
  <w:style w:type="character" w:default="1" w:styleId="29">
    <w:name w:val="Default Paragraph Font"/>
    <w:semiHidden/>
    <w:unhideWhenUsed/>
    <w:qFormat/>
    <w:uiPriority w:val="1"/>
  </w:style>
  <w:style w:type="table" w:default="1" w:styleId="27">
    <w:name w:val="Normal Table"/>
    <w:semiHidden/>
    <w:unhideWhenUsed/>
    <w:qFormat/>
    <w:uiPriority w:val="99"/>
    <w:tblPr>
      <w:tblCellMar>
        <w:top w:w="0" w:type="dxa"/>
        <w:left w:w="108" w:type="dxa"/>
        <w:bottom w:w="0" w:type="dxa"/>
        <w:right w:w="108" w:type="dxa"/>
      </w:tblCellMar>
    </w:tblPr>
  </w:style>
  <w:style w:type="paragraph" w:styleId="4">
    <w:name w:val="Normal Indent"/>
    <w:basedOn w:val="1"/>
    <w:link w:val="53"/>
    <w:qFormat/>
    <w:uiPriority w:val="0"/>
    <w:pPr>
      <w:tabs>
        <w:tab w:val="left" w:pos="750"/>
      </w:tabs>
      <w:spacing w:beforeLines="50" w:line="300" w:lineRule="auto"/>
      <w:ind w:firstLine="200" w:firstLineChars="200"/>
    </w:pPr>
    <w:rPr>
      <w:rFonts w:ascii="宋体" w:hAnsi="Times New Roman" w:eastAsia="宋体" w:cs="Times New Roman"/>
      <w:szCs w:val="21"/>
    </w:rPr>
  </w:style>
  <w:style w:type="paragraph" w:styleId="7">
    <w:name w:val="index 8"/>
    <w:basedOn w:val="1"/>
    <w:next w:val="1"/>
    <w:qFormat/>
    <w:uiPriority w:val="0"/>
    <w:pPr>
      <w:ind w:left="1400" w:leftChars="1400"/>
    </w:pPr>
  </w:style>
  <w:style w:type="paragraph" w:styleId="8">
    <w:name w:val="List Number"/>
    <w:basedOn w:val="1"/>
    <w:semiHidden/>
    <w:unhideWhenUsed/>
    <w:qFormat/>
    <w:uiPriority w:val="99"/>
    <w:pPr>
      <w:numPr>
        <w:ilvl w:val="0"/>
        <w:numId w:val="1"/>
      </w:numPr>
    </w:pPr>
  </w:style>
  <w:style w:type="paragraph" w:styleId="9">
    <w:name w:val="Document Map"/>
    <w:basedOn w:val="1"/>
    <w:qFormat/>
    <w:uiPriority w:val="99"/>
    <w:pPr>
      <w:shd w:val="clear" w:color="auto" w:fill="000080"/>
    </w:pPr>
  </w:style>
  <w:style w:type="paragraph" w:styleId="10">
    <w:name w:val="toa heading"/>
    <w:basedOn w:val="1"/>
    <w:next w:val="1"/>
    <w:qFormat/>
    <w:uiPriority w:val="0"/>
    <w:pPr>
      <w:spacing w:before="120"/>
    </w:pPr>
    <w:rPr>
      <w:rFonts w:ascii="Arial" w:hAnsi="Arial" w:eastAsia="微软雅黑"/>
      <w:sz w:val="24"/>
      <w:szCs w:val="21"/>
    </w:rPr>
  </w:style>
  <w:style w:type="paragraph" w:styleId="11">
    <w:name w:val="annotation text"/>
    <w:basedOn w:val="1"/>
    <w:qFormat/>
    <w:uiPriority w:val="0"/>
    <w:pPr>
      <w:jc w:val="left"/>
    </w:pPr>
    <w:rPr>
      <w:rFonts w:ascii="Times New Roman" w:hAnsi="Times New Roman"/>
      <w:sz w:val="24"/>
      <w:szCs w:val="24"/>
    </w:rPr>
  </w:style>
  <w:style w:type="paragraph" w:styleId="12">
    <w:name w:val="Body Text"/>
    <w:basedOn w:val="1"/>
    <w:next w:val="1"/>
    <w:link w:val="58"/>
    <w:unhideWhenUsed/>
    <w:qFormat/>
    <w:uiPriority w:val="99"/>
    <w:pPr>
      <w:spacing w:after="120"/>
    </w:pPr>
  </w:style>
  <w:style w:type="paragraph" w:styleId="13">
    <w:name w:val="Body Text Indent"/>
    <w:basedOn w:val="1"/>
    <w:qFormat/>
    <w:uiPriority w:val="99"/>
    <w:pPr>
      <w:ind w:firstLine="200" w:firstLineChars="200"/>
      <w:jc w:val="left"/>
    </w:pPr>
    <w:rPr>
      <w:rFonts w:ascii="仿宋_GB2312" w:eastAsia="仿宋_GB2312"/>
      <w:kern w:val="0"/>
      <w:sz w:val="24"/>
    </w:rPr>
  </w:style>
  <w:style w:type="paragraph" w:styleId="14">
    <w:name w:val="toc 5"/>
    <w:basedOn w:val="1"/>
    <w:next w:val="1"/>
    <w:qFormat/>
    <w:uiPriority w:val="39"/>
    <w:pPr>
      <w:ind w:left="840"/>
      <w:jc w:val="left"/>
    </w:pPr>
    <w:rPr>
      <w:sz w:val="18"/>
      <w:szCs w:val="18"/>
    </w:rPr>
  </w:style>
  <w:style w:type="paragraph" w:styleId="15">
    <w:name w:val="Plain Text"/>
    <w:basedOn w:val="1"/>
    <w:link w:val="46"/>
    <w:qFormat/>
    <w:uiPriority w:val="99"/>
    <w:pPr>
      <w:autoSpaceDE w:val="0"/>
      <w:autoSpaceDN w:val="0"/>
      <w:adjustRightInd w:val="0"/>
      <w:jc w:val="left"/>
    </w:pPr>
    <w:rPr>
      <w:rFonts w:ascii="宋体" w:hAnsi="Courier New" w:eastAsia="宋体" w:cs="宋体"/>
      <w:szCs w:val="21"/>
    </w:rPr>
  </w:style>
  <w:style w:type="paragraph" w:styleId="16">
    <w:name w:val="Date"/>
    <w:basedOn w:val="1"/>
    <w:next w:val="1"/>
    <w:qFormat/>
    <w:uiPriority w:val="99"/>
    <w:rPr>
      <w:szCs w:val="20"/>
    </w:rPr>
  </w:style>
  <w:style w:type="paragraph" w:styleId="17">
    <w:name w:val="Balloon Text"/>
    <w:basedOn w:val="1"/>
    <w:link w:val="54"/>
    <w:unhideWhenUsed/>
    <w:qFormat/>
    <w:uiPriority w:val="99"/>
    <w:rPr>
      <w:sz w:val="18"/>
      <w:szCs w:val="18"/>
    </w:rPr>
  </w:style>
  <w:style w:type="paragraph" w:styleId="18">
    <w:name w:val="footer"/>
    <w:basedOn w:val="1"/>
    <w:link w:val="45"/>
    <w:unhideWhenUsed/>
    <w:qFormat/>
    <w:uiPriority w:val="99"/>
    <w:pPr>
      <w:tabs>
        <w:tab w:val="center" w:pos="4153"/>
        <w:tab w:val="right" w:pos="8306"/>
      </w:tabs>
      <w:snapToGrid w:val="0"/>
      <w:jc w:val="left"/>
    </w:pPr>
    <w:rPr>
      <w:sz w:val="18"/>
      <w:szCs w:val="18"/>
    </w:rPr>
  </w:style>
  <w:style w:type="paragraph" w:styleId="19">
    <w:name w:val="header"/>
    <w:basedOn w:val="1"/>
    <w:link w:val="44"/>
    <w:unhideWhenUsed/>
    <w:qFormat/>
    <w:uiPriority w:val="99"/>
    <w:pPr>
      <w:pBdr>
        <w:bottom w:val="single" w:color="auto" w:sz="6" w:space="1"/>
      </w:pBdr>
      <w:tabs>
        <w:tab w:val="center" w:pos="4153"/>
        <w:tab w:val="right" w:pos="8306"/>
      </w:tabs>
      <w:snapToGrid w:val="0"/>
      <w:jc w:val="center"/>
    </w:pPr>
    <w:rPr>
      <w:sz w:val="18"/>
      <w:szCs w:val="18"/>
    </w:rPr>
  </w:style>
  <w:style w:type="paragraph" w:styleId="20">
    <w:name w:val="toc 1"/>
    <w:basedOn w:val="1"/>
    <w:next w:val="1"/>
    <w:unhideWhenUsed/>
    <w:qFormat/>
    <w:uiPriority w:val="39"/>
  </w:style>
  <w:style w:type="paragraph" w:styleId="21">
    <w:name w:val="toc 2"/>
    <w:basedOn w:val="1"/>
    <w:next w:val="1"/>
    <w:unhideWhenUsed/>
    <w:qFormat/>
    <w:uiPriority w:val="39"/>
    <w:pPr>
      <w:ind w:left="420" w:leftChars="200"/>
    </w:pPr>
  </w:style>
  <w:style w:type="paragraph" w:styleId="22">
    <w:name w:val="Body Text 2"/>
    <w:basedOn w:val="1"/>
    <w:link w:val="50"/>
    <w:qFormat/>
    <w:uiPriority w:val="99"/>
    <w:rPr>
      <w:rFonts w:ascii="宋体" w:hAnsi="Times New Roman" w:eastAsia="宋体" w:cs="宋体"/>
      <w:kern w:val="0"/>
      <w:sz w:val="20"/>
      <w:szCs w:val="20"/>
    </w:rPr>
  </w:style>
  <w:style w:type="paragraph" w:styleId="23">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Times New Roman"/>
      <w:kern w:val="0"/>
      <w:sz w:val="24"/>
      <w:szCs w:val="24"/>
    </w:rPr>
  </w:style>
  <w:style w:type="paragraph" w:styleId="24">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paragraph" w:styleId="25">
    <w:name w:val="Body Text First Indent"/>
    <w:basedOn w:val="1"/>
    <w:qFormat/>
    <w:uiPriority w:val="0"/>
    <w:pPr>
      <w:spacing w:after="120"/>
      <w:ind w:firstLine="420" w:firstLineChars="100"/>
    </w:pPr>
    <w:rPr>
      <w:rFonts w:ascii="Times New Roman" w:hAnsi="Times New Roman" w:eastAsia="宋体"/>
      <w:bCs/>
      <w:kern w:val="44"/>
      <w:sz w:val="52"/>
      <w:szCs w:val="44"/>
    </w:rPr>
  </w:style>
  <w:style w:type="paragraph" w:styleId="26">
    <w:name w:val="Body Text First Indent 2"/>
    <w:basedOn w:val="13"/>
    <w:qFormat/>
    <w:uiPriority w:val="0"/>
    <w:pPr>
      <w:ind w:firstLine="420"/>
    </w:pPr>
  </w:style>
  <w:style w:type="table" w:styleId="28">
    <w:name w:val="Table Grid"/>
    <w:basedOn w:val="27"/>
    <w:qFormat/>
    <w:uiPriority w:val="0"/>
    <w:rPr>
      <w:rFonts w:eastAsia="Times New Roman"/>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0">
    <w:name w:val="Strong"/>
    <w:basedOn w:val="29"/>
    <w:qFormat/>
    <w:uiPriority w:val="0"/>
    <w:rPr>
      <w:b/>
    </w:rPr>
  </w:style>
  <w:style w:type="character" w:styleId="31">
    <w:name w:val="page number"/>
    <w:basedOn w:val="29"/>
    <w:qFormat/>
    <w:uiPriority w:val="99"/>
  </w:style>
  <w:style w:type="character" w:styleId="32">
    <w:name w:val="FollowedHyperlink"/>
    <w:basedOn w:val="29"/>
    <w:semiHidden/>
    <w:unhideWhenUsed/>
    <w:qFormat/>
    <w:uiPriority w:val="99"/>
    <w:rPr>
      <w:color w:val="954F72"/>
      <w:u w:val="single"/>
    </w:rPr>
  </w:style>
  <w:style w:type="character" w:styleId="33">
    <w:name w:val="Hyperlink"/>
    <w:basedOn w:val="29"/>
    <w:semiHidden/>
    <w:unhideWhenUsed/>
    <w:qFormat/>
    <w:uiPriority w:val="99"/>
    <w:rPr>
      <w:color w:val="0563C1"/>
      <w:u w:val="single"/>
    </w:rPr>
  </w:style>
  <w:style w:type="paragraph" w:customStyle="1" w:styleId="34">
    <w:name w:val="Default"/>
    <w:qFormat/>
    <w:uiPriority w:val="0"/>
    <w:pPr>
      <w:widowControl w:val="0"/>
      <w:autoSpaceDE w:val="0"/>
      <w:autoSpaceDN w:val="0"/>
      <w:adjustRightInd w:val="0"/>
    </w:pPr>
    <w:rPr>
      <w:rFonts w:ascii="Akzidenz Grotesk" w:hAnsi="Times New Roman" w:eastAsia="Akzidenz Grotesk" w:cs="Times New Roman"/>
      <w:color w:val="000000"/>
      <w:sz w:val="24"/>
      <w:szCs w:val="24"/>
      <w:lang w:val="en-US" w:eastAsia="zh-CN" w:bidi="ar-SA"/>
    </w:rPr>
  </w:style>
  <w:style w:type="paragraph" w:customStyle="1" w:styleId="35">
    <w:name w:val="正文（自定义）"/>
    <w:basedOn w:val="1"/>
    <w:qFormat/>
    <w:uiPriority w:val="0"/>
    <w:pPr>
      <w:ind w:firstLine="200" w:firstLineChars="200"/>
    </w:pPr>
    <w:rPr>
      <w:rFonts w:ascii="仿宋_GB2312" w:hAnsi="仿宋_GB2312" w:eastAsia="仿宋_GB2312"/>
      <w:sz w:val="32"/>
    </w:rPr>
  </w:style>
  <w:style w:type="paragraph" w:customStyle="1" w:styleId="36">
    <w:name w:val="样式 正文文字缩进 + 小四 首行缩进:  2 字符"/>
    <w:basedOn w:val="1"/>
    <w:qFormat/>
    <w:uiPriority w:val="0"/>
    <w:pPr>
      <w:spacing w:line="600" w:lineRule="exact"/>
      <w:jc w:val="center"/>
    </w:pPr>
    <w:rPr>
      <w:b/>
      <w:u w:val="double"/>
    </w:rPr>
  </w:style>
  <w:style w:type="paragraph" w:customStyle="1" w:styleId="37">
    <w:name w:val="一级条标题"/>
    <w:basedOn w:val="1"/>
    <w:next w:val="1"/>
    <w:qFormat/>
    <w:uiPriority w:val="99"/>
    <w:pPr>
      <w:widowControl/>
      <w:ind w:left="420"/>
      <w:outlineLvl w:val="2"/>
    </w:pPr>
    <w:rPr>
      <w:rFonts w:ascii="黑体" w:eastAsia="黑体" w:cs="黑体"/>
    </w:rPr>
  </w:style>
  <w:style w:type="paragraph" w:customStyle="1" w:styleId="38">
    <w:name w:val="正文文本首行缩进 21"/>
    <w:basedOn w:val="13"/>
    <w:qFormat/>
    <w:uiPriority w:val="99"/>
    <w:pPr>
      <w:spacing w:line="200" w:lineRule="atLeast"/>
      <w:ind w:firstLine="420"/>
    </w:pPr>
    <w:rPr>
      <w:rFonts w:ascii="宋体" w:hAnsi="Courier New"/>
      <w:spacing w:val="-4"/>
      <w:sz w:val="18"/>
    </w:rPr>
  </w:style>
  <w:style w:type="paragraph" w:customStyle="1" w:styleId="39">
    <w:name w:val="图表目录1"/>
    <w:basedOn w:val="40"/>
    <w:next w:val="40"/>
    <w:qFormat/>
    <w:uiPriority w:val="0"/>
    <w:pPr>
      <w:spacing w:beforeAutospacing="1" w:afterAutospacing="1"/>
      <w:ind w:left="200" w:leftChars="200" w:hanging="200" w:hangingChars="200"/>
    </w:pPr>
  </w:style>
  <w:style w:type="paragraph" w:customStyle="1" w:styleId="40">
    <w:name w:val="正文 New New New New New New New New New New New New New New New New New New New New New New New New New New New New New New New New New New New New New New New New New New New New New New New New New New New New New New New New New New New New New New Ne"/>
    <w:next w:val="39"/>
    <w:qFormat/>
    <w:uiPriority w:val="0"/>
    <w:pPr>
      <w:widowControl w:val="0"/>
      <w:jc w:val="both"/>
    </w:pPr>
    <w:rPr>
      <w:rFonts w:ascii="Times New Roman" w:hAnsi="Times New Roman" w:eastAsia="宋体" w:cs="黑体"/>
      <w:kern w:val="2"/>
      <w:sz w:val="21"/>
      <w:szCs w:val="24"/>
      <w:lang w:val="en-US" w:eastAsia="zh-CN" w:bidi="ar-SA"/>
    </w:rPr>
  </w:style>
  <w:style w:type="paragraph" w:customStyle="1" w:styleId="41">
    <w:name w:val="无间隔1"/>
    <w:next w:val="1"/>
    <w:qFormat/>
    <w:uiPriority w:val="0"/>
    <w:pPr>
      <w:widowControl w:val="0"/>
      <w:jc w:val="both"/>
    </w:pPr>
    <w:rPr>
      <w:rFonts w:ascii="Calibri" w:hAnsi="Calibri" w:eastAsia="宋体" w:cs="Times New Roman"/>
      <w:kern w:val="2"/>
      <w:sz w:val="21"/>
      <w:szCs w:val="22"/>
      <w:lang w:val="en-US" w:eastAsia="zh-CN" w:bidi="ar-SA"/>
    </w:rPr>
  </w:style>
  <w:style w:type="paragraph" w:customStyle="1" w:styleId="42">
    <w:name w:val="图表目录2"/>
    <w:basedOn w:val="43"/>
    <w:next w:val="43"/>
    <w:qFormat/>
    <w:uiPriority w:val="0"/>
    <w:pPr>
      <w:spacing w:before="100" w:beforeAutospacing="1" w:after="100" w:afterAutospacing="1"/>
      <w:ind w:left="200" w:leftChars="200" w:hanging="200" w:hangingChars="200"/>
    </w:pPr>
  </w:style>
  <w:style w:type="paragraph" w:customStyle="1" w:styleId="43">
    <w:name w:val="正文 New New New New New New New New New New New New New New New New New New New New New New New New New New New New New New New New New New New New New New New New New New New New New New New New New New New New New New New New New New New New New New Ne1"/>
    <w:next w:val="42"/>
    <w:qFormat/>
    <w:uiPriority w:val="0"/>
    <w:pPr>
      <w:widowControl w:val="0"/>
      <w:jc w:val="both"/>
    </w:pPr>
    <w:rPr>
      <w:rFonts w:ascii="Times New Roman" w:hAnsi="Times New Roman" w:eastAsia="宋体" w:cs="黑体"/>
      <w:kern w:val="2"/>
      <w:sz w:val="21"/>
      <w:szCs w:val="24"/>
      <w:lang w:val="en-US" w:eastAsia="zh-CN" w:bidi="ar-SA"/>
    </w:rPr>
  </w:style>
  <w:style w:type="character" w:customStyle="1" w:styleId="44">
    <w:name w:val="页眉 字符"/>
    <w:basedOn w:val="29"/>
    <w:link w:val="19"/>
    <w:qFormat/>
    <w:uiPriority w:val="99"/>
    <w:rPr>
      <w:sz w:val="18"/>
      <w:szCs w:val="18"/>
    </w:rPr>
  </w:style>
  <w:style w:type="character" w:customStyle="1" w:styleId="45">
    <w:name w:val="页脚 字符"/>
    <w:basedOn w:val="29"/>
    <w:link w:val="18"/>
    <w:qFormat/>
    <w:uiPriority w:val="99"/>
    <w:rPr>
      <w:sz w:val="18"/>
      <w:szCs w:val="18"/>
    </w:rPr>
  </w:style>
  <w:style w:type="character" w:customStyle="1" w:styleId="46">
    <w:name w:val="纯文本 字符"/>
    <w:basedOn w:val="29"/>
    <w:link w:val="15"/>
    <w:qFormat/>
    <w:uiPriority w:val="99"/>
    <w:rPr>
      <w:rFonts w:ascii="宋体" w:hAnsi="Courier New" w:eastAsia="宋体" w:cs="宋体"/>
      <w:szCs w:val="21"/>
    </w:rPr>
  </w:style>
  <w:style w:type="character" w:customStyle="1" w:styleId="47">
    <w:name w:val="标题 1 字符"/>
    <w:basedOn w:val="29"/>
    <w:link w:val="2"/>
    <w:qFormat/>
    <w:uiPriority w:val="0"/>
    <w:rPr>
      <w:rFonts w:ascii="仿宋_GB2312" w:hAnsi="Times New Roman" w:eastAsia="仿宋_GB2312" w:cs="仿宋_GB2312"/>
      <w:b/>
      <w:bCs/>
      <w:color w:val="000000"/>
      <w:kern w:val="0"/>
      <w:sz w:val="20"/>
      <w:szCs w:val="20"/>
    </w:rPr>
  </w:style>
  <w:style w:type="paragraph" w:customStyle="1" w:styleId="48">
    <w:name w:val="列出段落1"/>
    <w:basedOn w:val="1"/>
    <w:qFormat/>
    <w:uiPriority w:val="34"/>
    <w:pPr>
      <w:ind w:firstLine="420" w:firstLineChars="200"/>
    </w:pPr>
  </w:style>
  <w:style w:type="character" w:customStyle="1" w:styleId="49">
    <w:name w:val="标题 2 Char"/>
    <w:basedOn w:val="29"/>
    <w:qFormat/>
    <w:uiPriority w:val="9"/>
    <w:rPr>
      <w:rFonts w:asciiTheme="majorHAnsi" w:hAnsiTheme="majorHAnsi" w:eastAsiaTheme="majorEastAsia" w:cstheme="majorBidi"/>
      <w:b/>
      <w:bCs/>
      <w:sz w:val="32"/>
      <w:szCs w:val="32"/>
    </w:rPr>
  </w:style>
  <w:style w:type="character" w:customStyle="1" w:styleId="50">
    <w:name w:val="正文文本 2 字符"/>
    <w:basedOn w:val="29"/>
    <w:link w:val="22"/>
    <w:qFormat/>
    <w:uiPriority w:val="99"/>
    <w:rPr>
      <w:rFonts w:ascii="宋体" w:hAnsi="Times New Roman" w:eastAsia="宋体" w:cs="宋体"/>
      <w:kern w:val="0"/>
      <w:sz w:val="20"/>
      <w:szCs w:val="20"/>
    </w:rPr>
  </w:style>
  <w:style w:type="character" w:customStyle="1" w:styleId="51">
    <w:name w:val="标题 3 字符"/>
    <w:basedOn w:val="29"/>
    <w:link w:val="5"/>
    <w:semiHidden/>
    <w:qFormat/>
    <w:uiPriority w:val="9"/>
    <w:rPr>
      <w:b/>
      <w:bCs/>
      <w:sz w:val="32"/>
      <w:szCs w:val="32"/>
    </w:rPr>
  </w:style>
  <w:style w:type="paragraph" w:customStyle="1" w:styleId="52">
    <w:name w:val="p2"/>
    <w:basedOn w:val="1"/>
    <w:qFormat/>
    <w:uiPriority w:val="99"/>
    <w:pPr>
      <w:widowControl/>
      <w:spacing w:line="480" w:lineRule="auto"/>
      <w:ind w:firstLine="420"/>
      <w:jc w:val="left"/>
    </w:pPr>
    <w:rPr>
      <w:rFonts w:ascii="宋体" w:hAnsi="宋体" w:eastAsia="宋体" w:cs="宋体"/>
      <w:kern w:val="0"/>
      <w:szCs w:val="21"/>
    </w:rPr>
  </w:style>
  <w:style w:type="character" w:customStyle="1" w:styleId="53">
    <w:name w:val="正文缩进 字符"/>
    <w:link w:val="4"/>
    <w:qFormat/>
    <w:locked/>
    <w:uiPriority w:val="0"/>
    <w:rPr>
      <w:rFonts w:ascii="宋体" w:hAnsi="Times New Roman" w:eastAsia="宋体" w:cs="Times New Roman"/>
      <w:szCs w:val="21"/>
    </w:rPr>
  </w:style>
  <w:style w:type="character" w:customStyle="1" w:styleId="54">
    <w:name w:val="批注框文本 字符"/>
    <w:basedOn w:val="29"/>
    <w:link w:val="17"/>
    <w:semiHidden/>
    <w:qFormat/>
    <w:uiPriority w:val="99"/>
    <w:rPr>
      <w:sz w:val="18"/>
      <w:szCs w:val="18"/>
    </w:rPr>
  </w:style>
  <w:style w:type="character" w:customStyle="1" w:styleId="55">
    <w:name w:val="纯文本 Char1"/>
    <w:qFormat/>
    <w:uiPriority w:val="0"/>
    <w:rPr>
      <w:rFonts w:ascii="宋体" w:hAnsi="Courier New"/>
      <w:kern w:val="2"/>
      <w:sz w:val="21"/>
      <w:szCs w:val="21"/>
    </w:rPr>
  </w:style>
  <w:style w:type="paragraph" w:customStyle="1" w:styleId="56">
    <w:name w:val="列出段落2"/>
    <w:basedOn w:val="1"/>
    <w:link w:val="59"/>
    <w:unhideWhenUsed/>
    <w:qFormat/>
    <w:uiPriority w:val="34"/>
    <w:pPr>
      <w:ind w:firstLine="420" w:firstLineChars="200"/>
    </w:pPr>
  </w:style>
  <w:style w:type="character" w:customStyle="1" w:styleId="57">
    <w:name w:val="纯文本 Char2"/>
    <w:qFormat/>
    <w:uiPriority w:val="0"/>
    <w:rPr>
      <w:rFonts w:ascii="宋体" w:hAnsi="Courier New"/>
      <w:kern w:val="2"/>
      <w:sz w:val="21"/>
      <w:szCs w:val="21"/>
    </w:rPr>
  </w:style>
  <w:style w:type="character" w:customStyle="1" w:styleId="58">
    <w:name w:val="正文文本 字符"/>
    <w:basedOn w:val="29"/>
    <w:link w:val="12"/>
    <w:qFormat/>
    <w:uiPriority w:val="99"/>
    <w:rPr>
      <w:kern w:val="2"/>
      <w:sz w:val="21"/>
      <w:szCs w:val="22"/>
    </w:rPr>
  </w:style>
  <w:style w:type="character" w:customStyle="1" w:styleId="59">
    <w:name w:val="列出段落 Char"/>
    <w:link w:val="56"/>
    <w:qFormat/>
    <w:uiPriority w:val="34"/>
    <w:rPr>
      <w:kern w:val="2"/>
      <w:sz w:val="21"/>
      <w:szCs w:val="22"/>
    </w:rPr>
  </w:style>
  <w:style w:type="paragraph" w:styleId="60">
    <w:name w:val="List Paragraph"/>
    <w:basedOn w:val="1"/>
    <w:qFormat/>
    <w:uiPriority w:val="34"/>
    <w:pPr>
      <w:ind w:firstLine="420" w:firstLineChars="200"/>
    </w:pPr>
  </w:style>
  <w:style w:type="paragraph" w:customStyle="1" w:styleId="61">
    <w:name w:val="正文文本缩进1"/>
    <w:basedOn w:val="1"/>
    <w:qFormat/>
    <w:uiPriority w:val="99"/>
    <w:pPr>
      <w:spacing w:line="200" w:lineRule="exact"/>
      <w:ind w:firstLine="301"/>
    </w:pPr>
    <w:rPr>
      <w:rFonts w:ascii="宋体" w:hAnsi="Courier New" w:eastAsia="宋体" w:cs="Times New Roman"/>
      <w:spacing w:val="-4"/>
      <w:sz w:val="18"/>
      <w:szCs w:val="20"/>
    </w:rPr>
  </w:style>
  <w:style w:type="paragraph" w:customStyle="1" w:styleId="62">
    <w:name w:val="font5"/>
    <w:basedOn w:val="1"/>
    <w:qFormat/>
    <w:uiPriority w:val="99"/>
    <w:pPr>
      <w:widowControl/>
      <w:spacing w:before="100" w:beforeAutospacing="1" w:after="100" w:afterAutospacing="1"/>
      <w:jc w:val="left"/>
    </w:pPr>
    <w:rPr>
      <w:rFonts w:ascii="等线" w:hAnsi="等线" w:eastAsia="等线" w:cs="宋体"/>
      <w:kern w:val="0"/>
      <w:sz w:val="18"/>
      <w:szCs w:val="18"/>
    </w:rPr>
  </w:style>
  <w:style w:type="paragraph" w:customStyle="1" w:styleId="63">
    <w:name w:val="xl6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color w:val="000000"/>
      <w:kern w:val="0"/>
      <w:szCs w:val="21"/>
    </w:rPr>
  </w:style>
  <w:style w:type="paragraph" w:customStyle="1" w:styleId="64">
    <w:name w:val="xl6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color w:val="000000"/>
      <w:kern w:val="0"/>
      <w:szCs w:val="21"/>
    </w:rPr>
  </w:style>
  <w:style w:type="paragraph" w:customStyle="1" w:styleId="65">
    <w:name w:val="xl67"/>
    <w:basedOn w:val="1"/>
    <w:qFormat/>
    <w:uiPriority w:val="99"/>
    <w:pPr>
      <w:widowControl/>
      <w:spacing w:before="100" w:beforeAutospacing="1" w:after="100" w:afterAutospacing="1"/>
      <w:jc w:val="left"/>
    </w:pPr>
    <w:rPr>
      <w:rFonts w:ascii="宋体" w:hAnsi="宋体" w:eastAsia="宋体" w:cs="宋体"/>
      <w:kern w:val="0"/>
      <w:sz w:val="24"/>
      <w:szCs w:val="24"/>
    </w:rPr>
  </w:style>
  <w:style w:type="paragraph" w:customStyle="1" w:styleId="66">
    <w:name w:val="xl68"/>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kern w:val="0"/>
      <w:szCs w:val="21"/>
    </w:rPr>
  </w:style>
  <w:style w:type="paragraph" w:customStyle="1" w:styleId="67">
    <w:name w:val="xl69"/>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kern w:val="0"/>
      <w:sz w:val="24"/>
      <w:szCs w:val="24"/>
    </w:rPr>
  </w:style>
  <w:style w:type="paragraph" w:customStyle="1" w:styleId="68">
    <w:name w:val="xl70"/>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kern w:val="0"/>
      <w:sz w:val="24"/>
      <w:szCs w:val="24"/>
    </w:rPr>
  </w:style>
  <w:style w:type="paragraph" w:customStyle="1" w:styleId="69">
    <w:name w:val="xl71"/>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eastAsia="宋体" w:cs="宋体"/>
      <w:kern w:val="0"/>
      <w:szCs w:val="21"/>
    </w:rPr>
  </w:style>
  <w:style w:type="paragraph" w:customStyle="1" w:styleId="70">
    <w:name w:val="xl72"/>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eastAsia="宋体" w:cs="宋体"/>
      <w:color w:val="000000"/>
      <w:kern w:val="0"/>
      <w:szCs w:val="21"/>
    </w:rPr>
  </w:style>
  <w:style w:type="paragraph" w:customStyle="1" w:styleId="71">
    <w:name w:val="xl73"/>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kern w:val="0"/>
      <w:szCs w:val="21"/>
    </w:rPr>
  </w:style>
  <w:style w:type="paragraph" w:customStyle="1" w:styleId="72">
    <w:name w:val="标题 11"/>
    <w:basedOn w:val="1"/>
    <w:qFormat/>
    <w:uiPriority w:val="1"/>
    <w:pPr>
      <w:autoSpaceDE w:val="0"/>
      <w:autoSpaceDN w:val="0"/>
      <w:spacing w:before="38"/>
      <w:ind w:left="1482" w:right="1677"/>
      <w:jc w:val="center"/>
      <w:outlineLvl w:val="1"/>
    </w:pPr>
    <w:rPr>
      <w:rFonts w:ascii="宋体" w:hAnsi="宋体" w:eastAsia="宋体" w:cs="宋体"/>
      <w:b/>
      <w:bCs/>
      <w:kern w:val="0"/>
      <w:sz w:val="36"/>
      <w:szCs w:val="36"/>
      <w:lang w:val="zh-CN" w:bidi="zh-CN"/>
    </w:rPr>
  </w:style>
  <w:style w:type="character" w:customStyle="1" w:styleId="73">
    <w:name w:val="font01"/>
    <w:basedOn w:val="29"/>
    <w:qFormat/>
    <w:uiPriority w:val="0"/>
    <w:rPr>
      <w:rFonts w:hint="eastAsia" w:ascii="宋体" w:hAnsi="宋体" w:eastAsia="宋体" w:cs="宋体"/>
      <w:color w:val="000000"/>
      <w:sz w:val="16"/>
      <w:szCs w:val="16"/>
      <w:u w:val="none"/>
    </w:rPr>
  </w:style>
  <w:style w:type="character" w:customStyle="1" w:styleId="74">
    <w:name w:val="font41"/>
    <w:basedOn w:val="29"/>
    <w:qFormat/>
    <w:uiPriority w:val="0"/>
    <w:rPr>
      <w:rFonts w:ascii="Calibri" w:hAnsi="Calibri" w:cs="Calibri"/>
      <w:color w:val="000000"/>
      <w:sz w:val="16"/>
      <w:szCs w:val="16"/>
      <w:u w:val="none"/>
    </w:rPr>
  </w:style>
  <w:style w:type="paragraph" w:customStyle="1" w:styleId="75">
    <w:name w:val="！正文"/>
    <w:basedOn w:val="1"/>
    <w:qFormat/>
    <w:uiPriority w:val="0"/>
    <w:pPr>
      <w:widowControl/>
      <w:autoSpaceDE w:val="0"/>
      <w:autoSpaceDN w:val="0"/>
      <w:adjustRightInd w:val="0"/>
      <w:spacing w:line="360" w:lineRule="auto"/>
      <w:ind w:firstLine="200" w:firstLineChars="200"/>
      <w:jc w:val="left"/>
      <w:textAlignment w:val="baseline"/>
    </w:pPr>
    <w:rPr>
      <w:rFonts w:hAnsi="Arial" w:eastAsia="仿宋"/>
      <w:kern w:val="0"/>
      <w:sz w:val="28"/>
      <w:szCs w:val="28"/>
      <w:lang w:val="zh-CN"/>
    </w:rPr>
  </w:style>
  <w:style w:type="character" w:customStyle="1" w:styleId="76">
    <w:name w:val="font101"/>
    <w:basedOn w:val="29"/>
    <w:qFormat/>
    <w:uiPriority w:val="0"/>
    <w:rPr>
      <w:rFonts w:hint="eastAsia" w:ascii="宋体" w:hAnsi="宋体" w:eastAsia="宋体" w:cs="宋体"/>
      <w:b/>
      <w:color w:val="000000"/>
      <w:sz w:val="22"/>
      <w:szCs w:val="22"/>
      <w:u w:val="none"/>
    </w:rPr>
  </w:style>
  <w:style w:type="character" w:customStyle="1" w:styleId="77">
    <w:name w:val="font31"/>
    <w:basedOn w:val="29"/>
    <w:qFormat/>
    <w:uiPriority w:val="0"/>
    <w:rPr>
      <w:rFonts w:hint="eastAsia" w:ascii="宋体" w:hAnsi="宋体" w:eastAsia="宋体" w:cs="宋体"/>
      <w:color w:val="000000"/>
      <w:sz w:val="22"/>
      <w:szCs w:val="22"/>
      <w:u w:val="none"/>
    </w:rPr>
  </w:style>
  <w:style w:type="character" w:customStyle="1" w:styleId="78">
    <w:name w:val="font21"/>
    <w:basedOn w:val="29"/>
    <w:qFormat/>
    <w:uiPriority w:val="0"/>
    <w:rPr>
      <w:rFonts w:hint="default" w:ascii="Arial" w:hAnsi="Arial" w:cs="Arial"/>
      <w:color w:val="000000"/>
      <w:sz w:val="22"/>
      <w:szCs w:val="22"/>
      <w:u w:val="none"/>
    </w:rPr>
  </w:style>
  <w:style w:type="character" w:customStyle="1" w:styleId="79">
    <w:name w:val="font111"/>
    <w:basedOn w:val="29"/>
    <w:qFormat/>
    <w:uiPriority w:val="0"/>
    <w:rPr>
      <w:rFonts w:hint="default" w:ascii="Times New Roman" w:hAnsi="Times New Roman" w:cs="Times New Roman"/>
      <w:color w:val="000000"/>
      <w:sz w:val="14"/>
      <w:szCs w:val="14"/>
      <w:u w:val="none"/>
    </w:rPr>
  </w:style>
  <w:style w:type="character" w:customStyle="1" w:styleId="80">
    <w:name w:val="font131"/>
    <w:basedOn w:val="29"/>
    <w:qFormat/>
    <w:uiPriority w:val="0"/>
    <w:rPr>
      <w:rFonts w:hint="eastAsia" w:ascii="宋体" w:hAnsi="宋体" w:eastAsia="宋体" w:cs="宋体"/>
      <w:color w:val="000000"/>
      <w:sz w:val="16"/>
      <w:szCs w:val="16"/>
      <w:u w:val="none"/>
    </w:rPr>
  </w:style>
  <w:style w:type="character" w:customStyle="1" w:styleId="81">
    <w:name w:val="font161"/>
    <w:basedOn w:val="29"/>
    <w:qFormat/>
    <w:uiPriority w:val="0"/>
    <w:rPr>
      <w:rFonts w:ascii="Calibri" w:hAnsi="Calibri" w:cs="Calibri"/>
      <w:color w:val="000000"/>
      <w:sz w:val="16"/>
      <w:szCs w:val="16"/>
      <w:u w:val="none"/>
    </w:rPr>
  </w:style>
  <w:style w:type="character" w:customStyle="1" w:styleId="82">
    <w:name w:val="font51"/>
    <w:basedOn w:val="29"/>
    <w:qFormat/>
    <w:uiPriority w:val="0"/>
    <w:rPr>
      <w:rFonts w:hint="default" w:ascii="Times New Roman" w:hAnsi="Times New Roman" w:cs="Times New Roman"/>
      <w:color w:val="000000"/>
      <w:sz w:val="22"/>
      <w:szCs w:val="22"/>
      <w:u w:val="none"/>
    </w:rPr>
  </w:style>
  <w:style w:type="character" w:customStyle="1" w:styleId="83">
    <w:name w:val="font91"/>
    <w:basedOn w:val="29"/>
    <w:qFormat/>
    <w:uiPriority w:val="0"/>
    <w:rPr>
      <w:rFonts w:hint="eastAsia" w:ascii="微软雅黑" w:hAnsi="微软雅黑" w:eastAsia="微软雅黑" w:cs="微软雅黑"/>
      <w:color w:val="000000"/>
      <w:sz w:val="22"/>
      <w:szCs w:val="22"/>
      <w:u w:val="none"/>
    </w:rPr>
  </w:style>
  <w:style w:type="character" w:customStyle="1" w:styleId="84">
    <w:name w:val="font81"/>
    <w:basedOn w:val="29"/>
    <w:qFormat/>
    <w:uiPriority w:val="0"/>
    <w:rPr>
      <w:rFonts w:hint="default" w:ascii="Times New Roman" w:hAnsi="Times New Roman" w:cs="Times New Roman"/>
      <w:color w:val="000000"/>
      <w:sz w:val="18"/>
      <w:szCs w:val="18"/>
      <w:u w:val="none"/>
    </w:rPr>
  </w:style>
  <w:style w:type="character" w:customStyle="1" w:styleId="85">
    <w:name w:val="font61"/>
    <w:basedOn w:val="29"/>
    <w:qFormat/>
    <w:uiPriority w:val="0"/>
    <w:rPr>
      <w:rFonts w:hint="default" w:ascii="Times New Roman" w:hAnsi="Times New Roman" w:cs="Times New Roman"/>
      <w:color w:val="000000"/>
      <w:sz w:val="18"/>
      <w:szCs w:val="18"/>
      <w:u w:val="none"/>
    </w:rPr>
  </w:style>
  <w:style w:type="character" w:customStyle="1" w:styleId="86">
    <w:name w:val="font71"/>
    <w:basedOn w:val="29"/>
    <w:qFormat/>
    <w:uiPriority w:val="0"/>
    <w:rPr>
      <w:rFonts w:hint="default" w:ascii="Times New Roman" w:hAnsi="Times New Roman" w:cs="Times New Roman"/>
      <w:color w:val="000000"/>
      <w:sz w:val="22"/>
      <w:szCs w:val="22"/>
      <w:u w:val="none"/>
    </w:rPr>
  </w:style>
  <w:style w:type="character" w:customStyle="1" w:styleId="87">
    <w:name w:val="font11"/>
    <w:basedOn w:val="29"/>
    <w:qFormat/>
    <w:uiPriority w:val="0"/>
    <w:rPr>
      <w:rFonts w:hint="eastAsia" w:ascii="宋体" w:hAnsi="宋体" w:eastAsia="宋体" w:cs="宋体"/>
      <w:color w:val="FF0000"/>
      <w:sz w:val="24"/>
      <w:szCs w:val="24"/>
      <w:u w:val="none"/>
    </w:rPr>
  </w:style>
  <w:style w:type="paragraph" w:customStyle="1" w:styleId="88">
    <w:name w:val="Body text|1"/>
    <w:basedOn w:val="1"/>
    <w:qFormat/>
    <w:uiPriority w:val="0"/>
    <w:pPr>
      <w:spacing w:line="434" w:lineRule="auto"/>
      <w:ind w:firstLine="400"/>
    </w:pPr>
    <w:rPr>
      <w:rFonts w:ascii="宋体" w:hAnsi="宋体" w:eastAsia="宋体" w:cs="宋体"/>
      <w:sz w:val="22"/>
      <w:lang w:val="zh-TW" w:eastAsia="zh-TW" w:bidi="zh-TW"/>
    </w:rPr>
  </w:style>
  <w:style w:type="character" w:customStyle="1" w:styleId="89">
    <w:name w:val="font112"/>
    <w:basedOn w:val="29"/>
    <w:qFormat/>
    <w:uiPriority w:val="0"/>
    <w:rPr>
      <w:rFonts w:hint="eastAsia" w:ascii="宋体" w:hAnsi="宋体" w:eastAsia="宋体" w:cs="宋体"/>
      <w:color w:val="FF0000"/>
      <w:sz w:val="18"/>
      <w:szCs w:val="18"/>
      <w:u w:val="none"/>
    </w:rPr>
  </w:style>
  <w:style w:type="paragraph" w:customStyle="1" w:styleId="90">
    <w:name w:val="标题 12"/>
    <w:basedOn w:val="1"/>
    <w:qFormat/>
    <w:uiPriority w:val="1"/>
    <w:pPr>
      <w:autoSpaceDE w:val="0"/>
      <w:autoSpaceDN w:val="0"/>
      <w:spacing w:before="38"/>
      <w:ind w:left="1482" w:right="1677"/>
      <w:jc w:val="center"/>
      <w:outlineLvl w:val="1"/>
    </w:pPr>
    <w:rPr>
      <w:rFonts w:hAnsi="宋体" w:cs="宋体"/>
      <w:b/>
      <w:bCs/>
      <w:kern w:val="0"/>
      <w:sz w:val="36"/>
      <w:szCs w:val="36"/>
      <w:lang w:val="zh-CN" w:bidi="zh-CN"/>
    </w:rPr>
  </w:style>
  <w:style w:type="paragraph" w:customStyle="1" w:styleId="91">
    <w:name w:val="列出段落3"/>
    <w:basedOn w:val="1"/>
    <w:unhideWhenUsed/>
    <w:qFormat/>
    <w:uiPriority w:val="1"/>
    <w:pPr>
      <w:ind w:firstLine="420" w:firstLineChars="200"/>
    </w:pPr>
  </w:style>
  <w:style w:type="paragraph" w:customStyle="1" w:styleId="92">
    <w:name w:val="正文_1"/>
    <w:qFormat/>
    <w:uiPriority w:val="0"/>
    <w:pPr>
      <w:widowControl w:val="0"/>
      <w:jc w:val="both"/>
    </w:pPr>
    <w:rPr>
      <w:rFonts w:ascii="Times New Roman" w:hAnsi="Times New Roman" w:eastAsia="宋体" w:cs="Times New Roman"/>
      <w:kern w:val="2"/>
      <w:sz w:val="21"/>
      <w:lang w:val="en-US" w:eastAsia="zh-CN" w:bidi="ar-SA"/>
    </w:rPr>
  </w:style>
  <w:style w:type="paragraph" w:styleId="93">
    <w:name w:val="No Spacing"/>
    <w:qFormat/>
    <w:uiPriority w:val="99"/>
    <w:pPr>
      <w:widowControl w:val="0"/>
      <w:jc w:val="both"/>
    </w:pPr>
    <w:rPr>
      <w:rFonts w:ascii="Calibri" w:hAnsi="Calibri" w:eastAsia="宋体" w:cs="Times New Roman"/>
      <w:kern w:val="2"/>
      <w:sz w:val="21"/>
      <w:szCs w:val="22"/>
      <w:lang w:val="en-US" w:eastAsia="zh-CN" w:bidi="ar-SA"/>
    </w:rPr>
  </w:style>
  <w:style w:type="paragraph" w:customStyle="1" w:styleId="94">
    <w:name w:val="正文1"/>
    <w:qFormat/>
    <w:uiPriority w:val="0"/>
    <w:pPr>
      <w:jc w:val="both"/>
    </w:pPr>
    <w:rPr>
      <w:rFonts w:ascii="Calibri" w:hAnsi="Calibri" w:eastAsia="宋体" w:cs="Calibri"/>
      <w:kern w:val="2"/>
      <w:sz w:val="21"/>
      <w:szCs w:val="21"/>
      <w:lang w:val="en-US" w:eastAsia="zh-CN" w:bidi="ar-SA"/>
    </w:rPr>
  </w:style>
  <w:style w:type="paragraph" w:customStyle="1" w:styleId="95">
    <w:name w:val="F正文"/>
    <w:basedOn w:val="1"/>
    <w:qFormat/>
    <w:uiPriority w:val="0"/>
    <w:pPr>
      <w:spacing w:before="60" w:after="60" w:line="360" w:lineRule="auto"/>
      <w:ind w:firstLine="480" w:firstLineChars="200"/>
      <w:jc w:val="left"/>
    </w:pPr>
    <w:rPr>
      <w:rFonts w:ascii="宋体" w:hAnsi="Microsoft Sans Serif"/>
      <w:bCs/>
      <w:sz w:val="24"/>
    </w:rPr>
  </w:style>
  <w:style w:type="paragraph" w:customStyle="1" w:styleId="96">
    <w:name w:val="正文（缩进）"/>
    <w:basedOn w:val="1"/>
    <w:qFormat/>
    <w:uiPriority w:val="0"/>
    <w:pPr>
      <w:widowControl/>
      <w:spacing w:beforeLines="50" w:afterLines="50" w:line="360" w:lineRule="auto"/>
      <w:ind w:firstLine="200" w:firstLineChars="200"/>
    </w:pPr>
    <w:rPr>
      <w:rFonts w:ascii="宋体" w:hAnsi="Calibri" w:eastAsia="宋体" w:cs="Times New Roman"/>
      <w:kern w:val="0"/>
      <w:sz w:val="24"/>
    </w:rPr>
  </w:style>
  <w:style w:type="paragraph" w:customStyle="1" w:styleId="97">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character" w:customStyle="1" w:styleId="98">
    <w:name w:val="标题 2 字符"/>
    <w:link w:val="3"/>
    <w:qFormat/>
    <w:uiPriority w:val="9"/>
    <w:rPr>
      <w:rFonts w:ascii="Arial" w:hAnsi="Arial" w:eastAsia="黑体"/>
      <w:b/>
      <w:bCs/>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foot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5664ce9b-48fd-4142-ab47-b012bf280a19</errorID>
      <errorWord>2026年06月</errorWord>
      <group>L1_Knowledge</group>
      <groupName>知识性问题</groupName>
      <ability>L2_Time</ability>
      <abilityName>日期时间</abilityName>
      <candidateList>
        <item>2026年6月</item>
      </candidateList>
      <explain>根据日常书写习惯，月份一般会省略前导零。</explain>
      <paraID>39A947B0</paraID>
      <start>65</start>
      <end>73</end>
      <status>unmodified</status>
      <modifiedWord/>
      <trackRevisions>false</trackRevisions>
    </reviewItem>
    <reviewItem>
      <errorID>5326e6fc-5c54-4423-812b-d1ea74065894</errorID>
      <errorWord>按照过程</errorWord>
      <group>L1_Word</group>
      <groupName>字词问题</groupName>
      <ability>L2_Typo</ability>
      <abilityName>字词错误</abilityName>
      <candidateList>
        <item>安装过程</item>
      </candidateList>
      <explain/>
      <paraID>30C26718</paraID>
      <start>77</start>
      <end>81</end>
      <status>unmodified</status>
      <modifiedWord/>
      <trackRevisions>false</trackRevisions>
    </reviewItem>
    <reviewItem>
      <errorID>ac2ce2ee-a79a-468b-87a8-34cfc291ad4e</errorID>
      <errorWord>2026年06月</errorWord>
      <group>L1_Knowledge</group>
      <groupName>知识性问题</groupName>
      <ability>L2_Time</ability>
      <abilityName>日期时间</abilityName>
      <candidateList>
        <item>2026年6月</item>
      </candidateList>
      <explain>根据日常书写习惯，月份一般会省略前导零。</explain>
      <paraID>57685FCF</paraID>
      <start>5</start>
      <end>13</end>
      <status>unmodified</status>
      <modifiedWord/>
      <trackRevisions>false</trackRevisions>
    </reviewItem>
    <reviewItem>
      <errorID>adc02bfc-895e-406b-9508-8307b63e208d</errorID>
      <errorWord>2026年06月</errorWord>
      <group>L1_Knowledge</group>
      <groupName>知识性问题</groupName>
      <ability>L2_Time</ability>
      <abilityName>日期时间</abilityName>
      <candidateList>
        <item>2026年6月</item>
      </candidateList>
      <explain>根据日常书写习惯，月份一般会省略前导零。</explain>
      <paraID>57685FCF</paraID>
      <start>18</start>
      <end>26</end>
      <status>unmodified</status>
      <modifiedWord/>
      <trackRevisions>false</trackRevisions>
    </reviewItem>
    <reviewItem>
      <errorID>3a613553-e28a-44ed-ba9e-436215b5798c</errorID>
      <errorWord>2026年06月</errorWord>
      <group>L1_Knowledge</group>
      <groupName>知识性问题</groupName>
      <ability>L2_Time</ability>
      <abilityName>日期时间</abilityName>
      <candidateList>
        <item>2026年6月</item>
      </candidateList>
      <explain>根据日常书写习惯，月份一般会省略前导零。</explain>
      <paraID> 2DDD8F4</paraID>
      <start>7</start>
      <end>15</end>
      <status>unmodified</status>
      <modifiedWord/>
      <trackRevisions>false</trackRevisions>
    </reviewItem>
    <reviewItem>
      <errorID>208dbf89-17dc-4169-853f-401102bbd233</errorID>
      <errorWord>2026年06月</errorWord>
      <group>L1_Knowledge</group>
      <groupName>知识性问题</groupName>
      <ability>L2_Time</ability>
      <abilityName>日期时间</abilityName>
      <candidateList>
        <item>2026年6月</item>
      </candidateList>
      <explain>根据日常书写习惯，月份一般会省略前导零。</explain>
      <paraID>42E9D5E3</paraID>
      <start>5</start>
      <end>13</end>
      <status>unmodified</status>
      <modifiedWord/>
      <trackRevisions>false</trackRevisions>
    </reviewItem>
    <reviewItem>
      <errorID>f2f7b413-ab49-4081-8e5f-601c3ad051b2</errorID>
      <errorWord>2026年03月12日</errorWord>
      <group>L1_Knowledge</group>
      <groupName>知识性问题</groupName>
      <ability>L2_Time</ability>
      <abilityName>日期时间</abilityName>
      <candidateList>
        <item>2026年3月12日</item>
      </candidateList>
      <explain>根据日常书写习惯，月份一般会省略前导零。</explain>
      <paraID>714E4AA0</paraID>
      <start>54</start>
      <end>65</end>
      <status>unmodified</status>
      <modifiedWord/>
      <trackRevisions>false</trackRevisions>
    </reviewItem>
    <reviewItem>
      <errorID>eb56249f-d332-46fb-90cf-b7893ee96961</errorID>
      <errorWord>2026年06月</errorWord>
      <group>L1_Knowledge</group>
      <groupName>知识性问题</groupName>
      <ability>L2_Time</ability>
      <abilityName>日期时间</abilityName>
      <candidateList>
        <item>2026年6月</item>
      </candidateList>
      <explain>根据日常书写习惯，月份一般会省略前导零。</explain>
      <paraID>5458CE96</paraID>
      <start>181</start>
      <end>189</end>
      <status>unmodified</status>
      <modifiedWord/>
      <trackRevisions>false</trackRevisions>
    </reviewItem>
    <reviewItem>
      <errorID>38c9adf8-aeb5-412e-adc6-c9250b398b4e</errorID>
      <errorWord>2026年06月</errorWord>
      <group>L1_Knowledge</group>
      <groupName>知识性问题</groupName>
      <ability>L2_Time</ability>
      <abilityName>日期时间</abilityName>
      <candidateList>
        <item>2026年6月</item>
      </candidateList>
      <explain>根据日常书写习惯，月份一般会省略前导零。</explain>
      <paraID>34D49770</paraID>
      <start>12</start>
      <end>20</end>
      <status>unmodified</status>
      <modifiedWord/>
      <trackRevisions>false</trackRevisions>
    </reviewItem>
    <reviewItem>
      <errorID>33e9cb8e-e5c8-421d-a691-43e158a7afde</errorID>
      <errorWord>2026年06月</errorWord>
      <group>L1_Knowledge</group>
      <groupName>知识性问题</groupName>
      <ability>L2_Time</ability>
      <abilityName>日期时间</abilityName>
      <candidateList>
        <item>2026年6月</item>
      </candidateList>
      <explain>根据日常书写习惯，月份一般会省略前导零。</explain>
      <paraID>4ECA9D8B</paraID>
      <start>11</start>
      <end>19</end>
      <status>unmodified</status>
      <modifiedWord/>
      <trackRevisions>false</trackRevisions>
    </reviewItem>
    <reviewItem>
      <errorID>224d832f-e952-4f6e-be1c-8789008c0817</errorID>
      <errorWord>按照过程</errorWord>
      <group>L1_Word</group>
      <groupName>字词问题</groupName>
      <ability>L2_Typo</ability>
      <abilityName>字词错误</abilityName>
      <candidateList>
        <item>安装过程</item>
      </candidateList>
      <explain/>
      <paraID>212CF16C</paraID>
      <start>77</start>
      <end>81</end>
      <status>unmodified</status>
      <modifiedWord/>
      <trackRevisions>false</trackRevisions>
    </reviewItem>
    <reviewItem>
      <errorID>3eb963ab-d194-4602-8131-4d2286603a46</errorID>
      <errorWord>2026年06月</errorWord>
      <group>L1_Knowledge</group>
      <groupName>知识性问题</groupName>
      <ability>L2_Time</ability>
      <abilityName>日期时间</abilityName>
      <candidateList>
        <item>2026年6月</item>
      </candidateList>
      <explain>根据日常书写习惯，月份一般会省略前导零。</explain>
      <paraID> E23EACD</paraID>
      <start>7</start>
      <end>15</end>
      <status>unmodified</status>
      <modifiedWord/>
      <trackRevisions>false</trackRevisions>
    </reviewItem>
    <reviewItem>
      <errorID>95f1f969-ccd3-4ebf-80b4-44b3afaf2008</errorID>
      <errorWord>2026年06月</errorWord>
      <group>L1_Knowledge</group>
      <groupName>知识性问题</groupName>
      <ability>L2_Time</ability>
      <abilityName>日期时间</abilityName>
      <candidateList>
        <item>2026年6月</item>
      </candidateList>
      <explain>根据日常书写习惯，月份一般会省略前导零。</explain>
      <paraID>43B5AE06</paraID>
      <start>7</start>
      <end>15</end>
      <status>unmodified</status>
      <modifiedWord/>
      <trackRevisions>false</trackRevisions>
    </reviewItem>
    <reviewItem>
      <errorID>9a4d0b07-f236-4950-8446-2c28e44c499e</errorID>
      <errorWord>办法中</errorWord>
      <group>L1_Word</group>
      <groupName>字词问题</groupName>
      <ability>L2_Typo</ability>
      <abilityName>字词错误</abilityName>
      <candidateList>
        <item>办法</item>
      </candidateList>
      <explain/>
      <paraID>4C5E466D</paraID>
      <start>133</start>
      <end>136</end>
      <status>unmodified</status>
      <modifiedWord/>
      <trackRevisions>false</trackRevisions>
    </reviewItem>
    <reviewItem>
      <errorID>2d73a6ef-e12c-4e2c-aced-bec5347d3e30</errorID>
      <errorWord>其它</errorWord>
      <group>L1_Word</group>
      <groupName>字词问题</groupName>
      <ability>L2_Alias</ability>
      <abilityName>也作/曾用词</abilityName>
      <candidateList>
        <item>其他</item>
      </candidateList>
      <explain>词汇[其它]为不规范表述或旧称，其规范书面表述为[其他]。</explain>
      <paraID>1D863CB9</paraID>
      <start>0</start>
      <end>2</end>
      <status>unmodified</status>
      <modifiedWord/>
      <trackRevisions>false</trackRevisions>
    </reviewItem>
    <reviewItem>
      <errorID>9bc9cd72-eba5-4de4-86ba-cc55e71bf137</errorID>
      <errorWord>接受</errorWord>
      <group>L1_Word</group>
      <groupName>字词问题</groupName>
      <ability>L2_Typo</ability>
      <abilityName>字词错误</abilityName>
      <candidateList>
        <item>接收</item>
      </candidateList>
      <explain>存在发音相同字词的误用。</explain>
      <paraID>510B98BA</paraID>
      <start>10</start>
      <end>12</end>
      <status>unmodified</status>
      <modifiedWord/>
      <trackRevisions>false</trackRevisions>
    </reviewItem>
    <reviewItem>
      <errorID>4c176d27-0b42-4ed9-a71c-fa817d2eb3c8</errorID>
      <errorWord>共同协商</errorWord>
      <group>L1_Grammar</group>
      <groupName>语法问题</groupName>
      <ability>L2_Grammar</ability>
      <abilityName>语法错误</abilityName>
      <candidateList>
        <item>协商</item>
      </candidateList>
      <explain>该表达中的“共同协商”存在语义重复。【词汇解析】协商：“协商”原本就有“共同”之意，协商指共同商量。</explain>
      <paraID>29E525CB</paraID>
      <start>28</start>
      <end>32</end>
      <status>unmodified</status>
      <modifiedWord/>
      <trackRevisions>false</trackRevisions>
    </reviewItem>
    <reviewItem>
      <errorID>5ed672ad-0be2-4e39-844a-eb5fa04faf59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3D507AB6</paraID>
      <start>0</start>
      <end>2</end>
      <status>unmodified</status>
      <modifiedWord/>
      <trackRevisions>false</trackRevisions>
    </reviewItem>
    <reviewItem>
      <errorID>e76923c3-a375-4f36-ab79-26af30dff53f</errorID>
      <errorWord>“/</errorWord>
      <group>L1_Punc</group>
      <groupName>标点问题</groupName>
      <ability>L2_Punc</ability>
      <abilityName>标点符号检查</abilityName>
      <candidateList>
        <item>“</item>
      </candidateList>
      <explain/>
      <paraID>  EAD68F</paraID>
      <start>70</start>
      <end>72</end>
      <status>unmodified</status>
      <modifiedWord/>
      <trackRevisions>false</trackRevisions>
    </reviewItem>
    <reviewItem>
      <errorID>a5006216-f975-493d-9849-fb9177968ecd</errorID>
      <errorWord>2025年05月</errorWord>
      <group>L1_Knowledge</group>
      <groupName>知识性问题</groupName>
      <ability>L2_Time</ability>
      <abilityName>日期时间</abilityName>
      <candidateList>
        <item>2025年5月</item>
      </candidateList>
      <explain>根据日常书写习惯，月份一般会省略前导零。</explain>
      <paraID>71FDEEA6</paraID>
      <start>7</start>
      <end>15</end>
      <status>unmodified</status>
      <modifiedWord/>
      <trackRevisions>false</trackRevisions>
    </reviewItem>
    <reviewItem>
      <errorID>18f00531-3089-4341-ad30-85c5fe1aa285</errorID>
      <errorWord>2025年05月</errorWord>
      <group>L1_Knowledge</group>
      <groupName>知识性问题</groupName>
      <ability>L2_Time</ability>
      <abilityName>日期时间</abilityName>
      <candidateList>
        <item>2025年5月</item>
      </candidateList>
      <explain>根据日常书写习惯，月份一般会省略前导零。</explain>
      <paraID>71FDEEA6</paraID>
      <start>92</start>
      <end>100</end>
      <status>unmodified</status>
      <modifiedWord/>
      <trackRevisions>false</trackRevisions>
    </reviewItem>
    <reviewItem>
      <errorID>a1300d1a-fbf5-452e-871d-1540a3ec6a49</errorID>
      <errorWord>按照过程</errorWord>
      <group>L1_Word</group>
      <groupName>字词问题</groupName>
      <ability>L2_Typo</ability>
      <abilityName>字词错误</abilityName>
      <candidateList>
        <item>安装过程</item>
      </candidateList>
      <explain/>
      <paraID>682E9EA0</paraID>
      <start>77</start>
      <end>81</end>
      <status>unmodified</status>
      <modifiedWord/>
      <trackRevisions>false</trackRevisions>
    </reviewItem>
    <reviewItem>
      <errorID>0e855bd6-a750-4e65-bdce-6d02505762c8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7B8B527F</paraID>
      <start>0</start>
      <end>2</end>
      <status>unmodified</status>
      <modifiedWord/>
      <trackRevisions>false</trackRevisions>
    </reviewItem>
    <reviewItem>
      <errorID>aadc8433-7e8d-4502-bbbb-e0ed1861b20e</errorID>
      <errorWord>，</errorWord>
      <group>L1_Word</group>
      <groupName>字词问题</groupName>
      <ability>L2_Typo</ability>
      <abilityName>字词错误</abilityName>
      <candidateList>
        <item>，以</item>
      </candidateList>
      <explain/>
      <paraID>3049AF06</paraID>
      <start>26</start>
      <end>27</end>
      <status>unmodified</status>
      <modifiedWord/>
      <trackRevisions>false</trackRevisions>
    </reviewItem>
    <reviewItem>
      <errorID>4a017fc1-18b9-4c3e-8526-b8f6310e48fc</errorID>
      <errorWord>间</errorWord>
      <group>L1_Word</group>
      <groupName>字词问题</groupName>
      <ability>L2_Typo</ability>
      <abilityName>字词错误</abilityName>
      <candidateList>
        <item>间和</item>
      </candidateList>
      <explain/>
      <paraID>52E75B86</paraID>
      <start>37</start>
      <end>38</end>
      <status>unmodified</status>
      <modifiedWord/>
      <trackRevisions>false</trackRevisions>
    </reviewItem>
    <reviewItem>
      <errorID>c18964ac-e4f9-4750-b7e8-5a6c726577ac</errorID>
      <errorWord>按照过程</errorWord>
      <group>L1_Word</group>
      <groupName>字词问题</groupName>
      <ability>L2_Typo</ability>
      <abilityName>字词错误</abilityName>
      <candidateList>
        <item>安装过程</item>
      </candidateList>
      <explain/>
      <paraID>7C035ABD</paraID>
      <start>77</start>
      <end>81</end>
      <status>unmodified</status>
      <modifiedWord/>
      <trackRevisions>false</trackRevisions>
    </reviewItem>
    <reviewItem>
      <errorID>1ecff92e-c425-4daa-a289-cccc17cf3a1a</errorID>
      <errorWord>行</errorWord>
      <group>L1_Word</group>
      <groupName>字词问题</groupName>
      <ability>L2_Typo</ability>
      <abilityName>字词错误</abilityName>
      <candidateList>
        <item>行对</item>
      </candidateList>
      <explain/>
      <paraID> 840E282</paraID>
      <start>12</start>
      <end>13</end>
      <status>unmodified</status>
      <modifiedWord/>
      <trackRevisions>false</trackRevisions>
    </reviewItem>
    <reviewItem>
      <errorID>ee0d4848-bd56-4905-ae3a-3acfaa275d77</errorID>
      <errorWord>体体</errorWord>
      <group>L1_Word</group>
      <groupName>字词问题</groupName>
      <ability>L2_Typo</ability>
      <abilityName>字词错误</abilityName>
      <candidateList>
        <item>体</item>
      </candidateList>
      <explain/>
      <paraID>7412298E</paraID>
      <start>21</start>
      <end>22</end>
      <status>modified</status>
      <modifiedWord>体</modifiedWord>
      <trackRevisions>false</trackRevisions>
    </reviewItem>
    <reviewItem>
      <errorID>8b84010f-127f-4429-b938-fba77943b343</errorID>
      <errorWord>行</errorWord>
      <group>L1_Word</group>
      <groupName>字词问题</groupName>
      <ability>L2_Typo</ability>
      <abilityName>字词错误</abilityName>
      <candidateList>
        <item>行对</item>
      </candidateList>
      <explain/>
      <paraID>498C6B54</paraID>
      <start>12</start>
      <end>13</end>
      <status>unmodified</status>
      <modifiedWord/>
      <trackRevisions>false</trackRevisions>
    </reviewItem>
    <reviewItem>
      <errorID>42352acf-73e7-4fc9-9d42-ab6e7eca467f</errorID>
      <errorWord>、</errorWord>
      <group>L1_Word</group>
      <groupName>字词问题</groupName>
      <ability>L2_Typo</ability>
      <abilityName>字词错误</abilityName>
      <candidateList>
        <item>、有</item>
      </candidateList>
      <explain/>
      <paraID>7C7ED016</paraID>
      <start>56</start>
      <end>57</end>
      <status>unmodified</status>
      <modifiedWord/>
      <trackRevisions>false</trackRevisions>
    </reviewItem>
    <reviewItem>
      <errorID>47de8a41-2b22-414c-ae99-47d5419435d2</errorID>
      <errorWord>、</errorWord>
      <group>L1_Word</group>
      <groupName>字词问题</groupName>
      <ability>L2_Typo</ability>
      <abilityName>字词错误</abilityName>
      <candidateList>
        <item>、有</item>
      </candidateList>
      <explain/>
      <paraID>3DD65EF5</paraID>
      <start>22</start>
      <end>23</end>
      <status>unmodified</status>
      <modifiedWord/>
      <trackRevisions>false</trackRevisions>
    </reviewItem>
    <reviewItem>
      <errorID>5909a70e-3a8f-4da1-ae21-832bd2fa11a6</errorID>
      <errorWord>数</errorWord>
      <group>L1_Word</group>
      <groupName>字词问题</groupName>
      <ability>L2_Typo</ability>
      <abilityName>字词错误</abilityName>
      <candidateList>
        <item>数量</item>
      </candidateList>
      <explain/>
      <paraID>19F99CD8</paraID>
      <start>123</start>
      <end>124</end>
      <status>unmodified</status>
      <modifiedWord/>
      <trackRevisions>false</trackRevisions>
    </reviewItem>
    <reviewItem>
      <errorID>808fbbdc-3b5b-4409-90e6-be2ad737f259</errorID>
      <errorWord>、</errorWord>
      <group>L1_Word</group>
      <groupName>字词问题</groupName>
      <ability>L2_Typo</ability>
      <abilityName>字词错误</abilityName>
      <candidateList>
        <item>、有</item>
      </candidateList>
      <explain/>
      <paraID>5595915E</paraID>
      <start>37</start>
      <end>38</end>
      <status>unmodified</status>
      <modifiedWord/>
      <trackRevisions>false</trackRevisions>
    </reviewItem>
    <reviewItem>
      <errorID>2c67e51e-25d3-45e0-b3bb-f7b23b4d78ab</errorID>
      <errorWord>、</errorWord>
      <group>L1_Word</group>
      <groupName>字词问题</groupName>
      <ability>L2_Typo</ability>
      <abilityName>字词错误</abilityName>
      <candidateList>
        <item>、有</item>
      </candidateList>
      <explain/>
      <paraID>178680D4</paraID>
      <start>86</start>
      <end>87</end>
      <status>unmodified</status>
      <modifiedWord/>
      <trackRevisions>false</trackRevisions>
    </reviewItem>
    <reviewItem>
      <errorID>db436ea8-147c-4aaa-a9b6-58f6ebdcfc03</errorID>
      <errorWord>对于</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1BE5B40E</paraID>
      <start>16</start>
      <end>18</end>
      <status>unmodified</status>
      <modifiedWord/>
      <trackRevisions>false</trackRevisions>
    </reviewItem>
    <reviewItem>
      <errorID>4618c619-3391-4d46-b481-a961f424001e</errorID>
      <errorWord>余</errorWord>
      <group>L1_Word</group>
      <groupName>字词问题</groupName>
      <ability>L2_Typo</ability>
      <abilityName>字词错误</abilityName>
      <candidateList>
        <item>余有</item>
      </candidateList>
      <explain/>
      <paraID>5D935ABF</paraID>
      <start>69</start>
      <end>70</end>
      <status>unmodified</status>
      <modifiedWord/>
      <trackRevisions>false</trackRevisions>
    </reviewItem>
    <reviewItem>
      <errorID>52a5ef39-fca3-45b7-8a9a-eb21ff246be6</errorID>
      <errorWord>和</errorWord>
      <group>L1_Word</group>
      <groupName>字词问题</groupName>
      <ability>L2_Typo</ability>
      <abilityName>字词错误</abilityName>
      <candidateList>
        <item>和有</item>
      </candidateList>
      <explain/>
      <paraID>38BE7F64</paraID>
      <start>49</start>
      <end>50</end>
      <status>unmodified</status>
      <modifiedWord/>
      <trackRevisions>false</trackRevisions>
    </reviewItem>
    <reviewItem>
      <errorID>478f1834-7611-409f-9dba-9b8e6aff6d33</errorID>
      <errorWord>对于</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245A4838</paraID>
      <start>67</start>
      <end>69</end>
      <status>unmodified</status>
      <modifiedWord/>
      <trackRevisions>false</trackRevisions>
    </reviewItem>
    <reviewItem>
      <errorID>6a2c5173-cf35-48f0-9975-d26bdc72f902</errorID>
      <errorWord>，</errorWord>
      <group>L1_Word</group>
      <groupName>字词问题</groupName>
      <ability>L2_Typo</ability>
      <abilityName>字词错误</abilityName>
      <candidateList>
        <item>，具</item>
      </candidateList>
      <explain/>
      <paraID>6F7D1ECF</paraID>
      <start>47</start>
      <end>48</end>
      <status>unmodified</status>
      <modifiedWord/>
      <trackRevisions>false</trackRevisions>
    </reviewItem>
    <reviewItem>
      <errorID>cfa92bff-8715-44cd-a614-2aef8ec109ff</errorID>
      <errorWord>前</errorWord>
      <group>L1_Word</group>
      <groupName>字词问题</groupName>
      <ability>L2_Typo</ability>
      <abilityName>字词错误</abilityName>
      <candidateList>
        <item>见</item>
      </candidateList>
      <explain/>
      <paraID>67A5F89E</paraID>
      <start>7</start>
      <end>8</end>
      <status>unmodified</status>
      <modifiedWord/>
      <trackRevisions>false</trackRevisions>
    </reviewItem>
    <reviewItem>
      <errorID>c0dc34e3-5202-431d-a99b-e9b8780861f2</errorID>
      <errorWord>2025年05月</errorWord>
      <group>L1_Knowledge</group>
      <groupName>知识性问题</groupName>
      <ability>L2_Time</ability>
      <abilityName>日期时间</abilityName>
      <candidateList>
        <item>2025年5月</item>
      </candidateList>
      <explain>根据日常书写习惯，月份一般会省略前导零。</explain>
      <paraID>58136FF4</paraID>
      <start>11</start>
      <end>19</end>
      <status>unmodified</status>
      <modifiedWord/>
      <trackRevisions>false</trackRevisions>
    </reviewItem>
    <reviewItem>
      <errorID>edcab479-fb28-43f5-8b1f-cc810152d0d8</errorID>
      <errorWord>，</errorWord>
      <group>L1_Word</group>
      <groupName>字词问题</groupName>
      <ability>L2_Typo</ability>
      <abilityName>字词错误</abilityName>
      <candidateList>
        <item>，并</item>
      </candidateList>
      <explain/>
      <paraID> 8F8F415</paraID>
      <start>69</start>
      <end>70</end>
      <status>unmodified</status>
      <modifiedWord/>
      <trackRevisions>false</trackRevisions>
    </reviewItem>
    <reviewItem>
      <errorID>b0ef248d-2e41-416b-baab-e003dd3e2604</errorID>
      <errorWord>科学合理的</errorWord>
      <group>L1_Word</group>
      <groupName>字词问题</groupName>
      <ability>L2_Typo</ability>
      <abilityName>字词错误</abilityName>
      <candidateList>
        <item>科学合理</item>
      </candidateList>
      <explain/>
      <paraID> 933B1E8</paraID>
      <start>81</start>
      <end>86</end>
      <status>unmodified</status>
      <modifiedWord/>
      <trackRevisions>false</trackRevisions>
    </reviewItem>
    <reviewItem>
      <errorID>924c3eab-0e23-47fe-b5b5-080b4f971c29</errorID>
      <errorWord>进行的</errorWord>
      <group>L1_Word</group>
      <groupName>字词问题</groupName>
      <ability>L2_Typo</ability>
      <abilityName>字词错误</abilityName>
      <candidateList>
        <item>进行</item>
      </candidateList>
      <explain>〈动〉❶从事（某种活动）：～讨论｜～工作｜～教育和批评｜会议正在～。注意“进行”总是用在持续性的和正式、严肃的行为，短暂性的和日常生活中的行为不用“进行”，例如不说“进行午睡”，“进行叫喊”。❷前进：～曲。</explain>
      <paraID>76DE57E1</paraID>
      <start>107</start>
      <end>110</end>
      <status>unmodified</status>
      <modifiedWord/>
      <trackRevisions>false</trackRevisions>
    </reviewItem>
    <reviewItem>
      <errorID>e8e3e37a-b92f-4e99-b197-29e873202171</errorID>
      <errorWord>，</errorWord>
      <group>L1_Word</group>
      <groupName>字词问题</groupName>
      <ability>L2_Typo</ability>
      <abilityName>字词错误</abilityName>
      <candidateList>
        <item>，以</item>
      </candidateList>
      <explain/>
      <paraID>39372256</paraID>
      <start>26</start>
      <end>27</end>
      <status>unmodified</status>
      <modifiedWord/>
      <trackRevisions>false</trackRevisions>
    </reviewItem>
    <reviewItem>
      <errorID>48b3e9e7-8e27-4e55-9cab-e380bc554066</errorID>
      <errorWord>间</errorWord>
      <group>L1_Word</group>
      <groupName>字词问题</groupName>
      <ability>L2_Typo</ability>
      <abilityName>字词错误</abilityName>
      <candidateList>
        <item>间和</item>
      </candidateList>
      <explain/>
      <paraID>3FA9EECE</paraID>
      <start>37</start>
      <end>38</end>
      <status>unmodified</status>
      <modifiedWord/>
      <trackRevisions>false</trackRevisions>
    </reviewItem>
    <reviewItem>
      <errorID>92197176-deca-4633-a8c5-8505aa2bca0c</errorID>
      <errorWord>详实</errorWord>
      <group>L1_Word</group>
      <groupName>字词问题</groupName>
      <ability>L2_Typo</ability>
      <abilityName>字词错误</abilityName>
      <candidateList>
        <item>翔实</item>
      </candidateList>
      <explain/>
      <paraID> CE8CA18</paraID>
      <start>32</start>
      <end>34</end>
      <status>unmodified</status>
      <modifiedWord/>
      <trackRevisions>false</trackRevisions>
    </reviewItem>
    <reviewItem>
      <errorID>146cbc7f-a2b5-4b5e-8826-532abdb668db</errorID>
      <errorWord>详实</errorWord>
      <group>L1_Word</group>
      <groupName>字词问题</groupName>
      <ability>L2_Typo</ability>
      <abilityName>字词错误</abilityName>
      <candidateList>
        <item>翔实</item>
      </candidateList>
      <explain/>
      <paraID>4AFE6B6E</paraID>
      <start>173</start>
      <end>175</end>
      <status>unmodified</status>
      <modifiedWord/>
      <trackRevisions>false</trackRevisions>
    </reviewItem>
    <reviewItem>
      <errorID>700ac6d0-2c11-4d1d-b656-3e6c69bf8ce3</errorID>
      <errorWord>（</errorWord>
      <group>L1_Punc</group>
      <groupName>标点问题</groupName>
      <ability>L2_Punc</ability>
      <abilityName>标点符号检查</abilityName>
      <candidateList/>
      <explain>同一形式括号套用。</explain>
      <paraID>1DC916CD</paraID>
      <start>75</start>
      <end>76</end>
      <status>unmodified</status>
      <modifiedWord/>
      <trackRevisions>false</trackRevisions>
    </reviewItem>
    <reviewItem>
      <errorID>f3378c5c-dda8-4a1f-94a4-0de790615c4a</errorID>
      <errorWord>)</errorWord>
      <group>L1_Format</group>
      <groupName>格式问题</groupName>
      <ability>L2_HalfPunc</ability>
      <abilityName>全半角检查</abilityName>
      <candidateList>
        <item>）</item>
      </candidateList>
      <explain>文本全半角错误。</explain>
      <paraID>4F75F0DB</paraID>
      <start>26</start>
      <end>27</end>
      <status>modified</status>
      <modifiedWord>）</modifiedWord>
      <trackRevisions>false</trackRevisions>
    </reviewItem>
    <reviewItem>
      <errorID>730cc0bd-2d7e-40de-8e8c-c86338e75629</errorID>
      <errorWord>，…，</errorWord>
      <group>L1_Punc</group>
      <groupName>标点问题</groupName>
      <ability>L2_Punc</ability>
      <abilityName>标点符号检查</abilityName>
      <candidateList>
        <item>，</item>
      </candidateList>
      <explain/>
      <paraID>71C0260D</paraID>
      <start>14</start>
      <end>17</end>
      <status>unmodified</status>
      <modifiedWord/>
      <trackRevisions>false</trackRevisions>
    </reviewItem>
    <reviewItem>
      <errorID>280edeea-1d9a-4373-8c48-f1ca4914661a</errorID>
      <errorWord>，…，</errorWord>
      <group>L1_Punc</group>
      <groupName>标点问题</groupName>
      <ability>L2_Punc</ability>
      <abilityName>标点符号检查</abilityName>
      <candidateList>
        <item>，</item>
      </candidateList>
      <explain/>
      <paraID>5A40BEA3</paraID>
      <start>5</start>
      <end>8</end>
      <status>unmodified</status>
      <modifiedWord/>
      <trackRevisions>false</trackRevisions>
    </reviewItem>
    <reviewItem>
      <errorID>81a0701c-cba0-45a1-8c1f-d5efaf011ddc</errorID>
      <errorWord>提供应</errorWord>
      <group>L1_Word</group>
      <groupName>字词问题</groupName>
      <ability>L2_Typo</ability>
      <abilityName>字词错误</abilityName>
      <candidateList>
        <item>提供</item>
      </candidateList>
      <explain/>
      <paraID>1393D0A8</paraID>
      <start>74</start>
      <end>77</end>
      <status>unmodified</status>
      <modifiedWord/>
      <trackRevisions>false</trackRevisions>
    </reviewItem>
    <reviewItem>
      <errorID>bae656c1-73e5-42c5-a6f0-666cb0e57e4d</errorID>
      <errorWord>（</errorWord>
      <group>L1_Punc</group>
      <groupName>标点问题</groupName>
      <ability>L2_Punc</ability>
      <abilityName>标点符号检查</abilityName>
      <candidateList/>
      <explain>同一形式括号套用。</explain>
      <paraID>1393D0A8</paraID>
      <start>87</start>
      <end>88</end>
      <status>unmodified</status>
      <modifiedWord/>
      <trackRevisions>false</trackRevisions>
    </reviewItem>
    <reviewItem>
      <errorID>ca3c3982-e5eb-440a-a807-44d1cc205aaa</errorID>
      <errorWord>有助于对</errorWord>
      <group>L1_Grammar</group>
      <groupName>语法问题</groupName>
      <ability>L2_Grammar</ability>
      <abilityName>语法错误</abilityName>
      <candidateList>
        <item>有助于</item>
      </candidateList>
      <explain>该表达中的“有助于对”存在语义重复。【词汇解析】有助于：对做某事有帮助的意思。包含了“对”的意思。</explain>
      <paraID>450F4DF5</paraID>
      <start>1</start>
      <end>5</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A0EF7C6-9EDD-4CFB-934F-06B44BC66422}">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107</Pages>
  <Words>20184</Words>
  <Characters>21771</Characters>
  <Lines>482</Lines>
  <Paragraphs>135</Paragraphs>
  <TotalTime>93</TotalTime>
  <ScaleCrop>false</ScaleCrop>
  <LinksUpToDate>false</LinksUpToDate>
  <CharactersWithSpaces>22612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2026-06-23T03:31:00Z</dcterms:created>
  <dc:creator>zhang weiming</dc:creator>
  <cp:lastModifiedBy>红叶</cp:lastModifiedBy>
  <cp:lastPrinted>2023-09-11T17:51:00Z</cp:lastPrinted>
  <dcterms:modified xsi:type="dcterms:W3CDTF">2026-06-25T09:44:46Z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6367037BD67F44B7915C9CAA71F4FC4C_13</vt:lpwstr>
  </property>
  <property fmtid="{D5CDD505-2E9C-101B-9397-08002B2CF9AE}" pid="4" name="KSOTemplateDocerSaveRecord">
    <vt:lpwstr>eyJoZGlkIjoiNTMyOGVlMzI3MjRhN2UwYWE2NjVkY2E5ZmM0ZWI5OGYiLCJ1c2VySWQiOiIxMDUxNzg0MDM1In0=</vt:lpwstr>
  </property>
</Properties>
</file>